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lang w:val="en-US" w:eastAsia="zh-CN"/>
        </w:rPr>
      </w:pPr>
      <w:r>
        <w:rPr>
          <w:rFonts w:hint="eastAsia" w:ascii="方正小标宋_GBK" w:eastAsia="方正小标宋_GBK"/>
          <w:sz w:val="36"/>
          <w:szCs w:val="36"/>
        </w:rPr>
        <w:t>恩施至广元国家高速公路万州至开江段水土保持监测及验收技术服务中标候选人公示</w:t>
      </w:r>
      <w:r>
        <w:rPr>
          <w:rFonts w:hint="eastAsia" w:ascii="方正小标宋_GBK" w:eastAsia="方正小标宋_GBK"/>
          <w:sz w:val="36"/>
          <w:szCs w:val="36"/>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w:t>
      </w:r>
      <w:r>
        <w:rPr>
          <w:rFonts w:hint="eastAsia" w:ascii="方正小标宋_GBK" w:eastAsia="方正小标宋_GBK"/>
          <w:sz w:val="30"/>
          <w:szCs w:val="30"/>
          <w:lang w:val="en-US" w:eastAsia="zh-CN"/>
        </w:rPr>
        <w:t>11</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 xml:space="preserve">10 </w:t>
      </w:r>
      <w:r>
        <w:rPr>
          <w:rFonts w:hint="eastAsia" w:ascii="方正小标宋_GBK" w:eastAsia="方正小标宋_GBK"/>
          <w:sz w:val="30"/>
          <w:szCs w:val="30"/>
        </w:rPr>
        <w:t xml:space="preserve"> 日至 </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年 </w:t>
      </w:r>
      <w:r>
        <w:rPr>
          <w:rFonts w:hint="eastAsia" w:ascii="方正小标宋_GBK" w:eastAsia="方正小标宋_GBK"/>
          <w:sz w:val="30"/>
          <w:szCs w:val="30"/>
          <w:lang w:val="en-US" w:eastAsia="zh-CN"/>
        </w:rPr>
        <w:t>11</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 xml:space="preserve">14 </w:t>
      </w:r>
      <w:r>
        <w:rPr>
          <w:rFonts w:hint="eastAsia" w:ascii="方正小标宋_GBK" w:eastAsia="方正小标宋_GBK"/>
          <w:sz w:val="30"/>
          <w:szCs w:val="30"/>
        </w:rPr>
        <w:t xml:space="preserve"> 日）</w:t>
      </w:r>
    </w:p>
    <w:tbl>
      <w:tblPr>
        <w:tblStyle w:val="4"/>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703"/>
        <w:gridCol w:w="1438"/>
        <w:gridCol w:w="471"/>
        <w:gridCol w:w="519"/>
        <w:gridCol w:w="998"/>
        <w:gridCol w:w="1027"/>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恩施至广元国家高速公路万州至开江段水土保持监测及验收技术服务　</w:t>
            </w:r>
          </w:p>
        </w:tc>
        <w:tc>
          <w:tcPr>
            <w:tcW w:w="1566"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107" w:type="dxa"/>
            <w:gridSpan w:val="2"/>
            <w:vMerge w:val="restart"/>
            <w:shd w:val="clear" w:color="auto" w:fill="auto"/>
            <w:vAlign w:val="center"/>
          </w:tcPr>
          <w:p>
            <w:pPr>
              <w:keepNext w:val="0"/>
              <w:keepLines w:val="0"/>
              <w:widowControl/>
              <w:suppressLineNumbers w:val="0"/>
              <w:ind w:firstLine="440" w:firstLineChars="200"/>
              <w:jc w:val="left"/>
              <w:rPr>
                <w:rFonts w:hint="default" w:ascii="Calibri" w:hAnsi="Calibri" w:eastAsia="宋体" w:cs="Calibri"/>
                <w:color w:val="000000"/>
                <w:kern w:val="0"/>
                <w:sz w:val="20"/>
                <w:szCs w:val="20"/>
                <w:lang w:val="en-US"/>
              </w:rPr>
            </w:pPr>
            <w:r>
              <w:rPr>
                <w:rFonts w:hint="eastAsia" w:ascii="宋体" w:hAnsi="宋体" w:eastAsia="宋体" w:cs="宋体"/>
                <w:color w:val="000000"/>
                <w:kern w:val="0"/>
                <w:sz w:val="22"/>
                <w:lang w:val="en-US" w:eastAsia="zh-CN"/>
              </w:rPr>
              <w:t>1120000元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50000120221014025250101</w:t>
            </w:r>
          </w:p>
        </w:tc>
        <w:tc>
          <w:tcPr>
            <w:tcW w:w="1566"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129"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566"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重庆高速铁建万开达高速公路有限公司</w:t>
            </w:r>
            <w:r>
              <w:rPr>
                <w:rFonts w:hint="eastAsia" w:ascii="宋体" w:hAnsi="宋体" w:eastAsia="宋体" w:cs="宋体"/>
                <w:color w:val="000000"/>
                <w:kern w:val="0"/>
                <w:sz w:val="22"/>
              </w:rPr>
              <w:t>　</w:t>
            </w:r>
          </w:p>
        </w:tc>
        <w:tc>
          <w:tcPr>
            <w:tcW w:w="1566"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023-86388821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566"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70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服务期限</w:t>
            </w:r>
          </w:p>
        </w:tc>
        <w:tc>
          <w:tcPr>
            <w:tcW w:w="998"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673"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8" w:type="dxa"/>
            <w:vMerge w:val="continue"/>
            <w:vAlign w:val="center"/>
          </w:tcPr>
          <w:p>
            <w:pPr>
              <w:widowControl/>
              <w:jc w:val="left"/>
              <w:rPr>
                <w:rFonts w:ascii="宋体" w:hAnsi="宋体" w:eastAsia="宋体" w:cs="宋体"/>
                <w:color w:val="000000"/>
                <w:kern w:val="0"/>
                <w:sz w:val="22"/>
              </w:rPr>
            </w:pPr>
          </w:p>
        </w:tc>
        <w:tc>
          <w:tcPr>
            <w:tcW w:w="1703"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990" w:type="dxa"/>
            <w:gridSpan w:val="2"/>
            <w:vMerge w:val="continue"/>
            <w:vAlign w:val="center"/>
          </w:tcPr>
          <w:p>
            <w:pPr>
              <w:widowControl/>
              <w:jc w:val="left"/>
              <w:rPr>
                <w:rFonts w:ascii="宋体" w:hAnsi="宋体" w:eastAsia="宋体" w:cs="宋体"/>
                <w:color w:val="000000"/>
                <w:kern w:val="0"/>
                <w:sz w:val="22"/>
              </w:rPr>
            </w:pPr>
          </w:p>
        </w:tc>
        <w:tc>
          <w:tcPr>
            <w:tcW w:w="998" w:type="dxa"/>
            <w:vMerge w:val="continue"/>
            <w:vAlign w:val="center"/>
          </w:tcPr>
          <w:p>
            <w:pPr>
              <w:widowControl/>
              <w:jc w:val="left"/>
              <w:rPr>
                <w:rFonts w:ascii="宋体" w:hAnsi="宋体" w:eastAsia="宋体" w:cs="宋体"/>
                <w:color w:val="000000"/>
                <w:kern w:val="0"/>
                <w:sz w:val="22"/>
              </w:rPr>
            </w:pPr>
          </w:p>
        </w:tc>
        <w:tc>
          <w:tcPr>
            <w:tcW w:w="102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3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70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招商局重庆交通科研设计院</w:t>
            </w:r>
            <w:r>
              <w:rPr>
                <w:rFonts w:hint="default" w:ascii="宋体" w:hAnsi="宋体" w:eastAsia="宋体" w:cs="宋体"/>
                <w:color w:val="000000"/>
                <w:kern w:val="0"/>
                <w:sz w:val="22"/>
                <w:lang w:val="en-US" w:eastAsia="zh-CN"/>
              </w:rPr>
              <w:t xml:space="preserve">有限公司  </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1064600 </w:t>
            </w:r>
          </w:p>
        </w:tc>
        <w:tc>
          <w:tcPr>
            <w:tcW w:w="990"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998"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1027"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冷光义</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130001000607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70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重庆龙翰环保工程有限公司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1052000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99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027"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王琦</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013701000084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70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北京林淼生态环境技术有限 </w:t>
            </w:r>
          </w:p>
          <w:p>
            <w:pPr>
              <w:widowControl/>
              <w:jc w:val="center"/>
              <w:rPr>
                <w:rFonts w:hint="eastAsia" w:ascii="宋体" w:hAnsi="宋体" w:eastAsia="宋体" w:cs="宋体"/>
                <w:color w:val="000000"/>
                <w:kern w:val="0"/>
                <w:sz w:val="22"/>
              </w:rPr>
            </w:pPr>
            <w:r>
              <w:rPr>
                <w:rFonts w:hint="default" w:ascii="宋体" w:hAnsi="宋体" w:eastAsia="宋体" w:cs="宋体"/>
                <w:color w:val="000000"/>
                <w:kern w:val="0"/>
                <w:sz w:val="22"/>
                <w:lang w:val="en-US" w:eastAsia="zh-CN"/>
              </w:rPr>
              <w:t>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1115600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99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027"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马骏</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ZGB36028040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802"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802" w:type="dxa"/>
            <w:gridSpan w:val="9"/>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业绩</w:t>
            </w:r>
            <w:r>
              <w:rPr>
                <w:rFonts w:hint="eastAsia" w:ascii="宋体" w:hAnsi="宋体" w:eastAsia="宋体" w:cs="宋体"/>
                <w:b/>
                <w:bCs/>
                <w:color w:val="000000"/>
                <w:kern w:val="0"/>
                <w:sz w:val="22"/>
                <w:lang w:val="en-US" w:eastAsia="zh-CN"/>
              </w:rPr>
              <w:t>相关</w:t>
            </w:r>
            <w:r>
              <w:rPr>
                <w:rFonts w:hint="eastAsia" w:ascii="宋体" w:hAnsi="宋体" w:eastAsia="宋体" w:cs="宋体"/>
                <w:b/>
                <w:bCs/>
                <w:color w:val="000000"/>
                <w:kern w:val="0"/>
                <w:sz w:val="22"/>
                <w:lang w:eastAsia="zh-CN"/>
              </w:rPr>
              <w:t>：</w:t>
            </w:r>
          </w:p>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第一中标候选人：招商局重庆交通科研设计院</w:t>
            </w:r>
            <w:r>
              <w:rPr>
                <w:rFonts w:hint="default" w:ascii="宋体" w:hAnsi="宋体" w:eastAsia="宋体" w:cs="宋体"/>
                <w:color w:val="000000"/>
                <w:kern w:val="0"/>
                <w:sz w:val="22"/>
                <w:lang w:val="en-US" w:eastAsia="zh-CN"/>
              </w:rPr>
              <w:t>有限公司</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巫溪至开州高速公路项目水土保持监测及验收技术服务、重庆合川双槐至钱塘高速公路工程水土保持监测技术咨询服务、重庆沿江高速公路丰都至忠县段水土保持技术咨询（含水土保持监测）、安康至来凤国家高速公路奉节至巫山（渝鄂界）段水土保持监测、梁忠高速水土保持监测</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渝广高速水土保持监测、重庆渝北至长寿高速公路（渝长高速公路扩能）项目水土保持监测。</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第二中标候选人：重庆龙翰环保工程有限公司:</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恩施至广元国家高速公路重庆新田至高峰段水土保持监测及验收、重庆巴南至綦江高速公路（渝黔高速公路扩能）水土保持监测、渝湘高速公路复线（巴南至彭水段）水土保持监测服务、重庆彭水至酉阳高速公路一期工程水土保持监测服务、武隆至道真（重庆境）高速公路水土保持监测服务</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第三中标候选人：北京林淼生态环境技术有限</w:t>
            </w:r>
            <w:r>
              <w:rPr>
                <w:rFonts w:hint="default" w:ascii="宋体" w:hAnsi="宋体" w:eastAsia="宋体" w:cs="宋体"/>
                <w:color w:val="000000"/>
                <w:kern w:val="0"/>
                <w:sz w:val="22"/>
                <w:lang w:val="en-US" w:eastAsia="zh-CN"/>
              </w:rPr>
              <w:t>公司</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eastAsia="zh-CN"/>
              </w:rPr>
            </w:pPr>
            <w:r>
              <w:rPr>
                <w:rFonts w:hint="default" w:ascii="宋体" w:hAnsi="宋体" w:eastAsia="宋体" w:cs="宋体"/>
                <w:color w:val="000000"/>
                <w:kern w:val="0"/>
                <w:sz w:val="22"/>
                <w:lang w:val="en-US" w:eastAsia="zh-CN"/>
              </w:rPr>
              <w:t xml:space="preserve">S25 </w:t>
            </w:r>
            <w:r>
              <w:rPr>
                <w:rFonts w:hint="eastAsia" w:ascii="宋体" w:hAnsi="宋体" w:eastAsia="宋体" w:cs="宋体"/>
                <w:color w:val="000000"/>
                <w:kern w:val="0"/>
                <w:sz w:val="22"/>
                <w:lang w:val="en-US" w:eastAsia="zh-CN"/>
              </w:rPr>
              <w:t>静宁至天水高速公路庄浪至天水段工程水保监测</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b/>
                <w:bCs/>
                <w:color w:val="000000"/>
                <w:kern w:val="0"/>
                <w:sz w:val="22"/>
                <w:lang w:eastAsia="zh-CN"/>
              </w:rPr>
              <w:t>否决投标情况：</w:t>
            </w:r>
            <w:r>
              <w:rPr>
                <w:rFonts w:hint="eastAsia" w:ascii="宋体" w:hAnsi="宋体" w:eastAsia="宋体" w:cs="宋体"/>
                <w:color w:val="000000"/>
                <w:kern w:val="0"/>
                <w:sz w:val="22"/>
                <w:lang w:val="en-US" w:eastAsia="zh-CN"/>
              </w:rPr>
              <w:t>形式评审不合格投标人名称及原因分别如下</w:t>
            </w:r>
            <w:r>
              <w:rPr>
                <w:rFonts w:hint="default" w:ascii="宋体" w:hAnsi="宋体" w:eastAsia="宋体" w:cs="宋体"/>
                <w:color w:val="000000"/>
                <w:kern w:val="0"/>
                <w:sz w:val="22"/>
                <w:lang w:val="en-US" w:eastAsia="zh-CN"/>
              </w:rPr>
              <w:t xml:space="preserve">（详见附件 3）：投标人中煤科工重庆设计研究院（集团）有限公司、重庆隆湖工程设计咨询有限公司、四川金原工程勘察设计有限责任公司提供的投标文件，因未按照 3.7.3 </w:t>
            </w:r>
            <w:r>
              <w:rPr>
                <w:rFonts w:hint="eastAsia" w:ascii="宋体" w:hAnsi="宋体" w:eastAsia="宋体" w:cs="宋体"/>
                <w:color w:val="000000"/>
                <w:kern w:val="0"/>
                <w:sz w:val="22"/>
                <w:lang w:val="en-US" w:eastAsia="zh-CN"/>
              </w:rPr>
              <w:t>有</w:t>
            </w:r>
            <w:r>
              <w:rPr>
                <w:rFonts w:hint="default" w:ascii="宋体" w:hAnsi="宋体" w:eastAsia="宋体" w:cs="宋体"/>
                <w:color w:val="000000"/>
                <w:kern w:val="0"/>
                <w:sz w:val="22"/>
                <w:lang w:val="en-US" w:eastAsia="zh-CN"/>
              </w:rPr>
              <w:t>关要求签署，不满足招标文件 3.7.3 款要求，根据招标文件《否决投标情形一览表》A-9、A-11 项之要求，其投标文件被否决</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投诉受理部门：重庆高速铁建万开达高速公路有限公司</w:t>
            </w: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,联系电话：</w:t>
            </w:r>
            <w:r>
              <w:rPr>
                <w:rFonts w:hint="eastAsia" w:ascii="宋体" w:hAnsi="宋体" w:eastAsia="宋体" w:cs="宋体"/>
                <w:color w:val="000000"/>
                <w:kern w:val="0"/>
                <w:sz w:val="22"/>
                <w:lang w:eastAsia="zh-CN"/>
              </w:rPr>
              <w:t>023-</w:t>
            </w:r>
            <w:r>
              <w:rPr>
                <w:rFonts w:hint="eastAsia" w:ascii="宋体" w:hAnsi="宋体" w:eastAsia="宋体" w:cs="宋体"/>
                <w:color w:val="000000"/>
                <w:kern w:val="0"/>
                <w:sz w:val="22"/>
                <w:lang w:val="en-US" w:eastAsia="zh-CN"/>
              </w:rPr>
              <w:t>86388821</w:t>
            </w:r>
            <w:bookmarkStart w:id="0" w:name="_GoBack"/>
            <w:bookmarkEnd w:id="0"/>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80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80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重庆高速铁建万开达高速公路有限公司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黄</w:t>
            </w:r>
            <w:r>
              <w:rPr>
                <w:rFonts w:hint="eastAsia" w:ascii="宋体" w:hAnsi="宋体" w:eastAsia="宋体" w:cs="宋体"/>
                <w:color w:val="000000"/>
                <w:kern w:val="0"/>
                <w:sz w:val="22"/>
              </w:rPr>
              <w:t>老师，联系电话：</w:t>
            </w:r>
            <w:r>
              <w:rPr>
                <w:rFonts w:hint="eastAsia" w:ascii="宋体" w:hAnsi="宋体" w:eastAsia="宋体" w:cs="宋体"/>
                <w:color w:val="000000"/>
                <w:kern w:val="0"/>
                <w:sz w:val="22"/>
                <w:lang w:val="en-US" w:eastAsia="zh-CN"/>
              </w:rPr>
              <w:t>023-86388821</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970" w:type="dxa"/>
            <w:gridSpan w:val="4"/>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招标人（盖章）:  </w:t>
            </w:r>
            <w:r>
              <w:rPr>
                <w:rFonts w:hint="eastAsia" w:ascii="宋体" w:hAnsi="宋体" w:eastAsia="宋体" w:cs="宋体"/>
                <w:color w:val="000000"/>
                <w:kern w:val="0"/>
                <w:sz w:val="22"/>
                <w:lang w:val="en-US" w:eastAsia="zh-CN"/>
              </w:rPr>
              <w:t>重庆高速铁建万开达高速公路有限公司</w:t>
            </w: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10 </w:t>
            </w:r>
            <w:r>
              <w:rPr>
                <w:rFonts w:hint="eastAsia" w:ascii="宋体" w:hAnsi="宋体" w:eastAsia="宋体" w:cs="宋体"/>
                <w:color w:val="000000"/>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招标代理机构（盖章）：重庆国际投资咨询集团有限公司 </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10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YzZmOTFkNGNmNzkzMThlMmZlOGQ1ZGE2MzQ5NDUifQ=="/>
  </w:docVars>
  <w:rsids>
    <w:rsidRoot w:val="005F7769"/>
    <w:rsid w:val="0055752E"/>
    <w:rsid w:val="005F7769"/>
    <w:rsid w:val="0063236D"/>
    <w:rsid w:val="006A71D4"/>
    <w:rsid w:val="007C4F8D"/>
    <w:rsid w:val="00943760"/>
    <w:rsid w:val="01887A37"/>
    <w:rsid w:val="020D770A"/>
    <w:rsid w:val="02154E6B"/>
    <w:rsid w:val="0429305B"/>
    <w:rsid w:val="047F1DAB"/>
    <w:rsid w:val="08F21A03"/>
    <w:rsid w:val="09834A1F"/>
    <w:rsid w:val="0A0C3409"/>
    <w:rsid w:val="0AFE4225"/>
    <w:rsid w:val="0E090577"/>
    <w:rsid w:val="0E95291F"/>
    <w:rsid w:val="0F474788"/>
    <w:rsid w:val="0F7110E9"/>
    <w:rsid w:val="15791A87"/>
    <w:rsid w:val="160805D7"/>
    <w:rsid w:val="166B41F1"/>
    <w:rsid w:val="18C67B43"/>
    <w:rsid w:val="1A182FA5"/>
    <w:rsid w:val="1E2433C8"/>
    <w:rsid w:val="1EBE0C60"/>
    <w:rsid w:val="27762747"/>
    <w:rsid w:val="2887022B"/>
    <w:rsid w:val="2CEA4F93"/>
    <w:rsid w:val="2F334741"/>
    <w:rsid w:val="3290545A"/>
    <w:rsid w:val="337E22EA"/>
    <w:rsid w:val="339B0D78"/>
    <w:rsid w:val="34014CC9"/>
    <w:rsid w:val="34310729"/>
    <w:rsid w:val="3A1B6D32"/>
    <w:rsid w:val="3D3B0A08"/>
    <w:rsid w:val="3DF92F26"/>
    <w:rsid w:val="3FF746D7"/>
    <w:rsid w:val="40477F08"/>
    <w:rsid w:val="43767507"/>
    <w:rsid w:val="44F56185"/>
    <w:rsid w:val="479D495A"/>
    <w:rsid w:val="47FA230E"/>
    <w:rsid w:val="4812474D"/>
    <w:rsid w:val="48B42A45"/>
    <w:rsid w:val="48CC36A0"/>
    <w:rsid w:val="4AC9760C"/>
    <w:rsid w:val="4C7B50C0"/>
    <w:rsid w:val="4D300D98"/>
    <w:rsid w:val="4ED32720"/>
    <w:rsid w:val="4EFE2381"/>
    <w:rsid w:val="4FFB3C11"/>
    <w:rsid w:val="50661029"/>
    <w:rsid w:val="509727E6"/>
    <w:rsid w:val="53956916"/>
    <w:rsid w:val="574B7F6D"/>
    <w:rsid w:val="59BE6F2B"/>
    <w:rsid w:val="5BA72C22"/>
    <w:rsid w:val="5D694D67"/>
    <w:rsid w:val="61670F69"/>
    <w:rsid w:val="63924BE7"/>
    <w:rsid w:val="63F20A4B"/>
    <w:rsid w:val="63F86CD6"/>
    <w:rsid w:val="657C50E7"/>
    <w:rsid w:val="65AF2D06"/>
    <w:rsid w:val="67147067"/>
    <w:rsid w:val="69793BB8"/>
    <w:rsid w:val="7031057E"/>
    <w:rsid w:val="71066FB1"/>
    <w:rsid w:val="76B24303"/>
    <w:rsid w:val="7775502F"/>
    <w:rsid w:val="77C43611"/>
    <w:rsid w:val="7B8B3F24"/>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rPr>
      <w:vertAlign w:val="baseline"/>
    </w:rPr>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rPr>
      <w:rFonts w:ascii="微软雅黑" w:hAnsi="微软雅黑" w:eastAsia="微软雅黑" w:cs="微软雅黑"/>
      <w:color w:val="FFFFFF"/>
      <w:sz w:val="19"/>
      <w:szCs w:val="19"/>
      <w:u w:val="none"/>
      <w:shd w:val="clear" w:fill="59C2E6"/>
    </w:rPr>
  </w:style>
  <w:style w:type="character" w:styleId="16">
    <w:name w:val="HTML Keyboard"/>
    <w:basedOn w:val="5"/>
    <w:semiHidden/>
    <w:unhideWhenUsed/>
    <w:qFormat/>
    <w:uiPriority w:val="99"/>
    <w:rPr>
      <w:rFonts w:hint="default"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 w:type="character" w:customStyle="1" w:styleId="18">
    <w:name w:val="mini-outputtext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1275</Words>
  <Characters>1435</Characters>
  <Lines>5</Lines>
  <Paragraphs>1</Paragraphs>
  <TotalTime>0</TotalTime>
  <ScaleCrop>false</ScaleCrop>
  <LinksUpToDate>false</LinksUpToDate>
  <CharactersWithSpaces>1570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黄娟</cp:lastModifiedBy>
  <dcterms:modified xsi:type="dcterms:W3CDTF">2022-11-10T07:05:47Z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13E531705D504F8F8A19355103B29F77</vt:lpwstr>
  </property>
</Properties>
</file>