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40" w:beforeLines="100" w:after="240"/>
        <w:outlineLvl w:val="0"/>
        <w:rPr>
          <w:rFonts w:hint="eastAsia" w:ascii="宋体" w:hAnsi="宋体" w:eastAsia="宋体"/>
          <w:b/>
          <w:color w:val="auto"/>
          <w:highlight w:val="none"/>
        </w:rPr>
      </w:pPr>
      <w:r>
        <w:rPr>
          <w:rFonts w:ascii="宋体" w:hAnsi="宋体" w:eastAsia="宋体"/>
          <w:b/>
          <w:color w:val="auto"/>
          <w:highlight w:val="none"/>
        </w:rPr>
        <w:t>招标公告</w:t>
      </w:r>
    </w:p>
    <w:p>
      <w:pPr>
        <w:snapToGrid w:val="0"/>
        <w:spacing w:line="360" w:lineRule="auto"/>
        <w:ind w:firstLine="403" w:firstLineChars="168"/>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u w:val="single"/>
        </w:rPr>
        <w:t>重庆乌江白马航电枢纽工程水土保持监测</w:t>
      </w:r>
      <w:r>
        <w:rPr>
          <w:rFonts w:hint="eastAsia" w:ascii="宋体" w:hAnsi="宋体"/>
          <w:snapToGrid w:val="0"/>
          <w:color w:val="auto"/>
          <w:kern w:val="0"/>
          <w:sz w:val="24"/>
          <w:highlight w:val="none"/>
        </w:rPr>
        <w:t>招标公告</w:t>
      </w:r>
    </w:p>
    <w:p>
      <w:pPr>
        <w:snapToGrid w:val="0"/>
        <w:spacing w:line="360" w:lineRule="auto"/>
        <w:ind w:firstLine="403" w:firstLineChars="168"/>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招标编号：FZCQ-2020-0230</w:t>
      </w:r>
    </w:p>
    <w:p>
      <w:pPr>
        <w:pStyle w:val="6"/>
        <w:spacing w:before="0" w:beforeLines="0" w:after="0" w:afterLines="0" w:line="360" w:lineRule="auto"/>
        <w:ind w:firstLine="472" w:firstLineChars="168"/>
        <w:jc w:val="both"/>
        <w:outlineLvl w:val="1"/>
        <w:rPr>
          <w:rFonts w:hint="eastAsia" w:ascii="宋体" w:hAnsi="宋体" w:eastAsia="宋体"/>
          <w:b/>
          <w:color w:val="auto"/>
          <w:highlight w:val="none"/>
        </w:rPr>
      </w:pPr>
      <w:bookmarkStart w:id="0" w:name="_Toc381"/>
      <w:bookmarkStart w:id="1" w:name="_Toc18627"/>
      <w:bookmarkStart w:id="2" w:name="_Toc28783"/>
      <w:bookmarkStart w:id="3" w:name="_Toc3625"/>
      <w:bookmarkStart w:id="4" w:name="_Toc4994"/>
      <w:bookmarkStart w:id="5" w:name="_Toc12728"/>
      <w:bookmarkStart w:id="6" w:name="_Toc26091"/>
      <w:bookmarkStart w:id="7" w:name="_Toc9793"/>
      <w:bookmarkStart w:id="8" w:name="_Toc19746"/>
      <w:bookmarkStart w:id="9" w:name="_Toc24826"/>
      <w:bookmarkStart w:id="10" w:name="_Toc28122"/>
      <w:bookmarkStart w:id="11" w:name="_Toc505177984"/>
      <w:bookmarkStart w:id="12" w:name="_Toc4074"/>
      <w:bookmarkStart w:id="13" w:name="_Toc15081"/>
      <w:bookmarkStart w:id="14" w:name="_Toc9407"/>
      <w:bookmarkStart w:id="15" w:name="_Toc12549896"/>
      <w:bookmarkStart w:id="16" w:name="_Toc24958"/>
      <w:bookmarkStart w:id="17" w:name="_Toc23197"/>
      <w:bookmarkStart w:id="18" w:name="_Toc5259047"/>
      <w:bookmarkStart w:id="19" w:name="_Toc14809"/>
      <w:bookmarkStart w:id="20" w:name="_Toc30570"/>
      <w:bookmarkStart w:id="21" w:name="_Toc31709"/>
      <w:bookmarkStart w:id="22" w:name="_Toc500753505"/>
      <w:bookmarkStart w:id="23" w:name="_Toc5109240"/>
      <w:r>
        <w:rPr>
          <w:rFonts w:hint="eastAsia" w:ascii="宋体" w:hAnsi="宋体" w:eastAsia="宋体"/>
          <w:b/>
          <w:color w:val="auto"/>
          <w:highlight w:val="none"/>
        </w:rPr>
        <w:t>1. 招标条件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tabs>
          <w:tab w:val="left" w:pos="480"/>
        </w:tabs>
        <w:adjustRightInd w:val="0"/>
        <w:spacing w:line="360" w:lineRule="auto"/>
        <w:ind w:firstLine="403" w:firstLineChars="168"/>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本招标项目为重庆乌江白马航电枢纽工程水土保持监测项目。重庆乌江白马航电枢纽工程</w:t>
      </w:r>
      <w:r>
        <w:rPr>
          <w:rFonts w:hint="eastAsia" w:ascii="宋体" w:hAnsi="宋体"/>
          <w:snapToGrid w:val="0"/>
          <w:color w:val="auto"/>
          <w:kern w:val="0"/>
          <w:sz w:val="24"/>
          <w:highlight w:val="none"/>
        </w:rPr>
        <w:t>已由</w:t>
      </w:r>
      <w:r>
        <w:rPr>
          <w:rFonts w:hint="eastAsia" w:ascii="宋体" w:hAnsi="宋体"/>
          <w:snapToGrid w:val="0"/>
          <w:color w:val="auto"/>
          <w:kern w:val="0"/>
          <w:sz w:val="24"/>
          <w:highlight w:val="none"/>
          <w:u w:val="single"/>
        </w:rPr>
        <w:t>重庆市发展和改革委员会</w:t>
      </w:r>
      <w:r>
        <w:rPr>
          <w:rFonts w:ascii="宋体" w:hAnsi="宋体"/>
          <w:snapToGrid w:val="0"/>
          <w:color w:val="auto"/>
          <w:kern w:val="0"/>
          <w:sz w:val="24"/>
          <w:highlight w:val="none"/>
        </w:rPr>
        <w:t>以</w:t>
      </w:r>
      <w:r>
        <w:rPr>
          <w:rFonts w:hint="eastAsia" w:ascii="宋体" w:hAnsi="宋体"/>
          <w:snapToGrid w:val="0"/>
          <w:color w:val="auto"/>
          <w:kern w:val="0"/>
          <w:sz w:val="24"/>
          <w:highlight w:val="none"/>
          <w:u w:val="single"/>
        </w:rPr>
        <w:t>渝发改交[2019]1112号文</w:t>
      </w:r>
      <w:r>
        <w:rPr>
          <w:rFonts w:ascii="宋体" w:hAnsi="宋体"/>
          <w:snapToGrid w:val="0"/>
          <w:color w:val="auto"/>
          <w:kern w:val="0"/>
          <w:sz w:val="24"/>
          <w:highlight w:val="none"/>
        </w:rPr>
        <w:t>批准建设，招标人为</w:t>
      </w:r>
      <w:r>
        <w:rPr>
          <w:rFonts w:hint="eastAsia" w:ascii="宋体" w:hAnsi="宋体"/>
          <w:snapToGrid w:val="0"/>
          <w:color w:val="auto"/>
          <w:kern w:val="0"/>
          <w:sz w:val="24"/>
          <w:highlight w:val="none"/>
          <w:u w:val="single"/>
        </w:rPr>
        <w:t>重庆白马航运发展有限公司</w:t>
      </w:r>
      <w:r>
        <w:rPr>
          <w:rFonts w:hint="eastAsia" w:ascii="宋体" w:hAnsi="宋体"/>
          <w:snapToGrid w:val="0"/>
          <w:color w:val="auto"/>
          <w:kern w:val="0"/>
          <w:sz w:val="24"/>
          <w:highlight w:val="none"/>
        </w:rPr>
        <w:t>，</w:t>
      </w:r>
      <w:r>
        <w:rPr>
          <w:rFonts w:ascii="宋体" w:hAnsi="宋体"/>
          <w:snapToGrid w:val="0"/>
          <w:color w:val="auto"/>
          <w:kern w:val="0"/>
          <w:sz w:val="24"/>
          <w:highlight w:val="none"/>
        </w:rPr>
        <w:t>建设资金来自</w:t>
      </w:r>
      <w:r>
        <w:rPr>
          <w:rFonts w:hint="eastAsia" w:ascii="宋体" w:hAnsi="宋体"/>
          <w:snapToGrid w:val="0"/>
          <w:color w:val="auto"/>
          <w:kern w:val="0"/>
          <w:sz w:val="24"/>
          <w:highlight w:val="none"/>
          <w:u w:val="single"/>
        </w:rPr>
        <w:t>政府补助和企业自筹</w:t>
      </w:r>
      <w:r>
        <w:rPr>
          <w:rFonts w:hint="eastAsia" w:ascii="宋体" w:hAnsi="宋体"/>
          <w:snapToGrid w:val="0"/>
          <w:color w:val="auto"/>
          <w:kern w:val="0"/>
          <w:sz w:val="24"/>
          <w:highlight w:val="none"/>
        </w:rPr>
        <w:t>，</w:t>
      </w:r>
      <w:r>
        <w:rPr>
          <w:rFonts w:ascii="宋体" w:hAnsi="宋体"/>
          <w:snapToGrid w:val="0"/>
          <w:color w:val="auto"/>
          <w:kern w:val="0"/>
          <w:sz w:val="24"/>
          <w:highlight w:val="none"/>
        </w:rPr>
        <w:t>项目已具备招标条件，</w:t>
      </w:r>
      <w:r>
        <w:rPr>
          <w:rFonts w:hint="eastAsia" w:ascii="宋体" w:hAnsi="宋体"/>
          <w:snapToGrid w:val="0"/>
          <w:color w:val="auto"/>
          <w:kern w:val="0"/>
          <w:sz w:val="24"/>
          <w:highlight w:val="none"/>
        </w:rPr>
        <w:t>现委托法正项目管理集团有限公司为招标代理，对本项目进行公开招标，本次招标采用资格后审方式</w:t>
      </w:r>
      <w:r>
        <w:rPr>
          <w:rFonts w:ascii="宋体" w:hAnsi="宋体"/>
          <w:snapToGrid w:val="0"/>
          <w:color w:val="auto"/>
          <w:kern w:val="0"/>
          <w:sz w:val="24"/>
          <w:highlight w:val="none"/>
        </w:rPr>
        <w:t>。</w:t>
      </w:r>
    </w:p>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24" w:name="_Toc5259048"/>
      <w:bookmarkStart w:id="25" w:name="_Toc24764"/>
      <w:bookmarkStart w:id="26" w:name="_Toc19509"/>
      <w:bookmarkStart w:id="27" w:name="_Toc8288"/>
      <w:bookmarkStart w:id="28" w:name="_Toc29733"/>
      <w:bookmarkStart w:id="29" w:name="_Toc30318"/>
      <w:bookmarkStart w:id="30" w:name="_Toc12549897"/>
      <w:bookmarkStart w:id="31" w:name="_Toc17288"/>
      <w:bookmarkStart w:id="32" w:name="_Toc24461"/>
      <w:bookmarkStart w:id="33" w:name="_Toc500753506"/>
      <w:bookmarkStart w:id="34" w:name="_Toc12217"/>
      <w:bookmarkStart w:id="35" w:name="_Toc5109241"/>
      <w:bookmarkStart w:id="36" w:name="_Toc15832"/>
      <w:bookmarkStart w:id="37" w:name="_Toc505177985"/>
      <w:bookmarkStart w:id="38" w:name="_Toc4598"/>
      <w:bookmarkStart w:id="39" w:name="_Toc17464"/>
      <w:bookmarkStart w:id="40" w:name="_Toc11534"/>
      <w:bookmarkStart w:id="41" w:name="_Toc6742"/>
      <w:bookmarkStart w:id="42" w:name="_Toc18876"/>
      <w:bookmarkStart w:id="43" w:name="_Toc15871"/>
      <w:bookmarkStart w:id="44" w:name="_Toc17466"/>
      <w:bookmarkStart w:id="45" w:name="_Toc25885"/>
      <w:bookmarkStart w:id="46" w:name="_Toc22738"/>
      <w:bookmarkStart w:id="47" w:name="_Toc32570"/>
      <w:r>
        <w:rPr>
          <w:rFonts w:ascii="宋体" w:hAnsi="宋体" w:eastAsia="宋体"/>
          <w:b/>
          <w:color w:val="auto"/>
          <w:highlight w:val="none"/>
        </w:rPr>
        <w:t>2. 项目概况与招标范围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2.1建设地点：重庆市武隆区白马镇。</w:t>
      </w:r>
    </w:p>
    <w:p>
      <w:pPr>
        <w:pStyle w:val="2"/>
        <w:overflowPunct w:val="0"/>
        <w:snapToGrid w:val="0"/>
        <w:spacing w:after="0" w:line="440" w:lineRule="exact"/>
        <w:ind w:firstLine="480" w:firstLineChars="200"/>
        <w:textAlignment w:val="center"/>
        <w:rPr>
          <w:rFonts w:hint="eastAsia" w:ascii="宋体" w:hAnsi="宋体"/>
          <w:color w:val="auto"/>
          <w:highlight w:val="none"/>
        </w:rPr>
      </w:pPr>
      <w:bookmarkStart w:id="48" w:name="OLE_LINK77"/>
      <w:bookmarkStart w:id="49" w:name="OLE_LINK76"/>
      <w:r>
        <w:rPr>
          <w:rFonts w:hint="eastAsia" w:ascii="宋体" w:hAnsi="宋体"/>
          <w:color w:val="auto"/>
          <w:highlight w:val="none"/>
        </w:rPr>
        <w:t>2.2项目概况与建设规模：重庆乌江白马航电枢纽位于乌江下游河段，地处重庆市武隆区白马镇，是乌江干流水电开发规划的最下一个梯级。该枢纽以航运为主，兼顾发电，并具有对银盘水电站运行进行反调节的作用。根据该工程的开发任务和功能要求，白马枢纽由大坝、泄洪建筑物、电站厂房、通航建筑物等组成。本工程等别为二等，工程规模为大（2）型。</w:t>
      </w:r>
    </w:p>
    <w:p>
      <w:pPr>
        <w:pStyle w:val="2"/>
        <w:overflowPunct w:val="0"/>
        <w:snapToGrid w:val="0"/>
        <w:spacing w:after="0"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根据《生产建设项目水土保持技术标准》（GB 50433-2018）等的规定</w:t>
      </w:r>
      <w:r>
        <w:rPr>
          <w:rFonts w:ascii="宋体" w:hAnsi="宋体"/>
          <w:color w:val="auto"/>
          <w:highlight w:val="none"/>
        </w:rPr>
        <w:t>，</w:t>
      </w:r>
      <w:r>
        <w:rPr>
          <w:rFonts w:hint="eastAsia" w:ascii="宋体" w:hAnsi="宋体"/>
          <w:color w:val="auto"/>
          <w:highlight w:val="none"/>
        </w:rPr>
        <w:t>结合工程布置、施工组织设计及工程区地形、地貌等自然条件，确定工程</w:t>
      </w:r>
      <w:r>
        <w:rPr>
          <w:rFonts w:ascii="宋体" w:hAnsi="宋体"/>
          <w:color w:val="auto"/>
          <w:highlight w:val="none"/>
        </w:rPr>
        <w:t>水土流失防治责任范围</w:t>
      </w:r>
      <w:r>
        <w:rPr>
          <w:rFonts w:hint="eastAsia" w:ascii="宋体" w:hAnsi="宋体"/>
          <w:color w:val="auto"/>
          <w:highlight w:val="none"/>
        </w:rPr>
        <w:t>为工程占地面积，即1192.67hm</w:t>
      </w:r>
      <w:r>
        <w:rPr>
          <w:rFonts w:hint="eastAsia" w:ascii="宋体" w:hAnsi="宋体"/>
          <w:color w:val="auto"/>
          <w:highlight w:val="none"/>
          <w:vertAlign w:val="superscript"/>
        </w:rPr>
        <w:t>2</w:t>
      </w:r>
      <w:r>
        <w:rPr>
          <w:rFonts w:ascii="宋体" w:hAnsi="宋体"/>
          <w:color w:val="auto"/>
          <w:highlight w:val="none"/>
        </w:rPr>
        <w:t>。</w:t>
      </w:r>
    </w:p>
    <w:p>
      <w:pPr>
        <w:pStyle w:val="2"/>
        <w:overflowPunct w:val="0"/>
        <w:snapToGrid w:val="0"/>
        <w:spacing w:after="0" w:line="440" w:lineRule="exact"/>
        <w:ind w:firstLine="480" w:firstLineChars="200"/>
        <w:textAlignment w:val="center"/>
        <w:rPr>
          <w:rFonts w:ascii="宋体" w:hAnsi="宋体"/>
          <w:color w:val="auto"/>
          <w:highlight w:val="none"/>
        </w:rPr>
      </w:pPr>
      <w:r>
        <w:rPr>
          <w:rFonts w:hint="eastAsia" w:ascii="宋体" w:hAnsi="宋体"/>
          <w:color w:val="auto"/>
          <w:highlight w:val="none"/>
        </w:rPr>
        <w:t>本工程水土流失防治措施体系由2个一级防治区的13个亚区的不同防治措施构成，根据各水土流失防治区的特点和水土流失状况，确定各区的水土流失防治重点和措施配置。按照永久措施和临时措施相结合、工程措施和植物措施相结合的原则，拟定本工程的水土流失防治措施体系。</w:t>
      </w:r>
      <w:r>
        <w:rPr>
          <w:color w:val="auto"/>
          <w:highlight w:val="none"/>
        </w:rPr>
        <w:t>（工程以实际实施情况为准）</w:t>
      </w:r>
    </w:p>
    <w:p>
      <w:pPr>
        <w:pStyle w:val="2"/>
        <w:overflowPunct w:val="0"/>
        <w:spacing w:line="440" w:lineRule="exact"/>
        <w:ind w:firstLine="480"/>
        <w:textAlignment w:val="center"/>
        <w:rPr>
          <w:rFonts w:hint="eastAsia" w:ascii="宋体" w:hAnsi="宋体" w:eastAsia="宋体" w:cs="Times New Roman"/>
          <w:snapToGrid w:val="0"/>
          <w:color w:val="auto"/>
          <w:kern w:val="0"/>
          <w:szCs w:val="21"/>
          <w:highlight w:val="none"/>
        </w:rPr>
      </w:pPr>
      <w:bookmarkStart w:id="50" w:name="_Toc503971142"/>
      <w:r>
        <w:rPr>
          <w:rFonts w:ascii="宋体" w:hAnsi="宋体"/>
          <w:color w:val="auto"/>
          <w:highlight w:val="none"/>
        </w:rPr>
        <w:t>2.</w:t>
      </w:r>
      <w:r>
        <w:rPr>
          <w:rFonts w:hint="eastAsia" w:ascii="宋体" w:hAnsi="宋体"/>
          <w:color w:val="auto"/>
          <w:highlight w:val="none"/>
        </w:rPr>
        <w:t>3</w:t>
      </w:r>
      <w:r>
        <w:rPr>
          <w:rFonts w:ascii="宋体" w:hAnsi="宋体"/>
          <w:color w:val="auto"/>
          <w:highlight w:val="none"/>
        </w:rPr>
        <w:t xml:space="preserve"> </w:t>
      </w:r>
      <w:r>
        <w:rPr>
          <w:rFonts w:hint="eastAsia" w:ascii="宋体" w:hAnsi="宋体"/>
          <w:color w:val="auto"/>
          <w:szCs w:val="21"/>
          <w:highlight w:val="none"/>
        </w:rPr>
        <w:t>本次招标项目工程总投资额：1039023.23万元。</w:t>
      </w:r>
    </w:p>
    <w:p>
      <w:pPr>
        <w:pStyle w:val="2"/>
        <w:overflowPunct w:val="0"/>
        <w:spacing w:line="440" w:lineRule="exact"/>
        <w:ind w:firstLine="1024" w:firstLineChars="427"/>
        <w:textAlignment w:val="center"/>
        <w:rPr>
          <w:rFonts w:hint="eastAsia"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本次招标项目合同估算金额：</w:t>
      </w:r>
      <w:r>
        <w:rPr>
          <w:rFonts w:hint="eastAsia" w:ascii="宋体" w:hAnsi="宋体" w:eastAsia="宋体" w:cs="Times New Roman"/>
          <w:snapToGrid w:val="0"/>
          <w:color w:val="auto"/>
          <w:kern w:val="0"/>
          <w:szCs w:val="21"/>
          <w:highlight w:val="none"/>
          <w:lang w:val="en-US" w:eastAsia="zh-CN"/>
        </w:rPr>
        <w:t>400万元。</w:t>
      </w:r>
      <w:r>
        <w:rPr>
          <w:rFonts w:hint="eastAsia" w:ascii="宋体" w:hAnsi="宋体" w:eastAsia="宋体" w:cs="Times New Roman"/>
          <w:snapToGrid w:val="0"/>
          <w:color w:val="auto"/>
          <w:kern w:val="0"/>
          <w:szCs w:val="21"/>
          <w:highlight w:val="none"/>
          <w:u w:val="none"/>
        </w:rPr>
        <w:t xml:space="preserve">        </w:t>
      </w:r>
    </w:p>
    <w:p>
      <w:pPr>
        <w:pStyle w:val="2"/>
        <w:overflowPunct w:val="0"/>
        <w:snapToGrid w:val="0"/>
        <w:spacing w:after="0"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 xml:space="preserve">2.4 </w:t>
      </w:r>
      <w:r>
        <w:rPr>
          <w:rFonts w:ascii="宋体" w:hAnsi="宋体"/>
          <w:color w:val="auto"/>
          <w:highlight w:val="none"/>
        </w:rPr>
        <w:t>招标范围：</w:t>
      </w:r>
      <w:bookmarkEnd w:id="50"/>
    </w:p>
    <w:p>
      <w:pPr>
        <w:pStyle w:val="2"/>
        <w:overflowPunct w:val="0"/>
        <w:snapToGrid w:val="0"/>
        <w:spacing w:after="0" w:line="440" w:lineRule="exact"/>
        <w:ind w:firstLine="480" w:firstLineChars="200"/>
        <w:textAlignment w:val="center"/>
        <w:rPr>
          <w:rFonts w:hint="eastAsia" w:ascii="宋体" w:hAnsi="宋体"/>
          <w:color w:val="auto"/>
          <w:highlight w:val="none"/>
        </w:rPr>
      </w:pPr>
      <w:bookmarkStart w:id="51" w:name="OLE_LINK44"/>
      <w:bookmarkStart w:id="52" w:name="OLE_LINK45"/>
      <w:r>
        <w:rPr>
          <w:rFonts w:hint="eastAsia" w:ascii="宋体" w:hAnsi="宋体"/>
          <w:color w:val="auto"/>
          <w:highlight w:val="none"/>
        </w:rPr>
        <w:t>本次招标范围为重庆乌江白马航电枢纽工程水土保持监测（不含移民安置工程区水土保持监测</w:t>
      </w:r>
      <w:r>
        <w:rPr>
          <w:rFonts w:ascii="宋体" w:hAnsi="宋体"/>
          <w:color w:val="auto"/>
          <w:highlight w:val="none"/>
        </w:rPr>
        <w:t>）</w:t>
      </w:r>
      <w:r>
        <w:rPr>
          <w:rFonts w:hint="eastAsia" w:ascii="宋体" w:hAnsi="宋体"/>
          <w:color w:val="auto"/>
          <w:highlight w:val="none"/>
        </w:rPr>
        <w:t>，第五章发包人要求的范围。</w:t>
      </w:r>
    </w:p>
    <w:p>
      <w:pPr>
        <w:pStyle w:val="2"/>
        <w:overflowPunct w:val="0"/>
        <w:snapToGrid w:val="0"/>
        <w:spacing w:after="0"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主要内容包括：</w:t>
      </w:r>
    </w:p>
    <w:p>
      <w:pPr>
        <w:pStyle w:val="2"/>
        <w:overflowPunct w:val="0"/>
        <w:snapToGrid w:val="0"/>
        <w:spacing w:after="0"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（1）</w:t>
      </w:r>
      <w:bookmarkStart w:id="53" w:name="OLE_LINK31"/>
      <w:bookmarkStart w:id="54" w:name="OLE_LINK32"/>
      <w:bookmarkStart w:id="55" w:name="OLE_LINK30"/>
      <w:r>
        <w:rPr>
          <w:rFonts w:hint="eastAsia" w:ascii="宋体" w:hAnsi="宋体"/>
          <w:color w:val="auto"/>
          <w:highlight w:val="none"/>
        </w:rPr>
        <w:t xml:space="preserve"> 根据《水利部关于水利部办公厅关于印发生产建设项目水土保持设施自主验收规程（试行）的通知》(</w:t>
      </w:r>
      <w:r>
        <w:rPr>
          <w:rFonts w:ascii="宋体" w:hAnsi="宋体"/>
          <w:color w:val="auto"/>
          <w:highlight w:val="none"/>
        </w:rPr>
        <w:t>办水保[2018]133号</w:t>
      </w:r>
      <w:r>
        <w:rPr>
          <w:rFonts w:hint="eastAsia" w:ascii="宋体" w:hAnsi="宋体"/>
          <w:color w:val="auto"/>
          <w:highlight w:val="none"/>
        </w:rPr>
        <w:t>)、《水利部关于加强事中事后监管规范生产建设项目水土保持设施自主验收的通知》（水保【</w:t>
      </w:r>
      <w:r>
        <w:rPr>
          <w:rFonts w:ascii="宋体" w:hAnsi="宋体"/>
          <w:color w:val="auto"/>
          <w:highlight w:val="none"/>
        </w:rPr>
        <w:t>2018</w:t>
      </w:r>
      <w:r>
        <w:rPr>
          <w:rFonts w:hint="eastAsia" w:ascii="宋体" w:hAnsi="宋体"/>
          <w:color w:val="auto"/>
          <w:highlight w:val="none"/>
        </w:rPr>
        <w:t>】</w:t>
      </w:r>
      <w:r>
        <w:rPr>
          <w:rFonts w:ascii="宋体" w:hAnsi="宋体"/>
          <w:color w:val="auto"/>
          <w:highlight w:val="none"/>
        </w:rPr>
        <w:t>365</w:t>
      </w:r>
      <w:r>
        <w:rPr>
          <w:rFonts w:hint="eastAsia" w:ascii="宋体" w:hAnsi="宋体"/>
          <w:color w:val="auto"/>
          <w:highlight w:val="none"/>
        </w:rPr>
        <w:t>号）、《水利部关于进一步深化“放管服”改革全面加强水土保持监督的意见》（水保【</w:t>
      </w:r>
      <w:r>
        <w:rPr>
          <w:rFonts w:ascii="宋体" w:hAnsi="宋体"/>
          <w:color w:val="auto"/>
          <w:highlight w:val="none"/>
        </w:rPr>
        <w:t>2019</w:t>
      </w:r>
      <w:r>
        <w:rPr>
          <w:rFonts w:hint="eastAsia" w:ascii="宋体" w:hAnsi="宋体"/>
          <w:color w:val="auto"/>
          <w:highlight w:val="none"/>
        </w:rPr>
        <w:t>】</w:t>
      </w:r>
      <w:r>
        <w:rPr>
          <w:rFonts w:ascii="宋体" w:hAnsi="宋体"/>
          <w:color w:val="auto"/>
          <w:highlight w:val="none"/>
        </w:rPr>
        <w:t>160</w:t>
      </w:r>
      <w:r>
        <w:rPr>
          <w:rFonts w:hint="eastAsia" w:ascii="宋体" w:hAnsi="宋体"/>
          <w:color w:val="auto"/>
          <w:highlight w:val="none"/>
        </w:rPr>
        <w:t>号）、《水利部办公厅关于印发生产建设项目水土保持监督管理办法的通知》（办水保【</w:t>
      </w:r>
      <w:r>
        <w:rPr>
          <w:rFonts w:ascii="宋体" w:hAnsi="宋体"/>
          <w:color w:val="auto"/>
          <w:highlight w:val="none"/>
        </w:rPr>
        <w:t>2019</w:t>
      </w:r>
      <w:r>
        <w:rPr>
          <w:rFonts w:hint="eastAsia" w:ascii="宋体" w:hAnsi="宋体"/>
          <w:color w:val="auto"/>
          <w:highlight w:val="none"/>
        </w:rPr>
        <w:t>】</w:t>
      </w:r>
      <w:r>
        <w:rPr>
          <w:rFonts w:ascii="宋体" w:hAnsi="宋体"/>
          <w:color w:val="auto"/>
          <w:highlight w:val="none"/>
        </w:rPr>
        <w:t>172</w:t>
      </w:r>
      <w:r>
        <w:rPr>
          <w:rFonts w:hint="eastAsia" w:ascii="宋体" w:hAnsi="宋体"/>
          <w:color w:val="auto"/>
          <w:highlight w:val="none"/>
        </w:rPr>
        <w:t>号）及国家和重庆市相关要求，并按照《生产建设项目水土保持监测与评价标准》（GB/T 51240-2018）、</w:t>
      </w:r>
      <w:r>
        <w:rPr>
          <w:rFonts w:ascii="宋体" w:hAnsi="宋体"/>
          <w:color w:val="auto"/>
          <w:highlight w:val="none"/>
        </w:rPr>
        <w:t>《水土保持监测技术规程》（SL</w:t>
      </w:r>
      <w:r>
        <w:rPr>
          <w:rFonts w:hint="eastAsia" w:ascii="宋体" w:hAnsi="宋体"/>
          <w:color w:val="auto"/>
          <w:highlight w:val="none"/>
        </w:rPr>
        <w:t xml:space="preserve"> </w:t>
      </w:r>
      <w:r>
        <w:rPr>
          <w:rFonts w:ascii="宋体" w:hAnsi="宋体"/>
          <w:color w:val="auto"/>
          <w:highlight w:val="none"/>
        </w:rPr>
        <w:t>277-20</w:t>
      </w:r>
      <w:r>
        <w:rPr>
          <w:rFonts w:hint="eastAsia" w:ascii="宋体" w:hAnsi="宋体"/>
          <w:color w:val="auto"/>
          <w:highlight w:val="none"/>
        </w:rPr>
        <w:t>17</w:t>
      </w:r>
      <w:r>
        <w:rPr>
          <w:rFonts w:ascii="宋体" w:hAnsi="宋体"/>
          <w:color w:val="auto"/>
          <w:highlight w:val="none"/>
        </w:rPr>
        <w:t>）</w:t>
      </w:r>
      <w:r>
        <w:rPr>
          <w:rFonts w:hint="eastAsia" w:ascii="宋体" w:hAnsi="宋体"/>
          <w:color w:val="auto"/>
          <w:highlight w:val="none"/>
        </w:rPr>
        <w:t>等规程规范和技术标准的要求并结合项目实际需要开展水土保持监测工作</w:t>
      </w:r>
      <w:bookmarkEnd w:id="53"/>
      <w:bookmarkEnd w:id="54"/>
      <w:bookmarkEnd w:id="55"/>
      <w:r>
        <w:rPr>
          <w:rFonts w:hint="eastAsia" w:ascii="宋体" w:hAnsi="宋体"/>
          <w:color w:val="auto"/>
          <w:highlight w:val="none"/>
        </w:rPr>
        <w:t>（不含移民安置工程区水土保持监测</w:t>
      </w:r>
      <w:r>
        <w:rPr>
          <w:rFonts w:ascii="宋体" w:hAnsi="宋体"/>
          <w:color w:val="auto"/>
          <w:highlight w:val="none"/>
        </w:rPr>
        <w:t>）</w:t>
      </w:r>
      <w:r>
        <w:rPr>
          <w:rFonts w:hint="eastAsia" w:ascii="宋体" w:hAnsi="宋体"/>
          <w:color w:val="auto"/>
          <w:highlight w:val="none"/>
        </w:rPr>
        <w:t>。</w:t>
      </w:r>
    </w:p>
    <w:p>
      <w:pPr>
        <w:pStyle w:val="2"/>
        <w:overflowPunct w:val="0"/>
        <w:snapToGrid w:val="0"/>
        <w:spacing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（2） 负责完成项目《水土保持方案报告》、《初步设计报告》及其批复文件中要求开展的水土保持监测。</w:t>
      </w:r>
    </w:p>
    <w:p>
      <w:pPr>
        <w:pStyle w:val="2"/>
        <w:overflowPunct w:val="0"/>
        <w:snapToGrid w:val="0"/>
        <w:spacing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（3） 负责开展监测前现场调查、监测方案规划、土建设施修建、仪器埋设、现场监测等监测工作，按期整理并提供水土保持监测方案、水土保持监测季报、年报和监测总报告，以及相关的影像资料。</w:t>
      </w:r>
    </w:p>
    <w:p>
      <w:pPr>
        <w:pStyle w:val="2"/>
        <w:overflowPunct w:val="0"/>
        <w:snapToGrid w:val="0"/>
        <w:spacing w:line="440" w:lineRule="exact"/>
        <w:ind w:firstLine="480" w:firstLineChars="200"/>
        <w:textAlignment w:val="center"/>
        <w:rPr>
          <w:rFonts w:hint="eastAsia" w:ascii="宋体" w:hAnsi="宋体"/>
          <w:color w:val="auto"/>
          <w:highlight w:val="none"/>
        </w:rPr>
      </w:pPr>
      <w:r>
        <w:rPr>
          <w:rFonts w:hint="eastAsia" w:ascii="宋体" w:hAnsi="宋体"/>
          <w:color w:val="auto"/>
          <w:highlight w:val="none"/>
        </w:rPr>
        <w:t>（4） 与招标人确定的水土保持设施验收报告编制单位进行良好交流协作等，参加各阶段验收工作，最终通过项目</w:t>
      </w:r>
      <w:bookmarkStart w:id="56" w:name="OLE_LINK27"/>
      <w:bookmarkStart w:id="57" w:name="OLE_LINK28"/>
      <w:bookmarkStart w:id="58" w:name="OLE_LINK29"/>
      <w:r>
        <w:rPr>
          <w:rFonts w:hint="eastAsia" w:ascii="宋体" w:hAnsi="宋体"/>
          <w:color w:val="auto"/>
          <w:highlight w:val="none"/>
        </w:rPr>
        <w:t>水土保持设施验收</w:t>
      </w:r>
      <w:bookmarkEnd w:id="56"/>
      <w:bookmarkEnd w:id="57"/>
      <w:bookmarkEnd w:id="58"/>
      <w:r>
        <w:rPr>
          <w:rFonts w:hint="eastAsia" w:ascii="宋体" w:hAnsi="宋体"/>
          <w:color w:val="auto"/>
          <w:highlight w:val="none"/>
        </w:rPr>
        <w:t>。</w:t>
      </w:r>
    </w:p>
    <w:bookmarkEnd w:id="51"/>
    <w:bookmarkEnd w:id="52"/>
    <w:p>
      <w:pPr>
        <w:pStyle w:val="2"/>
        <w:overflowPunct w:val="0"/>
        <w:ind w:firstLine="480" w:firstLineChars="200"/>
        <w:textAlignment w:val="center"/>
        <w:rPr>
          <w:rFonts w:hint="eastAsia" w:ascii="宋体" w:hAnsi="宋体"/>
          <w:color w:val="auto"/>
          <w:highlight w:val="none"/>
        </w:rPr>
      </w:pPr>
      <w:r>
        <w:rPr>
          <w:rFonts w:hint="eastAsia" w:ascii="宋体" w:hAnsi="宋体"/>
          <w:color w:val="auto"/>
          <w:highlight w:val="none"/>
        </w:rPr>
        <w:t>2.5服务期限：</w:t>
      </w:r>
    </w:p>
    <w:p>
      <w:pPr>
        <w:pStyle w:val="2"/>
        <w:overflowPunct w:val="0"/>
        <w:ind w:firstLine="480" w:firstLineChars="200"/>
        <w:textAlignment w:val="center"/>
        <w:rPr>
          <w:rFonts w:hint="eastAsia" w:ascii="宋体" w:hAnsi="宋体"/>
          <w:color w:val="auto"/>
          <w:highlight w:val="none"/>
        </w:rPr>
      </w:pPr>
      <w:r>
        <w:rPr>
          <w:rFonts w:hint="eastAsia" w:ascii="宋体" w:hAnsi="宋体"/>
          <w:color w:val="auto"/>
          <w:highlight w:val="none"/>
        </w:rPr>
        <w:t>监测服务期包括施工期全过程及1年运行期（1年运行期指枢纽工程交（完）工验收后的1年时间）。工程计划开工时间2021年3月，计划完工时间2031年6月。</w:t>
      </w:r>
    </w:p>
    <w:p>
      <w:pPr>
        <w:snapToGrid w:val="0"/>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2.6质量要求：</w:t>
      </w:r>
    </w:p>
    <w:p>
      <w:pPr>
        <w:snapToGrid w:val="0"/>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满足《水利部关于水利部办公厅关于印发生产建设项目水土保持设施自主验收规程（试行）的通知》(</w:t>
      </w:r>
      <w:r>
        <w:rPr>
          <w:rFonts w:ascii="宋体" w:hAnsi="宋体"/>
          <w:color w:val="auto"/>
          <w:sz w:val="24"/>
          <w:highlight w:val="none"/>
        </w:rPr>
        <w:t>办水保[2018]133号</w:t>
      </w:r>
      <w:r>
        <w:rPr>
          <w:rFonts w:hint="eastAsia" w:ascii="宋体" w:hAnsi="宋体"/>
          <w:color w:val="auto"/>
          <w:sz w:val="24"/>
          <w:highlight w:val="none"/>
        </w:rPr>
        <w:t>)、《水利部关于加强事中事后监管规范生产建设项目水土保持设施自主验收的通知》（水保【</w:t>
      </w:r>
      <w:r>
        <w:rPr>
          <w:rFonts w:ascii="宋体" w:hAnsi="宋体"/>
          <w:color w:val="auto"/>
          <w:sz w:val="24"/>
          <w:highlight w:val="none"/>
        </w:rPr>
        <w:t>2018</w:t>
      </w:r>
      <w:r>
        <w:rPr>
          <w:rFonts w:hint="eastAsia" w:ascii="宋体" w:hAnsi="宋体"/>
          <w:color w:val="auto"/>
          <w:sz w:val="24"/>
          <w:highlight w:val="none"/>
        </w:rPr>
        <w:t>】</w:t>
      </w:r>
      <w:r>
        <w:rPr>
          <w:rFonts w:ascii="宋体" w:hAnsi="宋体"/>
          <w:color w:val="auto"/>
          <w:sz w:val="24"/>
          <w:highlight w:val="none"/>
        </w:rPr>
        <w:t>365</w:t>
      </w:r>
      <w:r>
        <w:rPr>
          <w:rFonts w:hint="eastAsia" w:ascii="宋体" w:hAnsi="宋体"/>
          <w:color w:val="auto"/>
          <w:sz w:val="24"/>
          <w:highlight w:val="none"/>
        </w:rPr>
        <w:t>号）、《水利部关于进一步深化“放管服”改革全面加强水土保持监督的意见》（水保【</w:t>
      </w:r>
      <w:r>
        <w:rPr>
          <w:rFonts w:ascii="宋体" w:hAnsi="宋体"/>
          <w:color w:val="auto"/>
          <w:sz w:val="24"/>
          <w:highlight w:val="none"/>
        </w:rPr>
        <w:t>2019</w:t>
      </w:r>
      <w:r>
        <w:rPr>
          <w:rFonts w:hint="eastAsia" w:ascii="宋体" w:hAnsi="宋体"/>
          <w:color w:val="auto"/>
          <w:sz w:val="24"/>
          <w:highlight w:val="none"/>
        </w:rPr>
        <w:t>】</w:t>
      </w:r>
      <w:r>
        <w:rPr>
          <w:rFonts w:ascii="宋体" w:hAnsi="宋体"/>
          <w:color w:val="auto"/>
          <w:sz w:val="24"/>
          <w:highlight w:val="none"/>
        </w:rPr>
        <w:t>160</w:t>
      </w:r>
      <w:r>
        <w:rPr>
          <w:rFonts w:hint="eastAsia" w:ascii="宋体" w:hAnsi="宋体"/>
          <w:color w:val="auto"/>
          <w:sz w:val="24"/>
          <w:highlight w:val="none"/>
        </w:rPr>
        <w:t>号）、《水利部办公厅关于印发生产建设项目水土保持监督管理办法的通知》（办水保【</w:t>
      </w:r>
      <w:r>
        <w:rPr>
          <w:rFonts w:ascii="宋体" w:hAnsi="宋体"/>
          <w:color w:val="auto"/>
          <w:sz w:val="24"/>
          <w:highlight w:val="none"/>
        </w:rPr>
        <w:t>2019</w:t>
      </w:r>
      <w:r>
        <w:rPr>
          <w:rFonts w:hint="eastAsia" w:ascii="宋体" w:hAnsi="宋体"/>
          <w:color w:val="auto"/>
          <w:sz w:val="24"/>
          <w:highlight w:val="none"/>
        </w:rPr>
        <w:t>】</w:t>
      </w:r>
      <w:r>
        <w:rPr>
          <w:rFonts w:ascii="宋体" w:hAnsi="宋体"/>
          <w:color w:val="auto"/>
          <w:sz w:val="24"/>
          <w:highlight w:val="none"/>
        </w:rPr>
        <w:t>172</w:t>
      </w:r>
      <w:r>
        <w:rPr>
          <w:rFonts w:hint="eastAsia" w:ascii="宋体" w:hAnsi="宋体"/>
          <w:color w:val="auto"/>
          <w:sz w:val="24"/>
          <w:highlight w:val="none"/>
        </w:rPr>
        <w:t>号）及国家和重庆市相关要求，并符合《生产建设项目水土保持监测与评价标准》（GB/T 51240-2018）、</w:t>
      </w:r>
      <w:r>
        <w:rPr>
          <w:rFonts w:ascii="宋体" w:hAnsi="宋体"/>
          <w:color w:val="auto"/>
          <w:sz w:val="24"/>
          <w:highlight w:val="none"/>
        </w:rPr>
        <w:t>《水土保持监测技术规程》（SL</w:t>
      </w:r>
      <w:r>
        <w:rPr>
          <w:rFonts w:hint="eastAsia" w:ascii="宋体" w:hAnsi="宋体"/>
          <w:color w:val="auto"/>
          <w:sz w:val="24"/>
          <w:highlight w:val="none"/>
        </w:rPr>
        <w:t xml:space="preserve"> </w:t>
      </w:r>
      <w:r>
        <w:rPr>
          <w:rFonts w:ascii="宋体" w:hAnsi="宋体"/>
          <w:color w:val="auto"/>
          <w:sz w:val="24"/>
          <w:highlight w:val="none"/>
        </w:rPr>
        <w:t>277-20</w:t>
      </w:r>
      <w:r>
        <w:rPr>
          <w:rFonts w:hint="eastAsia" w:ascii="宋体" w:hAnsi="宋体"/>
          <w:color w:val="auto"/>
          <w:sz w:val="24"/>
          <w:highlight w:val="none"/>
        </w:rPr>
        <w:t>17</w:t>
      </w:r>
      <w:r>
        <w:rPr>
          <w:rFonts w:ascii="宋体" w:hAnsi="宋体"/>
          <w:color w:val="auto"/>
          <w:sz w:val="24"/>
          <w:highlight w:val="none"/>
        </w:rPr>
        <w:t>）</w:t>
      </w:r>
      <w:r>
        <w:rPr>
          <w:rFonts w:hint="eastAsia" w:ascii="宋体" w:hAnsi="宋体"/>
          <w:color w:val="auto"/>
          <w:sz w:val="24"/>
          <w:highlight w:val="none"/>
        </w:rPr>
        <w:t>的要求。</w:t>
      </w:r>
    </w:p>
    <w:bookmarkEnd w:id="48"/>
    <w:bookmarkEnd w:id="49"/>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59" w:name="_Toc5259049"/>
      <w:bookmarkStart w:id="60" w:name="_Toc1166"/>
      <w:bookmarkStart w:id="61" w:name="_Toc12662"/>
      <w:bookmarkStart w:id="62" w:name="_Toc5153"/>
      <w:bookmarkStart w:id="63" w:name="_Toc5109242"/>
      <w:bookmarkStart w:id="64" w:name="_Toc14739"/>
      <w:bookmarkStart w:id="65" w:name="_Toc2948"/>
      <w:bookmarkStart w:id="66" w:name="_Toc17291"/>
      <w:bookmarkStart w:id="67" w:name="_Toc12128"/>
      <w:bookmarkStart w:id="68" w:name="_Toc500753507"/>
      <w:bookmarkStart w:id="69" w:name="_Toc11280"/>
      <w:bookmarkStart w:id="70" w:name="_Toc22264"/>
      <w:bookmarkStart w:id="71" w:name="_Toc505177986"/>
      <w:bookmarkStart w:id="72" w:name="_Toc15508"/>
      <w:bookmarkStart w:id="73" w:name="_Toc1656"/>
      <w:bookmarkStart w:id="74" w:name="_Toc19350"/>
      <w:bookmarkStart w:id="75" w:name="_Toc24326"/>
      <w:bookmarkStart w:id="76" w:name="_Toc16562"/>
      <w:bookmarkStart w:id="77" w:name="_Toc29529"/>
      <w:bookmarkStart w:id="78" w:name="_Toc23684"/>
      <w:bookmarkStart w:id="79" w:name="_Toc656"/>
      <w:bookmarkStart w:id="80" w:name="_Toc12549898"/>
      <w:bookmarkStart w:id="81" w:name="_Toc18556"/>
      <w:bookmarkStart w:id="82" w:name="_Toc9806"/>
      <w:r>
        <w:rPr>
          <w:rFonts w:ascii="宋体" w:hAnsi="宋体" w:eastAsia="宋体"/>
          <w:b/>
          <w:color w:val="auto"/>
          <w:highlight w:val="none"/>
        </w:rPr>
        <w:t>3.投标人资格要求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3"/>
        <w:ind w:firstLine="403" w:firstLineChars="168"/>
        <w:rPr>
          <w:rFonts w:ascii="宋体" w:hAnsi="宋体"/>
          <w:snapToGrid w:val="0"/>
          <w:color w:val="auto"/>
          <w:kern w:val="0"/>
          <w:highlight w:val="none"/>
        </w:rPr>
      </w:pPr>
      <w:bookmarkStart w:id="83" w:name="_Toc503971146"/>
      <w:r>
        <w:rPr>
          <w:rFonts w:ascii="宋体" w:hAnsi="宋体"/>
          <w:snapToGrid w:val="0"/>
          <w:color w:val="auto"/>
          <w:kern w:val="0"/>
          <w:highlight w:val="none"/>
        </w:rPr>
        <w:t>3.1</w:t>
      </w:r>
      <w:bookmarkEnd w:id="83"/>
      <w:bookmarkStart w:id="84" w:name="_Toc503971147"/>
      <w:r>
        <w:rPr>
          <w:rFonts w:hint="eastAsia" w:ascii="宋体" w:hAnsi="宋体"/>
          <w:color w:val="auto"/>
          <w:szCs w:val="21"/>
          <w:highlight w:val="none"/>
        </w:rPr>
        <w:t>本次招标实行资格后审，投标人应满足下列资格条件</w:t>
      </w:r>
      <w:r>
        <w:rPr>
          <w:rFonts w:hint="eastAsia" w:ascii="宋体" w:hAnsi="宋体"/>
          <w:snapToGrid w:val="0"/>
          <w:color w:val="auto"/>
          <w:kern w:val="0"/>
          <w:highlight w:val="none"/>
        </w:rPr>
        <w:t>：</w:t>
      </w:r>
    </w:p>
    <w:bookmarkEnd w:id="84"/>
    <w:p>
      <w:pPr>
        <w:pStyle w:val="3"/>
        <w:ind w:firstLine="423" w:firstLineChars="168"/>
        <w:rPr>
          <w:rFonts w:hint="eastAsia"/>
          <w:color w:val="auto"/>
          <w:spacing w:val="6"/>
          <w:highlight w:val="none"/>
        </w:rPr>
      </w:pPr>
      <w:bookmarkStart w:id="85" w:name="_Toc503971149"/>
      <w:r>
        <w:rPr>
          <w:rFonts w:hint="eastAsia"/>
          <w:color w:val="auto"/>
          <w:spacing w:val="6"/>
          <w:highlight w:val="none"/>
        </w:rPr>
        <w:t>（1）具有独立法人资格；</w:t>
      </w:r>
    </w:p>
    <w:p>
      <w:pPr>
        <w:pStyle w:val="3"/>
        <w:ind w:firstLine="423" w:firstLineChars="168"/>
        <w:rPr>
          <w:rFonts w:hint="eastAsia"/>
          <w:color w:val="auto"/>
          <w:spacing w:val="6"/>
          <w:highlight w:val="none"/>
        </w:rPr>
      </w:pPr>
      <w:r>
        <w:rPr>
          <w:rFonts w:hint="eastAsia"/>
          <w:color w:val="auto"/>
          <w:spacing w:val="6"/>
          <w:highlight w:val="none"/>
        </w:rPr>
        <w:t>（2）</w:t>
      </w:r>
      <w:r>
        <w:rPr>
          <w:rFonts w:hint="eastAsia" w:ascii="宋体" w:hAnsi="宋体"/>
          <w:color w:val="auto"/>
          <w:szCs w:val="21"/>
          <w:highlight w:val="none"/>
        </w:rPr>
        <w:t>2011年1月1日至投标截止之日（以水保监测工作完成时间为准）完成过</w:t>
      </w:r>
      <w:r>
        <w:rPr>
          <w:rFonts w:hint="eastAsia"/>
          <w:color w:val="auto"/>
          <w:spacing w:val="6"/>
          <w:highlight w:val="none"/>
        </w:rPr>
        <w:t>1项</w:t>
      </w:r>
      <w:r>
        <w:rPr>
          <w:rFonts w:hint="eastAsia" w:ascii="宋体" w:hAnsi="宋体"/>
          <w:color w:val="auto"/>
          <w:szCs w:val="21"/>
          <w:highlight w:val="none"/>
        </w:rPr>
        <w:t>单项合同金额在</w:t>
      </w:r>
      <w:r>
        <w:rPr>
          <w:rFonts w:hint="eastAsia"/>
          <w:color w:val="auto"/>
          <w:spacing w:val="6"/>
          <w:highlight w:val="none"/>
        </w:rPr>
        <w:t>50万元及以上的</w:t>
      </w:r>
      <w:r>
        <w:rPr>
          <w:rFonts w:hint="eastAsia" w:ascii="宋体" w:hAnsi="宋体"/>
          <w:color w:val="auto"/>
          <w:szCs w:val="21"/>
          <w:highlight w:val="none"/>
        </w:rPr>
        <w:t>航电（或电航或航运或水利或水电）工程</w:t>
      </w:r>
      <w:r>
        <w:rPr>
          <w:rFonts w:hint="eastAsia"/>
          <w:color w:val="auto"/>
          <w:spacing w:val="6"/>
          <w:highlight w:val="none"/>
        </w:rPr>
        <w:t>水土保持监测业绩。</w:t>
      </w:r>
    </w:p>
    <w:p>
      <w:pPr>
        <w:pStyle w:val="3"/>
        <w:ind w:firstLine="403" w:firstLineChars="168"/>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本次招标</w:t>
      </w:r>
      <w:r>
        <w:rPr>
          <w:rFonts w:hint="eastAsia" w:ascii="宋体" w:hAnsi="宋体"/>
          <w:color w:val="auto"/>
          <w:szCs w:val="21"/>
          <w:highlight w:val="none"/>
          <w:u w:val="single"/>
        </w:rPr>
        <w:t>不接受</w:t>
      </w:r>
      <w:r>
        <w:rPr>
          <w:rFonts w:ascii="宋体" w:hAnsi="宋体"/>
          <w:color w:val="auto"/>
          <w:szCs w:val="21"/>
          <w:highlight w:val="none"/>
        </w:rPr>
        <w:t>联合体投标。</w:t>
      </w:r>
      <w:bookmarkEnd w:id="85"/>
    </w:p>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86" w:name="_Toc5109243"/>
      <w:bookmarkStart w:id="87" w:name="_Toc505177987"/>
      <w:bookmarkStart w:id="88" w:name="_Toc5259050"/>
      <w:bookmarkStart w:id="89" w:name="_Toc22743"/>
      <w:bookmarkStart w:id="90" w:name="_Toc12932"/>
      <w:bookmarkStart w:id="91" w:name="_Toc8442"/>
      <w:bookmarkStart w:id="92" w:name="_Toc24584"/>
      <w:bookmarkStart w:id="93" w:name="_Toc26780"/>
      <w:bookmarkStart w:id="94" w:name="_Toc16946"/>
      <w:bookmarkStart w:id="95" w:name="_Toc2107"/>
      <w:bookmarkStart w:id="96" w:name="_Toc4389"/>
      <w:bookmarkStart w:id="97" w:name="_Toc13049"/>
      <w:bookmarkStart w:id="98" w:name="_Toc500753508"/>
      <w:bookmarkStart w:id="99" w:name="_Toc1266"/>
      <w:bookmarkStart w:id="100" w:name="_Toc12944"/>
      <w:bookmarkStart w:id="101" w:name="_Toc4436"/>
      <w:bookmarkStart w:id="102" w:name="_Toc8296"/>
      <w:bookmarkStart w:id="103" w:name="_Toc12549899"/>
      <w:bookmarkStart w:id="104" w:name="_Toc22390"/>
      <w:bookmarkStart w:id="105" w:name="_Toc2606"/>
      <w:bookmarkStart w:id="106" w:name="_Toc7312"/>
      <w:bookmarkStart w:id="107" w:name="_Toc30058"/>
      <w:bookmarkStart w:id="108" w:name="_Toc3262"/>
      <w:bookmarkStart w:id="109" w:name="_Toc19528"/>
      <w:r>
        <w:rPr>
          <w:rFonts w:ascii="宋体" w:hAnsi="宋体" w:eastAsia="宋体"/>
          <w:b/>
          <w:color w:val="auto"/>
          <w:highlight w:val="none"/>
        </w:rPr>
        <w:t>4</w:t>
      </w:r>
      <w:bookmarkEnd w:id="86"/>
      <w:bookmarkEnd w:id="87"/>
      <w:bookmarkEnd w:id="88"/>
      <w:bookmarkStart w:id="110" w:name="_Toc505177988"/>
      <w:bookmarkStart w:id="111" w:name="_Toc5109244"/>
      <w:bookmarkStart w:id="112" w:name="_Toc5259051"/>
      <w:r>
        <w:rPr>
          <w:rFonts w:hint="eastAsia" w:ascii="宋体" w:hAnsi="宋体" w:eastAsia="宋体"/>
          <w:b/>
          <w:color w:val="auto"/>
          <w:highlight w:val="none"/>
        </w:rPr>
        <w:t>.</w:t>
      </w:r>
      <w:r>
        <w:rPr>
          <w:rFonts w:ascii="宋体" w:hAnsi="宋体" w:eastAsia="宋体"/>
          <w:b/>
          <w:color w:val="auto"/>
          <w:highlight w:val="none"/>
        </w:rPr>
        <w:t>招标文件的获取</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3"/>
        <w:ind w:firstLine="403" w:firstLineChars="168"/>
        <w:rPr>
          <w:rFonts w:hint="eastAsia" w:ascii="宋体" w:hAnsi="宋体"/>
          <w:color w:val="auto"/>
          <w:szCs w:val="21"/>
          <w:highlight w:val="none"/>
        </w:rPr>
      </w:pPr>
      <w:bookmarkStart w:id="113" w:name="_Toc503971153"/>
      <w:r>
        <w:rPr>
          <w:rFonts w:hint="eastAsia" w:ascii="宋体" w:hAnsi="宋体"/>
          <w:color w:val="auto"/>
          <w:szCs w:val="21"/>
          <w:highlight w:val="none"/>
        </w:rPr>
        <w:t xml:space="preserve">4.1本招标项目采用全流程电子招投标，投标人在投标前可在重庆市公共资源交易网（www.cqggzy.com）下载招标文件等资料。参与投标的投标人需在重庆市公共资源交易网（www.cqggzy.com）完成市场主体信息登记以及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 </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 xml:space="preserve">4.2投标人在重庆市公共资源交易网（www.cqggzy.com）工程招投标招标公告提问区提出疑问，提问时间应从本公告发布至2021-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 </w:t>
      </w:r>
      <w:r>
        <w:rPr>
          <w:rFonts w:hint="eastAsia" w:ascii="宋体" w:hAnsi="宋体"/>
          <w:color w:val="auto"/>
          <w:szCs w:val="21"/>
          <w:highlight w:val="none"/>
          <w:lang w:val="en-US" w:eastAsia="zh-CN"/>
        </w:rPr>
        <w:t xml:space="preserve">12 </w:t>
      </w:r>
      <w:r>
        <w:rPr>
          <w:rFonts w:hint="eastAsia" w:ascii="宋体" w:hAnsi="宋体"/>
          <w:color w:val="auto"/>
          <w:szCs w:val="21"/>
          <w:highlight w:val="none"/>
        </w:rPr>
        <w:t xml:space="preserve"> 09:00（北京时间）前，过期不再受理疑问。</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4.3招标人于2021-</w:t>
      </w:r>
      <w:r>
        <w:rPr>
          <w:rFonts w:hint="eastAsia" w:ascii="宋体" w:hAnsi="宋体"/>
          <w:color w:val="auto"/>
          <w:szCs w:val="21"/>
          <w:highlight w:val="none"/>
          <w:lang w:val="en-US" w:eastAsia="zh-CN"/>
        </w:rPr>
        <w:t xml:space="preserve"> 5</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13 </w:t>
      </w:r>
      <w:r>
        <w:rPr>
          <w:rFonts w:hint="eastAsia" w:ascii="宋体" w:hAnsi="宋体"/>
          <w:color w:val="auto"/>
          <w:szCs w:val="21"/>
          <w:highlight w:val="none"/>
        </w:rPr>
        <w:t xml:space="preserve"> 18:00（北京时间）在重庆市公共资源交易网（www.cqggzy.com）或者/发布答疑。</w:t>
      </w:r>
      <w:bookmarkEnd w:id="113"/>
      <w:bookmarkStart w:id="114" w:name="_Toc18200"/>
      <w:bookmarkStart w:id="115" w:name="_Toc846"/>
      <w:bookmarkStart w:id="116" w:name="_Toc5259052"/>
      <w:bookmarkStart w:id="117" w:name="_Toc1693"/>
      <w:bookmarkStart w:id="118" w:name="_Toc23831"/>
      <w:bookmarkStart w:id="119" w:name="_Toc17106"/>
      <w:bookmarkStart w:id="120" w:name="_Toc10782"/>
      <w:bookmarkStart w:id="121" w:name="_Toc7426"/>
      <w:bookmarkStart w:id="122" w:name="_Toc25248"/>
      <w:bookmarkStart w:id="123" w:name="_Toc5109245"/>
      <w:bookmarkStart w:id="124" w:name="_Toc7595"/>
      <w:bookmarkStart w:id="125" w:name="_Toc12549900"/>
      <w:bookmarkStart w:id="126" w:name="_Toc17477"/>
      <w:bookmarkStart w:id="127" w:name="_Toc13665"/>
      <w:bookmarkStart w:id="128" w:name="_Toc25144"/>
      <w:bookmarkStart w:id="129" w:name="_Toc11787"/>
      <w:bookmarkStart w:id="130" w:name="_Toc22704"/>
      <w:bookmarkStart w:id="131" w:name="_Toc31603"/>
      <w:bookmarkStart w:id="132" w:name="_Toc500753509"/>
      <w:bookmarkStart w:id="133" w:name="_Toc28734"/>
      <w:bookmarkStart w:id="134" w:name="_Toc505177989"/>
    </w:p>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135" w:name="_Toc10417"/>
      <w:bookmarkStart w:id="136" w:name="_Toc31183"/>
      <w:bookmarkStart w:id="137" w:name="_Toc10817"/>
      <w:r>
        <w:rPr>
          <w:rFonts w:hint="eastAsia" w:ascii="宋体" w:hAnsi="宋体" w:eastAsia="宋体"/>
          <w:b/>
          <w:color w:val="auto"/>
          <w:highlight w:val="none"/>
        </w:rPr>
        <w:t>5</w:t>
      </w:r>
      <w:r>
        <w:rPr>
          <w:rFonts w:ascii="宋体" w:hAnsi="宋体" w:eastAsia="宋体"/>
          <w:b/>
          <w:color w:val="auto"/>
          <w:highlight w:val="none"/>
        </w:rPr>
        <w:t>. 投标文件的递交</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3"/>
        <w:ind w:firstLine="403" w:firstLineChars="168"/>
        <w:rPr>
          <w:rFonts w:hint="eastAsia" w:ascii="宋体" w:hAnsi="宋体"/>
          <w:color w:val="auto"/>
          <w:szCs w:val="21"/>
          <w:highlight w:val="none"/>
        </w:rPr>
      </w:pPr>
      <w:bookmarkStart w:id="138" w:name="_Toc503971158"/>
      <w:r>
        <w:rPr>
          <w:rFonts w:hint="eastAsia" w:ascii="宋体" w:hAnsi="宋体"/>
          <w:color w:val="auto"/>
          <w:szCs w:val="21"/>
          <w:highlight w:val="none"/>
        </w:rPr>
        <w:t xml:space="preserve">5.1  投标文件递交的截止时间（投标截止时间，下同）为  </w:t>
      </w:r>
      <w:r>
        <w:rPr>
          <w:rFonts w:hint="eastAsia" w:ascii="宋体" w:hAnsi="宋体"/>
          <w:color w:val="auto"/>
          <w:szCs w:val="21"/>
          <w:highlight w:val="none"/>
          <w:lang w:val="en-US" w:eastAsia="zh-CN"/>
        </w:rPr>
        <w:t>2021</w:t>
      </w:r>
      <w:r>
        <w:rPr>
          <w:rFonts w:hint="eastAsia" w:ascii="宋体" w:hAnsi="宋体"/>
          <w:color w:val="auto"/>
          <w:szCs w:val="21"/>
          <w:highlight w:val="none"/>
        </w:rPr>
        <w:t xml:space="preserve">  年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31</w:t>
      </w:r>
      <w:r>
        <w:rPr>
          <w:rFonts w:hint="eastAsia" w:ascii="宋体" w:hAnsi="宋体"/>
          <w:color w:val="auto"/>
          <w:szCs w:val="21"/>
          <w:highlight w:val="none"/>
        </w:rPr>
        <w:t xml:space="preserve">  日    </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时  </w:t>
      </w:r>
      <w:r>
        <w:rPr>
          <w:rFonts w:hint="eastAsia" w:ascii="宋体" w:hAnsi="宋体"/>
          <w:color w:val="auto"/>
          <w:szCs w:val="21"/>
          <w:highlight w:val="none"/>
          <w:lang w:val="en-US" w:eastAsia="zh-CN"/>
        </w:rPr>
        <w:t>00</w:t>
      </w:r>
      <w:r>
        <w:rPr>
          <w:rFonts w:hint="eastAsia" w:ascii="宋体" w:hAnsi="宋体"/>
          <w:color w:val="auto"/>
          <w:szCs w:val="21"/>
          <w:highlight w:val="none"/>
        </w:rPr>
        <w:t xml:space="preserve">  分，投标人应当在投标截止时间前，通过互联网使用CA数字证书登录重庆市电子招投标系统，将加密的电子投标文件上传。</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 xml:space="preserve">5.2  未按要求加密的电子投标文件，将无法上传至重庆市电子招投标系统，逾期未完成上传的投标文件，视为撤回投标文件。 </w:t>
      </w:r>
      <w:bookmarkEnd w:id="138"/>
      <w:bookmarkStart w:id="139" w:name="_Toc12549901"/>
      <w:bookmarkStart w:id="140" w:name="_Toc505177990"/>
      <w:bookmarkStart w:id="141" w:name="_Toc5259053"/>
      <w:bookmarkStart w:id="142" w:name="_Toc5109246"/>
      <w:bookmarkStart w:id="143" w:name="_Toc500753510"/>
    </w:p>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144" w:name="_Toc6886"/>
      <w:bookmarkStart w:id="145" w:name="_Toc14000"/>
      <w:bookmarkStart w:id="146" w:name="_Toc23339"/>
      <w:bookmarkStart w:id="147" w:name="_Toc27387"/>
      <w:bookmarkStart w:id="148" w:name="_Toc18797"/>
      <w:bookmarkStart w:id="149" w:name="_Toc13255"/>
      <w:bookmarkStart w:id="150" w:name="_Toc25899"/>
      <w:bookmarkStart w:id="151" w:name="_Toc26971"/>
      <w:bookmarkStart w:id="152" w:name="_Toc1423"/>
      <w:bookmarkStart w:id="153" w:name="_Toc17415"/>
      <w:bookmarkStart w:id="154" w:name="_Toc16766"/>
      <w:bookmarkStart w:id="155" w:name="_Toc28426"/>
      <w:bookmarkStart w:id="156" w:name="_Toc23328"/>
      <w:bookmarkStart w:id="157" w:name="_Toc1633"/>
      <w:bookmarkStart w:id="158" w:name="_Toc13808"/>
      <w:bookmarkStart w:id="159" w:name="_Toc29035"/>
      <w:bookmarkStart w:id="160" w:name="_Toc4521"/>
      <w:bookmarkStart w:id="161" w:name="_Toc2198"/>
      <w:bookmarkStart w:id="162" w:name="_Toc13430"/>
      <w:r>
        <w:rPr>
          <w:rFonts w:hint="eastAsia" w:ascii="宋体" w:hAnsi="宋体" w:eastAsia="宋体"/>
          <w:b/>
          <w:color w:val="auto"/>
          <w:highlight w:val="none"/>
        </w:rPr>
        <w:t>6</w:t>
      </w:r>
      <w:r>
        <w:rPr>
          <w:rFonts w:ascii="宋体" w:hAnsi="宋体" w:eastAsia="宋体"/>
          <w:b/>
          <w:color w:val="auto"/>
          <w:highlight w:val="none"/>
        </w:rPr>
        <w:t>.发布公告的媒介</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3"/>
        <w:ind w:firstLine="403" w:firstLineChars="168"/>
        <w:rPr>
          <w:rFonts w:hint="eastAsia" w:ascii="宋体" w:hAnsi="宋体"/>
          <w:color w:val="auto"/>
          <w:szCs w:val="21"/>
          <w:highlight w:val="none"/>
        </w:rPr>
      </w:pPr>
      <w:bookmarkStart w:id="163" w:name="_Toc444256255"/>
      <w:bookmarkStart w:id="164" w:name="_Toc503971162"/>
      <w:bookmarkStart w:id="165" w:name="_Toc447826966"/>
      <w:bookmarkStart w:id="166" w:name="_Toc444770929"/>
      <w:r>
        <w:rPr>
          <w:rFonts w:ascii="宋体" w:hAnsi="宋体"/>
          <w:color w:val="auto"/>
          <w:szCs w:val="21"/>
          <w:highlight w:val="none"/>
        </w:rPr>
        <w:t>本次招标公告同时在</w:t>
      </w:r>
      <w:r>
        <w:rPr>
          <w:rFonts w:hint="eastAsia" w:ascii="宋体" w:hAnsi="宋体"/>
          <w:color w:val="auto"/>
          <w:szCs w:val="21"/>
          <w:highlight w:val="none"/>
        </w:rPr>
        <w:t>中国采购与招标网（www.chinabidding.com.cn），重庆市公共资源交易监督网（ggzyjyjgj.cq.gov.cn）及重庆市公共资源交易网（www.cqggzy.com）、重庆高速公路集团有限公司招投标管理平台（</w:t>
      </w:r>
      <w:r>
        <w:rPr>
          <w:color w:val="auto"/>
          <w:szCs w:val="21"/>
          <w:highlight w:val="none"/>
        </w:rPr>
        <w:fldChar w:fldCharType="begin"/>
      </w:r>
      <w:r>
        <w:rPr>
          <w:color w:val="auto"/>
          <w:szCs w:val="21"/>
          <w:highlight w:val="none"/>
        </w:rPr>
        <w:instrText xml:space="preserve"> HYPERLINK "http://43.240.249.108:8088/PMS/" </w:instrText>
      </w:r>
      <w:r>
        <w:rPr>
          <w:color w:val="auto"/>
          <w:szCs w:val="21"/>
          <w:highlight w:val="none"/>
        </w:rPr>
        <w:fldChar w:fldCharType="separate"/>
      </w:r>
      <w:r>
        <w:rPr>
          <w:rFonts w:hint="eastAsia" w:ascii="宋体" w:hAnsi="宋体"/>
          <w:color w:val="auto"/>
          <w:szCs w:val="21"/>
          <w:highlight w:val="none"/>
          <w:u w:val="single"/>
        </w:rPr>
        <w:t>http://43.240.249.108:8088/PMS/</w:t>
      </w:r>
      <w:r>
        <w:rPr>
          <w:color w:val="auto"/>
          <w:szCs w:val="21"/>
          <w:highlight w:val="none"/>
        </w:rPr>
        <w:fldChar w:fldCharType="end"/>
      </w:r>
      <w:r>
        <w:rPr>
          <w:rFonts w:hint="eastAsia" w:ascii="宋体" w:hAnsi="宋体"/>
          <w:color w:val="auto"/>
          <w:szCs w:val="21"/>
          <w:highlight w:val="none"/>
        </w:rPr>
        <w:t>）、</w:t>
      </w:r>
      <w:r>
        <w:rPr>
          <w:rFonts w:hint="eastAsia" w:ascii="宋体" w:hAnsi="宋体"/>
          <w:snapToGrid w:val="0"/>
          <w:color w:val="auto"/>
          <w:kern w:val="0"/>
          <w:szCs w:val="21"/>
          <w:highlight w:val="none"/>
        </w:rPr>
        <w:t>重庆高速集团官网（</w:t>
      </w:r>
      <w:r>
        <w:rPr>
          <w:rFonts w:ascii="宋体" w:hAnsi="宋体"/>
          <w:snapToGrid w:val="0"/>
          <w:color w:val="auto"/>
          <w:kern w:val="0"/>
          <w:szCs w:val="21"/>
          <w:highlight w:val="none"/>
        </w:rPr>
        <w:t>www.cegc.com.cn</w:t>
      </w:r>
      <w:r>
        <w:rPr>
          <w:rFonts w:hint="eastAsia" w:ascii="宋体" w:hAnsi="宋体"/>
          <w:snapToGrid w:val="0"/>
          <w:color w:val="auto"/>
          <w:kern w:val="0"/>
          <w:szCs w:val="21"/>
          <w:highlight w:val="none"/>
        </w:rPr>
        <w:t>）上发布。</w:t>
      </w:r>
      <w:bookmarkEnd w:id="163"/>
      <w:bookmarkEnd w:id="164"/>
      <w:bookmarkEnd w:id="165"/>
      <w:bookmarkEnd w:id="166"/>
      <w:r>
        <w:rPr>
          <w:rFonts w:hint="eastAsia" w:ascii="宋体" w:hAnsi="宋体"/>
          <w:color w:val="auto"/>
          <w:szCs w:val="21"/>
          <w:highlight w:val="none"/>
        </w:rPr>
        <w:t xml:space="preserve"> </w:t>
      </w:r>
    </w:p>
    <w:p>
      <w:pPr>
        <w:pStyle w:val="6"/>
        <w:spacing w:before="0" w:beforeLines="0" w:after="0" w:afterLines="0" w:line="360" w:lineRule="auto"/>
        <w:ind w:firstLine="472" w:firstLineChars="168"/>
        <w:jc w:val="both"/>
        <w:outlineLvl w:val="1"/>
        <w:rPr>
          <w:rFonts w:ascii="宋体" w:hAnsi="宋体" w:eastAsia="宋体"/>
          <w:b/>
          <w:color w:val="auto"/>
          <w:highlight w:val="none"/>
        </w:rPr>
      </w:pPr>
      <w:bookmarkStart w:id="167" w:name="_Toc26481"/>
      <w:bookmarkStart w:id="168" w:name="_Toc27679"/>
      <w:bookmarkStart w:id="169" w:name="_Toc19229"/>
      <w:bookmarkStart w:id="170" w:name="_Toc5259054"/>
      <w:bookmarkStart w:id="171" w:name="_Toc9908"/>
      <w:bookmarkStart w:id="172" w:name="_Toc5109247"/>
      <w:bookmarkStart w:id="173" w:name="_Toc13560"/>
      <w:bookmarkStart w:id="174" w:name="_Toc380"/>
      <w:bookmarkStart w:id="175" w:name="_Toc239"/>
      <w:bookmarkStart w:id="176" w:name="_Toc15551"/>
      <w:bookmarkStart w:id="177" w:name="_Toc31434"/>
      <w:bookmarkStart w:id="178" w:name="_Toc26889"/>
      <w:bookmarkStart w:id="179" w:name="_Toc12549902"/>
      <w:bookmarkStart w:id="180" w:name="_Toc8534"/>
      <w:bookmarkStart w:id="181" w:name="_Toc29659"/>
      <w:bookmarkStart w:id="182" w:name="_Toc23738"/>
      <w:bookmarkStart w:id="183" w:name="_Toc28625"/>
      <w:bookmarkStart w:id="184" w:name="_Toc14509"/>
      <w:bookmarkStart w:id="185" w:name="_Toc24424"/>
      <w:bookmarkStart w:id="186" w:name="_Toc8079"/>
      <w:bookmarkStart w:id="187" w:name="_Toc25322"/>
      <w:bookmarkStart w:id="188" w:name="_Toc18096"/>
      <w:r>
        <w:rPr>
          <w:rFonts w:hint="eastAsia" w:ascii="宋体" w:hAnsi="宋体" w:eastAsia="宋体"/>
          <w:b/>
          <w:color w:val="auto"/>
          <w:highlight w:val="none"/>
        </w:rPr>
        <w:t>7</w:t>
      </w:r>
      <w:r>
        <w:rPr>
          <w:rFonts w:ascii="宋体" w:hAnsi="宋体" w:eastAsia="宋体"/>
          <w:b/>
          <w:color w:val="auto"/>
          <w:highlight w:val="none"/>
        </w:rPr>
        <w:t>. 联系方式</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招标人：</w:t>
      </w:r>
      <w:r>
        <w:rPr>
          <w:rFonts w:hint="eastAsia" w:ascii="宋体" w:hAnsi="宋体"/>
          <w:snapToGrid w:val="0"/>
          <w:color w:val="auto"/>
          <w:kern w:val="0"/>
          <w:highlight w:val="none"/>
          <w:u w:val="single"/>
        </w:rPr>
        <w:t>重庆白马航运发展有限公司</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地  址：重庆市渝北区星光大道76号天王星商务大厦B座23楼</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联系人：吴先生</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rPr>
        <w:t>023-</w:t>
      </w:r>
      <w:r>
        <w:rPr>
          <w:rFonts w:hint="eastAsia" w:ascii="宋体" w:hAnsi="宋体"/>
          <w:color w:val="auto"/>
          <w:szCs w:val="21"/>
          <w:highlight w:val="none"/>
        </w:rPr>
        <w:t>88734299</w:t>
      </w:r>
    </w:p>
    <w:p>
      <w:pPr>
        <w:rPr>
          <w:rFonts w:hint="eastAsia"/>
          <w:color w:val="auto"/>
          <w:highlight w:val="none"/>
        </w:rPr>
      </w:pP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招标代理机构：法正项目管理集团有限公司</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地址：重庆市渝北区中渝爱都会3栋12-11</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联系人：雷女士</w:t>
      </w:r>
    </w:p>
    <w:p>
      <w:pPr>
        <w:pStyle w:val="3"/>
        <w:ind w:firstLine="403" w:firstLineChars="168"/>
        <w:rPr>
          <w:rFonts w:hint="eastAsia" w:ascii="宋体" w:hAnsi="宋体"/>
          <w:color w:val="auto"/>
          <w:szCs w:val="21"/>
          <w:highlight w:val="none"/>
        </w:rPr>
      </w:pPr>
      <w:r>
        <w:rPr>
          <w:rFonts w:hint="eastAsia" w:ascii="宋体" w:hAnsi="宋体"/>
          <w:color w:val="auto"/>
          <w:szCs w:val="21"/>
          <w:highlight w:val="none"/>
        </w:rPr>
        <w:t>电话：023-86252638</w:t>
      </w:r>
    </w:p>
    <w:p>
      <w:bookmarkStart w:id="189" w:name="_GoBack"/>
      <w:bookmarkEnd w:id="18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yriad Pro Light">
    <w:altName w:val="Arial"/>
    <w:panose1 w:val="00000000000000000000"/>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B6382"/>
    <w:rsid w:val="4AAD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tabs>
        <w:tab w:val="left" w:leader="dot" w:pos="480"/>
      </w:tabs>
      <w:autoSpaceDE w:val="0"/>
      <w:autoSpaceDN w:val="0"/>
      <w:spacing w:after="120" w:afterLines="0" w:line="360" w:lineRule="auto"/>
      <w:textAlignment w:val="baseline"/>
    </w:pPr>
    <w:rPr>
      <w:rFonts w:ascii="Myriad Pro Light" w:hAnsi="Myriad Pro Light"/>
      <w:snapToGrid w:val="0"/>
      <w:kern w:val="0"/>
      <w:sz w:val="24"/>
    </w:rPr>
  </w:style>
  <w:style w:type="paragraph" w:customStyle="1" w:styleId="6">
    <w:name w:val="题目"/>
    <w:basedOn w:val="1"/>
    <w:qFormat/>
    <w:uiPriority w:val="0"/>
    <w:pPr>
      <w:spacing w:before="624" w:beforeLines="200" w:after="312" w:afterLines="100"/>
      <w:jc w:val="center"/>
    </w:pPr>
    <w:rPr>
      <w:rFonts w:ascii="黑体" w:eastAsia="黑体"/>
      <w:color w:val="C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2021-04-30T03:57:00Z</dcterms:created>
  <dc:creator>win10</dc:creator>
  <cp:lastModifiedBy>法正</cp:lastModifiedBy>
  <dcterms:modified xsi:type="dcterms:W3CDTF">2021-05-06T01:37:09Z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F7DD93B392B34DA5BE7BA0FD38446F32</vt:lpwstr>
  </property>
</Properties>
</file>