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重庆高速公路集团有限公司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投资可行性咨询单位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非必须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招标项目临时合格供方库单位的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</w:t>
      </w:r>
    </w:p>
    <w:p>
      <w:pPr>
        <w:spacing w:line="640" w:lineRule="exact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 xml:space="preserve">    重庆高速集团拟建立部分业务临时非必须招标项目合格供方库，现诚邀满足条件的单位申请入库。现将有关事项公告如下：</w:t>
      </w:r>
    </w:p>
    <w:p>
      <w:pPr>
        <w:numPr>
          <w:ilvl w:val="0"/>
          <w:numId w:val="1"/>
        </w:numPr>
        <w:spacing w:line="640" w:lineRule="exact"/>
        <w:rPr>
          <w:rFonts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合格供方库内容</w:t>
      </w:r>
    </w:p>
    <w:tbl>
      <w:tblPr>
        <w:tblStyle w:val="5"/>
        <w:tblW w:w="86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4500"/>
        <w:gridCol w:w="28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序号</w:t>
            </w:r>
          </w:p>
        </w:tc>
        <w:tc>
          <w:tcPr>
            <w:tcW w:w="45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合格供方库类别</w:t>
            </w:r>
          </w:p>
        </w:tc>
        <w:tc>
          <w:tcPr>
            <w:tcW w:w="2871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入库单位数量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exact"/>
          <w:jc w:val="center"/>
        </w:trPr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01</w:t>
            </w:r>
          </w:p>
        </w:tc>
        <w:tc>
          <w:tcPr>
            <w:tcW w:w="450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sz w:val="33"/>
                <w:szCs w:val="33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咨询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类</w:t>
            </w: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  <w:lang w:val="en-US" w:eastAsia="zh-CN"/>
              </w:rPr>
              <w:t>-新建高速公路项目投资可行性咨询</w:t>
            </w:r>
          </w:p>
        </w:tc>
        <w:tc>
          <w:tcPr>
            <w:tcW w:w="2871" w:type="dxa"/>
            <w:tcBorders>
              <w:top w:val="inset" w:color="auto" w:sz="6" w:space="0"/>
              <w:left w:val="single" w:color="auto" w:sz="4" w:space="0"/>
              <w:bottom w:val="inset" w:color="auto" w:sz="6" w:space="0"/>
              <w:right w:val="inset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方正仿宋_GBK" w:hAnsi="方正仿宋_GBK" w:eastAsia="方正仿宋_GBK" w:cs="方正仿宋_GBK"/>
                <w:sz w:val="33"/>
                <w:szCs w:val="33"/>
              </w:rPr>
            </w:pPr>
            <w:r>
              <w:rPr>
                <w:rFonts w:hint="eastAsia" w:ascii="方正仿宋_GBK" w:hAnsi="方正仿宋_GBK" w:eastAsia="方正仿宋_GBK" w:cs="方正仿宋_GBK"/>
                <w:sz w:val="33"/>
                <w:szCs w:val="33"/>
              </w:rPr>
              <w:t>≥4家</w:t>
            </w:r>
          </w:p>
        </w:tc>
      </w:tr>
    </w:tbl>
    <w:p>
      <w:pPr>
        <w:spacing w:line="640" w:lineRule="exact"/>
        <w:ind w:firstLine="660" w:firstLineChars="200"/>
        <w:rPr>
          <w:rFonts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二、申请入库资格要求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（一）具有独立法人资格。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（二）</w:t>
      </w:r>
      <w:r>
        <w:rPr>
          <w:rFonts w:ascii="方正仿宋_GBK" w:hAnsi="方正仿宋_GBK" w:eastAsia="方正仿宋_GBK" w:cs="方正仿宋_GBK"/>
          <w:sz w:val="33"/>
          <w:szCs w:val="33"/>
        </w:rPr>
        <w:t>具备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工程咨询甲级资信证书及以上资质或造价咨询甲级证书及以上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或会计师事务所执业证书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3"/>
          <w:szCs w:val="33"/>
        </w:rPr>
        <w:t>资质。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（三）</w:t>
      </w:r>
      <w:r>
        <w:rPr>
          <w:rFonts w:ascii="方正仿宋_GBK" w:hAnsi="方正仿宋_GBK" w:eastAsia="方正仿宋_GBK" w:cs="方正仿宋_GBK"/>
          <w:sz w:val="33"/>
          <w:szCs w:val="33"/>
        </w:rPr>
        <w:t>近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3"/>
          <w:szCs w:val="33"/>
        </w:rPr>
        <w:t>年（20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17</w:t>
      </w:r>
      <w:r>
        <w:rPr>
          <w:rFonts w:ascii="方正仿宋_GBK" w:hAnsi="方正仿宋_GBK" w:eastAsia="方正仿宋_GBK" w:cs="方正仿宋_GBK"/>
          <w:sz w:val="33"/>
          <w:szCs w:val="33"/>
        </w:rPr>
        <w:t>年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8</w:t>
      </w:r>
      <w:r>
        <w:rPr>
          <w:rFonts w:ascii="方正仿宋_GBK" w:hAnsi="方正仿宋_GBK" w:eastAsia="方正仿宋_GBK" w:cs="方正仿宋_GBK"/>
          <w:sz w:val="33"/>
          <w:szCs w:val="33"/>
        </w:rPr>
        <w:t>月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33"/>
          <w:szCs w:val="33"/>
        </w:rPr>
        <w:t>日至今）独立完成过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33"/>
          <w:szCs w:val="33"/>
        </w:rPr>
        <w:t>个及以上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类似工程咨询或投资可行性报告或工程可行性研究报告等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业绩。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（四）</w:t>
      </w:r>
      <w:r>
        <w:rPr>
          <w:rFonts w:hint="eastAsia" w:ascii="方正仿宋_GBK" w:hAnsi="方正仿宋_GBK" w:eastAsia="方正仿宋_GBK" w:cs="方正仿宋_GBK"/>
          <w:sz w:val="33"/>
          <w:szCs w:val="33"/>
          <w:lang w:eastAsia="zh-CN"/>
        </w:rPr>
        <w:t>项目实施人员需配备合计2名及以上注册会计师或注册咨询工程师（投资）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（五）未被“信用中国”网站(www.creditchina.gov.cn/)中列</w:t>
      </w:r>
      <w:r>
        <w:rPr>
          <w:rFonts w:hint="eastAsia" w:ascii="方正仿宋_GBK" w:hAnsi="方正仿宋_GBK" w:eastAsia="方正仿宋_GBK" w:cs="方正仿宋_GBK"/>
          <w:color w:val="000000" w:themeColor="text1"/>
          <w:sz w:val="33"/>
          <w:szCs w:val="33"/>
        </w:rPr>
        <w:t>入失信被执行人名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单。</w:t>
      </w:r>
    </w:p>
    <w:p>
      <w:pPr>
        <w:spacing w:line="640" w:lineRule="exact"/>
        <w:ind w:firstLine="660" w:firstLineChars="200"/>
        <w:rPr>
          <w:rFonts w:hint="eastAsia"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三、申请入库材料要求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（一）企业营业执照（扫描件）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（二）法定代表人身份证及法定代表人授权委托书（扫描件）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（三）企业资质证明(扫描件）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（四）人员资格要求(扫描件）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（四）业绩证明（合同扫描件）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（五）企业征信证明（提供“信用中国”查询截图）</w:t>
      </w:r>
    </w:p>
    <w:p>
      <w:pPr>
        <w:spacing w:line="640" w:lineRule="exact"/>
        <w:ind w:firstLine="660" w:firstLineChars="200"/>
        <w:rPr>
          <w:rFonts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四、申请入库注意事项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（一）申请入库单位符合资格条件可进行申请；对存在不良行为被联合惩戒的单位申请将被拒绝。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color w:val="FF000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（二）申请入库单位登陆重庆高速公路集团招投标系统（http://43.240.249.109:8081）注册并按要求上传相关材料扫描件。</w:t>
      </w:r>
    </w:p>
    <w:p>
      <w:pPr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（三）业绩时间以委托或合同签订时间为准。</w:t>
      </w:r>
    </w:p>
    <w:p>
      <w:pPr>
        <w:snapToGrid w:val="0"/>
        <w:spacing w:line="640" w:lineRule="exact"/>
        <w:ind w:firstLine="660" w:firstLineChars="20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（四）入库申请单位须于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</w:rPr>
        <w:t>202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</w:rPr>
        <w:t>年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</w:rPr>
        <w:t>月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</w:rPr>
        <w:t>日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  <w:lang w:val="en-US" w:eastAsia="zh-CN"/>
        </w:rPr>
        <w:t>10：00</w:t>
      </w:r>
      <w:r>
        <w:rPr>
          <w:rFonts w:hint="eastAsia" w:ascii="方正仿宋_GBK" w:hAnsi="方正仿宋_GBK" w:eastAsia="方正仿宋_GBK" w:cs="方正仿宋_GBK"/>
          <w:sz w:val="33"/>
          <w:szCs w:val="33"/>
          <w:highlight w:val="yellow"/>
        </w:rPr>
        <w:t>点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之前提交申请，逾期不再受理（另行通知除外）。</w:t>
      </w:r>
    </w:p>
    <w:p>
      <w:pPr>
        <w:spacing w:line="640" w:lineRule="exact"/>
        <w:ind w:firstLine="825" w:firstLineChars="250"/>
        <w:rPr>
          <w:rFonts w:ascii="方正黑体_GBK" w:hAnsi="方正黑体_GBK" w:eastAsia="方正黑体_GBK" w:cs="方正黑体_GBK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</w:rPr>
        <w:t>五、其他事项</w:t>
      </w:r>
    </w:p>
    <w:p>
      <w:pPr>
        <w:snapToGrid w:val="0"/>
        <w:spacing w:line="640" w:lineRule="exact"/>
        <w:ind w:firstLine="825" w:firstLineChars="250"/>
        <w:rPr>
          <w:rFonts w:ascii="方正仿宋_GBK" w:hAnsi="方正仿宋_GBK" w:eastAsia="方正仿宋_GBK" w:cs="方正仿宋_GBK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入库申请单位提供的资质、业绩、人员等资料存在弄虚作假情况的，将取消其入选资格，并禁止其参与重庆高速公路集团有限公司其它业务。</w:t>
      </w:r>
    </w:p>
    <w:p>
      <w:pPr>
        <w:ind w:firstLine="5280" w:firstLineChars="1600"/>
        <w:rPr>
          <w:rFonts w:ascii="方正仿宋_GBK" w:hAnsi="方正仿宋_GBK" w:eastAsia="方正仿宋_GBK" w:cs="方正仿宋_GBK"/>
          <w:sz w:val="33"/>
          <w:szCs w:val="33"/>
        </w:rPr>
      </w:pPr>
    </w:p>
    <w:p>
      <w:pPr>
        <w:ind w:firstLine="5280" w:firstLineChars="1600"/>
      </w:pPr>
      <w:r>
        <w:rPr>
          <w:rFonts w:hint="eastAsia" w:ascii="方正仿宋_GBK" w:hAnsi="方正仿宋_GBK" w:eastAsia="方正仿宋_GBK" w:cs="方正仿宋_GBK"/>
          <w:sz w:val="33"/>
          <w:szCs w:val="33"/>
        </w:rPr>
        <w:t>202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年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月</w:t>
      </w:r>
      <w:r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33"/>
          <w:szCs w:val="33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9CFC"/>
    <w:multiLevelType w:val="multilevel"/>
    <w:tmpl w:val="107E9CFC"/>
    <w:lvl w:ilvl="0" w:tentative="0">
      <w:start w:val="1"/>
      <w:numFmt w:val="japaneseCounting"/>
      <w:lvlText w:val="%1、"/>
      <w:lvlJc w:val="left"/>
      <w:pPr>
        <w:ind w:left="1380" w:hanging="720"/>
      </w:p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30B1BAE"/>
    <w:rsid w:val="0002251A"/>
    <w:rsid w:val="00033750"/>
    <w:rsid w:val="00182AD2"/>
    <w:rsid w:val="00184D07"/>
    <w:rsid w:val="001A0EF7"/>
    <w:rsid w:val="001F020D"/>
    <w:rsid w:val="00235157"/>
    <w:rsid w:val="00294C07"/>
    <w:rsid w:val="002D4D0F"/>
    <w:rsid w:val="002D4FB3"/>
    <w:rsid w:val="002E22AD"/>
    <w:rsid w:val="003B486F"/>
    <w:rsid w:val="003E458C"/>
    <w:rsid w:val="004006B4"/>
    <w:rsid w:val="00444D44"/>
    <w:rsid w:val="00490774"/>
    <w:rsid w:val="004E526F"/>
    <w:rsid w:val="00530B21"/>
    <w:rsid w:val="006766E9"/>
    <w:rsid w:val="00697741"/>
    <w:rsid w:val="006B7EAB"/>
    <w:rsid w:val="00741D28"/>
    <w:rsid w:val="00782C09"/>
    <w:rsid w:val="007D0343"/>
    <w:rsid w:val="00844A6F"/>
    <w:rsid w:val="009022BC"/>
    <w:rsid w:val="009544BD"/>
    <w:rsid w:val="00971013"/>
    <w:rsid w:val="00AC1B39"/>
    <w:rsid w:val="00B96A02"/>
    <w:rsid w:val="00BD27F2"/>
    <w:rsid w:val="00E358B8"/>
    <w:rsid w:val="00E54086"/>
    <w:rsid w:val="00E74C88"/>
    <w:rsid w:val="00F1253F"/>
    <w:rsid w:val="030B1BAE"/>
    <w:rsid w:val="05410AD9"/>
    <w:rsid w:val="097C75C2"/>
    <w:rsid w:val="17AD6F82"/>
    <w:rsid w:val="18EC329E"/>
    <w:rsid w:val="1F7F0195"/>
    <w:rsid w:val="20416CB8"/>
    <w:rsid w:val="20F665CE"/>
    <w:rsid w:val="27C52D3E"/>
    <w:rsid w:val="30BB28F3"/>
    <w:rsid w:val="34D6086B"/>
    <w:rsid w:val="354A7F02"/>
    <w:rsid w:val="3AB14B22"/>
    <w:rsid w:val="3B83693A"/>
    <w:rsid w:val="3E454756"/>
    <w:rsid w:val="44DB2B7D"/>
    <w:rsid w:val="45DA23A2"/>
    <w:rsid w:val="4D3F1624"/>
    <w:rsid w:val="500125F6"/>
    <w:rsid w:val="5D5A0088"/>
    <w:rsid w:val="5E131AA1"/>
    <w:rsid w:val="60E606EC"/>
    <w:rsid w:val="646B41E1"/>
    <w:rsid w:val="683777E6"/>
    <w:rsid w:val="6AC076FD"/>
    <w:rsid w:val="6C7256DB"/>
    <w:rsid w:val="724103F4"/>
    <w:rsid w:val="732C1535"/>
    <w:rsid w:val="76E24B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2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line="450" w:lineRule="atLeast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8">
    <w:name w:val="Hyperlink"/>
    <w:basedOn w:val="6"/>
    <w:qFormat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9">
    <w:name w:val="hover48"/>
    <w:basedOn w:val="6"/>
    <w:qFormat/>
    <w:uiPriority w:val="0"/>
    <w:rPr>
      <w:shd w:val="clear" w:color="auto" w:fill="346AC3"/>
    </w:rPr>
  </w:style>
  <w:style w:type="character" w:customStyle="1" w:styleId="10">
    <w:name w:val="hover49"/>
    <w:basedOn w:val="6"/>
    <w:qFormat/>
    <w:uiPriority w:val="0"/>
    <w:rPr>
      <w:color w:val="4285F4"/>
      <w:u w:val="none"/>
    </w:rPr>
  </w:style>
  <w:style w:type="character" w:customStyle="1" w:styleId="11">
    <w:name w:val="hover50"/>
    <w:basedOn w:val="6"/>
    <w:qFormat/>
    <w:uiPriority w:val="0"/>
    <w:rPr>
      <w:color w:val="4285F4"/>
    </w:rPr>
  </w:style>
  <w:style w:type="character" w:customStyle="1" w:styleId="12">
    <w:name w:val="hover51"/>
    <w:basedOn w:val="6"/>
    <w:qFormat/>
    <w:uiPriority w:val="0"/>
    <w:rPr>
      <w:color w:val="1A85D7"/>
    </w:rPr>
  </w:style>
  <w:style w:type="character" w:customStyle="1" w:styleId="13">
    <w:name w:val="hover52"/>
    <w:basedOn w:val="6"/>
    <w:qFormat/>
    <w:uiPriority w:val="0"/>
  </w:style>
  <w:style w:type="character" w:customStyle="1" w:styleId="14">
    <w:name w:val="credit"/>
    <w:basedOn w:val="6"/>
    <w:qFormat/>
    <w:uiPriority w:val="0"/>
    <w:rPr>
      <w:sz w:val="18"/>
      <w:szCs w:val="18"/>
    </w:rPr>
  </w:style>
  <w:style w:type="character" w:customStyle="1" w:styleId="15">
    <w:name w:val="after"/>
    <w:basedOn w:val="6"/>
    <w:qFormat/>
    <w:uiPriority w:val="0"/>
    <w:rPr>
      <w:bdr w:val="dashed" w:color="auto" w:sz="48" w:space="0"/>
    </w:rPr>
  </w:style>
  <w:style w:type="character" w:customStyle="1" w:styleId="16">
    <w:name w:val="before"/>
    <w:basedOn w:val="6"/>
    <w:qFormat/>
    <w:uiPriority w:val="0"/>
    <w:rPr>
      <w:bdr w:val="single" w:color="auto" w:sz="48" w:space="0"/>
    </w:rPr>
  </w:style>
  <w:style w:type="character" w:customStyle="1" w:styleId="17">
    <w:name w:val="first-child"/>
    <w:basedOn w:val="6"/>
    <w:qFormat/>
    <w:uiPriority w:val="0"/>
  </w:style>
  <w:style w:type="character" w:customStyle="1" w:styleId="18">
    <w:name w:val="hover"/>
    <w:basedOn w:val="6"/>
    <w:qFormat/>
    <w:uiPriority w:val="0"/>
    <w:rPr>
      <w:shd w:val="clear" w:color="auto" w:fill="346AC3"/>
    </w:rPr>
  </w:style>
  <w:style w:type="character" w:customStyle="1" w:styleId="19">
    <w:name w:val="hover1"/>
    <w:basedOn w:val="6"/>
    <w:qFormat/>
    <w:uiPriority w:val="0"/>
    <w:rPr>
      <w:color w:val="1A85D7"/>
    </w:rPr>
  </w:style>
  <w:style w:type="character" w:customStyle="1" w:styleId="20">
    <w:name w:val="hover2"/>
    <w:basedOn w:val="6"/>
    <w:qFormat/>
    <w:uiPriority w:val="0"/>
    <w:rPr>
      <w:color w:val="4285F4"/>
    </w:rPr>
  </w:style>
  <w:style w:type="character" w:customStyle="1" w:styleId="21">
    <w:name w:val="hover3"/>
    <w:basedOn w:val="6"/>
    <w:qFormat/>
    <w:uiPriority w:val="0"/>
    <w:rPr>
      <w:color w:val="4285F4"/>
      <w:u w:val="none"/>
    </w:rPr>
  </w:style>
  <w:style w:type="character" w:customStyle="1" w:styleId="22">
    <w:name w:val="hover4"/>
    <w:basedOn w:val="6"/>
    <w:qFormat/>
    <w:uiPriority w:val="0"/>
  </w:style>
  <w:style w:type="character" w:customStyle="1" w:styleId="23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24">
    <w:name w:val="页眉 Char1"/>
    <w:basedOn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</Words>
  <Characters>688</Characters>
  <Lines>5</Lines>
  <Paragraphs>1</Paragraphs>
  <TotalTime>244</TotalTime>
  <ScaleCrop>false</ScaleCrop>
  <LinksUpToDate>false</LinksUpToDate>
  <CharactersWithSpaces>807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2020-03-25T03:27:00Z</dcterms:created>
  <dc:creator>陈艳</dc:creator>
  <cp:lastModifiedBy>8宝</cp:lastModifiedBy>
  <cp:lastPrinted>2020-08-24T02:46:00Z</cp:lastPrinted>
  <dcterms:modified xsi:type="dcterms:W3CDTF">2020-08-26T08:39:28Z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