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_GBK" w:hAnsi="宋体" w:eastAsia="方正小标宋_GBK"/>
          <w:bCs/>
          <w:spacing w:val="-11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spacing w:val="-11"/>
          <w:w w:val="95"/>
          <w:sz w:val="44"/>
          <w:szCs w:val="44"/>
        </w:rPr>
        <w:t>中共重庆高速</w:t>
      </w:r>
      <w:r>
        <w:rPr>
          <w:rFonts w:hint="eastAsia" w:ascii="方正小标宋_GBK" w:hAnsi="宋体" w:eastAsia="方正小标宋_GBK"/>
          <w:bCs/>
          <w:spacing w:val="-11"/>
          <w:w w:val="95"/>
          <w:sz w:val="44"/>
          <w:szCs w:val="44"/>
          <w:lang w:val="en-US" w:eastAsia="zh-CN"/>
        </w:rPr>
        <w:t>国储能源投资</w:t>
      </w:r>
      <w:r>
        <w:rPr>
          <w:rFonts w:hint="eastAsia" w:ascii="方正小标宋_GBK" w:hAnsi="宋体" w:eastAsia="方正小标宋_GBK"/>
          <w:bCs/>
          <w:spacing w:val="-11"/>
          <w:w w:val="95"/>
          <w:sz w:val="44"/>
          <w:szCs w:val="44"/>
        </w:rPr>
        <w:t>有限公司</w:t>
      </w:r>
      <w:r>
        <w:rPr>
          <w:rFonts w:hint="eastAsia" w:ascii="方正小标宋_GBK" w:hAnsi="宋体" w:eastAsia="方正小标宋_GBK"/>
          <w:bCs/>
          <w:spacing w:val="-11"/>
          <w:w w:val="95"/>
          <w:sz w:val="44"/>
          <w:szCs w:val="44"/>
          <w:lang w:val="en-US" w:eastAsia="zh-CN"/>
        </w:rPr>
        <w:t>支部</w:t>
      </w:r>
      <w:r>
        <w:rPr>
          <w:rFonts w:hint="eastAsia" w:ascii="方正小标宋_GBK" w:hAnsi="宋体" w:eastAsia="方正小标宋_GBK"/>
          <w:bCs/>
          <w:spacing w:val="-11"/>
          <w:w w:val="95"/>
          <w:sz w:val="44"/>
          <w:szCs w:val="44"/>
        </w:rPr>
        <w:t>委员会</w:t>
      </w:r>
    </w:p>
    <w:p>
      <w:pPr>
        <w:spacing w:line="660" w:lineRule="exact"/>
        <w:jc w:val="center"/>
        <w:rPr>
          <w:rFonts w:hint="eastAsia" w:ascii="方正小标宋_GBK" w:hAnsi="宋体" w:eastAsia="方正小标宋_GBK"/>
          <w:bCs/>
          <w:spacing w:val="-13"/>
          <w:sz w:val="44"/>
          <w:szCs w:val="44"/>
        </w:rPr>
      </w:pPr>
      <w:r>
        <w:rPr>
          <w:rFonts w:hint="eastAsia" w:ascii="方正小标宋_GBK" w:hAnsi="宋体" w:eastAsia="方正小标宋_GBK"/>
          <w:bCs/>
          <w:spacing w:val="-13"/>
          <w:sz w:val="44"/>
          <w:szCs w:val="44"/>
        </w:rPr>
        <w:t>（第</w:t>
      </w:r>
      <w:r>
        <w:rPr>
          <w:rFonts w:hint="eastAsia" w:ascii="方正小标宋_GBK" w:hAnsi="宋体" w:eastAsia="方正小标宋_GBK"/>
          <w:bCs/>
          <w:spacing w:val="-13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/>
          <w:bCs/>
          <w:spacing w:val="-13"/>
          <w:sz w:val="44"/>
          <w:szCs w:val="44"/>
        </w:rPr>
        <w:t>次）</w:t>
      </w:r>
      <w:r>
        <w:rPr>
          <w:rFonts w:hint="eastAsia" w:ascii="方正小标宋_GBK" w:hAnsi="宋体" w:eastAsia="方正小标宋_GBK"/>
          <w:bCs/>
          <w:spacing w:val="-13"/>
          <w:sz w:val="44"/>
          <w:szCs w:val="44"/>
          <w:lang w:val="en-US" w:eastAsia="zh-CN"/>
        </w:rPr>
        <w:t>支</w:t>
      </w:r>
      <w:r>
        <w:rPr>
          <w:rFonts w:hint="eastAsia" w:ascii="方正小标宋_GBK" w:hAnsi="宋体" w:eastAsia="方正小标宋_GBK"/>
          <w:bCs/>
          <w:spacing w:val="-13"/>
          <w:sz w:val="44"/>
          <w:szCs w:val="44"/>
        </w:rPr>
        <w:t>委会议题表</w:t>
      </w:r>
    </w:p>
    <w:p>
      <w:pPr>
        <w:pStyle w:val="2"/>
        <w:spacing w:line="580" w:lineRule="exact"/>
        <w:ind w:left="5765" w:leftChars="-255" w:hanging="6300" w:hangingChars="2250"/>
        <w:jc w:val="center"/>
        <w:rPr>
          <w:rFonts w:hint="eastAsia" w:ascii="方正仿宋_GBK" w:eastAsia="方正仿宋_GBK" w:cs="方正黑体_GBK"/>
          <w:sz w:val="28"/>
          <w:szCs w:val="30"/>
          <w:lang w:val="en-US" w:eastAsia="zh-CN"/>
        </w:rPr>
      </w:pPr>
      <w:r>
        <w:rPr>
          <w:rFonts w:ascii="方正仿宋_GBK" w:eastAsia="方正仿宋_GBK" w:cs="方正黑体_GBK"/>
          <w:sz w:val="28"/>
          <w:szCs w:val="30"/>
        </w:rPr>
        <w:t xml:space="preserve">事项类别：前置研究讨论              </w:t>
      </w:r>
      <w:r>
        <w:rPr>
          <w:rFonts w:hint="eastAsia" w:ascii="方正仿宋_GBK" w:eastAsia="方正仿宋_GBK" w:cs="方正黑体_GBK"/>
          <w:sz w:val="28"/>
          <w:szCs w:val="30"/>
          <w:lang w:val="en-US" w:eastAsia="zh-CN"/>
        </w:rPr>
        <w:t xml:space="preserve">   </w:t>
      </w:r>
      <w:r>
        <w:rPr>
          <w:rFonts w:ascii="方正仿宋_GBK" w:eastAsia="方正仿宋_GBK" w:cs="方正黑体_GBK"/>
          <w:sz w:val="28"/>
          <w:szCs w:val="30"/>
        </w:rPr>
        <w:t>时间：</w:t>
      </w:r>
      <w:r>
        <w:rPr>
          <w:rFonts w:hint="eastAsia" w:ascii="方正仿宋_GBK" w:eastAsia="方正仿宋_GBK" w:cs="方正黑体_GBK"/>
          <w:sz w:val="28"/>
          <w:szCs w:val="30"/>
          <w:lang w:val="en-US" w:eastAsia="zh-CN"/>
        </w:rPr>
        <w:t>2022</w:t>
      </w:r>
      <w:r>
        <w:rPr>
          <w:rFonts w:ascii="方正仿宋_GBK" w:eastAsia="方正仿宋_GBK" w:cs="方正黑体_GBK"/>
          <w:sz w:val="28"/>
          <w:szCs w:val="30"/>
        </w:rPr>
        <w:t>年</w:t>
      </w:r>
      <w:r>
        <w:rPr>
          <w:rFonts w:hint="eastAsia" w:ascii="方正仿宋_GBK" w:eastAsia="方正仿宋_GBK" w:cs="方正黑体_GBK"/>
          <w:sz w:val="28"/>
          <w:szCs w:val="30"/>
          <w:lang w:val="en-US" w:eastAsia="zh-CN"/>
        </w:rPr>
        <w:t>3</w:t>
      </w:r>
      <w:r>
        <w:rPr>
          <w:rFonts w:ascii="方正仿宋_GBK" w:eastAsia="方正仿宋_GBK" w:cs="方正黑体_GBK"/>
          <w:sz w:val="28"/>
          <w:szCs w:val="30"/>
        </w:rPr>
        <w:t>月</w:t>
      </w:r>
      <w:r>
        <w:rPr>
          <w:rFonts w:hint="eastAsia" w:ascii="方正仿宋_GBK" w:eastAsia="方正仿宋_GBK" w:cs="方正黑体_GBK"/>
          <w:sz w:val="28"/>
          <w:szCs w:val="30"/>
          <w:lang w:val="en-US" w:eastAsia="zh-CN"/>
        </w:rPr>
        <w:t>7</w:t>
      </w:r>
      <w:r>
        <w:rPr>
          <w:rFonts w:ascii="方正仿宋_GBK" w:eastAsia="方正仿宋_GBK" w:cs="方正黑体_GBK"/>
          <w:sz w:val="28"/>
          <w:szCs w:val="30"/>
        </w:rPr>
        <w:t>日</w:t>
      </w:r>
    </w:p>
    <w:tbl>
      <w:tblPr>
        <w:tblStyle w:val="4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51"/>
        <w:gridCol w:w="2771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31" w:rightChars="15" w:firstLine="0" w:firstLineChars="0"/>
              <w:jc w:val="center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议题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31" w:rightChars="15" w:firstLine="0" w:firstLineChars="0"/>
              <w:jc w:val="center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名称</w:t>
            </w:r>
          </w:p>
        </w:tc>
        <w:tc>
          <w:tcPr>
            <w:tcW w:w="825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31" w:rightChars="15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黑体_GBK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关于</w:t>
            </w:r>
            <w:r>
              <w:rPr>
                <w:rFonts w:hint="eastAsia" w:ascii="方正仿宋_GBK" w:eastAsia="方正仿宋_GBK" w:cs="方正黑体_GBK"/>
                <w:sz w:val="28"/>
                <w:szCs w:val="28"/>
                <w:lang w:eastAsia="zh-CN"/>
              </w:rPr>
              <w:t>公司下属加油站</w:t>
            </w:r>
            <w:r>
              <w:rPr>
                <w:rFonts w:hint="eastAsia" w:ascii="方正仿宋_GBK" w:eastAsia="方正仿宋_GBK" w:cs="方正黑体_GBK"/>
                <w:sz w:val="28"/>
                <w:szCs w:val="28"/>
                <w:lang w:val="en-US" w:eastAsia="zh-CN"/>
              </w:rPr>
              <w:t>2022年财产保险的报告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12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31" w:rightChars="15" w:firstLine="0" w:firstLineChars="0"/>
              <w:jc w:val="center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主要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31" w:rightChars="15" w:firstLine="0" w:firstLineChars="0"/>
              <w:jc w:val="center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内容</w:t>
            </w:r>
          </w:p>
        </w:tc>
        <w:tc>
          <w:tcPr>
            <w:tcW w:w="8259" w:type="dxa"/>
            <w:gridSpan w:val="3"/>
            <w:vAlign w:val="center"/>
          </w:tcPr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  <w:t>为保证公司生产、经营的正常进行和经济效益的实现，转移公司发生非正常损失的风险，现需对公司下属加油站进行投保（见附件一），预计总保费金额不超过15万元（其中公司本部、青杠加油站、宋家沟加油站固定资产不进行投保）。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附件：1.保险内容</w:t>
            </w:r>
          </w:p>
          <w:p>
            <w:pPr>
              <w:ind w:firstLine="1400" w:firstLineChars="500"/>
              <w:rPr>
                <w:rFonts w:hint="eastAsia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  <w:t>2.销售费用保险预算表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议题办理建议要点</w:t>
            </w:r>
          </w:p>
        </w:tc>
        <w:tc>
          <w:tcPr>
            <w:tcW w:w="825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C0000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提请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委会审议同意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对公司下属加油站进行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投保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事前论证情况</w:t>
            </w:r>
          </w:p>
        </w:tc>
        <w:tc>
          <w:tcPr>
            <w:tcW w:w="825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eastAsia="方正仿宋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黑体_GBK"/>
                <w:sz w:val="28"/>
                <w:szCs w:val="28"/>
                <w:highlight w:val="none"/>
                <w:lang w:val="en-US" w:eastAsia="zh-CN"/>
              </w:rPr>
              <w:t>经调研和参照同行业，认为对加油站进行投保，可转移加油站发生非正常损失的风险。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59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经办人：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 xml:space="preserve"> 年  月  日</w:t>
            </w:r>
          </w:p>
        </w:tc>
        <w:tc>
          <w:tcPr>
            <w:tcW w:w="277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部门负责人意见：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年  月  日</w:t>
            </w:r>
          </w:p>
        </w:tc>
        <w:tc>
          <w:tcPr>
            <w:tcW w:w="41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综合</w:t>
            </w:r>
            <w:r>
              <w:rPr>
                <w:rFonts w:hint="eastAsia" w:ascii="方正仿宋_GBK" w:eastAsia="方正仿宋_GBK" w:cs="方正黑体_GBK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ascii="方正仿宋_GBK" w:eastAsia="方正仿宋_GBK" w:cs="方正黑体_GBK"/>
                <w:sz w:val="28"/>
                <w:szCs w:val="28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5363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分管领导意见：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年  月  日</w:t>
            </w:r>
          </w:p>
        </w:tc>
        <w:tc>
          <w:tcPr>
            <w:tcW w:w="41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hint="eastAsia" w:ascii="方正仿宋_GBK" w:eastAsia="方正仿宋_GBK" w:cs="方正黑体_GBK"/>
                <w:sz w:val="28"/>
                <w:szCs w:val="28"/>
                <w:lang w:eastAsia="zh-CN"/>
              </w:rPr>
              <w:t>支部</w:t>
            </w:r>
            <w:r>
              <w:rPr>
                <w:rFonts w:ascii="方正仿宋_GBK" w:eastAsia="方正仿宋_GBK" w:cs="方正黑体_GBK"/>
                <w:sz w:val="28"/>
                <w:szCs w:val="28"/>
              </w:rPr>
              <w:t>书记意见：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ascii="方正仿宋_GBK" w:eastAsia="方正仿宋_GBK" w:cs="方正黑体_GBK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rPr>
          <w:rFonts w:hint="eastAsia"/>
        </w:rPr>
      </w:pPr>
    </w:p>
    <w:p/>
    <w:p>
      <w:pPr>
        <w:pStyle w:val="2"/>
      </w:pPr>
    </w:p>
    <w:p/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保险内容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一、企业财产一切险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保险责任：在保险期间内，由于自然灾害或意外事故造成保险标的直接物质损坏或灭失（以下简称“损失”），保险人按照保险合同的约定负责赔偿。</w:t>
      </w:r>
    </w:p>
    <w:tbl>
      <w:tblPr>
        <w:tblStyle w:val="4"/>
        <w:tblW w:w="8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580"/>
        <w:gridCol w:w="1765"/>
        <w:gridCol w:w="1533"/>
        <w:gridCol w:w="1824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1.重庆高速国储能源投资有限公司固定资产投保明细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站点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位置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重庆高速国储能源投资有限公司渝黔高速巴南服务区加油站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重庆市巴南区界石镇新玉村五组14号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3637749.97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重庆高速国储能源投资有限公司绕城高速北碚停车区东（西）侧加油站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重庆市北碚区歇马镇卫星村水口组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8506368.87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重庆高速国储能源投资有限公司渝广高速静观服务区东（西）侧加油站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重庆市北碚区静观镇塔坪村雄黄井组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12622127.26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金佛山东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重庆高速国储能源投资有限公司银百高速金佛山东服务区东（西）侧加油站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重庆市南川区大有镇水源村6社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10924738.31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舟白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重庆高速国储能源投资有限公司黔恩高速黔江舟白服务区加油站（东）（西）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重庆市黔江区舟白街道箭坝郎溪村二组服务区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4261317.68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双槐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重庆高速国储能源投资有限公司双槐服务区（东）西侧加油站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重庆市合川区双槐镇文坪村1组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9388571.97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重庆高速国储能源投资有限公司沪蓉高速巫山服务区南侧加油站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重庆市巫山县龙门办事处梨早村十一社（南侧加油站）/（北侧）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11848842.89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开州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重庆高速国储能源投资有限公司开州服务区加油站（南）（北）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重庆市开州区铁桥镇张家坪村七社服务区房屋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8202175.96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双石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重庆高速国储能源投资有限公司铜永高速双石停车区东（西）侧加油站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重庆市永川区双石镇丁家岩村12社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7958026.17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重庆高速国储能源投资有限公司南万高速南平服务区加油站（东）（西）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重庆市南川区南平镇水丰村三组服务区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8198141.89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万古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重庆高速国储能源投资有限公司万古服务区东（西）侧加油站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重庆市大足区万古镇峰高社区四组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7654721.67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93202782.64 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2.重庆高速国储能源投资有限公司油品投保明细（对平均罐容进行投保）</w:t>
      </w:r>
    </w:p>
    <w:tbl>
      <w:tblPr>
        <w:tblStyle w:val="4"/>
        <w:tblW w:w="9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706"/>
        <w:gridCol w:w="1710"/>
        <w:gridCol w:w="998"/>
        <w:gridCol w:w="998"/>
        <w:gridCol w:w="2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单站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油罐总罐容（平均）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0#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92#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95000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47500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金佛山加油站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静观加油站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47500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47500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开州加油站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青杠加油站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双槐加油站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双石加油站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巫山加油站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舟白加油站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万古加油站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宋家沟加油站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1370000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1214500 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879500 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注：油品投保计量金额为对应油品的平均油罐总冠容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*油品单价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二.公众责任险（23个站点）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险责任：保险期间内，被保险人在保险单载明的区域范围内合法从事生产、经营等业务时，因过失导致意外事故，造成第三者人身伤亡或财产损失，依照中华人民共和国法律（不包括港澳台地区法律）应由被保险人承担的经济赔偿责任，保险人按照保险合同的约定负责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三．现金及雇员忠诚度保险费（23个站点）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保险责任：凡属于被保险人所有，或替他人保管或与他人共有的现金、政府债券、支票、现金银行汇票和邮政汇票均可作为本保险合同的保险标的。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在本保险期间内，本保险合同明细表中列明的地点范围内，由于下列原因造成保险标的的损失，保险人按照保险合同的约定负责赔偿：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（一）火灾、爆炸、洪水；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（二）被保险人的雇员在前往银行送款或自银行提款回程中遭受抢劫；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（三）存放在金库、保险箱（柜）内遭受盗窃或抢劫；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（四）在营业过程中遭受抢劫。</w:t>
      </w:r>
    </w:p>
    <w:p>
      <w:pPr>
        <w:pStyle w:val="2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销售费用保险预算表</w:t>
      </w:r>
    </w:p>
    <w:tbl>
      <w:tblPr>
        <w:tblStyle w:val="4"/>
        <w:tblW w:w="8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292"/>
        <w:gridCol w:w="176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重庆高速公路集团有限公司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2022年A-0112销售费用-其他费用（专项）预算表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10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编制单位：重庆高速国储能源投资有限公司 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单位：元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预算类型 </w:t>
            </w:r>
          </w:p>
        </w:tc>
        <w:tc>
          <w:tcPr>
            <w:tcW w:w="4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专项预算 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备注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会计科目 </w:t>
            </w:r>
          </w:p>
        </w:tc>
        <w:tc>
          <w:tcPr>
            <w:tcW w:w="4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其他费用 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计划事项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本年预算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租赁费 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8,884,000.00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按协议计算，吨油提成按照105/吨计提，除青杠、宋家沟310/吨计提，静观、双槐135/吨计提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宿舍租金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14,700.00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青杠、开州租金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8,898,700.00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运输装卸费 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运输装卸费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12,730,000.00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预估加油站运费每吨/110元计算，本部23000吨船运费（公司从炼厂购油船运费），300元/吨，合计6900000元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12,730,000.00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仓储费 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3,680,000.00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仓储费5万吨内按150元/吨收取，30天内提完，预计全年23000吨，共3450000元，超过30天按10元/吨*月计算，预估超期一月计算，费用230000元，合计超期费用3450000+230000＝3680000元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3,680,000.00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检测费 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577,560.00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其中包括13个站的计量检测、防雷检测、油品抽样常规质检费用、油品应急检测费、加油枪损耗超差严重应急检测费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577,560.00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其他 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职业健康体检费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50,400.00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重庆市安监局要求所属加油站每年必须进行人员职业健康体检，体检费每人按照2020年体检费用 300元/人，共约168人。约49500元。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安全生产责任险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2022年23座加油站安全生产责任险继续购买约为4.5万元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业务外包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840,000.00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4.2万/人，20人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加油站保险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按照同行业标准，预计24座加油站共计15万元（包含财产一切险、公众责任险、雇主责任险、现金及雇员忠诚险）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环境保护费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610,000.00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宋家沟加油站生活污水运输全年50万元、宋家沟加油站生活污水处置6万元、宋家沟生活垃圾清运5万元，共计约为610000元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小计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1,695,400.00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合计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27,581,660.00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2B20"/>
    <w:rsid w:val="131A4580"/>
    <w:rsid w:val="169B0101"/>
    <w:rsid w:val="19171F52"/>
    <w:rsid w:val="1FF76053"/>
    <w:rsid w:val="234D5427"/>
    <w:rsid w:val="30037090"/>
    <w:rsid w:val="327E13A9"/>
    <w:rsid w:val="352A3C57"/>
    <w:rsid w:val="370E6790"/>
    <w:rsid w:val="3C4C1205"/>
    <w:rsid w:val="3DFC258E"/>
    <w:rsid w:val="3DFE34EA"/>
    <w:rsid w:val="4274229C"/>
    <w:rsid w:val="49890149"/>
    <w:rsid w:val="49D8453E"/>
    <w:rsid w:val="4C2B2F42"/>
    <w:rsid w:val="4C530BF7"/>
    <w:rsid w:val="4CFB732A"/>
    <w:rsid w:val="4D010CBD"/>
    <w:rsid w:val="52AB75B3"/>
    <w:rsid w:val="55647170"/>
    <w:rsid w:val="574C65D3"/>
    <w:rsid w:val="590E59AD"/>
    <w:rsid w:val="5AF52769"/>
    <w:rsid w:val="5EDA6175"/>
    <w:rsid w:val="6099308F"/>
    <w:rsid w:val="64E75195"/>
    <w:rsid w:val="6C640FA4"/>
    <w:rsid w:val="6DF74218"/>
    <w:rsid w:val="6F5D4EBC"/>
    <w:rsid w:val="70292605"/>
    <w:rsid w:val="75862522"/>
    <w:rsid w:val="762707FF"/>
    <w:rsid w:val="7BFA2B85"/>
    <w:rsid w:val="7C8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2021-11-02T08:44:00Z</dcterms:created>
  <dc:creator>DELL</dc:creator>
  <cp:lastModifiedBy>唐安乐</cp:lastModifiedBy>
  <cp:lastPrinted>2021-12-13T03:49:00Z</cp:lastPrinted>
  <dcterms:modified xsi:type="dcterms:W3CDTF">2022-03-09T03:10:48Z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EFB7AE9CA36E4768BD6332F90E2184EB</vt:lpwstr>
  </property>
</Properties>
</file>