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center"/>
        <w:rPr>
          <w:rFonts w:hint="eastAsia" w:ascii="黑体" w:hAnsi="黑体" w:eastAsia="黑体" w:cs="Times New Roman"/>
          <w:bCs/>
          <w:kern w:val="0"/>
          <w:sz w:val="36"/>
          <w:szCs w:val="36"/>
        </w:rPr>
      </w:pPr>
      <w:r>
        <w:rPr>
          <w:rFonts w:hint="eastAsia" w:ascii="黑体" w:hAnsi="黑体" w:eastAsia="黑体" w:cs="Times New Roman"/>
          <w:bCs/>
          <w:kern w:val="0"/>
          <w:sz w:val="36"/>
          <w:szCs w:val="36"/>
        </w:rPr>
        <w:t>重庆航运建设发展(集团)有限公司</w:t>
      </w:r>
    </w:p>
    <w:p>
      <w:pPr>
        <w:autoSpaceDE w:val="0"/>
        <w:autoSpaceDN w:val="0"/>
        <w:adjustRightInd w:val="0"/>
        <w:spacing w:line="520" w:lineRule="exact"/>
        <w:jc w:val="center"/>
        <w:rPr>
          <w:rFonts w:hint="eastAsia" w:ascii="黑体" w:hAnsi="黑体" w:eastAsia="黑体" w:cs="Times New Roman"/>
          <w:bCs/>
          <w:kern w:val="0"/>
          <w:sz w:val="36"/>
          <w:szCs w:val="36"/>
          <w:lang w:val="en-US" w:eastAsia="zh-CN"/>
        </w:rPr>
      </w:pPr>
      <w:bookmarkStart w:id="0" w:name="_Hlk72432752"/>
      <w:r>
        <w:rPr>
          <w:rFonts w:hint="eastAsia" w:ascii="黑体" w:hAnsi="黑体" w:eastAsia="黑体" w:cs="Times New Roman"/>
          <w:bCs/>
          <w:kern w:val="0"/>
          <w:sz w:val="36"/>
          <w:szCs w:val="36"/>
        </w:rPr>
        <w:t>涪江</w:t>
      </w:r>
      <w:r>
        <w:rPr>
          <w:rFonts w:hint="eastAsia" w:ascii="黑体" w:hAnsi="黑体" w:eastAsia="黑体" w:cs="Times New Roman"/>
          <w:bCs/>
          <w:kern w:val="0"/>
          <w:sz w:val="36"/>
          <w:szCs w:val="36"/>
          <w:lang w:val="en-US" w:eastAsia="zh-CN"/>
        </w:rPr>
        <w:t>美丽</w:t>
      </w:r>
      <w:r>
        <w:rPr>
          <w:rFonts w:hint="eastAsia" w:ascii="黑体" w:hAnsi="黑体" w:eastAsia="黑体" w:cs="Times New Roman"/>
          <w:bCs/>
          <w:kern w:val="0"/>
          <w:sz w:val="36"/>
          <w:szCs w:val="36"/>
        </w:rPr>
        <w:t>航道</w:t>
      </w:r>
      <w:bookmarkEnd w:id="0"/>
      <w:r>
        <w:rPr>
          <w:rFonts w:hint="eastAsia" w:ascii="黑体" w:hAnsi="黑体" w:eastAsia="黑体" w:cs="Times New Roman"/>
          <w:bCs/>
          <w:kern w:val="0"/>
          <w:sz w:val="36"/>
          <w:szCs w:val="36"/>
          <w:lang w:val="en-US" w:eastAsia="zh-CN"/>
        </w:rPr>
        <w:t>建设第一阶段（</w:t>
      </w:r>
      <w:r>
        <w:rPr>
          <w:rFonts w:hint="eastAsia" w:ascii="黑体" w:hAnsi="黑体" w:eastAsia="黑体" w:cs="Times New Roman"/>
          <w:bCs/>
          <w:kern w:val="0"/>
          <w:sz w:val="36"/>
          <w:szCs w:val="36"/>
        </w:rPr>
        <w:t>202</w:t>
      </w:r>
      <w:r>
        <w:rPr>
          <w:rFonts w:hint="eastAsia" w:ascii="黑体" w:hAnsi="黑体" w:eastAsia="黑体" w:cs="Times New Roman"/>
          <w:bCs/>
          <w:kern w:val="0"/>
          <w:sz w:val="36"/>
          <w:szCs w:val="36"/>
          <w:lang w:val="en-US" w:eastAsia="zh-CN"/>
        </w:rPr>
        <w:t>1</w:t>
      </w:r>
      <w:r>
        <w:rPr>
          <w:rFonts w:hint="eastAsia" w:ascii="黑体" w:hAnsi="黑体" w:eastAsia="黑体" w:cs="Times New Roman"/>
          <w:bCs/>
          <w:kern w:val="0"/>
          <w:sz w:val="36"/>
          <w:szCs w:val="36"/>
        </w:rPr>
        <w:t>—202</w:t>
      </w:r>
      <w:r>
        <w:rPr>
          <w:rFonts w:hint="eastAsia" w:ascii="黑体" w:hAnsi="黑体" w:eastAsia="黑体" w:cs="Times New Roman"/>
          <w:bCs/>
          <w:kern w:val="0"/>
          <w:sz w:val="36"/>
          <w:szCs w:val="36"/>
          <w:lang w:val="en-US" w:eastAsia="zh-CN"/>
        </w:rPr>
        <w:t>2年）</w:t>
      </w:r>
    </w:p>
    <w:p>
      <w:pPr>
        <w:autoSpaceDE w:val="0"/>
        <w:autoSpaceDN w:val="0"/>
        <w:adjustRightInd w:val="0"/>
        <w:spacing w:line="520" w:lineRule="exact"/>
        <w:jc w:val="center"/>
        <w:rPr>
          <w:rFonts w:ascii="黑体" w:hAnsi="黑体" w:eastAsia="黑体" w:cs="Times New Roman"/>
          <w:bCs/>
          <w:kern w:val="0"/>
          <w:sz w:val="36"/>
          <w:szCs w:val="36"/>
        </w:rPr>
      </w:pPr>
      <w:r>
        <w:rPr>
          <w:rFonts w:hint="eastAsia" w:ascii="黑体" w:hAnsi="黑体" w:eastAsia="黑体" w:cs="Times New Roman"/>
          <w:bCs/>
          <w:kern w:val="0"/>
          <w:sz w:val="36"/>
          <w:szCs w:val="36"/>
          <w:lang w:val="en-US" w:eastAsia="zh-CN"/>
        </w:rPr>
        <w:t>项目建议书编制</w:t>
      </w:r>
      <w:r>
        <w:rPr>
          <w:rFonts w:hint="eastAsia" w:ascii="黑体" w:hAnsi="黑体" w:eastAsia="黑体" w:cs="Times New Roman"/>
          <w:bCs/>
          <w:kern w:val="0"/>
          <w:sz w:val="36"/>
          <w:szCs w:val="36"/>
        </w:rPr>
        <w:t>的询价邀请函</w:t>
      </w:r>
    </w:p>
    <w:p>
      <w:pPr>
        <w:autoSpaceDE w:val="0"/>
        <w:autoSpaceDN w:val="0"/>
        <w:adjustRightInd w:val="0"/>
        <w:spacing w:line="520" w:lineRule="exact"/>
        <w:jc w:val="left"/>
        <w:rPr>
          <w:rFonts w:ascii="黑体" w:hAnsi="黑体" w:eastAsia="黑体" w:cs="Times New Roman"/>
          <w:bCs/>
          <w:kern w:val="0"/>
          <w:sz w:val="28"/>
          <w:szCs w:val="28"/>
        </w:rPr>
      </w:pPr>
    </w:p>
    <w:p>
      <w:pPr>
        <w:autoSpaceDE w:val="0"/>
        <w:autoSpaceDN w:val="0"/>
        <w:adjustRightInd w:val="0"/>
        <w:spacing w:line="520" w:lineRule="exact"/>
        <w:rPr>
          <w:rFonts w:ascii="黑体" w:hAnsi="黑体" w:eastAsia="黑体" w:cs="Times New Roman"/>
          <w:kern w:val="0"/>
          <w:sz w:val="32"/>
          <w:szCs w:val="32"/>
          <w:u w:val="single"/>
        </w:rPr>
      </w:pPr>
      <w:r>
        <w:rPr>
          <w:rFonts w:hint="eastAsia" w:ascii="黑体" w:hAnsi="黑体" w:eastAsia="黑体" w:cs="Times New Roman"/>
          <w:kern w:val="0"/>
          <w:sz w:val="32"/>
          <w:szCs w:val="32"/>
          <w:u w:val="single"/>
        </w:rPr>
        <w:t>各有关单位 ：</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根据我公司计划安排，拟开展</w:t>
      </w:r>
      <w:r>
        <w:rPr>
          <w:rFonts w:hint="eastAsia" w:ascii="Times New Roman" w:hAnsi="Times New Roman" w:eastAsia="仿宋_GB2312" w:cs="Times New Roman"/>
          <w:kern w:val="0"/>
          <w:sz w:val="32"/>
          <w:szCs w:val="32"/>
          <w:lang w:val="en-US" w:eastAsia="zh-CN"/>
        </w:rPr>
        <w:t>涪江美丽航道建设第一阶段（</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2年）项目建议书编制</w:t>
      </w:r>
      <w:r>
        <w:rPr>
          <w:rFonts w:hint="eastAsia" w:ascii="Times New Roman" w:hAnsi="Times New Roman" w:eastAsia="仿宋_GB2312" w:cs="Times New Roman"/>
          <w:kern w:val="0"/>
          <w:sz w:val="32"/>
          <w:szCs w:val="32"/>
        </w:rPr>
        <w:t>工作。特向贵单位发出意向性询价邀请，若有意愿，请予报价。</w:t>
      </w:r>
    </w:p>
    <w:p>
      <w:pPr>
        <w:autoSpaceDE w:val="0"/>
        <w:autoSpaceDN w:val="0"/>
        <w:adjustRightInd w:val="0"/>
        <w:spacing w:before="156" w:beforeLines="50"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一、项目简介</w:t>
      </w:r>
    </w:p>
    <w:p>
      <w:pPr>
        <w:autoSpaceDE w:val="0"/>
        <w:autoSpaceDN w:val="0"/>
        <w:adjustRightInd w:val="0"/>
        <w:spacing w:line="52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涪江是嘉陵江右岸最大支流，干流全长670公里，贯穿四川、重庆多地，其中重庆境内长约136公里。目前涪江重庆境内段自下游至上游已建成渭沱、安居、富金坝、潼南等4座枢纽，双江航电枢纽也已开工建设，已基本形成连续渠化的航道。</w:t>
      </w:r>
    </w:p>
    <w:p>
      <w:pPr>
        <w:autoSpaceDE w:val="0"/>
        <w:autoSpaceDN w:val="0"/>
        <w:adjustRightInd w:val="0"/>
        <w:spacing w:line="520" w:lineRule="exact"/>
        <w:ind w:firstLine="640" w:firstLineChars="200"/>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2019年10月，交通运输部公布重庆市为第一批交通强国建设试点单位。2020年9月交通运输部批复了《关于重庆市开展内陆国际物流枢纽高质量发展等交通强国建设试点工作的意见》，意见提出了推动内陆国际物流枢纽高质量发展等5项试点任务、15条实施路径。其中，内河水运集约绿色发展路径提出要打造涪江智能美丽航道，</w:t>
      </w:r>
      <w:r>
        <w:rPr>
          <w:rFonts w:hint="default" w:ascii="Times New Roman" w:hAnsi="Times New Roman" w:eastAsia="仿宋_GB2312" w:cs="Times New Roman"/>
          <w:b/>
          <w:bCs/>
          <w:color w:val="auto"/>
          <w:kern w:val="0"/>
          <w:sz w:val="32"/>
          <w:szCs w:val="32"/>
        </w:rPr>
        <w:t>通过1—2年时间</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在</w:t>
      </w:r>
      <w:r>
        <w:rPr>
          <w:rFonts w:hint="default" w:ascii="Times New Roman" w:hAnsi="Times New Roman" w:eastAsia="仿宋_GB2312" w:cs="Times New Roman"/>
          <w:b/>
          <w:bCs/>
          <w:color w:val="auto"/>
          <w:kern w:val="0"/>
          <w:sz w:val="32"/>
          <w:szCs w:val="32"/>
        </w:rPr>
        <w:t>打造生态美丽航道等方面形成一系列政策成果</w:t>
      </w:r>
      <w:r>
        <w:rPr>
          <w:rFonts w:hint="eastAsia" w:ascii="Times New Roman" w:hAnsi="Times New Roman" w:eastAsia="仿宋_GB2312" w:cs="Times New Roman"/>
          <w:color w:val="auto"/>
          <w:kern w:val="0"/>
          <w:sz w:val="32"/>
          <w:szCs w:val="32"/>
        </w:rPr>
        <w:t>。重庆市交通局授权重庆航运建设发展（集团）有限公司</w:t>
      </w:r>
      <w:r>
        <w:rPr>
          <w:rFonts w:hint="eastAsia" w:ascii="Times New Roman" w:hAnsi="Times New Roman" w:eastAsia="仿宋_GB2312" w:cs="Times New Roman"/>
          <w:color w:val="auto"/>
          <w:kern w:val="0"/>
          <w:sz w:val="32"/>
          <w:szCs w:val="32"/>
          <w:lang w:val="en-US" w:eastAsia="zh-CN"/>
        </w:rPr>
        <w:t>作为业主推进相关工作。</w:t>
      </w:r>
    </w:p>
    <w:p>
      <w:pPr>
        <w:autoSpaceDE w:val="0"/>
        <w:autoSpaceDN w:val="0"/>
        <w:adjustRightInd w:val="0"/>
        <w:spacing w:line="520" w:lineRule="exact"/>
        <w:ind w:firstLine="640" w:firstLineChars="20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根据</w:t>
      </w:r>
      <w:r>
        <w:rPr>
          <w:rFonts w:hint="eastAsia" w:ascii="Times New Roman" w:hAnsi="Times New Roman" w:eastAsia="仿宋_GB2312" w:cs="Times New Roman"/>
          <w:color w:val="auto"/>
          <w:kern w:val="0"/>
          <w:sz w:val="32"/>
          <w:szCs w:val="32"/>
        </w:rPr>
        <w:t>重庆市人民政府</w:t>
      </w:r>
      <w:r>
        <w:rPr>
          <w:rFonts w:hint="eastAsia" w:ascii="Times New Roman" w:hAnsi="Times New Roman" w:eastAsia="仿宋_GB2312" w:cs="Times New Roman"/>
          <w:color w:val="auto"/>
          <w:kern w:val="0"/>
          <w:sz w:val="32"/>
          <w:szCs w:val="32"/>
          <w:lang w:val="en-US" w:eastAsia="zh-CN"/>
        </w:rPr>
        <w:t>2021年2月9日正式发布《</w:t>
      </w:r>
      <w:r>
        <w:rPr>
          <w:rFonts w:hint="eastAsia" w:ascii="Times New Roman" w:hAnsi="Times New Roman" w:eastAsia="仿宋_GB2312" w:cs="Times New Roman"/>
          <w:color w:val="auto"/>
          <w:kern w:val="0"/>
          <w:sz w:val="32"/>
          <w:szCs w:val="32"/>
        </w:rPr>
        <w:t>关于印发重庆市推动交通强国建设试点实施方案(2021—2025年)的通知</w:t>
      </w:r>
      <w:r>
        <w:rPr>
          <w:rFonts w:hint="eastAsia" w:ascii="Times New Roman" w:hAnsi="Times New Roman" w:eastAsia="仿宋_GB2312" w:cs="Times New Roman"/>
          <w:color w:val="auto"/>
          <w:kern w:val="0"/>
          <w:sz w:val="32"/>
          <w:szCs w:val="32"/>
          <w:lang w:val="en-US" w:eastAsia="zh-CN"/>
        </w:rPr>
        <w:t>》（渝府发〔2021〕4号）文件要求</w:t>
      </w:r>
      <w:r>
        <w:rPr>
          <w:rFonts w:hint="eastAsia" w:ascii="Times New Roman" w:hAnsi="Times New Roman" w:eastAsia="仿宋_GB2312" w:cs="Times New Roman"/>
          <w:color w:val="auto"/>
          <w:kern w:val="0"/>
          <w:sz w:val="32"/>
          <w:szCs w:val="32"/>
        </w:rPr>
        <w:t>，现拟开展涪江</w:t>
      </w:r>
      <w:r>
        <w:rPr>
          <w:rFonts w:hint="eastAsia" w:ascii="Times New Roman" w:hAnsi="Times New Roman" w:eastAsia="仿宋_GB2312" w:cs="Times New Roman"/>
          <w:color w:val="auto"/>
          <w:kern w:val="0"/>
          <w:sz w:val="32"/>
          <w:szCs w:val="32"/>
          <w:lang w:val="en-US" w:eastAsia="zh-CN"/>
        </w:rPr>
        <w:t>美丽</w:t>
      </w:r>
      <w:r>
        <w:rPr>
          <w:rFonts w:hint="eastAsia" w:ascii="Times New Roman" w:hAnsi="Times New Roman" w:eastAsia="仿宋_GB2312" w:cs="Times New Roman"/>
          <w:color w:val="auto"/>
          <w:kern w:val="0"/>
          <w:sz w:val="32"/>
          <w:szCs w:val="32"/>
        </w:rPr>
        <w:t>航道</w:t>
      </w:r>
      <w:r>
        <w:rPr>
          <w:rFonts w:hint="eastAsia" w:ascii="Times New Roman" w:hAnsi="Times New Roman" w:eastAsia="仿宋_GB2312" w:cs="Times New Roman"/>
          <w:color w:val="auto"/>
          <w:kern w:val="0"/>
          <w:sz w:val="32"/>
          <w:szCs w:val="32"/>
          <w:lang w:val="en-US" w:eastAsia="zh-CN"/>
        </w:rPr>
        <w:t>工程第一阶段（</w:t>
      </w: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2年）项目建议书编制</w:t>
      </w:r>
      <w:r>
        <w:rPr>
          <w:rFonts w:hint="eastAsia" w:ascii="Times New Roman" w:hAnsi="Times New Roman" w:eastAsia="仿宋_GB2312" w:cs="Times New Roman"/>
          <w:color w:val="auto"/>
          <w:kern w:val="0"/>
          <w:sz w:val="32"/>
          <w:szCs w:val="32"/>
        </w:rPr>
        <w:t>工作。</w:t>
      </w:r>
    </w:p>
    <w:p>
      <w:pPr>
        <w:autoSpaceDE w:val="0"/>
        <w:autoSpaceDN w:val="0"/>
        <w:adjustRightInd w:val="0"/>
        <w:spacing w:before="156" w:beforeLines="50" w:line="520" w:lineRule="exact"/>
        <w:ind w:firstLine="640" w:firstLineChars="200"/>
        <w:outlineLvl w:val="0"/>
        <w:rPr>
          <w:rFonts w:ascii="黑体" w:hAnsi="黑体" w:eastAsia="黑体" w:cs="Times New Roman"/>
          <w:bCs/>
          <w:color w:val="auto"/>
          <w:kern w:val="0"/>
          <w:sz w:val="32"/>
          <w:szCs w:val="32"/>
        </w:rPr>
      </w:pPr>
      <w:r>
        <w:rPr>
          <w:rFonts w:hint="eastAsia" w:ascii="黑体" w:hAnsi="黑体" w:eastAsia="黑体" w:cs="Times New Roman"/>
          <w:bCs/>
          <w:color w:val="auto"/>
          <w:kern w:val="0"/>
          <w:sz w:val="32"/>
          <w:szCs w:val="32"/>
        </w:rPr>
        <w:t>二、研究内容及范围</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00" w:afterAutospacing="0" w:line="500" w:lineRule="exact"/>
        <w:ind w:right="0" w:rightChars="0" w:firstLine="560" w:firstLineChars="200"/>
        <w:textAlignment w:val="auto"/>
        <w:rPr>
          <w:rFonts w:ascii="Times New Roman" w:hAnsi="Times New Roman" w:eastAsia="仿宋_GB2312" w:cs="Times New Roman"/>
          <w:color w:val="auto"/>
          <w:kern w:val="0"/>
          <w:sz w:val="32"/>
          <w:szCs w:val="32"/>
          <w:lang w:val="en-US"/>
        </w:rPr>
      </w:pPr>
      <w:r>
        <w:rPr>
          <w:rFonts w:hint="eastAsia" w:ascii="Times New Roman" w:hAnsi="Times New Roman" w:eastAsia="仿宋_GB2312" w:cs="Times New Roman"/>
          <w:color w:val="auto"/>
          <w:kern w:val="0"/>
          <w:sz w:val="32"/>
          <w:szCs w:val="32"/>
        </w:rPr>
        <w:t>围绕</w:t>
      </w:r>
      <w:r>
        <w:rPr>
          <w:rFonts w:hint="eastAsia" w:ascii="Times New Roman" w:hAnsi="Times New Roman" w:eastAsia="仿宋_GB2312" w:cs="Times New Roman"/>
          <w:color w:val="auto"/>
          <w:kern w:val="0"/>
          <w:sz w:val="32"/>
          <w:szCs w:val="32"/>
          <w:lang w:val="en-US" w:eastAsia="zh-CN"/>
        </w:rPr>
        <w:t>涪江美丽航道工作要求，按照满足交通运输部及重庆市政府文件“2022年形成系列政策成果”的要求，对涪江沿线美丽航道建设基础条件进行调研分析，收集汇总沿线区县滨江路建设、采砂治理、河道治理、新农村建设、灯光工程等项目相关政策和依托工程及相关措施，形成涪江美丽</w:t>
      </w:r>
      <w:r>
        <w:rPr>
          <w:rFonts w:hint="eastAsia" w:ascii="Times New Roman" w:hAnsi="Times New Roman" w:eastAsia="仿宋_GB2312" w:cs="Times New Roman"/>
          <w:color w:val="auto"/>
          <w:kern w:val="0"/>
          <w:sz w:val="32"/>
          <w:szCs w:val="32"/>
        </w:rPr>
        <w:t>航道</w:t>
      </w:r>
      <w:r>
        <w:rPr>
          <w:rFonts w:hint="eastAsia" w:ascii="Times New Roman" w:hAnsi="Times New Roman" w:eastAsia="仿宋_GB2312" w:cs="Times New Roman"/>
          <w:color w:val="auto"/>
          <w:kern w:val="0"/>
          <w:sz w:val="32"/>
          <w:szCs w:val="32"/>
          <w:lang w:val="en-US" w:eastAsia="zh-CN"/>
        </w:rPr>
        <w:t>建设第一阶段（</w:t>
      </w: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1</w:t>
      </w:r>
      <w:r>
        <w:rPr>
          <w:rFonts w:hint="eastAsia"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2年）项目建议书。</w:t>
      </w:r>
    </w:p>
    <w:p>
      <w:pPr>
        <w:autoSpaceDE w:val="0"/>
        <w:autoSpaceDN w:val="0"/>
        <w:adjustRightInd w:val="0"/>
        <w:spacing w:before="156" w:beforeLines="50"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三、报价单位有关要求</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1、具有独立承担民事责任的能力；</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2、具有良好的商业信誉和健全的财务会计制度；</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3、具有履行合同所必需的设备和专业技术能力；</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4、有依法缴纳税收和社会保障资金的良好记录；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5、参加政府采购活动前三年内，在经营活动中没有重大违法记录；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6、具有工程咨询单位甲级资信证书，并且业务范围包含水运（含港口河海工程）。</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7、法律、行政法规规定的其他条件。</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四、资料</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研究单位</w:t>
      </w:r>
      <w:r>
        <w:rPr>
          <w:rFonts w:ascii="Times New Roman" w:hAnsi="Times New Roman" w:eastAsia="仿宋_GB2312" w:cs="Times New Roman"/>
          <w:kern w:val="0"/>
          <w:sz w:val="32"/>
          <w:szCs w:val="32"/>
        </w:rPr>
        <w:t>应提供的资料：</w:t>
      </w:r>
      <w:r>
        <w:rPr>
          <w:rFonts w:hint="eastAsia" w:ascii="Times New Roman" w:hAnsi="Times New Roman" w:eastAsia="仿宋_GB2312" w:cs="Times New Roman"/>
          <w:kern w:val="0"/>
          <w:sz w:val="32"/>
          <w:szCs w:val="32"/>
        </w:rPr>
        <w:t>涪江</w:t>
      </w:r>
      <w:r>
        <w:rPr>
          <w:rFonts w:hint="eastAsia" w:ascii="Times New Roman" w:hAnsi="Times New Roman" w:eastAsia="仿宋_GB2312" w:cs="Times New Roman"/>
          <w:kern w:val="0"/>
          <w:sz w:val="32"/>
          <w:szCs w:val="32"/>
          <w:lang w:val="en-US" w:eastAsia="zh-CN"/>
        </w:rPr>
        <w:t>美丽航道建设第一阶段（2021-2022年）项目建议书</w:t>
      </w:r>
      <w:r>
        <w:rPr>
          <w:rFonts w:hint="eastAsia" w:ascii="Times New Roman" w:hAnsi="Times New Roman" w:eastAsia="仿宋_GB2312" w:cs="Times New Roman"/>
          <w:kern w:val="0"/>
          <w:sz w:val="32"/>
          <w:szCs w:val="32"/>
        </w:rPr>
        <w:t>成果文本（最终版6套）。</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五、费用组成</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费用实行包干价。包括完成本项目研究的全部费用，本次报价最高限价为</w:t>
      </w:r>
      <w:r>
        <w:rPr>
          <w:rFonts w:hint="eastAsia" w:ascii="Times New Roman" w:hAnsi="Times New Roman" w:eastAsia="仿宋_GB2312" w:cs="Times New Roman"/>
          <w:kern w:val="0"/>
          <w:sz w:val="32"/>
          <w:szCs w:val="32"/>
          <w:lang w:val="en-US" w:eastAsia="zh-CN"/>
        </w:rPr>
        <w:t>60</w:t>
      </w:r>
      <w:r>
        <w:rPr>
          <w:rFonts w:hint="eastAsia" w:ascii="Times New Roman" w:hAnsi="Times New Roman" w:eastAsia="仿宋_GB2312" w:cs="Times New Roman"/>
          <w:kern w:val="0"/>
          <w:sz w:val="32"/>
          <w:szCs w:val="32"/>
        </w:rPr>
        <w:t>万元。</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六、评审办法</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本次</w:t>
      </w:r>
      <w:r>
        <w:rPr>
          <w:rFonts w:hint="eastAsia" w:ascii="Times New Roman" w:hAnsi="Times New Roman" w:eastAsia="仿宋_GB2312" w:cs="Times New Roman"/>
          <w:kern w:val="0"/>
          <w:sz w:val="32"/>
          <w:szCs w:val="32"/>
        </w:rPr>
        <w:t>询价评审</w:t>
      </w:r>
      <w:r>
        <w:rPr>
          <w:rFonts w:ascii="Times New Roman" w:hAnsi="Times New Roman" w:eastAsia="仿宋_GB2312" w:cs="Times New Roman"/>
          <w:kern w:val="0"/>
          <w:sz w:val="32"/>
          <w:szCs w:val="32"/>
        </w:rPr>
        <w:t>采用综合评分法，将依据</w:t>
      </w:r>
      <w:r>
        <w:rPr>
          <w:rFonts w:hint="eastAsia" w:ascii="Times New Roman" w:hAnsi="Times New Roman" w:eastAsia="仿宋_GB2312" w:cs="Times New Roman"/>
          <w:kern w:val="0"/>
          <w:sz w:val="32"/>
          <w:szCs w:val="32"/>
        </w:rPr>
        <w:t>报价单位</w:t>
      </w:r>
      <w:r>
        <w:rPr>
          <w:rFonts w:ascii="Times New Roman" w:hAnsi="Times New Roman" w:eastAsia="仿宋_GB2312" w:cs="Times New Roman"/>
          <w:kern w:val="0"/>
          <w:sz w:val="32"/>
          <w:szCs w:val="32"/>
        </w:rPr>
        <w:t>响应文件对其综合实力、业绩、服务、价格等各项因素进行综合评价。</w:t>
      </w:r>
      <w:r>
        <w:rPr>
          <w:rFonts w:hint="eastAsia" w:ascii="Times New Roman" w:hAnsi="Times New Roman" w:eastAsia="仿宋_GB2312" w:cs="Times New Roman"/>
          <w:kern w:val="0"/>
          <w:sz w:val="32"/>
          <w:szCs w:val="32"/>
        </w:rPr>
        <w:t>报价单位</w:t>
      </w:r>
      <w:r>
        <w:rPr>
          <w:rFonts w:ascii="Times New Roman" w:hAnsi="Times New Roman" w:eastAsia="仿宋_GB2312" w:cs="Times New Roman"/>
          <w:kern w:val="0"/>
          <w:sz w:val="32"/>
          <w:szCs w:val="32"/>
        </w:rPr>
        <w:t>的最终得分是所有评委给其的评分后的总和，</w:t>
      </w:r>
      <w:r>
        <w:rPr>
          <w:rFonts w:hint="eastAsia" w:ascii="Times New Roman" w:hAnsi="Times New Roman" w:eastAsia="仿宋_GB2312" w:cs="Times New Roman"/>
          <w:kern w:val="0"/>
          <w:sz w:val="32"/>
          <w:szCs w:val="32"/>
        </w:rPr>
        <w:t>综合评选出得分最高的最佳响应方案。</w:t>
      </w:r>
    </w:p>
    <w:tbl>
      <w:tblPr>
        <w:tblStyle w:val="7"/>
        <w:tblW w:w="8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3"/>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评 分 因 素</w:t>
            </w:r>
          </w:p>
        </w:tc>
        <w:tc>
          <w:tcPr>
            <w:tcW w:w="4044" w:type="dxa"/>
            <w:vAlign w:val="center"/>
          </w:tcPr>
          <w:p>
            <w:pPr>
              <w:pStyle w:val="12"/>
              <w:adjustRightInd/>
              <w:spacing w:line="36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分 值 分 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价 格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60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043" w:type="dxa"/>
            <w:vAlign w:val="center"/>
          </w:tcPr>
          <w:p>
            <w:pPr>
              <w:pStyle w:val="12"/>
              <w:adjustRightInd/>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商 务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30</w:t>
            </w:r>
            <w:r>
              <w:rPr>
                <w:rFonts w:ascii="Times New Roman" w:hAnsi="Times New Roman" w:cs="Times New Roman"/>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vAlign w:val="center"/>
          </w:tcPr>
          <w:p>
            <w:pPr>
              <w:pStyle w:val="12"/>
              <w:adjustRightInd/>
              <w:spacing w:line="360" w:lineRule="auto"/>
              <w:ind w:left="0" w:firstLine="0"/>
              <w:jc w:val="center"/>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技 术 部 分</w:t>
            </w:r>
          </w:p>
        </w:tc>
        <w:tc>
          <w:tcPr>
            <w:tcW w:w="4044" w:type="dxa"/>
            <w:vAlign w:val="center"/>
          </w:tcPr>
          <w:p>
            <w:pPr>
              <w:pStyle w:val="12"/>
              <w:adjustRightInd/>
              <w:spacing w:line="360" w:lineRule="auto"/>
              <w:ind w:left="0" w:firstLine="0"/>
              <w:jc w:val="center"/>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ascii="Times New Roman" w:hAnsi="Times New Roman" w:cs="Times New Roman"/>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4043" w:type="dxa"/>
            <w:textDirection w:val="lrTb"/>
            <w:vAlign w:val="center"/>
          </w:tcPr>
          <w:p>
            <w:pPr>
              <w:pStyle w:val="12"/>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合  计</w:t>
            </w:r>
          </w:p>
        </w:tc>
        <w:tc>
          <w:tcPr>
            <w:tcW w:w="4044" w:type="dxa"/>
            <w:textDirection w:val="lrTb"/>
            <w:vAlign w:val="center"/>
          </w:tcPr>
          <w:p>
            <w:pPr>
              <w:pStyle w:val="12"/>
              <w:adjustRightInd/>
              <w:spacing w:line="360" w:lineRule="auto"/>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100分</w:t>
            </w:r>
          </w:p>
        </w:tc>
      </w:tr>
    </w:tbl>
    <w:p>
      <w:pPr>
        <w:snapToGrid w:val="0"/>
        <w:ind w:firstLine="420" w:firstLineChars="200"/>
        <w:rPr>
          <w:szCs w:val="21"/>
        </w:rPr>
      </w:pP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七、时间要求</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2021年12月3</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日前</w:t>
      </w:r>
      <w:r>
        <w:rPr>
          <w:rFonts w:hint="eastAsia" w:ascii="Times New Roman" w:hAnsi="Times New Roman" w:eastAsia="仿宋_GB2312" w:cs="Times New Roman"/>
          <w:kern w:val="0"/>
          <w:sz w:val="32"/>
          <w:szCs w:val="32"/>
          <w:lang w:val="en-US" w:eastAsia="zh-CN"/>
        </w:rPr>
        <w:t>提交项目建议书送审稿；2022年6月30日前提交最终审定稿</w:t>
      </w:r>
      <w:r>
        <w:rPr>
          <w:rFonts w:ascii="Times New Roman" w:hAnsi="Times New Roman" w:eastAsia="仿宋_GB2312" w:cs="Times New Roman"/>
          <w:kern w:val="0"/>
          <w:sz w:val="32"/>
          <w:szCs w:val="32"/>
        </w:rPr>
        <w:t>。</w:t>
      </w:r>
    </w:p>
    <w:p>
      <w:pPr>
        <w:autoSpaceDE w:val="0"/>
        <w:autoSpaceDN w:val="0"/>
        <w:adjustRightInd w:val="0"/>
        <w:spacing w:line="520" w:lineRule="exact"/>
        <w:ind w:firstLine="640" w:firstLineChars="200"/>
        <w:outlineLvl w:val="0"/>
        <w:rPr>
          <w:rFonts w:eastAsia="仿宋_GB2312"/>
          <w:kern w:val="0"/>
          <w:sz w:val="32"/>
          <w:szCs w:val="32"/>
        </w:rPr>
      </w:pPr>
      <w:r>
        <w:rPr>
          <w:rFonts w:hint="eastAsia" w:ascii="黑体" w:hAnsi="黑体" w:eastAsia="黑体" w:cs="Times New Roman"/>
          <w:bCs/>
          <w:kern w:val="0"/>
          <w:sz w:val="32"/>
          <w:szCs w:val="32"/>
        </w:rPr>
        <w:t>八、报价时提供以下资料</w:t>
      </w:r>
    </w:p>
    <w:p>
      <w:pPr>
        <w:autoSpaceDE w:val="0"/>
        <w:autoSpaceDN w:val="0"/>
        <w:adjustRightInd w:val="0"/>
        <w:spacing w:line="520" w:lineRule="exact"/>
        <w:ind w:firstLine="640" w:firstLineChars="200"/>
        <w:outlineLvl w:val="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1、公司介绍；2、营业执照正、副本复印件或事业单位法人证书正、副本复印件（盖章）；3、相关资质证书复印件（盖章）；4、承诺拟投入设计人员及简介介绍。5、完成本项目总报价。</w:t>
      </w:r>
    </w:p>
    <w:p>
      <w:pPr>
        <w:autoSpaceDE w:val="0"/>
        <w:autoSpaceDN w:val="0"/>
        <w:adjustRightInd w:val="0"/>
        <w:spacing w:line="520" w:lineRule="exact"/>
        <w:ind w:firstLine="640" w:firstLineChars="200"/>
        <w:outlineLvl w:val="0"/>
        <w:rPr>
          <w:rFonts w:ascii="黑体" w:hAnsi="黑体" w:eastAsia="黑体" w:cs="Times New Roman"/>
          <w:bCs/>
          <w:kern w:val="0"/>
          <w:sz w:val="32"/>
          <w:szCs w:val="32"/>
        </w:rPr>
      </w:pPr>
      <w:r>
        <w:rPr>
          <w:rFonts w:hint="eastAsia" w:ascii="黑体" w:hAnsi="黑体" w:eastAsia="黑体" w:cs="Times New Roman"/>
          <w:bCs/>
          <w:kern w:val="0"/>
          <w:sz w:val="32"/>
          <w:szCs w:val="32"/>
        </w:rPr>
        <w:t>九、注意事项：</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1、请于</w:t>
      </w:r>
      <w:r>
        <w:rPr>
          <w:rFonts w:hint="eastAsia" w:ascii="Times New Roman" w:hAnsi="Times New Roman" w:eastAsia="仿宋_GB2312" w:cs="Times New Roman"/>
          <w:kern w:val="0"/>
          <w:sz w:val="32"/>
          <w:szCs w:val="32"/>
          <w:lang w:val="en-US" w:eastAsia="zh-CN"/>
        </w:rPr>
        <w:t>公示之</w:t>
      </w:r>
      <w:r>
        <w:rPr>
          <w:rFonts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起三个工作日</w:t>
      </w:r>
      <w:bookmarkStart w:id="1" w:name="_GoBack"/>
      <w:bookmarkEnd w:id="1"/>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将有关资料和报价函传真或送达重庆航运建设发展</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集团</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有限公司总工办。</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2、联系地址：重庆市</w:t>
      </w:r>
      <w:r>
        <w:rPr>
          <w:rFonts w:hint="eastAsia" w:ascii="Times New Roman" w:hAnsi="Times New Roman" w:eastAsia="仿宋_GB2312" w:cs="Times New Roman"/>
          <w:kern w:val="0"/>
          <w:sz w:val="32"/>
          <w:szCs w:val="32"/>
          <w:lang w:val="en-US" w:eastAsia="zh-CN"/>
        </w:rPr>
        <w:t>两江</w:t>
      </w:r>
      <w:r>
        <w:rPr>
          <w:rFonts w:ascii="Times New Roman" w:hAnsi="Times New Roman" w:eastAsia="仿宋_GB2312" w:cs="Times New Roman"/>
          <w:kern w:val="0"/>
          <w:sz w:val="32"/>
          <w:szCs w:val="32"/>
        </w:rPr>
        <w:t>新区高新园星光大道76号天王星B座23楼。</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3、联系人及联系方式：联系人：</w:t>
      </w:r>
      <w:r>
        <w:rPr>
          <w:rFonts w:hint="eastAsia" w:ascii="Times New Roman" w:hAnsi="Times New Roman" w:eastAsia="仿宋_GB2312" w:cs="Times New Roman"/>
          <w:kern w:val="0"/>
          <w:sz w:val="32"/>
          <w:szCs w:val="32"/>
        </w:rPr>
        <w:t>孙先生</w:t>
      </w:r>
      <w:r>
        <w:rPr>
          <w:rFonts w:ascii="Times New Roman" w:hAnsi="Times New Roman" w:eastAsia="仿宋_GB2312" w:cs="Times New Roman"/>
          <w:kern w:val="0"/>
          <w:sz w:val="32"/>
          <w:szCs w:val="32"/>
        </w:rPr>
        <w:t xml:space="preserve"> 电话：023-8</w:t>
      </w:r>
      <w:r>
        <w:rPr>
          <w:rFonts w:hint="eastAsia" w:ascii="Times New Roman" w:hAnsi="Times New Roman" w:eastAsia="仿宋_GB2312" w:cs="Times New Roman"/>
          <w:kern w:val="0"/>
          <w:sz w:val="32"/>
          <w:szCs w:val="32"/>
        </w:rPr>
        <w:t>8</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34299</w:t>
      </w:r>
      <w:r>
        <w:rPr>
          <w:rFonts w:ascii="Times New Roman" w:hAnsi="Times New Roman" w:eastAsia="仿宋_GB2312" w:cs="Times New Roman"/>
          <w:kern w:val="0"/>
          <w:sz w:val="32"/>
          <w:szCs w:val="32"/>
        </w:rPr>
        <w:t xml:space="preserve"> 传真：023-89076638 </w:t>
      </w:r>
    </w:p>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720" w:lineRule="auto"/>
        <w:ind w:right="640"/>
        <w:jc w:val="center"/>
        <w:rPr>
          <w:b/>
          <w:bCs/>
          <w:sz w:val="32"/>
          <w:szCs w:val="32"/>
        </w:rPr>
      </w:pPr>
      <w:r>
        <w:rPr>
          <w:b/>
          <w:bCs/>
          <w:sz w:val="32"/>
          <w:szCs w:val="32"/>
        </w:rPr>
        <w:t>评分细则</w:t>
      </w:r>
    </w:p>
    <w:p>
      <w:pPr>
        <w:spacing w:line="240" w:lineRule="atLeast"/>
        <w:ind w:firstLine="480" w:firstLineChars="200"/>
        <w:rPr>
          <w:sz w:val="24"/>
          <w:szCs w:val="21"/>
        </w:rPr>
      </w:pPr>
      <w:r>
        <w:rPr>
          <w:sz w:val="24"/>
          <w:szCs w:val="21"/>
        </w:rPr>
        <w:t>本项目的评标，由专家根据响应文件中的</w:t>
      </w:r>
      <w:r>
        <w:rPr>
          <w:b/>
          <w:bCs/>
          <w:sz w:val="24"/>
          <w:szCs w:val="21"/>
        </w:rPr>
        <w:t>综合实力、业绩、服务、价格</w:t>
      </w:r>
      <w:r>
        <w:rPr>
          <w:sz w:val="24"/>
          <w:szCs w:val="21"/>
        </w:rPr>
        <w:t>等因素进行评分，总分为100分。</w:t>
      </w:r>
      <w:r>
        <w:rPr>
          <w:rFonts w:hint="eastAsia"/>
          <w:sz w:val="24"/>
          <w:szCs w:val="21"/>
        </w:rPr>
        <w:t>报价单位</w:t>
      </w:r>
      <w:r>
        <w:rPr>
          <w:sz w:val="24"/>
          <w:szCs w:val="21"/>
        </w:rPr>
        <w:t>的最终得分是所有评委给其的评分后的总和</w:t>
      </w:r>
      <w:r>
        <w:rPr>
          <w:rFonts w:hint="eastAsia"/>
          <w:sz w:val="24"/>
          <w:szCs w:val="21"/>
        </w:rPr>
        <w:t>，</w:t>
      </w:r>
      <w:r>
        <w:rPr>
          <w:sz w:val="24"/>
          <w:szCs w:val="21"/>
        </w:rPr>
        <w:t>各分项如下：</w:t>
      </w:r>
    </w:p>
    <w:tbl>
      <w:tblPr>
        <w:tblStyle w:val="7"/>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63"/>
        <w:gridCol w:w="1355"/>
        <w:gridCol w:w="669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价格部分（</w:t>
            </w:r>
            <w:r>
              <w:rPr>
                <w:rFonts w:hint="eastAsia" w:cs="Times New Roman" w:asciiTheme="minorEastAsia" w:hAnsiTheme="minorEastAsia"/>
                <w:b/>
                <w:sz w:val="28"/>
                <w:szCs w:val="28"/>
                <w:lang w:val="en-US" w:eastAsia="zh-CN"/>
              </w:rPr>
              <w:t>60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序号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项目</w:t>
            </w:r>
          </w:p>
        </w:tc>
        <w:tc>
          <w:tcPr>
            <w:tcW w:w="6692" w:type="dxa"/>
            <w:tcBorders>
              <w:top w:val="single" w:color="auto" w:sz="4" w:space="0"/>
              <w:left w:val="single" w:color="auto" w:sz="4" w:space="0"/>
              <w:bottom w:val="single" w:color="auto" w:sz="4" w:space="0"/>
              <w:right w:val="single" w:color="auto" w:sz="4"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评分内容</w:t>
            </w:r>
          </w:p>
        </w:tc>
        <w:tc>
          <w:tcPr>
            <w:tcW w:w="828" w:type="dxa"/>
            <w:tcBorders>
              <w:top w:val="single" w:color="auto" w:sz="4" w:space="0"/>
              <w:left w:val="single" w:color="auto" w:sz="4" w:space="0"/>
              <w:bottom w:val="single" w:color="auto" w:sz="4" w:space="0"/>
              <w:right w:val="single" w:color="auto" w:sz="12" w:space="0"/>
            </w:tcBorders>
            <w:vAlign w:val="center"/>
          </w:tcPr>
          <w:p>
            <w:pPr>
              <w:jc w:val="center"/>
              <w:rPr>
                <w:rFonts w:cs="Times New Roman" w:asciiTheme="minorEastAsia" w:hAnsiTheme="minorEastAsia"/>
                <w:b/>
                <w:sz w:val="28"/>
                <w:szCs w:val="28"/>
              </w:rPr>
            </w:pPr>
            <w:r>
              <w:rPr>
                <w:rFonts w:cs="Times New Roman" w:asciiTheme="minorEastAsia" w:hAnsiTheme="minorEastAsia"/>
                <w:b/>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7" w:hRule="atLeast"/>
          <w:jc w:val="center"/>
        </w:trPr>
        <w:tc>
          <w:tcPr>
            <w:tcW w:w="916" w:type="dxa"/>
            <w:tcBorders>
              <w:top w:val="single" w:color="auto" w:sz="4" w:space="0"/>
              <w:left w:val="single" w:color="auto" w:sz="12"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1</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cs="Times New Roman" w:asciiTheme="minorEastAsia" w:hAnsiTheme="minorEastAsia"/>
                <w:sz w:val="28"/>
                <w:szCs w:val="28"/>
              </w:rPr>
              <w:t>价格得分</w:t>
            </w:r>
          </w:p>
          <w:p>
            <w:pPr>
              <w:snapToGrid w:val="0"/>
              <w:jc w:val="center"/>
              <w:rPr>
                <w:rFonts w:cs="Times New Roman" w:asciiTheme="minorEastAsia" w:hAnsiTheme="minorEastAsia"/>
                <w:sz w:val="28"/>
                <w:szCs w:val="28"/>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cs="Times New Roman" w:asciiTheme="minorEastAsia" w:hAnsiTheme="minorEastAsia"/>
                <w:sz w:val="28"/>
                <w:szCs w:val="28"/>
              </w:rPr>
              <w:t>价格分评分标准：设最高限价为</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万元（超过最高限价的报价文件将作废）。</w:t>
            </w:r>
          </w:p>
          <w:p>
            <w:pPr>
              <w:snapToGrid w:val="0"/>
              <w:rPr>
                <w:rFonts w:cs="Times New Roman" w:asciiTheme="minorEastAsia" w:hAnsiTheme="minorEastAsia"/>
                <w:sz w:val="28"/>
                <w:szCs w:val="28"/>
              </w:rPr>
            </w:pPr>
            <w:r>
              <w:rPr>
                <w:rFonts w:cs="Times New Roman" w:asciiTheme="minorEastAsia" w:hAnsiTheme="minorEastAsia"/>
                <w:sz w:val="28"/>
                <w:szCs w:val="28"/>
              </w:rPr>
              <w:t>价格分的计算（保留小数点后两位）</w:t>
            </w:r>
          </w:p>
          <w:p>
            <w:pPr>
              <w:snapToGrid w:val="0"/>
              <w:rPr>
                <w:rFonts w:cs="Times New Roman" w:asciiTheme="minorEastAsia" w:hAnsiTheme="minorEastAsia"/>
                <w:sz w:val="28"/>
                <w:szCs w:val="28"/>
              </w:rPr>
            </w:pPr>
            <w:r>
              <w:rPr>
                <w:rFonts w:cs="Times New Roman" w:asciiTheme="minorEastAsia" w:hAnsiTheme="minorEastAsia"/>
                <w:sz w:val="28"/>
                <w:szCs w:val="28"/>
              </w:rPr>
              <w:t>基准价：在有效报价中，报价单位</w:t>
            </w:r>
            <w:r>
              <w:rPr>
                <w:rFonts w:hint="eastAsia" w:cs="Times New Roman" w:asciiTheme="minorEastAsia" w:hAnsiTheme="minorEastAsia"/>
                <w:sz w:val="28"/>
                <w:szCs w:val="28"/>
              </w:rPr>
              <w:t>≧</w:t>
            </w:r>
            <w:r>
              <w:rPr>
                <w:rFonts w:cs="Times New Roman" w:asciiTheme="minorEastAsia" w:hAnsiTheme="minorEastAsia"/>
                <w:sz w:val="28"/>
                <w:szCs w:val="28"/>
              </w:rPr>
              <w:t>5家时，去掉一个最高价和一个最低价，以其余报价的算术平均值为基准价；报价单位小于5家时，所有报价的算术平均值为基准价。</w:t>
            </w:r>
          </w:p>
          <w:p>
            <w:pPr>
              <w:snapToGrid w:val="0"/>
              <w:rPr>
                <w:rFonts w:cs="Times New Roman" w:asciiTheme="minorEastAsia" w:hAnsiTheme="minorEastAsia"/>
                <w:sz w:val="28"/>
                <w:szCs w:val="28"/>
              </w:rPr>
            </w:pPr>
            <w:r>
              <w:rPr>
                <w:rFonts w:cs="Times New Roman" w:asciiTheme="minorEastAsia" w:hAnsiTheme="minorEastAsia"/>
                <w:sz w:val="28"/>
                <w:szCs w:val="28"/>
              </w:rPr>
              <w:t>2）报价单位的报价等于评审基准价的得满分</w:t>
            </w:r>
            <w:r>
              <w:rPr>
                <w:rFonts w:hint="eastAsia" w:cs="Times New Roman" w:asciiTheme="minorEastAsia" w:hAnsiTheme="minorEastAsia"/>
                <w:sz w:val="28"/>
                <w:szCs w:val="28"/>
                <w:lang w:val="en-US" w:eastAsia="zh-CN"/>
              </w:rPr>
              <w:t>60</w:t>
            </w:r>
            <w:r>
              <w:rPr>
                <w:rFonts w:cs="Times New Roman" w:asciiTheme="minorEastAsia" w:hAnsiTheme="minorEastAsia"/>
                <w:sz w:val="28"/>
                <w:szCs w:val="28"/>
              </w:rPr>
              <w:t>分，每高出评审基准价1%扣0.</w:t>
            </w:r>
            <w:r>
              <w:rPr>
                <w:rFonts w:hint="eastAsia" w:cs="Times New Roman" w:asciiTheme="minorEastAsia" w:hAnsiTheme="minorEastAsia"/>
                <w:sz w:val="28"/>
                <w:szCs w:val="28"/>
                <w:lang w:val="en-US" w:eastAsia="zh-CN"/>
              </w:rPr>
              <w:t>5</w:t>
            </w:r>
            <w:r>
              <w:rPr>
                <w:rFonts w:cs="Times New Roman" w:asciiTheme="minorEastAsia" w:hAnsiTheme="minorEastAsia"/>
                <w:sz w:val="28"/>
                <w:szCs w:val="28"/>
              </w:rPr>
              <w:t>分，每低于评审基准价1%扣0.1分。</w:t>
            </w:r>
            <w:r>
              <w:rPr>
                <w:rFonts w:hint="eastAsia" w:cs="Times New Roman" w:asciiTheme="minorEastAsia" w:hAnsiTheme="minorEastAsia"/>
                <w:sz w:val="28"/>
                <w:szCs w:val="28"/>
                <w:lang w:eastAsia="zh-CN"/>
              </w:rPr>
              <w:t>保留到小数点后</w:t>
            </w:r>
            <w:r>
              <w:rPr>
                <w:rFonts w:cs="Times New Roman" w:asciiTheme="minorEastAsia" w:hAnsiTheme="minorEastAsia"/>
                <w:sz w:val="28"/>
                <w:szCs w:val="28"/>
                <w:lang w:eastAsia="zh-CN"/>
              </w:rPr>
              <w:t>2位</w:t>
            </w:r>
            <w:r>
              <w:rPr>
                <w:rFonts w:cs="Times New Roman" w:asciiTheme="minorEastAsia" w:hAnsiTheme="minorEastAsia"/>
                <w:sz w:val="28"/>
                <w:szCs w:val="28"/>
              </w:rPr>
              <w:t>，扣完为止。</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jc w:val="center"/>
              <w:rPr>
                <w:rFonts w:hint="eastAsia" w:cs="Times New Roman" w:asciiTheme="minorEastAsia" w:hAnsiTheme="minorEastAsia" w:eastAsiaTheme="minorEastAsia"/>
                <w:sz w:val="28"/>
                <w:szCs w:val="28"/>
                <w:lang w:eastAsia="zh-CN"/>
              </w:rPr>
            </w:pPr>
            <w:r>
              <w:rPr>
                <w:rFonts w:hint="eastAsia" w:cs="Times New Roman" w:asciiTheme="minorEastAsia" w:hAnsiTheme="minorEastAsia"/>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854" w:type="dxa"/>
            <w:gridSpan w:val="5"/>
            <w:tcBorders>
              <w:top w:val="single" w:color="auto" w:sz="4" w:space="0"/>
              <w:left w:val="single" w:color="auto" w:sz="12" w:space="0"/>
              <w:bottom w:val="single" w:color="auto" w:sz="4" w:space="0"/>
              <w:right w:val="single" w:color="auto" w:sz="12" w:space="0"/>
            </w:tcBorders>
            <w:shd w:val="clear" w:color="auto" w:fill="D9D9D9"/>
            <w:vAlign w:val="center"/>
          </w:tcPr>
          <w:p>
            <w:pPr>
              <w:snapToGrid w:val="0"/>
              <w:ind w:left="482" w:hanging="482"/>
              <w:jc w:val="center"/>
              <w:rPr>
                <w:rFonts w:cs="Times New Roman" w:asciiTheme="minorEastAsia" w:hAnsiTheme="minorEastAsia"/>
                <w:b/>
                <w:sz w:val="28"/>
                <w:szCs w:val="28"/>
              </w:rPr>
            </w:pPr>
            <w:r>
              <w:rPr>
                <w:rFonts w:cs="Times New Roman" w:asciiTheme="minorEastAsia" w:hAnsiTheme="minorEastAsia"/>
                <w:b/>
                <w:sz w:val="28"/>
                <w:szCs w:val="28"/>
              </w:rPr>
              <w:t>商务部分（</w:t>
            </w:r>
            <w:r>
              <w:rPr>
                <w:rFonts w:hint="eastAsia" w:cs="Times New Roman" w:asciiTheme="minorEastAsia" w:hAnsiTheme="minorEastAsia"/>
                <w:b/>
                <w:sz w:val="28"/>
                <w:szCs w:val="28"/>
                <w:lang w:val="en-US" w:eastAsia="zh-CN"/>
              </w:rPr>
              <w:t>30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916" w:type="dxa"/>
            <w:vMerge w:val="restart"/>
            <w:tcBorders>
              <w:left w:val="single" w:color="auto" w:sz="12" w:space="0"/>
              <w:right w:val="single" w:color="auto" w:sz="4" w:space="0"/>
            </w:tcBorders>
            <w:vAlign w:val="center"/>
          </w:tcPr>
          <w:p>
            <w:pPr>
              <w:snapToGrid w:val="0"/>
              <w:ind w:left="482" w:hanging="482"/>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sz w:val="28"/>
                <w:szCs w:val="28"/>
                <w:lang w:val="en-US" w:eastAsia="zh-CN"/>
              </w:rPr>
              <w:t>2</w:t>
            </w:r>
          </w:p>
        </w:tc>
        <w:tc>
          <w:tcPr>
            <w:tcW w:w="1418" w:type="dxa"/>
            <w:gridSpan w:val="2"/>
            <w:vMerge w:val="restart"/>
            <w:tcBorders>
              <w:left w:val="single" w:color="auto" w:sz="4" w:space="0"/>
              <w:right w:val="single" w:color="auto" w:sz="4" w:space="0"/>
            </w:tcBorders>
            <w:vAlign w:val="center"/>
          </w:tcPr>
          <w:p>
            <w:pPr>
              <w:snapToGrid w:val="0"/>
              <w:jc w:val="center"/>
              <w:rPr>
                <w:rFonts w:cs="Times New Roman" w:asciiTheme="minorEastAsia" w:hAnsiTheme="minorEastAsia"/>
                <w:sz w:val="28"/>
                <w:szCs w:val="28"/>
              </w:rPr>
            </w:pPr>
            <w:r>
              <w:rPr>
                <w:rFonts w:hint="eastAsia" w:cs="Times New Roman" w:asciiTheme="minorEastAsia" w:hAnsiTheme="minorEastAsia"/>
                <w:sz w:val="28"/>
                <w:szCs w:val="28"/>
                <w:lang w:val="en-US" w:eastAsia="zh-CN"/>
              </w:rPr>
              <w:t>商务</w:t>
            </w:r>
            <w:r>
              <w:rPr>
                <w:rFonts w:cs="Times New Roman" w:asciiTheme="minorEastAsia" w:hAnsiTheme="minorEastAsia"/>
                <w:sz w:val="28"/>
                <w:szCs w:val="28"/>
              </w:rPr>
              <w:t>得分</w:t>
            </w:r>
          </w:p>
          <w:p>
            <w:pPr>
              <w:snapToGrid w:val="0"/>
              <w:ind w:left="482" w:hanging="482"/>
              <w:jc w:val="center"/>
              <w:rPr>
                <w:rFonts w:hint="eastAsia" w:cs="Times New Roman" w:asciiTheme="minorEastAsia" w:hAnsiTheme="minorEastAsia" w:eastAsiaTheme="minorEastAsia"/>
                <w:sz w:val="28"/>
                <w:szCs w:val="28"/>
                <w:lang w:val="en-US" w:eastAsia="zh-CN"/>
              </w:rPr>
            </w:pPr>
            <w:r>
              <w:rPr>
                <w:rFonts w:cs="Times New Roman" w:asciiTheme="minorEastAsia" w:hAnsiTheme="minorEastAsia"/>
                <w:sz w:val="28"/>
                <w:szCs w:val="28"/>
              </w:rPr>
              <w:t>（</w:t>
            </w:r>
            <w:r>
              <w:rPr>
                <w:rFonts w:hint="eastAsia" w:cs="Times New Roman" w:asciiTheme="minorEastAsia" w:hAnsiTheme="minorEastAsia"/>
                <w:sz w:val="28"/>
                <w:szCs w:val="28"/>
                <w:lang w:val="en-US" w:eastAsia="zh-CN"/>
              </w:rPr>
              <w:t>30</w:t>
            </w:r>
            <w:r>
              <w:rPr>
                <w:rFonts w:cs="Times New Roman" w:asciiTheme="minorEastAsia" w:hAnsiTheme="minorEastAsia"/>
                <w:sz w:val="28"/>
                <w:szCs w:val="28"/>
              </w:rPr>
              <w:t>分）</w:t>
            </w: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highlight w:val="yellow"/>
              </w:rPr>
            </w:pPr>
            <w:r>
              <w:rPr>
                <w:rFonts w:cs="Times New Roman" w:asciiTheme="minorEastAsia" w:hAnsiTheme="minorEastAsia"/>
                <w:sz w:val="28"/>
                <w:szCs w:val="28"/>
              </w:rPr>
              <w:t>近五年，</w:t>
            </w:r>
            <w:r>
              <w:rPr>
                <w:rFonts w:hint="eastAsia" w:cs="Times New Roman" w:asciiTheme="minorEastAsia" w:hAnsiTheme="minorEastAsia"/>
                <w:sz w:val="28"/>
                <w:szCs w:val="28"/>
                <w:lang w:val="en-US" w:eastAsia="zh-CN"/>
              </w:rPr>
              <w:t>类似水运设计</w:t>
            </w:r>
            <w:r>
              <w:rPr>
                <w:rFonts w:cs="Times New Roman" w:asciiTheme="minorEastAsia" w:hAnsiTheme="minorEastAsia"/>
                <w:sz w:val="28"/>
                <w:szCs w:val="28"/>
              </w:rPr>
              <w:t>获得过省级及以上行政主管部门或在国内依法登记注册的行业协会颁发的奖</w:t>
            </w:r>
            <w:r>
              <w:rPr>
                <w:rFonts w:hint="eastAsia" w:cs="Times New Roman" w:asciiTheme="minorEastAsia" w:hAnsiTheme="minorEastAsia"/>
                <w:sz w:val="28"/>
                <w:szCs w:val="28"/>
                <w:lang w:val="en-US" w:eastAsia="zh-CN"/>
              </w:rPr>
              <w:t>项</w:t>
            </w:r>
            <w:r>
              <w:rPr>
                <w:rFonts w:cs="Times New Roman" w:asciiTheme="minorEastAsia" w:hAnsiTheme="minorEastAsia"/>
                <w:sz w:val="28"/>
                <w:szCs w:val="28"/>
              </w:rPr>
              <w:t>，一等奖加6分，二等奖加4分，三等奖加2分，最多得10分。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highlight w:val="yellow"/>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6" w:type="dxa"/>
            <w:vMerge w:val="continue"/>
            <w:tcBorders>
              <w:left w:val="single" w:color="auto" w:sz="12"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ind w:left="482" w:hanging="482"/>
              <w:jc w:val="center"/>
              <w:rPr>
                <w:rFonts w:cs="Times New Roman" w:asciiTheme="minorEastAsia" w:hAnsiTheme="minorEastAsia"/>
                <w:sz w:val="28"/>
                <w:szCs w:val="28"/>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hint="eastAsia" w:cs="Times New Roman" w:asciiTheme="minorEastAsia" w:hAnsiTheme="minorEastAsia"/>
                <w:sz w:val="28"/>
                <w:szCs w:val="28"/>
                <w:lang w:val="en-US" w:eastAsia="zh-CN"/>
              </w:rPr>
              <w:t>项目负责人同时具备港航相关专业正高级工程师、国家注册咨询工程师和注册土木工程师（港口与航道工程）的得10分，否则得0分</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w:t>
            </w:r>
            <w:r>
              <w:rPr>
                <w:rFonts w:hint="eastAsia" w:cs="Times New Roman" w:asciiTheme="minorEastAsia" w:hAnsiTheme="minor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16" w:type="dxa"/>
            <w:vMerge w:val="continue"/>
            <w:tcBorders>
              <w:left w:val="single" w:color="auto" w:sz="12" w:space="0"/>
              <w:right w:val="single" w:color="auto" w:sz="4" w:space="0"/>
            </w:tcBorders>
            <w:vAlign w:val="center"/>
          </w:tcPr>
          <w:p>
            <w:pPr>
              <w:snapToGrid w:val="0"/>
              <w:jc w:val="center"/>
              <w:rPr>
                <w:rFonts w:cs="Times New Roman" w:asciiTheme="minorEastAsia" w:hAnsiTheme="minorEastAsia"/>
                <w:sz w:val="28"/>
                <w:szCs w:val="28"/>
              </w:rPr>
            </w:pPr>
          </w:p>
        </w:tc>
        <w:tc>
          <w:tcPr>
            <w:tcW w:w="1418" w:type="dxa"/>
            <w:gridSpan w:val="2"/>
            <w:vMerge w:val="continue"/>
            <w:tcBorders>
              <w:left w:val="single" w:color="auto" w:sz="4" w:space="0"/>
              <w:right w:val="single" w:color="auto" w:sz="4" w:space="0"/>
            </w:tcBorders>
            <w:vAlign w:val="center"/>
          </w:tcPr>
          <w:p>
            <w:pPr>
              <w:snapToGrid w:val="0"/>
              <w:jc w:val="center"/>
              <w:rPr>
                <w:rFonts w:cs="Times New Roman" w:asciiTheme="minorEastAsia" w:hAnsiTheme="minorEastAsia"/>
                <w:sz w:val="28"/>
                <w:szCs w:val="28"/>
                <w:highlight w:val="yellow"/>
              </w:rPr>
            </w:pPr>
          </w:p>
        </w:tc>
        <w:tc>
          <w:tcPr>
            <w:tcW w:w="6692" w:type="dxa"/>
            <w:tcBorders>
              <w:top w:val="single" w:color="auto" w:sz="4" w:space="0"/>
              <w:left w:val="single" w:color="auto" w:sz="4" w:space="0"/>
              <w:bottom w:val="single" w:color="auto" w:sz="4" w:space="0"/>
              <w:right w:val="single" w:color="auto" w:sz="4" w:space="0"/>
            </w:tcBorders>
            <w:vAlign w:val="center"/>
          </w:tcPr>
          <w:p>
            <w:pPr>
              <w:snapToGrid w:val="0"/>
              <w:rPr>
                <w:rFonts w:cs="Times New Roman" w:asciiTheme="minorEastAsia" w:hAnsiTheme="minorEastAsia"/>
                <w:sz w:val="28"/>
                <w:szCs w:val="28"/>
              </w:rPr>
            </w:pPr>
            <w:r>
              <w:rPr>
                <w:rFonts w:hint="eastAsia" w:cs="Times New Roman" w:asciiTheme="minorEastAsia" w:hAnsiTheme="minorEastAsia"/>
                <w:sz w:val="28"/>
                <w:szCs w:val="28"/>
              </w:rPr>
              <w:t>2015年1月1日至今（以工可批复时间为准）完成过1个长江上游Ⅲ级及以上航道整治工程可行性研究报告业绩，</w:t>
            </w:r>
            <w:r>
              <w:rPr>
                <w:rFonts w:cs="Times New Roman" w:asciiTheme="minorEastAsia" w:hAnsiTheme="minorEastAsia"/>
                <w:sz w:val="28"/>
                <w:szCs w:val="28"/>
              </w:rPr>
              <w:t>每个业绩加</w:t>
            </w:r>
            <w:r>
              <w:rPr>
                <w:rFonts w:hint="eastAsia" w:cs="Times New Roman" w:asciiTheme="minorEastAsia" w:hAnsiTheme="minorEastAsia"/>
                <w:sz w:val="28"/>
                <w:szCs w:val="28"/>
                <w:lang w:val="en-US" w:eastAsia="zh-CN"/>
              </w:rPr>
              <w:t>2</w:t>
            </w:r>
            <w:r>
              <w:rPr>
                <w:rFonts w:cs="Times New Roman" w:asciiTheme="minorEastAsia" w:hAnsiTheme="minorEastAsia"/>
                <w:sz w:val="28"/>
                <w:szCs w:val="28"/>
              </w:rPr>
              <w:t>分，最多加</w:t>
            </w:r>
            <w:r>
              <w:rPr>
                <w:rFonts w:hint="eastAsia" w:cs="Times New Roman" w:asciiTheme="minorEastAsia" w:hAnsiTheme="minorEastAsia"/>
                <w:sz w:val="28"/>
                <w:szCs w:val="28"/>
                <w:lang w:val="en-US" w:eastAsia="zh-CN"/>
              </w:rPr>
              <w:t>1</w:t>
            </w:r>
            <w:r>
              <w:rPr>
                <w:rFonts w:cs="Times New Roman" w:asciiTheme="minorEastAsia" w:hAnsiTheme="minorEastAsia"/>
                <w:sz w:val="28"/>
                <w:szCs w:val="28"/>
              </w:rPr>
              <w:t>0分</w:t>
            </w:r>
            <w:r>
              <w:rPr>
                <w:rFonts w:hint="eastAsia" w:cs="Times New Roman" w:asciiTheme="minorEastAsia" w:hAnsiTheme="minorEastAsia"/>
                <w:sz w:val="28"/>
                <w:szCs w:val="28"/>
              </w:rPr>
              <w:t>。</w:t>
            </w:r>
            <w:r>
              <w:rPr>
                <w:rFonts w:cs="Times New Roman" w:asciiTheme="minorEastAsia" w:hAnsiTheme="minorEastAsia"/>
                <w:sz w:val="28"/>
                <w:szCs w:val="28"/>
              </w:rPr>
              <w:t>（提供合同原件扫描件</w:t>
            </w:r>
            <w:r>
              <w:rPr>
                <w:rFonts w:hint="eastAsia" w:cs="Times New Roman" w:asciiTheme="minorEastAsia" w:hAnsiTheme="minorEastAsia"/>
                <w:sz w:val="28"/>
                <w:szCs w:val="28"/>
              </w:rPr>
              <w:t>、工可批复复印件并加盖投标单位公章（鲜章），不满足上述要求的业绩无效</w:t>
            </w:r>
            <w:r>
              <w:rPr>
                <w:rFonts w:cs="Times New Roman" w:asciiTheme="minorEastAsia" w:hAnsiTheme="minorEastAsia"/>
                <w:sz w:val="28"/>
                <w:szCs w:val="28"/>
              </w:rPr>
              <w:t>）。</w:t>
            </w:r>
          </w:p>
        </w:tc>
        <w:tc>
          <w:tcPr>
            <w:tcW w:w="828" w:type="dxa"/>
            <w:tcBorders>
              <w:top w:val="single" w:color="auto" w:sz="4" w:space="0"/>
              <w:left w:val="single" w:color="auto" w:sz="4" w:space="0"/>
              <w:bottom w:val="single" w:color="auto" w:sz="4" w:space="0"/>
              <w:right w:val="single" w:color="auto" w:sz="12" w:space="0"/>
            </w:tcBorders>
            <w:vAlign w:val="center"/>
          </w:tcPr>
          <w:p>
            <w:pPr>
              <w:snapToGrid w:val="0"/>
              <w:ind w:left="482" w:hanging="482"/>
              <w:jc w:val="center"/>
              <w:rPr>
                <w:rFonts w:cs="Times New Roman" w:asciiTheme="minorEastAsia" w:hAnsiTheme="minorEastAsia"/>
                <w:sz w:val="28"/>
                <w:szCs w:val="28"/>
              </w:rPr>
            </w:pPr>
            <w:r>
              <w:rPr>
                <w:rFonts w:cs="Times New Roman" w:asciiTheme="minorEastAsia" w:hAnsiTheme="minorEastAsi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9854" w:type="dxa"/>
            <w:gridSpan w:val="5"/>
            <w:tcBorders>
              <w:left w:val="single" w:color="auto" w:sz="12" w:space="0"/>
              <w:right w:val="single" w:color="auto" w:sz="12" w:space="0"/>
            </w:tcBorders>
            <w:shd w:val="clear" w:color="auto" w:fill="BEBEBE" w:themeFill="background1" w:themeFillShade="BF"/>
            <w:vAlign w:val="center"/>
          </w:tcPr>
          <w:p>
            <w:pPr>
              <w:snapToGrid w:val="0"/>
              <w:ind w:left="482" w:hanging="482"/>
              <w:jc w:val="center"/>
              <w:rPr>
                <w:rFonts w:cs="Times New Roman" w:asciiTheme="minorEastAsia" w:hAnsiTheme="minorEastAsia"/>
                <w:b/>
                <w:sz w:val="28"/>
                <w:szCs w:val="28"/>
              </w:rPr>
            </w:pPr>
            <w:r>
              <w:rPr>
                <w:rFonts w:hint="eastAsia" w:cs="Times New Roman" w:asciiTheme="minorEastAsia" w:hAnsiTheme="minorEastAsia"/>
                <w:b/>
                <w:sz w:val="28"/>
                <w:szCs w:val="28"/>
                <w:lang w:val="en-US" w:eastAsia="zh-CN"/>
              </w:rPr>
              <w:t>技术</w:t>
            </w:r>
            <w:r>
              <w:rPr>
                <w:rFonts w:cs="Times New Roman" w:asciiTheme="minorEastAsia" w:hAnsiTheme="minorEastAsia"/>
                <w:b/>
                <w:sz w:val="28"/>
                <w:szCs w:val="28"/>
              </w:rPr>
              <w:t>部分（</w:t>
            </w:r>
            <w:r>
              <w:rPr>
                <w:rFonts w:hint="eastAsia" w:cs="Times New Roman" w:asciiTheme="minorEastAsia" w:hAnsiTheme="minorEastAsia"/>
                <w:b/>
                <w:sz w:val="28"/>
                <w:szCs w:val="28"/>
                <w:lang w:val="en-US" w:eastAsia="zh-CN"/>
              </w:rPr>
              <w:t>10</w:t>
            </w:r>
            <w:r>
              <w:rPr>
                <w:rFonts w:cs="Times New Roman" w:asciiTheme="minorEastAsia" w:hAnsiTheme="minorEastAsia"/>
                <w:b/>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979" w:type="dxa"/>
            <w:gridSpan w:val="2"/>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3</w:t>
            </w:r>
          </w:p>
        </w:tc>
        <w:tc>
          <w:tcPr>
            <w:tcW w:w="1355"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技术部分</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（10分）</w:t>
            </w:r>
          </w:p>
        </w:tc>
        <w:tc>
          <w:tcPr>
            <w:tcW w:w="6692"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根据报价人对本项目工作时间及进度安排是否优于招标人要求及其安排的合理性，根据报价人对项目实施及质量的保障措施的可行性与完整性，横向对比之：</w:t>
            </w:r>
          </w:p>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优：10分；良：8分；一般：6分；差：2分。</w:t>
            </w:r>
          </w:p>
        </w:tc>
        <w:tc>
          <w:tcPr>
            <w:tcW w:w="828" w:type="dxa"/>
            <w:tcBorders>
              <w:left w:val="single" w:color="auto" w:sz="12" w:space="0"/>
              <w:right w:val="single" w:color="auto" w:sz="12" w:space="0"/>
            </w:tcBorders>
            <w:vAlign w:val="center"/>
          </w:tcPr>
          <w:p>
            <w:pPr>
              <w:snapToGrid w:val="0"/>
              <w:rPr>
                <w:rFonts w:hint="eastAsia" w:cs="Times New Roman" w:asciiTheme="minorEastAsia" w:hAnsiTheme="minorEastAsia"/>
                <w:sz w:val="28"/>
                <w:szCs w:val="28"/>
                <w:lang w:val="en-US" w:eastAsia="zh-CN"/>
              </w:rPr>
            </w:pPr>
            <w:r>
              <w:rPr>
                <w:rFonts w:hint="eastAsia" w:cs="Times New Roman" w:asciiTheme="minorEastAsia" w:hAnsiTheme="minorEastAsia"/>
                <w:sz w:val="28"/>
                <w:szCs w:val="28"/>
                <w:lang w:val="en-US" w:eastAsia="zh-CN"/>
              </w:rPr>
              <w:t>10</w:t>
            </w:r>
          </w:p>
        </w:tc>
      </w:tr>
    </w:tbl>
    <w:p>
      <w:pPr>
        <w:autoSpaceDE w:val="0"/>
        <w:autoSpaceDN w:val="0"/>
        <w:adjustRightInd w:val="0"/>
        <w:spacing w:line="520" w:lineRule="exact"/>
        <w:ind w:firstLine="640" w:firstLineChars="200"/>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45460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F5"/>
    <w:rsid w:val="00005D63"/>
    <w:rsid w:val="00037A16"/>
    <w:rsid w:val="00054B51"/>
    <w:rsid w:val="00081A93"/>
    <w:rsid w:val="0013676E"/>
    <w:rsid w:val="00157A10"/>
    <w:rsid w:val="00163E6C"/>
    <w:rsid w:val="0017054B"/>
    <w:rsid w:val="001B053E"/>
    <w:rsid w:val="001B2466"/>
    <w:rsid w:val="001C7D9C"/>
    <w:rsid w:val="001E6258"/>
    <w:rsid w:val="00222F71"/>
    <w:rsid w:val="00260363"/>
    <w:rsid w:val="002608E6"/>
    <w:rsid w:val="002724CA"/>
    <w:rsid w:val="0028199A"/>
    <w:rsid w:val="0029681C"/>
    <w:rsid w:val="00326EFA"/>
    <w:rsid w:val="00337871"/>
    <w:rsid w:val="00363BC3"/>
    <w:rsid w:val="00377537"/>
    <w:rsid w:val="003B13EA"/>
    <w:rsid w:val="00401B41"/>
    <w:rsid w:val="0043000F"/>
    <w:rsid w:val="00494B64"/>
    <w:rsid w:val="00494FFB"/>
    <w:rsid w:val="004B76BB"/>
    <w:rsid w:val="005230B2"/>
    <w:rsid w:val="005244F4"/>
    <w:rsid w:val="00557E13"/>
    <w:rsid w:val="005B07AA"/>
    <w:rsid w:val="005B4801"/>
    <w:rsid w:val="005B7741"/>
    <w:rsid w:val="005D00F7"/>
    <w:rsid w:val="00610B4B"/>
    <w:rsid w:val="00632CB6"/>
    <w:rsid w:val="006355A9"/>
    <w:rsid w:val="00666EFA"/>
    <w:rsid w:val="00667DD6"/>
    <w:rsid w:val="00695FC4"/>
    <w:rsid w:val="006A2E13"/>
    <w:rsid w:val="006E18C2"/>
    <w:rsid w:val="006E6B62"/>
    <w:rsid w:val="00716AC7"/>
    <w:rsid w:val="00723FB9"/>
    <w:rsid w:val="0073453D"/>
    <w:rsid w:val="00784FC3"/>
    <w:rsid w:val="0079712F"/>
    <w:rsid w:val="00857BC8"/>
    <w:rsid w:val="008939F8"/>
    <w:rsid w:val="0089651F"/>
    <w:rsid w:val="008A4E48"/>
    <w:rsid w:val="008E325B"/>
    <w:rsid w:val="009272B4"/>
    <w:rsid w:val="00981122"/>
    <w:rsid w:val="009A1F65"/>
    <w:rsid w:val="009A5DC4"/>
    <w:rsid w:val="009C6CAB"/>
    <w:rsid w:val="00A90C4E"/>
    <w:rsid w:val="00B00D72"/>
    <w:rsid w:val="00B40716"/>
    <w:rsid w:val="00B435C2"/>
    <w:rsid w:val="00B55734"/>
    <w:rsid w:val="00B83EF4"/>
    <w:rsid w:val="00BB0A76"/>
    <w:rsid w:val="00BB4028"/>
    <w:rsid w:val="00BB76F5"/>
    <w:rsid w:val="00BF7E11"/>
    <w:rsid w:val="00C82BD0"/>
    <w:rsid w:val="00CB4645"/>
    <w:rsid w:val="00CC39BC"/>
    <w:rsid w:val="00CE4D34"/>
    <w:rsid w:val="00D207EE"/>
    <w:rsid w:val="00D97402"/>
    <w:rsid w:val="00DA6324"/>
    <w:rsid w:val="00DC0771"/>
    <w:rsid w:val="00E02FC1"/>
    <w:rsid w:val="00E05101"/>
    <w:rsid w:val="00E30FE9"/>
    <w:rsid w:val="00E60BD1"/>
    <w:rsid w:val="00E70EF9"/>
    <w:rsid w:val="00E9070A"/>
    <w:rsid w:val="00ED4FB8"/>
    <w:rsid w:val="00F12FDD"/>
    <w:rsid w:val="00F51846"/>
    <w:rsid w:val="00F608FC"/>
    <w:rsid w:val="00F64C72"/>
    <w:rsid w:val="00F75EF5"/>
    <w:rsid w:val="00F765D3"/>
    <w:rsid w:val="00F91172"/>
    <w:rsid w:val="00F93D04"/>
    <w:rsid w:val="00FA1132"/>
    <w:rsid w:val="00FB7247"/>
    <w:rsid w:val="00FD00C1"/>
    <w:rsid w:val="00FD6386"/>
    <w:rsid w:val="00FE45A2"/>
    <w:rsid w:val="00FE72C3"/>
    <w:rsid w:val="00FF1623"/>
    <w:rsid w:val="110C3799"/>
    <w:rsid w:val="32E1045F"/>
    <w:rsid w:val="42D87879"/>
    <w:rsid w:val="46035D97"/>
    <w:rsid w:val="4D6A7403"/>
    <w:rsid w:val="6DDF64FC"/>
    <w:rsid w:val="72984579"/>
    <w:rsid w:val="7ADF371C"/>
    <w:rsid w:val="7CB8337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customStyle="1" w:styleId="10">
    <w:name w:val="List Paragraph"/>
    <w:basedOn w:val="1"/>
    <w:qFormat/>
    <w:uiPriority w:val="34"/>
    <w:pPr>
      <w:ind w:firstLine="420" w:firstLineChars="200"/>
    </w:pPr>
  </w:style>
  <w:style w:type="paragraph" w:customStyle="1" w:styleId="11">
    <w:name w:val="列出段落2"/>
    <w:basedOn w:val="1"/>
    <w:uiPriority w:val="0"/>
    <w:pPr>
      <w:adjustRightInd w:val="0"/>
      <w:spacing w:line="360" w:lineRule="atLeast"/>
      <w:ind w:firstLine="200" w:firstLineChars="200"/>
      <w:jc w:val="left"/>
      <w:textAlignment w:val="baseline"/>
    </w:pPr>
    <w:rPr>
      <w:rFonts w:ascii="Times New Roman" w:hAnsi="Times New Roman" w:eastAsia="宋体" w:cs="Times New Roman"/>
      <w:szCs w:val="21"/>
    </w:rPr>
  </w:style>
  <w:style w:type="paragraph" w:customStyle="1" w:styleId="12">
    <w:name w:val="样式1"/>
    <w:basedOn w:val="1"/>
    <w:qFormat/>
    <w:uiPriority w:val="0"/>
    <w:pPr>
      <w:tabs>
        <w:tab w:val="left" w:pos="709"/>
      </w:tabs>
      <w:adjustRightInd w:val="0"/>
      <w:ind w:left="709" w:hanging="709"/>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334</Words>
  <Characters>1907</Characters>
  <Lines>15</Lines>
  <Paragraphs>4</Paragraphs>
  <ScaleCrop>false</ScaleCrop>
  <LinksUpToDate>false</LinksUpToDate>
  <CharactersWithSpaces>2237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2021-05-21T01:56:00Z</dcterms:created>
  <dc:creator>贾鹏鹏</dc:creator>
  <cp:lastModifiedBy>86177</cp:lastModifiedBy>
  <dcterms:modified xsi:type="dcterms:W3CDTF">2021-09-27T01:30:25Z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865FC51D8BF4432C914628E3E2270333</vt:lpwstr>
  </property>
</Properties>
</file>