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0"/>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重庆通力高速公路养护工程有限公司</w:t>
      </w:r>
    </w:p>
    <w:p>
      <w:pPr>
        <w:jc w:val="center"/>
        <w:rPr>
          <w:rFonts w:ascii="宋体" w:hAnsi="宋体" w:cs="宋体"/>
          <w:b/>
          <w:spacing w:val="20"/>
          <w:sz w:val="72"/>
          <w:szCs w:val="72"/>
        </w:rPr>
      </w:pPr>
      <w:r>
        <w:rPr>
          <w:rFonts w:hint="eastAsia" w:ascii="宋体" w:hAnsi="宋体" w:cs="宋体"/>
          <w:b/>
          <w:sz w:val="48"/>
          <w:szCs w:val="48"/>
          <w:lang w:eastAsia="zh-CN"/>
        </w:rPr>
        <w:t>G75巴南服务区改造工程</w:t>
      </w:r>
      <w:r>
        <w:rPr>
          <w:rFonts w:hint="eastAsia" w:ascii="宋体" w:hAnsi="宋体" w:cs="宋体"/>
          <w:b/>
          <w:sz w:val="48"/>
          <w:szCs w:val="48"/>
        </w:rPr>
        <w:t>商品混凝土采购</w:t>
      </w:r>
    </w:p>
    <w:p>
      <w:pPr>
        <w:jc w:val="center"/>
        <w:rPr>
          <w:rFonts w:ascii="宋体" w:hAnsi="宋体" w:cs="宋体"/>
          <w:b/>
          <w:spacing w:val="20"/>
          <w:sz w:val="72"/>
          <w:szCs w:val="72"/>
        </w:rPr>
      </w:pPr>
    </w:p>
    <w:p>
      <w:pPr>
        <w:jc w:val="center"/>
        <w:rPr>
          <w:rFonts w:ascii="宋体" w:hAnsi="宋体" w:cs="宋体"/>
          <w:b/>
          <w:spacing w:val="20"/>
          <w:sz w:val="72"/>
          <w:szCs w:val="72"/>
        </w:rPr>
      </w:pPr>
    </w:p>
    <w:p>
      <w:pPr>
        <w:pStyle w:val="2"/>
      </w:pPr>
    </w:p>
    <w:p>
      <w:pPr>
        <w:jc w:val="center"/>
        <w:rPr>
          <w:rFonts w:ascii="宋体" w:hAnsi="宋体" w:cs="宋体"/>
          <w:b/>
          <w:spacing w:val="20"/>
          <w:sz w:val="84"/>
          <w:szCs w:val="84"/>
        </w:rPr>
      </w:pPr>
      <w:r>
        <w:rPr>
          <w:rFonts w:hint="eastAsia" w:ascii="宋体" w:hAnsi="宋体" w:cs="宋体"/>
          <w:b/>
          <w:spacing w:val="20"/>
          <w:sz w:val="84"/>
          <w:szCs w:val="84"/>
        </w:rPr>
        <w:t>竞争性比选文件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pacing w:val="100"/>
          <w:szCs w:val="21"/>
        </w:rPr>
      </w:pPr>
    </w:p>
    <w:p>
      <w:pPr>
        <w:pStyle w:val="3"/>
        <w:spacing w:line="360" w:lineRule="auto"/>
        <w:ind w:left="99" w:leftChars="47"/>
        <w:jc w:val="center"/>
        <w:rPr>
          <w:rFonts w:ascii="宋体" w:hAnsi="宋体" w:cs="宋体"/>
          <w:b/>
          <w:sz w:val="32"/>
          <w:szCs w:val="32"/>
        </w:rPr>
      </w:pPr>
      <w:r>
        <w:rPr>
          <w:rFonts w:hint="eastAsia" w:ascii="宋体" w:hAnsi="宋体" w:cs="宋体"/>
          <w:b/>
          <w:sz w:val="32"/>
          <w:szCs w:val="32"/>
        </w:rPr>
        <w:t>重庆通力高速公路养护工程有限公司</w:t>
      </w:r>
    </w:p>
    <w:p>
      <w:pPr>
        <w:pStyle w:val="3"/>
        <w:spacing w:line="360" w:lineRule="auto"/>
        <w:ind w:left="99" w:leftChars="47"/>
        <w:jc w:val="center"/>
        <w:rPr>
          <w:rFonts w:ascii="宋体" w:hAnsi="宋体" w:cs="宋体"/>
          <w:b/>
          <w:sz w:val="32"/>
          <w:szCs w:val="32"/>
        </w:rPr>
      </w:pPr>
      <w:r>
        <w:rPr>
          <w:rFonts w:hint="eastAsia" w:ascii="宋体" w:hAnsi="宋体" w:cs="宋体"/>
          <w:b/>
          <w:sz w:val="32"/>
          <w:szCs w:val="32"/>
        </w:rPr>
        <w:t>2022年</w:t>
      </w:r>
      <w:r>
        <w:rPr>
          <w:rFonts w:hint="eastAsia" w:ascii="宋体" w:hAnsi="宋体" w:cs="宋体"/>
          <w:b/>
          <w:sz w:val="32"/>
          <w:szCs w:val="32"/>
          <w:lang w:val="en-US" w:eastAsia="zh-CN"/>
        </w:rPr>
        <w:t>7</w:t>
      </w:r>
      <w:r>
        <w:rPr>
          <w:rFonts w:hint="eastAsia" w:ascii="宋体" w:hAnsi="宋体" w:cs="宋体"/>
          <w:b/>
          <w:sz w:val="32"/>
          <w:szCs w:val="32"/>
        </w:rPr>
        <w:t>月</w:t>
      </w:r>
    </w:p>
    <w:p>
      <w:pPr>
        <w:rPr>
          <w:rFonts w:ascii="宋体" w:hAnsi="宋体" w:cs="宋体"/>
          <w:b/>
          <w:sz w:val="32"/>
          <w:szCs w:val="32"/>
        </w:rPr>
      </w:pPr>
    </w:p>
    <w:p>
      <w:pPr>
        <w:pStyle w:val="9"/>
      </w:pPr>
    </w:p>
    <w:p/>
    <w:p>
      <w:pPr>
        <w:spacing w:line="400" w:lineRule="exact"/>
        <w:jc w:val="center"/>
        <w:rPr>
          <w:rFonts w:ascii="宋体" w:hAnsi="宋体" w:cs="宋体"/>
          <w:b/>
          <w:sz w:val="30"/>
          <w:szCs w:val="30"/>
        </w:rPr>
      </w:pPr>
    </w:p>
    <w:p>
      <w:pPr>
        <w:jc w:val="center"/>
        <w:rPr>
          <w:rFonts w:hint="eastAsia" w:ascii="宋体" w:hAnsi="宋体" w:cs="宋体"/>
          <w:b/>
          <w:sz w:val="30"/>
          <w:szCs w:val="30"/>
        </w:rPr>
      </w:pPr>
      <w:r>
        <w:rPr>
          <w:rFonts w:hint="eastAsia" w:ascii="宋体" w:hAnsi="宋体" w:cs="宋体"/>
          <w:b/>
          <w:sz w:val="30"/>
          <w:szCs w:val="30"/>
        </w:rPr>
        <w:t>重庆通力高速公路养护工程有限公司</w:t>
      </w:r>
    </w:p>
    <w:p>
      <w:pPr>
        <w:jc w:val="center"/>
        <w:rPr>
          <w:rFonts w:ascii="宋体" w:hAnsi="宋体" w:cs="宋体"/>
          <w:b/>
          <w:sz w:val="30"/>
          <w:szCs w:val="30"/>
        </w:rPr>
      </w:pPr>
      <w:r>
        <w:rPr>
          <w:rFonts w:hint="eastAsia" w:ascii="宋体" w:hAnsi="宋体" w:cs="宋体"/>
          <w:b/>
          <w:sz w:val="30"/>
          <w:szCs w:val="30"/>
          <w:lang w:eastAsia="zh-CN"/>
        </w:rPr>
        <w:t>G75巴南服务区改造工程</w:t>
      </w:r>
      <w:r>
        <w:rPr>
          <w:rFonts w:hint="eastAsia" w:ascii="宋体" w:hAnsi="宋体" w:cs="宋体"/>
          <w:b/>
          <w:sz w:val="30"/>
          <w:szCs w:val="30"/>
        </w:rPr>
        <w:t>商品混凝土采购</w:t>
      </w:r>
    </w:p>
    <w:p>
      <w:pPr>
        <w:spacing w:line="400" w:lineRule="exact"/>
        <w:jc w:val="center"/>
        <w:rPr>
          <w:rFonts w:ascii="宋体" w:hAnsi="宋体" w:cs="宋体"/>
          <w:b/>
          <w:sz w:val="30"/>
          <w:szCs w:val="30"/>
        </w:rPr>
      </w:pPr>
      <w:r>
        <w:rPr>
          <w:rFonts w:hint="eastAsia" w:ascii="宋体" w:hAnsi="宋体" w:cs="宋体"/>
          <w:b/>
          <w:sz w:val="30"/>
          <w:szCs w:val="30"/>
        </w:rPr>
        <w:t>竞争性比选公告</w:t>
      </w:r>
    </w:p>
    <w:p>
      <w:pPr>
        <w:spacing w:line="400" w:lineRule="exact"/>
        <w:ind w:firstLine="120" w:firstLineChars="50"/>
        <w:rPr>
          <w:rFonts w:ascii="宋体" w:hAnsi="宋体" w:cs="宋体"/>
          <w:sz w:val="24"/>
          <w:szCs w:val="24"/>
          <w:u w:val="single"/>
        </w:rPr>
      </w:pPr>
      <w:bookmarkStart w:id="0" w:name="_Toc179632536"/>
      <w:bookmarkStart w:id="1" w:name="_Toc296602410"/>
      <w:bookmarkStart w:id="2" w:name="_Toc152045519"/>
      <w:bookmarkStart w:id="3" w:name="_Toc152042295"/>
      <w:bookmarkStart w:id="4" w:name="_Toc144974487"/>
      <w:bookmarkStart w:id="5" w:name="_Toc246996166"/>
      <w:bookmarkStart w:id="6" w:name="_Toc246996909"/>
      <w:bookmarkStart w:id="7" w:name="_Toc247085680"/>
    </w:p>
    <w:bookmarkEnd w:id="0"/>
    <w:bookmarkEnd w:id="1"/>
    <w:bookmarkEnd w:id="2"/>
    <w:bookmarkEnd w:id="3"/>
    <w:bookmarkEnd w:id="4"/>
    <w:bookmarkEnd w:id="5"/>
    <w:bookmarkEnd w:id="6"/>
    <w:bookmarkEnd w:id="7"/>
    <w:p>
      <w:pPr>
        <w:wordWrap w:val="0"/>
        <w:spacing w:line="400" w:lineRule="exact"/>
        <w:ind w:firstLine="420" w:firstLineChars="200"/>
        <w:jc w:val="left"/>
        <w:rPr>
          <w:szCs w:val="21"/>
        </w:rPr>
      </w:pPr>
      <w:bookmarkStart w:id="8" w:name="_Toc152042297"/>
      <w:bookmarkStart w:id="9" w:name="_Toc296602412"/>
      <w:bookmarkStart w:id="10" w:name="_Toc144974489"/>
      <w:bookmarkStart w:id="11" w:name="_Toc247085682"/>
      <w:bookmarkStart w:id="12" w:name="_Toc246996168"/>
      <w:bookmarkStart w:id="13" w:name="_Toc152045521"/>
      <w:bookmarkStart w:id="14" w:name="_Toc246996911"/>
      <w:bookmarkStart w:id="15" w:name="_Toc179632538"/>
      <w:r>
        <w:rPr>
          <w:szCs w:val="21"/>
        </w:rPr>
        <w:t>本项目</w:t>
      </w:r>
      <w:r>
        <w:rPr>
          <w:rFonts w:hint="eastAsia"/>
          <w:b/>
          <w:bCs/>
          <w:szCs w:val="21"/>
        </w:rPr>
        <w:t>重庆通力高速公路养护工程有限公司</w:t>
      </w:r>
      <w:r>
        <w:rPr>
          <w:rFonts w:hint="eastAsia"/>
          <w:b/>
          <w:bCs/>
          <w:szCs w:val="21"/>
          <w:lang w:eastAsia="zh-CN"/>
        </w:rPr>
        <w:t>G75巴南服务区改造工程</w:t>
      </w:r>
      <w:r>
        <w:rPr>
          <w:rFonts w:hint="eastAsia"/>
          <w:b/>
          <w:bCs/>
          <w:szCs w:val="21"/>
        </w:rPr>
        <w:t>商品混凝土采购</w:t>
      </w:r>
      <w:r>
        <w:rPr>
          <w:szCs w:val="21"/>
        </w:rPr>
        <w:t>准备组织实施，重庆通力高速公路养护工程有限公司计划以</w:t>
      </w:r>
      <w:r>
        <w:rPr>
          <w:rFonts w:hint="eastAsia"/>
          <w:szCs w:val="21"/>
        </w:rPr>
        <w:t>竞争性比选</w:t>
      </w:r>
      <w:r>
        <w:rPr>
          <w:szCs w:val="21"/>
        </w:rPr>
        <w:t>方式确定成交单位，具体情况如下：</w:t>
      </w:r>
    </w:p>
    <w:p>
      <w:pPr>
        <w:spacing w:line="400" w:lineRule="exact"/>
        <w:rPr>
          <w:b/>
          <w:szCs w:val="21"/>
        </w:rPr>
      </w:pPr>
      <w:bookmarkStart w:id="16" w:name="_Toc246996167"/>
      <w:bookmarkStart w:id="17" w:name="_Toc152042296"/>
      <w:bookmarkStart w:id="18" w:name="_Toc152045520"/>
      <w:bookmarkStart w:id="19" w:name="_Toc296602411"/>
      <w:bookmarkStart w:id="20" w:name="_Toc179632537"/>
      <w:bookmarkStart w:id="21" w:name="_Toc246996910"/>
      <w:bookmarkStart w:id="22" w:name="_Toc247085681"/>
      <w:bookmarkStart w:id="23" w:name="_Toc144974488"/>
      <w:r>
        <w:rPr>
          <w:b/>
          <w:szCs w:val="21"/>
        </w:rPr>
        <w:t>一、项目概况与</w:t>
      </w:r>
      <w:r>
        <w:rPr>
          <w:rFonts w:hint="eastAsia"/>
          <w:b/>
          <w:szCs w:val="21"/>
        </w:rPr>
        <w:t>竞争性比选</w:t>
      </w:r>
      <w:r>
        <w:rPr>
          <w:b/>
          <w:szCs w:val="21"/>
        </w:rPr>
        <w:t>范围</w:t>
      </w:r>
      <w:bookmarkEnd w:id="16"/>
      <w:bookmarkEnd w:id="17"/>
      <w:bookmarkEnd w:id="18"/>
      <w:bookmarkEnd w:id="19"/>
      <w:bookmarkEnd w:id="20"/>
      <w:bookmarkEnd w:id="21"/>
      <w:bookmarkEnd w:id="22"/>
      <w:bookmarkEnd w:id="23"/>
    </w:p>
    <w:p>
      <w:pPr>
        <w:spacing w:line="400" w:lineRule="exact"/>
        <w:ind w:firstLine="420" w:firstLineChars="200"/>
        <w:rPr>
          <w:b/>
          <w:bCs/>
          <w:szCs w:val="21"/>
        </w:rPr>
      </w:pPr>
      <w:r>
        <w:rPr>
          <w:rFonts w:hint="eastAsia"/>
          <w:szCs w:val="21"/>
        </w:rPr>
        <w:t>本项目为</w:t>
      </w:r>
      <w:r>
        <w:rPr>
          <w:rFonts w:hint="eastAsia"/>
          <w:b/>
          <w:bCs/>
          <w:szCs w:val="21"/>
        </w:rPr>
        <w:t>重庆通力高速公路养护工程有限公司</w:t>
      </w:r>
      <w:r>
        <w:rPr>
          <w:rFonts w:hint="eastAsia"/>
          <w:b/>
          <w:bCs/>
          <w:szCs w:val="21"/>
          <w:lang w:eastAsia="zh-CN"/>
        </w:rPr>
        <w:t>G75巴南服务区改造工程</w:t>
      </w:r>
      <w:r>
        <w:rPr>
          <w:rFonts w:hint="eastAsia"/>
          <w:b/>
          <w:bCs/>
          <w:szCs w:val="21"/>
        </w:rPr>
        <w:t>商品混凝土材料采购项目。</w:t>
      </w:r>
    </w:p>
    <w:p>
      <w:pPr>
        <w:widowControl/>
        <w:numPr>
          <w:ilvl w:val="0"/>
          <w:numId w:val="1"/>
        </w:numPr>
        <w:spacing w:line="400" w:lineRule="exact"/>
        <w:ind w:firstLine="422" w:firstLineChars="200"/>
        <w:rPr>
          <w:b/>
          <w:bCs/>
          <w:szCs w:val="21"/>
        </w:rPr>
      </w:pPr>
      <w:r>
        <w:rPr>
          <w:rFonts w:hint="eastAsia"/>
          <w:b/>
          <w:bCs/>
          <w:szCs w:val="21"/>
        </w:rPr>
        <w:t>竞争性比选材料采购详见下表：</w:t>
      </w:r>
    </w:p>
    <w:tbl>
      <w:tblPr>
        <w:tblStyle w:val="7"/>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285"/>
        <w:gridCol w:w="1182"/>
        <w:gridCol w:w="666"/>
        <w:gridCol w:w="900"/>
        <w:gridCol w:w="1067"/>
        <w:gridCol w:w="1567"/>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7" w:type="dxa"/>
            <w:vAlign w:val="center"/>
          </w:tcPr>
          <w:p>
            <w:pPr>
              <w:spacing w:line="260" w:lineRule="exact"/>
              <w:jc w:val="center"/>
              <w:textAlignment w:val="baseline"/>
              <w:rPr>
                <w:szCs w:val="21"/>
              </w:rPr>
            </w:pPr>
            <w:r>
              <w:rPr>
                <w:rFonts w:hint="eastAsia"/>
                <w:szCs w:val="21"/>
              </w:rPr>
              <w:t>序号</w:t>
            </w:r>
          </w:p>
        </w:tc>
        <w:tc>
          <w:tcPr>
            <w:tcW w:w="1285" w:type="dxa"/>
            <w:vAlign w:val="center"/>
          </w:tcPr>
          <w:p>
            <w:pPr>
              <w:spacing w:line="260" w:lineRule="exact"/>
              <w:jc w:val="center"/>
              <w:textAlignment w:val="baseline"/>
              <w:rPr>
                <w:b/>
                <w:szCs w:val="21"/>
              </w:rPr>
            </w:pPr>
            <w:r>
              <w:rPr>
                <w:rFonts w:hint="eastAsia"/>
                <w:b/>
                <w:szCs w:val="21"/>
              </w:rPr>
              <w:t>产品名称</w:t>
            </w:r>
          </w:p>
        </w:tc>
        <w:tc>
          <w:tcPr>
            <w:tcW w:w="1182" w:type="dxa"/>
            <w:vAlign w:val="center"/>
          </w:tcPr>
          <w:p>
            <w:pPr>
              <w:spacing w:line="260" w:lineRule="exact"/>
              <w:jc w:val="center"/>
              <w:textAlignment w:val="baseline"/>
              <w:rPr>
                <w:b/>
                <w:szCs w:val="21"/>
              </w:rPr>
            </w:pPr>
            <w:r>
              <w:rPr>
                <w:rFonts w:hint="eastAsia"/>
                <w:b/>
                <w:szCs w:val="21"/>
              </w:rPr>
              <w:t>规格型号</w:t>
            </w:r>
          </w:p>
        </w:tc>
        <w:tc>
          <w:tcPr>
            <w:tcW w:w="666" w:type="dxa"/>
            <w:vAlign w:val="center"/>
          </w:tcPr>
          <w:p>
            <w:pPr>
              <w:spacing w:line="260" w:lineRule="exact"/>
              <w:jc w:val="center"/>
              <w:textAlignment w:val="baseline"/>
              <w:rPr>
                <w:b/>
                <w:szCs w:val="21"/>
              </w:rPr>
            </w:pPr>
            <w:r>
              <w:rPr>
                <w:rFonts w:hint="eastAsia"/>
                <w:b/>
                <w:szCs w:val="21"/>
              </w:rPr>
              <w:t>单位</w:t>
            </w:r>
          </w:p>
        </w:tc>
        <w:tc>
          <w:tcPr>
            <w:tcW w:w="900" w:type="dxa"/>
            <w:vAlign w:val="center"/>
          </w:tcPr>
          <w:p>
            <w:pPr>
              <w:spacing w:line="260" w:lineRule="exact"/>
              <w:jc w:val="center"/>
              <w:textAlignment w:val="baseline"/>
              <w:rPr>
                <w:rFonts w:hint="eastAsia" w:ascii="Times New Roman" w:hAnsi="Times New Roman" w:eastAsia="宋体" w:cs="Times New Roman"/>
                <w:b/>
                <w:kern w:val="2"/>
                <w:sz w:val="21"/>
                <w:szCs w:val="21"/>
                <w:lang w:val="en-US" w:eastAsia="zh-CN" w:bidi="ar-SA"/>
              </w:rPr>
            </w:pPr>
            <w:r>
              <w:rPr>
                <w:rFonts w:hint="eastAsia"/>
                <w:b/>
                <w:szCs w:val="21"/>
              </w:rPr>
              <w:t>暂估量</w:t>
            </w:r>
          </w:p>
        </w:tc>
        <w:tc>
          <w:tcPr>
            <w:tcW w:w="1067" w:type="dxa"/>
            <w:vAlign w:val="center"/>
          </w:tcPr>
          <w:p>
            <w:pPr>
              <w:spacing w:line="260" w:lineRule="exact"/>
              <w:jc w:val="center"/>
              <w:textAlignment w:val="baseline"/>
              <w:rPr>
                <w:rFonts w:hint="eastAsia" w:eastAsia="宋体"/>
                <w:b/>
                <w:szCs w:val="21"/>
                <w:lang w:val="en-US" w:eastAsia="zh-CN"/>
              </w:rPr>
            </w:pPr>
            <w:r>
              <w:rPr>
                <w:rFonts w:hint="eastAsia"/>
                <w:b/>
                <w:szCs w:val="21"/>
                <w:lang w:val="en-US" w:eastAsia="zh-CN"/>
              </w:rPr>
              <w:t>含税到场限价</w:t>
            </w:r>
          </w:p>
        </w:tc>
        <w:tc>
          <w:tcPr>
            <w:tcW w:w="1567" w:type="dxa"/>
            <w:vAlign w:val="center"/>
          </w:tcPr>
          <w:p>
            <w:pPr>
              <w:spacing w:line="260" w:lineRule="exact"/>
              <w:jc w:val="center"/>
              <w:textAlignment w:val="baseline"/>
              <w:rPr>
                <w:rFonts w:hint="eastAsia" w:eastAsia="宋体"/>
                <w:b/>
                <w:szCs w:val="21"/>
                <w:lang w:val="en-US" w:eastAsia="zh-CN"/>
              </w:rPr>
            </w:pPr>
            <w:r>
              <w:rPr>
                <w:rFonts w:hint="eastAsia"/>
                <w:b/>
                <w:szCs w:val="21"/>
                <w:lang w:val="en-US" w:eastAsia="zh-CN"/>
              </w:rPr>
              <w:t>金额</w:t>
            </w:r>
          </w:p>
        </w:tc>
        <w:tc>
          <w:tcPr>
            <w:tcW w:w="1650" w:type="dxa"/>
            <w:vAlign w:val="center"/>
          </w:tcPr>
          <w:p>
            <w:pPr>
              <w:spacing w:line="260" w:lineRule="exact"/>
              <w:jc w:val="center"/>
              <w:textAlignment w:val="baseline"/>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687" w:type="dxa"/>
            <w:vAlign w:val="center"/>
          </w:tcPr>
          <w:p>
            <w:pPr>
              <w:spacing w:line="260" w:lineRule="exact"/>
              <w:jc w:val="center"/>
              <w:textAlignment w:val="baseline"/>
              <w:rPr>
                <w:rFonts w:ascii="宋体" w:hAnsi="宋体" w:cs="宋体"/>
                <w:szCs w:val="21"/>
              </w:rPr>
            </w:pPr>
            <w:r>
              <w:rPr>
                <w:rFonts w:hint="eastAsia" w:ascii="宋体" w:hAnsi="宋体" w:cs="宋体"/>
                <w:szCs w:val="21"/>
              </w:rPr>
              <w:t>1</w:t>
            </w:r>
          </w:p>
        </w:tc>
        <w:tc>
          <w:tcPr>
            <w:tcW w:w="1285" w:type="dxa"/>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bidi="ar"/>
              </w:rPr>
              <w:t>商品</w:t>
            </w:r>
          </w:p>
          <w:p>
            <w:pPr>
              <w:widowControl/>
              <w:jc w:val="center"/>
              <w:textAlignment w:val="center"/>
              <w:rPr>
                <w:rFonts w:ascii="宋体" w:hAnsi="宋体" w:cs="宋体"/>
                <w:sz w:val="20"/>
                <w:szCs w:val="20"/>
              </w:rPr>
            </w:pPr>
            <w:r>
              <w:rPr>
                <w:rFonts w:hint="eastAsia" w:ascii="宋体" w:hAnsi="宋体" w:cs="宋体"/>
                <w:color w:val="000000"/>
                <w:kern w:val="0"/>
                <w:sz w:val="21"/>
                <w:szCs w:val="21"/>
                <w:lang w:bidi="ar"/>
              </w:rPr>
              <w:t>混凝土</w:t>
            </w:r>
          </w:p>
        </w:tc>
        <w:tc>
          <w:tcPr>
            <w:tcW w:w="1182" w:type="dxa"/>
            <w:vAlign w:val="center"/>
          </w:tcPr>
          <w:p>
            <w:pPr>
              <w:widowControl/>
              <w:jc w:val="center"/>
              <w:textAlignment w:val="center"/>
              <w:rPr>
                <w:rFonts w:hint="default" w:ascii="宋体" w:hAnsi="宋体" w:eastAsia="宋体" w:cs="宋体"/>
                <w:szCs w:val="21"/>
                <w:lang w:val="en-US" w:eastAsia="zh-CN"/>
              </w:rPr>
            </w:pPr>
            <w:r>
              <w:rPr>
                <w:rFonts w:hint="eastAsia" w:ascii="宋体" w:hAnsi="宋体" w:cs="宋体"/>
                <w:color w:val="000000"/>
                <w:kern w:val="0"/>
                <w:sz w:val="24"/>
                <w:szCs w:val="24"/>
                <w:lang w:bidi="ar"/>
              </w:rPr>
              <w:t>C</w:t>
            </w:r>
            <w:r>
              <w:rPr>
                <w:rFonts w:hint="eastAsia" w:ascii="宋体" w:hAnsi="宋体" w:cs="宋体"/>
                <w:color w:val="000000"/>
                <w:kern w:val="0"/>
                <w:sz w:val="24"/>
                <w:szCs w:val="24"/>
                <w:lang w:val="en-US" w:eastAsia="zh-CN" w:bidi="ar"/>
              </w:rPr>
              <w:t>20</w:t>
            </w:r>
          </w:p>
        </w:tc>
        <w:tc>
          <w:tcPr>
            <w:tcW w:w="666" w:type="dxa"/>
            <w:vAlign w:val="center"/>
          </w:tcPr>
          <w:p>
            <w:pPr>
              <w:widowControl/>
              <w:jc w:val="center"/>
              <w:textAlignment w:val="center"/>
              <w:rPr>
                <w:rFonts w:ascii="宋体" w:hAnsi="宋体" w:cs="宋体"/>
                <w:szCs w:val="21"/>
              </w:rPr>
            </w:pPr>
            <w:r>
              <w:rPr>
                <w:rFonts w:hint="eastAsia" w:ascii="宋体" w:hAnsi="宋体" w:cs="宋体"/>
                <w:color w:val="000000"/>
                <w:kern w:val="0"/>
                <w:sz w:val="24"/>
                <w:szCs w:val="24"/>
                <w:lang w:bidi="ar"/>
              </w:rPr>
              <w:t>m³</w:t>
            </w:r>
          </w:p>
        </w:tc>
        <w:tc>
          <w:tcPr>
            <w:tcW w:w="900" w:type="dxa"/>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cs="宋体"/>
                <w:color w:val="000000"/>
                <w:kern w:val="0"/>
                <w:sz w:val="24"/>
                <w:szCs w:val="24"/>
                <w:lang w:val="en-US" w:eastAsia="zh-CN" w:bidi="ar"/>
              </w:rPr>
              <w:t>400</w:t>
            </w:r>
          </w:p>
        </w:tc>
        <w:tc>
          <w:tcPr>
            <w:tcW w:w="1067" w:type="dxa"/>
            <w:vAlign w:val="center"/>
          </w:tcPr>
          <w:p>
            <w:pPr>
              <w:widowControl/>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580</w:t>
            </w:r>
          </w:p>
        </w:tc>
        <w:tc>
          <w:tcPr>
            <w:tcW w:w="1567" w:type="dxa"/>
            <w:vAlign w:val="center"/>
          </w:tcPr>
          <w:p>
            <w:pPr>
              <w:widowControl/>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232000</w:t>
            </w:r>
          </w:p>
        </w:tc>
        <w:tc>
          <w:tcPr>
            <w:tcW w:w="1650" w:type="dxa"/>
            <w:vMerge w:val="restart"/>
            <w:vAlign w:val="center"/>
          </w:tcPr>
          <w:p>
            <w:pPr>
              <w:pStyle w:val="9"/>
              <w:numPr>
                <w:ilvl w:val="0"/>
                <w:numId w:val="2"/>
              </w:numPr>
              <w:jc w:val="left"/>
              <w:rPr>
                <w:rFonts w:hint="default" w:ascii="宋体" w:hAnsi="宋体" w:eastAsia="宋体" w:cs="宋体"/>
                <w:sz w:val="21"/>
                <w:szCs w:val="21"/>
                <w:lang w:val="en-US" w:eastAsia="zh-CN"/>
              </w:rPr>
            </w:pPr>
            <w:r>
              <w:rPr>
                <w:rFonts w:hint="eastAsia" w:ascii="Times New Roman" w:hAnsi="Times New Roman" w:eastAsia="宋体" w:cs="Times New Roman"/>
                <w:b w:val="0"/>
                <w:bCs w:val="0"/>
                <w:caps w:val="0"/>
                <w:kern w:val="2"/>
                <w:sz w:val="21"/>
                <w:lang w:val="en-US" w:eastAsia="zh-CN" w:bidi="ar-SA"/>
              </w:rPr>
              <w:t>交货地点：</w:t>
            </w:r>
            <w:r>
              <w:rPr>
                <w:rFonts w:hint="eastAsia" w:eastAsia="宋体" w:cs="Times New Roman"/>
                <w:lang w:val="en-US" w:eastAsia="zh-CN"/>
              </w:rPr>
              <w:t>渝黔射线出城方向</w:t>
            </w:r>
            <w:r>
              <w:rPr>
                <w:rFonts w:hint="eastAsia"/>
                <w:lang w:val="en-US" w:eastAsia="zh-CN"/>
              </w:rPr>
              <w:t>G75巴南服务区。</w:t>
            </w:r>
          </w:p>
          <w:p>
            <w:pPr>
              <w:pStyle w:val="9"/>
              <w:numPr>
                <w:ilvl w:val="0"/>
                <w:numId w:val="2"/>
              </w:numPr>
              <w:jc w:val="left"/>
              <w:rPr>
                <w:rFonts w:ascii="宋体" w:hAnsi="宋体" w:eastAsia="宋体" w:cs="宋体"/>
                <w:sz w:val="21"/>
                <w:szCs w:val="21"/>
              </w:rPr>
            </w:pPr>
            <w:r>
              <w:rPr>
                <w:rFonts w:hint="eastAsia" w:ascii="宋体" w:hAnsi="宋体" w:eastAsia="宋体" w:cs="宋体"/>
                <w:sz w:val="21"/>
                <w:szCs w:val="21"/>
              </w:rPr>
              <w:t>采购数量为暂定数量，以实际发生为准。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87" w:type="dxa"/>
            <w:vAlign w:val="center"/>
          </w:tcPr>
          <w:p>
            <w:pPr>
              <w:spacing w:line="260" w:lineRule="exact"/>
              <w:jc w:val="center"/>
              <w:textAlignment w:val="baseline"/>
              <w:rPr>
                <w:rFonts w:ascii="宋体" w:hAnsi="宋体" w:cs="宋体"/>
                <w:szCs w:val="21"/>
              </w:rPr>
            </w:pPr>
            <w:r>
              <w:rPr>
                <w:rFonts w:hint="eastAsia" w:ascii="宋体" w:hAnsi="宋体" w:cs="宋体"/>
                <w:szCs w:val="21"/>
              </w:rPr>
              <w:t>2</w:t>
            </w:r>
          </w:p>
        </w:tc>
        <w:tc>
          <w:tcPr>
            <w:tcW w:w="1285" w:type="dxa"/>
            <w:vAlign w:val="center"/>
          </w:tcPr>
          <w:p>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bidi="ar"/>
              </w:rPr>
              <w:t>商品</w:t>
            </w:r>
          </w:p>
          <w:p>
            <w:pPr>
              <w:widowControl/>
              <w:jc w:val="center"/>
              <w:textAlignment w:val="center"/>
              <w:rPr>
                <w:rFonts w:ascii="宋体" w:hAnsi="宋体" w:cs="宋体"/>
                <w:sz w:val="20"/>
                <w:szCs w:val="20"/>
              </w:rPr>
            </w:pPr>
            <w:r>
              <w:rPr>
                <w:rFonts w:hint="eastAsia" w:ascii="宋体" w:hAnsi="宋体" w:cs="宋体"/>
                <w:color w:val="000000"/>
                <w:kern w:val="0"/>
                <w:sz w:val="21"/>
                <w:szCs w:val="21"/>
                <w:lang w:bidi="ar"/>
              </w:rPr>
              <w:t>混凝土</w:t>
            </w:r>
          </w:p>
        </w:tc>
        <w:tc>
          <w:tcPr>
            <w:tcW w:w="1182" w:type="dxa"/>
            <w:vAlign w:val="center"/>
          </w:tcPr>
          <w:p>
            <w:pPr>
              <w:widowControl/>
              <w:jc w:val="center"/>
              <w:textAlignment w:val="center"/>
              <w:rPr>
                <w:rFonts w:hint="default" w:ascii="宋体" w:hAnsi="宋体" w:eastAsia="宋体" w:cs="宋体"/>
                <w:szCs w:val="21"/>
                <w:lang w:val="en-US" w:eastAsia="zh-CN"/>
              </w:rPr>
            </w:pPr>
            <w:r>
              <w:rPr>
                <w:rFonts w:hint="eastAsia" w:ascii="宋体" w:hAnsi="宋体" w:cs="宋体"/>
                <w:color w:val="000000"/>
                <w:kern w:val="0"/>
                <w:sz w:val="24"/>
                <w:szCs w:val="24"/>
                <w:lang w:bidi="ar"/>
              </w:rPr>
              <w:t>C</w:t>
            </w:r>
            <w:r>
              <w:rPr>
                <w:rFonts w:hint="eastAsia" w:ascii="宋体" w:hAnsi="宋体" w:cs="宋体"/>
                <w:color w:val="000000"/>
                <w:kern w:val="0"/>
                <w:sz w:val="24"/>
                <w:szCs w:val="24"/>
                <w:lang w:val="en-US" w:eastAsia="zh-CN" w:bidi="ar"/>
              </w:rPr>
              <w:t>25</w:t>
            </w:r>
          </w:p>
        </w:tc>
        <w:tc>
          <w:tcPr>
            <w:tcW w:w="666" w:type="dxa"/>
            <w:vAlign w:val="center"/>
          </w:tcPr>
          <w:p>
            <w:pPr>
              <w:widowControl/>
              <w:jc w:val="center"/>
              <w:textAlignment w:val="center"/>
              <w:rPr>
                <w:rFonts w:ascii="宋体" w:hAnsi="宋体" w:cs="宋体"/>
                <w:szCs w:val="21"/>
              </w:rPr>
            </w:pPr>
            <w:r>
              <w:rPr>
                <w:rFonts w:hint="eastAsia" w:ascii="宋体" w:hAnsi="宋体" w:cs="宋体"/>
                <w:color w:val="000000"/>
                <w:kern w:val="0"/>
                <w:sz w:val="24"/>
                <w:szCs w:val="24"/>
                <w:lang w:bidi="ar"/>
              </w:rPr>
              <w:t>m³</w:t>
            </w:r>
          </w:p>
        </w:tc>
        <w:tc>
          <w:tcPr>
            <w:tcW w:w="900" w:type="dxa"/>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cs="宋体"/>
                <w:color w:val="000000"/>
                <w:kern w:val="0"/>
                <w:sz w:val="24"/>
                <w:szCs w:val="24"/>
                <w:lang w:val="en-US" w:eastAsia="zh-CN" w:bidi="ar"/>
              </w:rPr>
              <w:t>150</w:t>
            </w:r>
          </w:p>
        </w:tc>
        <w:tc>
          <w:tcPr>
            <w:tcW w:w="1067" w:type="dxa"/>
            <w:vAlign w:val="center"/>
          </w:tcPr>
          <w:p>
            <w:pPr>
              <w:widowControl/>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600</w:t>
            </w:r>
          </w:p>
        </w:tc>
        <w:tc>
          <w:tcPr>
            <w:tcW w:w="1567" w:type="dxa"/>
            <w:vAlign w:val="center"/>
          </w:tcPr>
          <w:p>
            <w:pPr>
              <w:widowControl/>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90000</w:t>
            </w:r>
          </w:p>
        </w:tc>
        <w:tc>
          <w:tcPr>
            <w:tcW w:w="1650" w:type="dxa"/>
            <w:vMerge w:val="continue"/>
            <w:vAlign w:val="center"/>
          </w:tcPr>
          <w:p>
            <w:pPr>
              <w:pStyle w:val="9"/>
              <w:jc w:val="left"/>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87" w:type="dxa"/>
            <w:vAlign w:val="center"/>
          </w:tcPr>
          <w:p>
            <w:pPr>
              <w:spacing w:line="260" w:lineRule="exact"/>
              <w:jc w:val="center"/>
              <w:textAlignment w:val="baseline"/>
              <w:rPr>
                <w:rFonts w:hint="eastAsia" w:ascii="宋体" w:hAnsi="宋体" w:eastAsia="宋体" w:cs="宋体"/>
                <w:szCs w:val="21"/>
                <w:lang w:val="en-US" w:eastAsia="zh-CN"/>
              </w:rPr>
            </w:pPr>
            <w:r>
              <w:rPr>
                <w:rFonts w:hint="eastAsia" w:ascii="宋体" w:hAnsi="宋体" w:cs="宋体"/>
                <w:szCs w:val="21"/>
                <w:lang w:val="en-US" w:eastAsia="zh-CN"/>
              </w:rPr>
              <w:t>合计</w:t>
            </w:r>
          </w:p>
        </w:tc>
        <w:tc>
          <w:tcPr>
            <w:tcW w:w="1285" w:type="dxa"/>
            <w:vAlign w:val="center"/>
          </w:tcPr>
          <w:p>
            <w:pPr>
              <w:widowControl/>
              <w:jc w:val="center"/>
              <w:textAlignment w:val="center"/>
              <w:rPr>
                <w:rFonts w:ascii="宋体" w:hAnsi="宋体" w:cs="宋体"/>
                <w:sz w:val="20"/>
                <w:szCs w:val="20"/>
              </w:rPr>
            </w:pPr>
          </w:p>
        </w:tc>
        <w:tc>
          <w:tcPr>
            <w:tcW w:w="1182" w:type="dxa"/>
            <w:vAlign w:val="center"/>
          </w:tcPr>
          <w:p>
            <w:pPr>
              <w:widowControl/>
              <w:jc w:val="center"/>
              <w:textAlignment w:val="center"/>
              <w:rPr>
                <w:rFonts w:ascii="宋体" w:hAnsi="宋体" w:cs="宋体"/>
                <w:szCs w:val="21"/>
              </w:rPr>
            </w:pPr>
          </w:p>
        </w:tc>
        <w:tc>
          <w:tcPr>
            <w:tcW w:w="666" w:type="dxa"/>
            <w:vAlign w:val="center"/>
          </w:tcPr>
          <w:p>
            <w:pPr>
              <w:widowControl/>
              <w:jc w:val="center"/>
              <w:textAlignment w:val="center"/>
              <w:rPr>
                <w:rFonts w:ascii="宋体" w:hAnsi="宋体" w:cs="宋体"/>
                <w:szCs w:val="21"/>
              </w:rPr>
            </w:pPr>
          </w:p>
        </w:tc>
        <w:tc>
          <w:tcPr>
            <w:tcW w:w="900" w:type="dxa"/>
            <w:vAlign w:val="center"/>
          </w:tcPr>
          <w:p>
            <w:pPr>
              <w:widowControl/>
              <w:jc w:val="center"/>
              <w:textAlignment w:val="center"/>
              <w:rPr>
                <w:rFonts w:hint="eastAsia" w:ascii="宋体" w:hAnsi="宋体" w:eastAsia="宋体" w:cs="宋体"/>
                <w:kern w:val="2"/>
                <w:sz w:val="21"/>
                <w:szCs w:val="21"/>
                <w:lang w:val="en-US" w:eastAsia="zh-CN" w:bidi="ar-SA"/>
              </w:rPr>
            </w:pPr>
          </w:p>
        </w:tc>
        <w:tc>
          <w:tcPr>
            <w:tcW w:w="1067" w:type="dxa"/>
            <w:vAlign w:val="center"/>
          </w:tcPr>
          <w:p>
            <w:pPr>
              <w:widowControl/>
              <w:jc w:val="center"/>
              <w:textAlignment w:val="center"/>
              <w:rPr>
                <w:rFonts w:hint="eastAsia" w:ascii="宋体" w:hAnsi="宋体" w:cs="宋体"/>
                <w:color w:val="000000"/>
                <w:kern w:val="0"/>
                <w:sz w:val="24"/>
                <w:szCs w:val="24"/>
                <w:lang w:bidi="ar"/>
              </w:rPr>
            </w:pPr>
          </w:p>
        </w:tc>
        <w:tc>
          <w:tcPr>
            <w:tcW w:w="1567" w:type="dxa"/>
            <w:vAlign w:val="center"/>
          </w:tcPr>
          <w:p>
            <w:pPr>
              <w:widowControl/>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322000</w:t>
            </w:r>
          </w:p>
        </w:tc>
        <w:tc>
          <w:tcPr>
            <w:tcW w:w="1650" w:type="dxa"/>
            <w:vMerge w:val="continue"/>
            <w:vAlign w:val="center"/>
          </w:tcPr>
          <w:p>
            <w:pPr>
              <w:pStyle w:val="9"/>
              <w:jc w:val="left"/>
              <w:rPr>
                <w:rFonts w:ascii="宋体" w:hAnsi="宋体" w:eastAsia="宋体" w:cs="宋体"/>
                <w:sz w:val="21"/>
                <w:szCs w:val="21"/>
              </w:rPr>
            </w:pPr>
          </w:p>
        </w:tc>
      </w:tr>
    </w:tbl>
    <w:p>
      <w:pPr>
        <w:spacing w:line="360" w:lineRule="exact"/>
        <w:ind w:firstLine="422" w:firstLineChars="200"/>
        <w:rPr>
          <w:b/>
          <w:bCs/>
          <w:szCs w:val="21"/>
          <w:highlight w:val="none"/>
        </w:rPr>
      </w:pPr>
      <w:r>
        <w:rPr>
          <w:rFonts w:hint="eastAsia"/>
          <w:b/>
          <w:bCs/>
          <w:szCs w:val="21"/>
          <w:highlight w:val="none"/>
        </w:rPr>
        <w:t>备注：</w:t>
      </w:r>
    </w:p>
    <w:p>
      <w:pPr>
        <w:spacing w:line="360" w:lineRule="exact"/>
        <w:ind w:firstLine="422" w:firstLineChars="200"/>
        <w:rPr>
          <w:b/>
          <w:bCs/>
          <w:szCs w:val="21"/>
          <w:highlight w:val="none"/>
        </w:rPr>
      </w:pPr>
      <w:r>
        <w:rPr>
          <w:rFonts w:hint="eastAsia"/>
          <w:b/>
          <w:bCs/>
          <w:szCs w:val="21"/>
          <w:highlight w:val="none"/>
        </w:rPr>
        <w:t>（1）本次采购数量为暂估量，最终数量以实际结算数量为准。</w:t>
      </w:r>
    </w:p>
    <w:p>
      <w:pPr>
        <w:spacing w:line="360" w:lineRule="exact"/>
        <w:ind w:firstLine="422" w:firstLineChars="200"/>
        <w:rPr>
          <w:b/>
          <w:bCs/>
          <w:szCs w:val="21"/>
          <w:highlight w:val="none"/>
        </w:rPr>
      </w:pPr>
      <w:r>
        <w:rPr>
          <w:rFonts w:hint="eastAsia"/>
          <w:b/>
          <w:bCs/>
          <w:szCs w:val="21"/>
          <w:highlight w:val="none"/>
        </w:rPr>
        <w:t>（2）材料及设备需满足国家及行业的相关技术规范标准(具体规格型号以比选人实际要求为准)。</w:t>
      </w:r>
    </w:p>
    <w:p>
      <w:pPr>
        <w:spacing w:line="360" w:lineRule="exact"/>
        <w:ind w:firstLine="422" w:firstLineChars="200"/>
        <w:rPr>
          <w:kern w:val="0"/>
          <w:szCs w:val="21"/>
        </w:rPr>
      </w:pPr>
      <w:r>
        <w:rPr>
          <w:rFonts w:hint="eastAsia"/>
          <w:b/>
          <w:bCs/>
          <w:szCs w:val="21"/>
          <w:highlight w:val="none"/>
        </w:rPr>
        <w:t>（3）供货期：</w:t>
      </w:r>
      <w:r>
        <w:rPr>
          <w:rFonts w:hint="eastAsia"/>
          <w:b/>
          <w:szCs w:val="21"/>
          <w:highlight w:val="none"/>
        </w:rPr>
        <w:t>本工程工期为自中标之日起至</w:t>
      </w:r>
      <w:r>
        <w:rPr>
          <w:rFonts w:hint="eastAsia"/>
          <w:b/>
          <w:strike w:val="0"/>
          <w:dstrike w:val="0"/>
          <w:szCs w:val="21"/>
          <w:highlight w:val="none"/>
          <w:u w:val="single"/>
          <w:lang w:val="en-US" w:eastAsia="zh-CN"/>
        </w:rPr>
        <w:t>2022年8月30日</w:t>
      </w:r>
      <w:r>
        <w:rPr>
          <w:rFonts w:hint="eastAsia"/>
          <w:b/>
          <w:szCs w:val="21"/>
        </w:rPr>
        <w:t>，比选申请人必须保证商品混凝土的生产及供应及时，比选人一般提前一天以电话（短信）通知计划用量</w:t>
      </w:r>
      <w:r>
        <w:rPr>
          <w:rFonts w:hint="eastAsia"/>
          <w:kern w:val="0"/>
          <w:szCs w:val="21"/>
        </w:rPr>
        <w:t>。</w:t>
      </w:r>
    </w:p>
    <w:p>
      <w:pPr>
        <w:spacing w:line="360" w:lineRule="exact"/>
        <w:ind w:firstLine="422" w:firstLineChars="200"/>
        <w:rPr>
          <w:b/>
          <w:szCs w:val="21"/>
        </w:rPr>
      </w:pPr>
      <w:r>
        <w:rPr>
          <w:rFonts w:hint="eastAsia"/>
          <w:b/>
          <w:szCs w:val="21"/>
        </w:rPr>
        <w:t>（4）</w:t>
      </w:r>
      <w:r>
        <w:rPr>
          <w:b/>
          <w:szCs w:val="21"/>
        </w:rPr>
        <w:t>本次</w:t>
      </w:r>
      <w:r>
        <w:rPr>
          <w:rFonts w:hint="eastAsia"/>
          <w:b/>
          <w:szCs w:val="21"/>
        </w:rPr>
        <w:t>竞争性比选</w:t>
      </w:r>
      <w:r>
        <w:rPr>
          <w:b/>
          <w:szCs w:val="21"/>
        </w:rPr>
        <w:t>不接受联合体竞标，不允许分包和转包。</w:t>
      </w:r>
    </w:p>
    <w:p>
      <w:pPr>
        <w:spacing w:line="360" w:lineRule="exact"/>
        <w:ind w:firstLine="422" w:firstLineChars="200"/>
        <w:rPr>
          <w:b/>
          <w:bCs/>
          <w:szCs w:val="21"/>
        </w:rPr>
      </w:pPr>
      <w:r>
        <w:rPr>
          <w:rFonts w:hint="eastAsia"/>
          <w:b/>
          <w:szCs w:val="21"/>
        </w:rPr>
        <w:t>2、</w:t>
      </w:r>
      <w:r>
        <w:rPr>
          <w:rFonts w:hint="eastAsia"/>
          <w:b/>
          <w:bCs/>
          <w:szCs w:val="21"/>
        </w:rPr>
        <w:t>本次比选为一个分包。</w:t>
      </w:r>
    </w:p>
    <w:p>
      <w:pPr>
        <w:spacing w:line="360" w:lineRule="exact"/>
        <w:rPr>
          <w:b/>
          <w:szCs w:val="21"/>
        </w:rPr>
      </w:pPr>
      <w:r>
        <w:rPr>
          <w:b/>
          <w:szCs w:val="21"/>
        </w:rPr>
        <w:t>二、</w:t>
      </w:r>
      <w:r>
        <w:rPr>
          <w:rFonts w:hint="eastAsia"/>
          <w:b/>
          <w:szCs w:val="21"/>
        </w:rPr>
        <w:t>比选申请人</w:t>
      </w:r>
      <w:r>
        <w:rPr>
          <w:b/>
          <w:szCs w:val="21"/>
        </w:rPr>
        <w:t>资</w:t>
      </w:r>
      <w:r>
        <w:rPr>
          <w:rFonts w:hint="eastAsia"/>
          <w:b/>
          <w:szCs w:val="21"/>
        </w:rPr>
        <w:t>格</w:t>
      </w:r>
      <w:r>
        <w:rPr>
          <w:b/>
          <w:szCs w:val="21"/>
        </w:rPr>
        <w:t>要求</w:t>
      </w:r>
      <w:r>
        <w:rPr>
          <w:rFonts w:hint="eastAsia"/>
          <w:b/>
          <w:szCs w:val="21"/>
        </w:rPr>
        <w:t>：</w:t>
      </w:r>
    </w:p>
    <w:bookmarkEnd w:id="8"/>
    <w:bookmarkEnd w:id="9"/>
    <w:bookmarkEnd w:id="10"/>
    <w:bookmarkEnd w:id="11"/>
    <w:bookmarkEnd w:id="12"/>
    <w:bookmarkEnd w:id="13"/>
    <w:bookmarkEnd w:id="14"/>
    <w:bookmarkEnd w:id="15"/>
    <w:p>
      <w:pPr>
        <w:spacing w:line="360" w:lineRule="exact"/>
        <w:ind w:firstLine="420" w:firstLineChars="200"/>
        <w:outlineLvl w:val="0"/>
        <w:rPr>
          <w:szCs w:val="21"/>
        </w:rPr>
      </w:pPr>
      <w:bookmarkStart w:id="24" w:name="_Toc246996169"/>
      <w:bookmarkStart w:id="25" w:name="_Toc247085683"/>
      <w:bookmarkStart w:id="26" w:name="_Toc296602413"/>
      <w:bookmarkStart w:id="27" w:name="_Toc144974490"/>
      <w:bookmarkStart w:id="28" w:name="_Toc152045522"/>
      <w:bookmarkStart w:id="29" w:name="_Toc152042298"/>
      <w:bookmarkStart w:id="30" w:name="_Toc246996912"/>
      <w:bookmarkStart w:id="31" w:name="_Toc179632539"/>
      <w:r>
        <w:rPr>
          <w:rFonts w:hint="eastAsia"/>
          <w:szCs w:val="21"/>
          <w:lang w:val="en-US" w:eastAsia="zh-CN"/>
        </w:rPr>
        <w:t>1、</w:t>
      </w:r>
      <w:r>
        <w:rPr>
          <w:rFonts w:hint="eastAsia"/>
          <w:szCs w:val="21"/>
        </w:rPr>
        <w:t>具有独立法人资格、有效的营业执照，银行开户</w:t>
      </w:r>
      <w:r>
        <w:rPr>
          <w:rFonts w:hint="eastAsia"/>
          <w:szCs w:val="21"/>
          <w:lang w:val="en-US" w:eastAsia="zh-CN"/>
        </w:rPr>
        <w:t>信息</w:t>
      </w:r>
      <w:r>
        <w:rPr>
          <w:rFonts w:hint="eastAsia"/>
          <w:szCs w:val="21"/>
        </w:rPr>
        <w:t>。</w:t>
      </w:r>
    </w:p>
    <w:p>
      <w:pPr>
        <w:spacing w:line="360" w:lineRule="exact"/>
        <w:ind w:firstLine="422" w:firstLineChars="200"/>
        <w:outlineLvl w:val="0"/>
        <w:rPr>
          <w:szCs w:val="21"/>
        </w:rPr>
      </w:pPr>
      <w:r>
        <w:rPr>
          <w:rFonts w:hint="eastAsia"/>
          <w:b/>
          <w:bCs/>
          <w:szCs w:val="21"/>
        </w:rPr>
        <w:t>注：须提供营业执照的复印件或扫描件，并加盖比选申请人公章。</w:t>
      </w:r>
    </w:p>
    <w:p>
      <w:pPr>
        <w:spacing w:line="360" w:lineRule="exact"/>
        <w:ind w:firstLine="420" w:firstLineChars="200"/>
        <w:outlineLvl w:val="0"/>
        <w:rPr>
          <w:szCs w:val="21"/>
        </w:rPr>
      </w:pPr>
      <w:r>
        <w:rPr>
          <w:rFonts w:hint="eastAsia"/>
          <w:szCs w:val="21"/>
          <w:lang w:val="en-US" w:eastAsia="zh-CN"/>
        </w:rPr>
        <w:t>2、</w:t>
      </w:r>
      <w:r>
        <w:rPr>
          <w:rFonts w:hint="eastAsia"/>
          <w:szCs w:val="21"/>
        </w:rPr>
        <w:t>比选申请人在“信用中国”网站（http://www.creditchina.gov.cn/）中未被列入失信被执行人名单（黑名单）。</w:t>
      </w:r>
    </w:p>
    <w:p>
      <w:pPr>
        <w:ind w:firstLine="422" w:firstLineChars="200"/>
        <w:rPr>
          <w:b/>
          <w:bCs/>
          <w:szCs w:val="21"/>
        </w:rPr>
      </w:pPr>
      <w:r>
        <w:rPr>
          <w:rFonts w:hint="eastAsia"/>
          <w:b/>
          <w:bCs/>
          <w:szCs w:val="21"/>
        </w:rPr>
        <w:t>注：上述第（2）条由比选申请人作出真实性承诺即可，格式自拟。</w:t>
      </w:r>
    </w:p>
    <w:p>
      <w:pPr>
        <w:spacing w:line="360" w:lineRule="exact"/>
        <w:rPr>
          <w:b/>
          <w:szCs w:val="21"/>
        </w:rPr>
      </w:pPr>
      <w:r>
        <w:rPr>
          <w:b/>
          <w:szCs w:val="21"/>
        </w:rPr>
        <w:t>三、</w:t>
      </w:r>
      <w:r>
        <w:rPr>
          <w:rFonts w:hint="eastAsia"/>
          <w:b/>
          <w:szCs w:val="21"/>
        </w:rPr>
        <w:t>竞争性比选</w:t>
      </w:r>
      <w:r>
        <w:rPr>
          <w:b/>
          <w:szCs w:val="21"/>
        </w:rPr>
        <w:t>响应文件的相关要求：</w:t>
      </w:r>
    </w:p>
    <w:bookmarkEnd w:id="24"/>
    <w:bookmarkEnd w:id="25"/>
    <w:bookmarkEnd w:id="26"/>
    <w:bookmarkEnd w:id="27"/>
    <w:bookmarkEnd w:id="28"/>
    <w:bookmarkEnd w:id="29"/>
    <w:bookmarkEnd w:id="30"/>
    <w:bookmarkEnd w:id="31"/>
    <w:p>
      <w:pPr>
        <w:spacing w:line="360" w:lineRule="exact"/>
        <w:ind w:firstLine="420" w:firstLineChars="200"/>
        <w:outlineLvl w:val="0"/>
        <w:rPr>
          <w:szCs w:val="21"/>
          <w:highlight w:val="none"/>
        </w:rPr>
      </w:pPr>
      <w:r>
        <w:rPr>
          <w:rFonts w:hint="eastAsia"/>
          <w:szCs w:val="21"/>
        </w:rPr>
        <w:t>1、竞标报价</w:t>
      </w:r>
      <w:r>
        <w:rPr>
          <w:szCs w:val="21"/>
        </w:rPr>
        <w:t>说明</w:t>
      </w:r>
      <w:r>
        <w:rPr>
          <w:rFonts w:hint="eastAsia"/>
          <w:szCs w:val="21"/>
        </w:rPr>
        <w:t>：</w:t>
      </w:r>
    </w:p>
    <w:p>
      <w:pPr>
        <w:spacing w:line="360" w:lineRule="exact"/>
        <w:ind w:firstLine="420" w:firstLineChars="200"/>
        <w:outlineLvl w:val="0"/>
        <w:rPr>
          <w:szCs w:val="21"/>
        </w:rPr>
      </w:pPr>
      <w:r>
        <w:rPr>
          <w:rFonts w:hint="eastAsia"/>
          <w:szCs w:val="21"/>
          <w:highlight w:val="none"/>
        </w:rPr>
        <w:t>（1）竞标报价为</w:t>
      </w:r>
      <w:r>
        <w:rPr>
          <w:rFonts w:hint="eastAsia"/>
          <w:b/>
          <w:bCs/>
          <w:szCs w:val="21"/>
          <w:highlight w:val="none"/>
          <w:u w:val="single"/>
        </w:rPr>
        <w:t>全费用固定综合单价</w:t>
      </w:r>
      <w:r>
        <w:rPr>
          <w:rFonts w:hint="eastAsia"/>
          <w:szCs w:val="21"/>
          <w:highlight w:val="none"/>
        </w:rPr>
        <w:t>。比选申请人应提供合法有效且符合比选人要求的增值税专用发票（</w:t>
      </w:r>
      <w:r>
        <w:rPr>
          <w:rFonts w:hint="eastAsia"/>
          <w:b/>
          <w:bCs/>
          <w:szCs w:val="21"/>
          <w:highlight w:val="none"/>
          <w:u w:val="single"/>
        </w:rPr>
        <w:t>税率为：3%</w:t>
      </w:r>
      <w:r>
        <w:rPr>
          <w:rFonts w:hint="eastAsia"/>
          <w:szCs w:val="21"/>
          <w:highlight w:val="none"/>
        </w:rPr>
        <w:t>）。因比选申请人开具的发票不规范、不合法或涉嫌虚开发票引起税务</w:t>
      </w:r>
      <w:r>
        <w:rPr>
          <w:rFonts w:hint="eastAsia"/>
          <w:szCs w:val="21"/>
        </w:rPr>
        <w:t>问题的，比选申请人需依法向比选人重新开具发票，并向比选人承担赔偿责任，包括但不限于税款、滞纳金、罚款及相关损失等。</w:t>
      </w:r>
    </w:p>
    <w:p>
      <w:pPr>
        <w:spacing w:line="360" w:lineRule="exact"/>
        <w:ind w:firstLine="420" w:firstLineChars="200"/>
        <w:outlineLvl w:val="0"/>
        <w:rPr>
          <w:szCs w:val="21"/>
        </w:rPr>
      </w:pPr>
      <w:r>
        <w:rPr>
          <w:rFonts w:hint="eastAsia"/>
          <w:szCs w:val="21"/>
        </w:rPr>
        <w:t>比选申请人应按照比选人要求，及时向比选人开具可以抵扣税款的增值税专用发票。因比选申请人开具发票不及时给比选人造成无法及时认证、抵扣发票等情形的，比选申请人需向比选人承担赔偿责任，包括但不限于税款、滞纳金、罚款及相关损失等。</w:t>
      </w:r>
    </w:p>
    <w:p>
      <w:pPr>
        <w:spacing w:line="360" w:lineRule="exact"/>
        <w:ind w:firstLine="420" w:firstLineChars="200"/>
        <w:outlineLvl w:val="0"/>
        <w:rPr>
          <w:szCs w:val="21"/>
        </w:rPr>
      </w:pPr>
      <w:r>
        <w:rPr>
          <w:rFonts w:hint="eastAsia"/>
          <w:szCs w:val="21"/>
        </w:rPr>
        <w:t>（2）报价表中的工程量为比选人暂估量，如实际工程量与暂估量有出入，则该出入部分工程量单价按签约合同单价计量。</w:t>
      </w:r>
    </w:p>
    <w:p>
      <w:pPr>
        <w:spacing w:line="360" w:lineRule="exact"/>
        <w:ind w:firstLine="420" w:firstLineChars="200"/>
        <w:outlineLvl w:val="0"/>
        <w:rPr>
          <w:szCs w:val="21"/>
        </w:rPr>
      </w:pPr>
      <w:r>
        <w:rPr>
          <w:rFonts w:hint="eastAsia"/>
          <w:szCs w:val="21"/>
        </w:rPr>
        <w:t>（3）本项目最高总限价为：</w:t>
      </w:r>
      <w:r>
        <w:rPr>
          <w:rFonts w:hint="eastAsia"/>
          <w:b/>
          <w:bCs/>
          <w:color w:val="auto"/>
          <w:szCs w:val="21"/>
          <w:highlight w:val="none"/>
          <w:u w:val="single"/>
          <w:lang w:val="en-US" w:eastAsia="zh-CN"/>
        </w:rPr>
        <w:t>3220</w:t>
      </w:r>
      <w:r>
        <w:rPr>
          <w:rFonts w:hint="eastAsia"/>
          <w:b/>
          <w:bCs/>
          <w:color w:val="auto"/>
          <w:szCs w:val="21"/>
          <w:highlight w:val="none"/>
          <w:u w:val="single"/>
        </w:rPr>
        <w:t>0</w:t>
      </w:r>
      <w:r>
        <w:rPr>
          <w:rFonts w:hint="eastAsia"/>
          <w:b/>
          <w:bCs/>
          <w:color w:val="auto"/>
          <w:szCs w:val="21"/>
          <w:highlight w:val="none"/>
          <w:u w:val="single"/>
          <w:lang w:val="en-US" w:eastAsia="zh-CN"/>
        </w:rPr>
        <w:t>0</w:t>
      </w:r>
      <w:r>
        <w:rPr>
          <w:rFonts w:hint="eastAsia"/>
          <w:b/>
          <w:bCs/>
          <w:color w:val="auto"/>
          <w:szCs w:val="21"/>
          <w:highlight w:val="none"/>
          <w:u w:val="single"/>
        </w:rPr>
        <w:t>元（大写：</w:t>
      </w:r>
      <w:r>
        <w:rPr>
          <w:rFonts w:hint="eastAsia"/>
          <w:b/>
          <w:bCs/>
          <w:color w:val="auto"/>
          <w:szCs w:val="21"/>
          <w:highlight w:val="none"/>
          <w:u w:val="single"/>
          <w:lang w:val="en-US" w:eastAsia="zh-CN"/>
        </w:rPr>
        <w:t>叁拾贰万贰仟</w:t>
      </w:r>
      <w:r>
        <w:rPr>
          <w:rFonts w:hint="eastAsia"/>
          <w:b/>
          <w:bCs/>
          <w:color w:val="auto"/>
          <w:szCs w:val="21"/>
          <w:highlight w:val="none"/>
          <w:u w:val="single"/>
        </w:rPr>
        <w:t>元整）</w:t>
      </w:r>
      <w:r>
        <w:rPr>
          <w:rFonts w:hint="eastAsia"/>
          <w:szCs w:val="21"/>
        </w:rPr>
        <w:t>，具体详见“竞争性比选申请文件格式（五、已标价报价清单）”。</w:t>
      </w:r>
    </w:p>
    <w:p>
      <w:pPr>
        <w:spacing w:line="360" w:lineRule="exact"/>
        <w:ind w:firstLine="420" w:firstLineChars="200"/>
        <w:outlineLvl w:val="0"/>
        <w:rPr>
          <w:szCs w:val="21"/>
        </w:rPr>
      </w:pPr>
      <w:r>
        <w:rPr>
          <w:rFonts w:hint="eastAsia"/>
          <w:szCs w:val="21"/>
        </w:rPr>
        <w:t>注：比选申请人的竞标报价均不得超过比选人公布的相应最高限价（单价限价及总价限价）否则均为无效竞标。</w:t>
      </w:r>
    </w:p>
    <w:p>
      <w:pPr>
        <w:spacing w:line="360" w:lineRule="exact"/>
        <w:ind w:firstLine="420" w:firstLineChars="200"/>
        <w:rPr>
          <w:szCs w:val="21"/>
        </w:rPr>
      </w:pPr>
      <w:r>
        <w:rPr>
          <w:rFonts w:hint="eastAsia"/>
          <w:szCs w:val="21"/>
        </w:rPr>
        <w:t>2、供货要求：</w:t>
      </w:r>
    </w:p>
    <w:p>
      <w:pPr>
        <w:spacing w:line="360" w:lineRule="exact"/>
        <w:ind w:firstLine="420" w:firstLineChars="200"/>
        <w:outlineLvl w:val="0"/>
        <w:rPr>
          <w:szCs w:val="21"/>
        </w:rPr>
      </w:pPr>
      <w:r>
        <w:rPr>
          <w:rFonts w:hint="eastAsia"/>
          <w:szCs w:val="21"/>
        </w:rPr>
        <w:t>（1）质量要求：根据采购产品据实填写：以下仅供参考</w:t>
      </w:r>
    </w:p>
    <w:p>
      <w:pPr>
        <w:spacing w:line="360" w:lineRule="exact"/>
        <w:ind w:firstLine="420" w:firstLineChars="200"/>
        <w:outlineLvl w:val="0"/>
        <w:rPr>
          <w:szCs w:val="21"/>
        </w:rPr>
      </w:pPr>
      <w:r>
        <w:rPr>
          <w:rFonts w:hint="eastAsia"/>
          <w:szCs w:val="21"/>
          <w:lang w:val="en-US" w:eastAsia="zh-CN"/>
        </w:rPr>
        <w:t>①</w:t>
      </w:r>
      <w:r>
        <w:rPr>
          <w:rFonts w:hint="eastAsia"/>
          <w:szCs w:val="21"/>
        </w:rPr>
        <w:t>比选申请人提供的</w:t>
      </w:r>
      <w:r>
        <w:rPr>
          <w:rFonts w:hint="eastAsia"/>
          <w:szCs w:val="21"/>
          <w:lang w:val="en-GB"/>
        </w:rPr>
        <w:t>商品预拌砼，质量检验不低于国家相关技术标准及甲方设计文件要求。</w:t>
      </w:r>
      <w:r>
        <w:rPr>
          <w:rFonts w:hint="eastAsia"/>
          <w:szCs w:val="21"/>
        </w:rPr>
        <w:t>因产品质量导致的全部损失及后果责任均由比选申请人承担。</w:t>
      </w:r>
    </w:p>
    <w:p>
      <w:pPr>
        <w:spacing w:line="360" w:lineRule="exact"/>
        <w:ind w:firstLine="420" w:firstLineChars="200"/>
        <w:outlineLvl w:val="0"/>
        <w:rPr>
          <w:b/>
          <w:bCs/>
          <w:szCs w:val="21"/>
          <w:highlight w:val="none"/>
          <w:u w:val="single"/>
        </w:rPr>
      </w:pPr>
      <w:r>
        <w:rPr>
          <w:rFonts w:hint="eastAsia"/>
          <w:szCs w:val="21"/>
          <w:lang w:val="en-US" w:eastAsia="zh-CN"/>
        </w:rPr>
        <w:t>②</w:t>
      </w:r>
      <w:r>
        <w:rPr>
          <w:rFonts w:hint="eastAsia"/>
          <w:szCs w:val="21"/>
        </w:rPr>
        <w:t>因</w:t>
      </w:r>
      <w:r>
        <w:rPr>
          <w:rFonts w:hint="eastAsia"/>
          <w:szCs w:val="21"/>
          <w:lang w:val="en-US" w:eastAsia="zh-CN"/>
        </w:rPr>
        <w:t>混凝土</w:t>
      </w:r>
      <w:r>
        <w:rPr>
          <w:rFonts w:hint="eastAsia"/>
          <w:szCs w:val="21"/>
        </w:rPr>
        <w:t>质量不符合国家、行业规定的以及本比选函约定的相关标准而产生的一切后果责任由投标（报价）方承担；若由此而给比选方造成损失的，投标（报价）方应全额赔偿。</w:t>
      </w:r>
    </w:p>
    <w:p>
      <w:pPr>
        <w:spacing w:line="360" w:lineRule="exact"/>
        <w:ind w:firstLine="420" w:firstLineChars="200"/>
        <w:outlineLvl w:val="0"/>
        <w:rPr>
          <w:szCs w:val="21"/>
        </w:rPr>
      </w:pPr>
      <w:r>
        <w:rPr>
          <w:rFonts w:hint="eastAsia"/>
          <w:szCs w:val="21"/>
          <w:lang w:val="en-US" w:eastAsia="zh-CN"/>
        </w:rPr>
        <w:t>③</w:t>
      </w:r>
      <w:r>
        <w:rPr>
          <w:rFonts w:hint="eastAsia"/>
          <w:szCs w:val="21"/>
        </w:rPr>
        <w:t>商品预拌砼质量要求严格按国家相关技术标准以及甲方设计文件标准执行，预拌砼强度等级必须达到项目工程的评定标准。</w:t>
      </w:r>
    </w:p>
    <w:p>
      <w:pPr>
        <w:spacing w:line="360" w:lineRule="exact"/>
        <w:ind w:firstLine="420" w:firstLineChars="200"/>
        <w:outlineLvl w:val="0"/>
        <w:rPr>
          <w:szCs w:val="21"/>
        </w:rPr>
      </w:pPr>
      <w:r>
        <w:rPr>
          <w:rFonts w:hint="eastAsia"/>
          <w:szCs w:val="21"/>
          <w:lang w:val="en-US" w:eastAsia="zh-CN"/>
        </w:rPr>
        <w:t>④</w:t>
      </w:r>
      <w:r>
        <w:rPr>
          <w:rFonts w:hint="eastAsia"/>
          <w:szCs w:val="21"/>
        </w:rPr>
        <w:t>如产品出现质量问题，甲方可在发现问题后</w:t>
      </w:r>
      <w:r>
        <w:rPr>
          <w:rFonts w:hint="eastAsia"/>
          <w:szCs w:val="21"/>
          <w:lang w:val="en-US" w:eastAsia="zh-CN"/>
        </w:rPr>
        <w:t>立即</w:t>
      </w:r>
      <w:r>
        <w:rPr>
          <w:rFonts w:hint="eastAsia"/>
          <w:szCs w:val="21"/>
        </w:rPr>
        <w:t>向比选申请人提出异议</w:t>
      </w:r>
      <w:r>
        <w:rPr>
          <w:rFonts w:hint="eastAsia"/>
          <w:szCs w:val="21"/>
          <w:lang w:eastAsia="zh-CN"/>
        </w:rPr>
        <w:t>，</w:t>
      </w:r>
      <w:r>
        <w:rPr>
          <w:rFonts w:hint="eastAsia"/>
          <w:szCs w:val="21"/>
          <w:lang w:val="en-US" w:eastAsia="zh-CN"/>
        </w:rPr>
        <w:t>并可拒收。</w:t>
      </w:r>
      <w:r>
        <w:rPr>
          <w:rFonts w:hint="eastAsia"/>
          <w:szCs w:val="21"/>
        </w:rPr>
        <w:t>甲方未在上述期限内提出异议的，不免除比选申请人的质量保证责任。</w:t>
      </w:r>
    </w:p>
    <w:p>
      <w:pPr>
        <w:spacing w:line="360" w:lineRule="exact"/>
        <w:ind w:firstLine="420" w:firstLineChars="200"/>
        <w:rPr>
          <w:szCs w:val="21"/>
        </w:rPr>
      </w:pPr>
      <w:r>
        <w:rPr>
          <w:rFonts w:hint="eastAsia"/>
          <w:szCs w:val="21"/>
        </w:rPr>
        <w:t>（2）材料运输：本竞争性比选文件约定的材料价格为比选人指定位置的到场单价，材料运输的安全由比选申请人负责，因材料运输超限等引起的全部后果、责任均由比选申请人承担。比选申请人必须保证安全、及时供货，比选人不承担由此造成的安全责任及相应费用。</w:t>
      </w:r>
    </w:p>
    <w:p>
      <w:pPr>
        <w:spacing w:line="360" w:lineRule="exact"/>
        <w:ind w:firstLine="420" w:firstLineChars="200"/>
        <w:rPr>
          <w:szCs w:val="21"/>
        </w:rPr>
      </w:pPr>
      <w:r>
        <w:rPr>
          <w:rFonts w:hint="eastAsia"/>
          <w:szCs w:val="21"/>
        </w:rPr>
        <w:t>3、</w:t>
      </w:r>
      <w:r>
        <w:rPr>
          <w:szCs w:val="21"/>
        </w:rPr>
        <w:t>本次</w:t>
      </w:r>
      <w:r>
        <w:rPr>
          <w:rFonts w:hint="eastAsia"/>
          <w:szCs w:val="21"/>
        </w:rPr>
        <w:t>比选申请</w:t>
      </w:r>
      <w:r>
        <w:rPr>
          <w:szCs w:val="21"/>
        </w:rPr>
        <w:t>文件的组成：</w:t>
      </w:r>
    </w:p>
    <w:p>
      <w:pPr>
        <w:spacing w:line="360" w:lineRule="exact"/>
        <w:ind w:firstLine="420" w:firstLineChars="200"/>
        <w:rPr>
          <w:szCs w:val="21"/>
        </w:rPr>
      </w:pPr>
      <w:r>
        <w:rPr>
          <w:rFonts w:hint="eastAsia"/>
          <w:szCs w:val="21"/>
          <w:lang w:eastAsia="zh-CN"/>
        </w:rPr>
        <w:t>（</w:t>
      </w:r>
      <w:r>
        <w:rPr>
          <w:rFonts w:hint="eastAsia"/>
          <w:szCs w:val="21"/>
          <w:lang w:val="en-US" w:eastAsia="zh-CN"/>
        </w:rPr>
        <w:t>1</w:t>
      </w:r>
      <w:r>
        <w:rPr>
          <w:rFonts w:hint="eastAsia"/>
          <w:szCs w:val="21"/>
          <w:lang w:eastAsia="zh-CN"/>
        </w:rPr>
        <w:t>）</w:t>
      </w:r>
      <w:r>
        <w:rPr>
          <w:rFonts w:hint="eastAsia"/>
          <w:szCs w:val="21"/>
        </w:rPr>
        <w:t>报价书；</w:t>
      </w:r>
    </w:p>
    <w:p>
      <w:pPr>
        <w:spacing w:line="360" w:lineRule="exact"/>
        <w:ind w:firstLine="420" w:firstLineChars="200"/>
        <w:rPr>
          <w:szCs w:val="21"/>
        </w:rPr>
      </w:pPr>
      <w:r>
        <w:rPr>
          <w:rFonts w:hint="eastAsia"/>
          <w:szCs w:val="21"/>
          <w:lang w:eastAsia="zh-CN"/>
        </w:rPr>
        <w:t>（</w:t>
      </w:r>
      <w:r>
        <w:rPr>
          <w:rFonts w:hint="eastAsia"/>
          <w:szCs w:val="21"/>
          <w:lang w:val="en-US" w:eastAsia="zh-CN"/>
        </w:rPr>
        <w:t>2</w:t>
      </w:r>
      <w:r>
        <w:rPr>
          <w:rFonts w:hint="eastAsia"/>
          <w:szCs w:val="21"/>
          <w:lang w:eastAsia="zh-CN"/>
        </w:rPr>
        <w:t>）</w:t>
      </w:r>
      <w:r>
        <w:rPr>
          <w:rFonts w:hint="eastAsia"/>
          <w:szCs w:val="21"/>
        </w:rPr>
        <w:t>法定代表人身份证明及授权委托书；</w:t>
      </w:r>
    </w:p>
    <w:p>
      <w:pPr>
        <w:spacing w:line="360" w:lineRule="exact"/>
        <w:ind w:firstLine="420" w:firstLineChars="200"/>
        <w:rPr>
          <w:szCs w:val="21"/>
        </w:rPr>
      </w:pPr>
      <w:r>
        <w:rPr>
          <w:rFonts w:hint="eastAsia"/>
          <w:szCs w:val="21"/>
          <w:lang w:eastAsia="zh-CN"/>
        </w:rPr>
        <w:t>（</w:t>
      </w:r>
      <w:r>
        <w:rPr>
          <w:rFonts w:hint="eastAsia"/>
          <w:szCs w:val="21"/>
          <w:lang w:val="en-US" w:eastAsia="zh-CN"/>
        </w:rPr>
        <w:t>3</w:t>
      </w:r>
      <w:r>
        <w:rPr>
          <w:rFonts w:hint="eastAsia"/>
          <w:szCs w:val="21"/>
          <w:lang w:eastAsia="zh-CN"/>
        </w:rPr>
        <w:t>）</w:t>
      </w:r>
      <w:r>
        <w:rPr>
          <w:rFonts w:hint="eastAsia"/>
          <w:szCs w:val="21"/>
        </w:rPr>
        <w:t>比选申请单位有效的营业执照；</w:t>
      </w:r>
    </w:p>
    <w:p>
      <w:pPr>
        <w:spacing w:line="360" w:lineRule="exact"/>
        <w:ind w:firstLine="420" w:firstLineChars="200"/>
        <w:rPr>
          <w:szCs w:val="21"/>
        </w:rPr>
      </w:pPr>
      <w:r>
        <w:rPr>
          <w:rFonts w:hint="eastAsia"/>
          <w:szCs w:val="21"/>
          <w:lang w:eastAsia="zh-CN"/>
        </w:rPr>
        <w:t>（</w:t>
      </w:r>
      <w:r>
        <w:rPr>
          <w:rFonts w:hint="eastAsia"/>
          <w:szCs w:val="21"/>
          <w:lang w:val="en-US" w:eastAsia="zh-CN"/>
        </w:rPr>
        <w:t>4</w:t>
      </w:r>
      <w:r>
        <w:rPr>
          <w:rFonts w:hint="eastAsia"/>
          <w:szCs w:val="21"/>
          <w:lang w:eastAsia="zh-CN"/>
        </w:rPr>
        <w:t>）</w:t>
      </w:r>
      <w:r>
        <w:rPr>
          <w:rFonts w:hint="eastAsia"/>
          <w:szCs w:val="21"/>
        </w:rPr>
        <w:t>比选申请单位自行承诺部分；</w:t>
      </w:r>
    </w:p>
    <w:p>
      <w:pPr>
        <w:spacing w:line="360" w:lineRule="exact"/>
        <w:ind w:firstLine="420" w:firstLineChars="200"/>
        <w:rPr>
          <w:szCs w:val="21"/>
        </w:rPr>
      </w:pPr>
      <w:r>
        <w:rPr>
          <w:rFonts w:hint="eastAsia"/>
          <w:szCs w:val="21"/>
          <w:lang w:eastAsia="zh-CN"/>
        </w:rPr>
        <w:t>（</w:t>
      </w:r>
      <w:r>
        <w:rPr>
          <w:rFonts w:hint="eastAsia"/>
          <w:szCs w:val="21"/>
          <w:lang w:val="en-US" w:eastAsia="zh-CN"/>
        </w:rPr>
        <w:t>5</w:t>
      </w:r>
      <w:r>
        <w:rPr>
          <w:rFonts w:hint="eastAsia"/>
          <w:szCs w:val="21"/>
          <w:lang w:eastAsia="zh-CN"/>
        </w:rPr>
        <w:t>）</w:t>
      </w:r>
      <w:r>
        <w:rPr>
          <w:rFonts w:hint="eastAsia"/>
          <w:szCs w:val="21"/>
        </w:rPr>
        <w:t>已标价报价清单。</w:t>
      </w:r>
    </w:p>
    <w:p>
      <w:pPr>
        <w:spacing w:line="360" w:lineRule="exact"/>
        <w:ind w:firstLine="422" w:firstLineChars="200"/>
        <w:rPr>
          <w:b/>
          <w:bCs/>
          <w:szCs w:val="21"/>
        </w:rPr>
      </w:pPr>
      <w:r>
        <w:rPr>
          <w:rFonts w:hint="eastAsia"/>
          <w:b/>
          <w:bCs/>
          <w:szCs w:val="21"/>
        </w:rPr>
        <w:t>（注：以上所有文件均须比选申请单位法定代表人或其授权代理人签署并加盖单位公章）</w:t>
      </w:r>
    </w:p>
    <w:p>
      <w:pPr>
        <w:spacing w:line="360" w:lineRule="exact"/>
        <w:ind w:firstLine="420" w:firstLineChars="200"/>
        <w:rPr>
          <w:szCs w:val="21"/>
        </w:rPr>
      </w:pPr>
      <w:r>
        <w:rPr>
          <w:rFonts w:hint="eastAsia"/>
          <w:szCs w:val="21"/>
          <w:lang w:val="en-US" w:eastAsia="zh-CN"/>
        </w:rPr>
        <w:t>4</w:t>
      </w:r>
      <w:r>
        <w:rPr>
          <w:rFonts w:hint="eastAsia"/>
          <w:szCs w:val="21"/>
        </w:rPr>
        <w:t>、比选申请</w:t>
      </w:r>
      <w:r>
        <w:rPr>
          <w:szCs w:val="21"/>
        </w:rPr>
        <w:t>文件的份数及编制要求</w:t>
      </w:r>
      <w:r>
        <w:rPr>
          <w:rFonts w:hint="eastAsia"/>
          <w:szCs w:val="21"/>
        </w:rPr>
        <w:t>：</w:t>
      </w:r>
    </w:p>
    <w:p>
      <w:pPr>
        <w:spacing w:line="360" w:lineRule="exact"/>
        <w:ind w:firstLine="420" w:firstLineChars="200"/>
      </w:pPr>
      <w:r>
        <w:rPr>
          <w:rFonts w:hint="eastAsia"/>
          <w:szCs w:val="21"/>
        </w:rPr>
        <w:t>比选申请</w:t>
      </w:r>
      <w:r>
        <w:rPr>
          <w:szCs w:val="21"/>
        </w:rPr>
        <w:t>文件</w:t>
      </w:r>
      <w:r>
        <w:rPr>
          <w:rFonts w:hint="eastAsia"/>
          <w:b/>
          <w:bCs/>
          <w:szCs w:val="21"/>
        </w:rPr>
        <w:t>1份</w:t>
      </w:r>
      <w:r>
        <w:rPr>
          <w:rFonts w:hint="eastAsia"/>
          <w:szCs w:val="21"/>
        </w:rPr>
        <w:t>，比选申请</w:t>
      </w:r>
      <w:r>
        <w:rPr>
          <w:szCs w:val="21"/>
        </w:rPr>
        <w:t>文件</w:t>
      </w:r>
      <w:r>
        <w:rPr>
          <w:rFonts w:hint="eastAsia"/>
          <w:szCs w:val="21"/>
        </w:rPr>
        <w:t>按竞争性比选文件中规定格式排版。</w:t>
      </w:r>
    </w:p>
    <w:p>
      <w:pPr>
        <w:numPr>
          <w:ilvl w:val="0"/>
          <w:numId w:val="3"/>
        </w:numPr>
        <w:spacing w:line="360" w:lineRule="auto"/>
        <w:rPr>
          <w:rFonts w:ascii="宋体" w:hAnsi="宋体" w:cs="宋体"/>
          <w:b/>
          <w:szCs w:val="21"/>
        </w:rPr>
      </w:pPr>
      <w:r>
        <w:rPr>
          <w:rFonts w:hint="eastAsia" w:ascii="宋体" w:hAnsi="宋体" w:cs="宋体"/>
          <w:b/>
          <w:szCs w:val="21"/>
        </w:rPr>
        <w:t>评标办法</w:t>
      </w:r>
      <w:r>
        <w:rPr>
          <w:rFonts w:hint="eastAsia" w:ascii="宋体" w:hAnsi="宋体" w:cs="宋体"/>
          <w:bCs/>
          <w:szCs w:val="21"/>
        </w:rPr>
        <w:t>（</w:t>
      </w:r>
      <w:r>
        <w:rPr>
          <w:rFonts w:hint="eastAsia" w:ascii="宋体" w:hAnsi="宋体"/>
          <w:bCs/>
          <w:szCs w:val="21"/>
        </w:rPr>
        <w:t>本项目采用经评审的</w:t>
      </w:r>
      <w:r>
        <w:rPr>
          <w:rFonts w:hint="eastAsia" w:ascii="宋体" w:hAnsi="宋体"/>
          <w:b/>
          <w:szCs w:val="21"/>
          <w:u w:val="single"/>
        </w:rPr>
        <w:t>最低投标价法</w:t>
      </w:r>
      <w:r>
        <w:rPr>
          <w:rFonts w:hint="eastAsia" w:ascii="宋体" w:hAnsi="宋体" w:cs="宋体"/>
          <w:bCs/>
          <w:szCs w:val="21"/>
        </w:rPr>
        <w:t>）：</w:t>
      </w:r>
    </w:p>
    <w:p>
      <w:pPr>
        <w:spacing w:line="360" w:lineRule="exact"/>
        <w:ind w:firstLine="420" w:firstLineChars="200"/>
        <w:rPr>
          <w:rFonts w:ascii="宋体" w:hAnsi="宋体" w:cs="宋体"/>
          <w:szCs w:val="21"/>
        </w:rPr>
      </w:pPr>
      <w:r>
        <w:rPr>
          <w:rFonts w:hint="eastAsia"/>
          <w:bCs/>
          <w:szCs w:val="21"/>
        </w:rPr>
        <w:t>本</w:t>
      </w:r>
      <w:r>
        <w:rPr>
          <w:rFonts w:hint="eastAsia" w:ascii="宋体" w:hAnsi="宋体" w:cs="宋体"/>
          <w:bCs/>
          <w:szCs w:val="21"/>
        </w:rPr>
        <w:t>项</w:t>
      </w:r>
      <w:r>
        <w:rPr>
          <w:rFonts w:hint="eastAsia" w:ascii="宋体" w:hAnsi="宋体" w:cs="宋体"/>
          <w:szCs w:val="21"/>
        </w:rPr>
        <w:t>目采用经评审的最低投标价法，评标委员会按本项目总报价由低到高的顺序进行评审。</w:t>
      </w:r>
    </w:p>
    <w:p>
      <w:pPr>
        <w:spacing w:line="360" w:lineRule="exact"/>
        <w:rPr>
          <w:b/>
          <w:szCs w:val="21"/>
        </w:rPr>
      </w:pPr>
      <w:r>
        <w:rPr>
          <w:b/>
          <w:szCs w:val="21"/>
        </w:rPr>
        <w:t>五、</w:t>
      </w:r>
      <w:r>
        <w:rPr>
          <w:rFonts w:hint="eastAsia"/>
          <w:b/>
          <w:szCs w:val="21"/>
        </w:rPr>
        <w:t>竞争性比选</w:t>
      </w:r>
      <w:r>
        <w:rPr>
          <w:b/>
          <w:szCs w:val="21"/>
        </w:rPr>
        <w:t>须知</w:t>
      </w:r>
    </w:p>
    <w:p>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（一）竞争性比选文件</w:t>
      </w:r>
      <w:r>
        <w:rPr>
          <w:rFonts w:hint="eastAsia" w:ascii="宋体" w:hAnsi="宋体" w:cs="宋体"/>
          <w:szCs w:val="21"/>
        </w:rPr>
        <w:t>获取方式：凡愿意参加的潜在竞标人，从</w:t>
      </w:r>
      <w:r>
        <w:rPr>
          <w:rFonts w:hint="eastAsia" w:ascii="宋体" w:hAnsi="宋体" w:cs="宋体"/>
          <w:szCs w:val="21"/>
          <w:highlight w:val="none"/>
          <w:lang w:val="en-US" w:eastAsia="zh-CN"/>
        </w:rPr>
        <w:t>挂网</w:t>
      </w:r>
      <w:r>
        <w:rPr>
          <w:rFonts w:hint="eastAsia" w:ascii="宋体" w:hAnsi="宋体" w:cs="宋体"/>
          <w:szCs w:val="21"/>
        </w:rPr>
        <w:t>起至竞争性比选响应文件递交截止时间前，详见重庆高速集团官网（http://www.cegc.com.cn/gw/newsInfoMenu.html?id=42&amp;key=2）、重庆高速公路集团有限公司招投标管理平台（http://43.240.249.108:8088/PMS/）上发布的本项目竞争性比选公告中的获取方式（链接）自行下载。不管竞标人是否下载，均视为已知晓竞争性比选文件的全部内容和有关事宜。本项目不需要报名，直接投标 。</w:t>
      </w:r>
    </w:p>
    <w:p>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（二）</w:t>
      </w:r>
      <w:r>
        <w:rPr>
          <w:rFonts w:hint="eastAsia" w:ascii="宋体" w:hAnsi="宋体" w:cs="宋体"/>
          <w:szCs w:val="21"/>
        </w:rPr>
        <w:t>竞争性比选公告及结果公示将在重庆高速集团官网（http://www.cegc.com.cn/gw/newsInfoMenu.html?id=42&amp;key=2）、重庆高速公路集团有限公司招投标管理平台（http://43.240.249.108:8088/PMS/）上发布。</w:t>
      </w:r>
      <w:r>
        <w:rPr>
          <w:rFonts w:hint="eastAsia" w:ascii="宋体" w:hAnsi="宋体" w:cs="宋体"/>
          <w:szCs w:val="21"/>
          <w:highlight w:val="none"/>
        </w:rPr>
        <w:t xml:space="preserve"> </w:t>
      </w:r>
    </w:p>
    <w:p>
      <w:pPr>
        <w:spacing w:line="360" w:lineRule="auto"/>
        <w:ind w:firstLine="420" w:firstLineChars="200"/>
        <w:jc w:val="left"/>
        <w:rPr>
          <w:rFonts w:ascii="宋体" w:hAnsi="宋体" w:cs="宋体"/>
          <w:szCs w:val="21"/>
        </w:rPr>
      </w:pPr>
      <w:r>
        <w:rPr>
          <w:rFonts w:hint="eastAsia" w:ascii="宋体" w:hAnsi="宋体" w:cs="宋体"/>
          <w:szCs w:val="21"/>
        </w:rPr>
        <w:t>（三）竞争性比选响应文件递交截止地点：</w:t>
      </w:r>
      <w:r>
        <w:rPr>
          <w:rFonts w:hint="eastAsia" w:ascii="宋体" w:hAnsi="宋体" w:cs="宋体"/>
          <w:b/>
          <w:bCs/>
          <w:color w:val="auto"/>
          <w:szCs w:val="21"/>
        </w:rPr>
        <w:t>重庆通力高速公路养护工程有限公司</w:t>
      </w:r>
      <w:r>
        <w:rPr>
          <w:rFonts w:hint="eastAsia" w:ascii="宋体" w:hAnsi="宋体" w:cs="宋体"/>
          <w:b/>
          <w:bCs/>
          <w:color w:val="auto"/>
          <w:szCs w:val="21"/>
          <w:lang w:val="en-US" w:eastAsia="zh-CN"/>
        </w:rPr>
        <w:t>306室</w:t>
      </w:r>
      <w:r>
        <w:rPr>
          <w:rFonts w:hint="eastAsia" w:ascii="宋体" w:hAnsi="宋体" w:cs="宋体"/>
          <w:color w:val="auto"/>
          <w:szCs w:val="21"/>
        </w:rPr>
        <w:t>（</w:t>
      </w:r>
      <w:r>
        <w:rPr>
          <w:rFonts w:hint="eastAsia" w:ascii="宋体" w:hAnsi="宋体" w:cs="宋体"/>
          <w:b/>
          <w:bCs/>
          <w:color w:val="auto"/>
          <w:szCs w:val="21"/>
          <w:u w:val="single"/>
        </w:rPr>
        <w:t>重庆市</w:t>
      </w:r>
      <w:r>
        <w:rPr>
          <w:rFonts w:hint="eastAsia" w:ascii="宋体" w:hAnsi="宋体" w:cs="宋体"/>
          <w:b/>
          <w:bCs/>
          <w:color w:val="auto"/>
          <w:szCs w:val="21"/>
          <w:u w:val="single"/>
          <w:lang w:val="en-US" w:eastAsia="zh-CN"/>
        </w:rPr>
        <w:t>沙坪坝区梨高路沙坪坝区档案馆旁重庆市公路养护管理段三楼</w:t>
      </w:r>
      <w:r>
        <w:rPr>
          <w:rFonts w:hint="eastAsia" w:ascii="宋体" w:hAnsi="宋体" w:cs="宋体"/>
          <w:color w:val="auto"/>
          <w:szCs w:val="21"/>
        </w:rPr>
        <w:t>）。</w:t>
      </w:r>
    </w:p>
    <w:p>
      <w:pPr>
        <w:spacing w:line="360" w:lineRule="auto"/>
        <w:ind w:firstLine="420" w:firstLineChars="200"/>
        <w:rPr>
          <w:rFonts w:ascii="宋体" w:hAnsi="宋体" w:cs="宋体"/>
          <w:szCs w:val="21"/>
        </w:rPr>
      </w:pPr>
      <w:r>
        <w:rPr>
          <w:rFonts w:hint="eastAsia" w:ascii="宋体" w:hAnsi="宋体" w:cs="宋体"/>
          <w:szCs w:val="21"/>
        </w:rPr>
        <w:t>（四）竞争性比选响应文件递交截止时间：</w:t>
      </w:r>
      <w:r>
        <w:rPr>
          <w:rFonts w:hint="eastAsia" w:ascii="宋体" w:hAnsi="宋体" w:cs="宋体"/>
          <w:b/>
          <w:bCs/>
          <w:szCs w:val="21"/>
          <w:u w:val="single"/>
        </w:rPr>
        <w:t>在2022年</w:t>
      </w:r>
      <w:r>
        <w:rPr>
          <w:rFonts w:hint="eastAsia" w:ascii="宋体" w:hAnsi="宋体" w:cs="宋体"/>
          <w:b/>
          <w:bCs/>
          <w:szCs w:val="21"/>
          <w:u w:val="single"/>
          <w:lang w:val="en-US" w:eastAsia="zh-CN"/>
        </w:rPr>
        <w:t>7</w:t>
      </w:r>
      <w:r>
        <w:rPr>
          <w:rFonts w:hint="eastAsia" w:ascii="宋体" w:hAnsi="宋体" w:cs="宋体"/>
          <w:b/>
          <w:bCs/>
          <w:szCs w:val="21"/>
          <w:u w:val="single"/>
        </w:rPr>
        <w:t>月</w:t>
      </w:r>
      <w:r>
        <w:rPr>
          <w:rFonts w:hint="eastAsia" w:ascii="宋体" w:hAnsi="宋体" w:cs="宋体"/>
          <w:b/>
          <w:bCs/>
          <w:szCs w:val="21"/>
          <w:u w:val="single"/>
          <w:lang w:val="en-US" w:eastAsia="zh-CN"/>
        </w:rPr>
        <w:t>15</w:t>
      </w:r>
      <w:r>
        <w:rPr>
          <w:rFonts w:hint="eastAsia" w:ascii="宋体" w:hAnsi="宋体" w:cs="宋体"/>
          <w:b/>
          <w:bCs/>
          <w:szCs w:val="21"/>
          <w:u w:val="single"/>
        </w:rPr>
        <w:t>日</w:t>
      </w:r>
      <w:r>
        <w:rPr>
          <w:rFonts w:hint="eastAsia" w:ascii="宋体" w:hAnsi="宋体" w:cs="宋体"/>
          <w:b/>
          <w:bCs/>
          <w:szCs w:val="21"/>
          <w:u w:val="single"/>
          <w:lang w:val="en-US" w:eastAsia="zh-CN"/>
        </w:rPr>
        <w:t>10</w:t>
      </w:r>
      <w:r>
        <w:rPr>
          <w:rFonts w:hint="eastAsia" w:ascii="宋体" w:hAnsi="宋体" w:cs="宋体"/>
          <w:b/>
          <w:bCs/>
          <w:szCs w:val="21"/>
          <w:u w:val="single"/>
        </w:rPr>
        <w:t>时</w:t>
      </w:r>
      <w:r>
        <w:rPr>
          <w:rFonts w:hint="eastAsia" w:ascii="宋体" w:hAnsi="宋体" w:cs="宋体"/>
          <w:b/>
          <w:bCs/>
          <w:szCs w:val="21"/>
          <w:u w:val="single"/>
          <w:lang w:val="en-US" w:eastAsia="zh-CN"/>
        </w:rPr>
        <w:t>00</w:t>
      </w:r>
      <w:r>
        <w:rPr>
          <w:rFonts w:hint="eastAsia" w:ascii="宋体" w:hAnsi="宋体" w:cs="宋体"/>
          <w:b/>
          <w:bCs/>
          <w:szCs w:val="21"/>
          <w:u w:val="single"/>
        </w:rPr>
        <w:t>分</w:t>
      </w:r>
      <w:r>
        <w:rPr>
          <w:rFonts w:hint="eastAsia" w:ascii="宋体" w:hAnsi="宋体" w:cs="宋体"/>
          <w:b/>
          <w:bCs/>
          <w:szCs w:val="21"/>
        </w:rPr>
        <w:t>。</w:t>
      </w:r>
    </w:p>
    <w:p>
      <w:pPr>
        <w:spacing w:line="360" w:lineRule="auto"/>
        <w:ind w:firstLine="420" w:firstLineChars="200"/>
        <w:rPr>
          <w:rFonts w:ascii="宋体" w:hAnsi="宋体" w:cs="宋体"/>
          <w:szCs w:val="21"/>
        </w:rPr>
      </w:pPr>
      <w:r>
        <w:rPr>
          <w:rFonts w:hint="eastAsia" w:ascii="宋体" w:hAnsi="宋体" w:cs="宋体"/>
          <w:szCs w:val="21"/>
        </w:rPr>
        <w:t>（五）各比选申请人应根据本次竞争性比选的具体要求，编制规范的竞争性比选响应文件（竞争性比选响应文件，要求填写规范，密封完好并在封口处加盖公章，所有竞争性比选响应文件均只能作一次性提交，提交后不得更改）。</w:t>
      </w:r>
    </w:p>
    <w:p>
      <w:pPr>
        <w:spacing w:line="360" w:lineRule="exact"/>
        <w:ind w:firstLine="420" w:firstLineChars="200"/>
        <w:rPr>
          <w:rFonts w:ascii="宋体" w:hAnsi="宋体" w:cs="宋体"/>
          <w:szCs w:val="21"/>
        </w:rPr>
      </w:pPr>
      <w:r>
        <w:rPr>
          <w:rFonts w:hint="eastAsia" w:ascii="宋体" w:hAnsi="宋体" w:cs="宋体"/>
          <w:szCs w:val="21"/>
        </w:rPr>
        <w:t>（六）比选申请人因自身原因或其他特殊情况等不能到场开标，可通过其他方式在投标截止日前递交标书进行报名。不到场参与开标，视为比选申请人默认开标过程及开标结果。</w:t>
      </w:r>
    </w:p>
    <w:p>
      <w:pPr>
        <w:spacing w:line="360" w:lineRule="exact"/>
        <w:ind w:firstLine="420" w:firstLineChars="200"/>
        <w:rPr>
          <w:rFonts w:ascii="宋体" w:hAnsi="宋体" w:cs="宋体"/>
          <w:szCs w:val="21"/>
        </w:rPr>
      </w:pPr>
      <w:r>
        <w:rPr>
          <w:rFonts w:hint="eastAsia" w:ascii="宋体" w:hAnsi="宋体" w:cs="宋体"/>
          <w:szCs w:val="21"/>
        </w:rPr>
        <w:t>（七）密封要求：</w:t>
      </w:r>
    </w:p>
    <w:p>
      <w:pPr>
        <w:spacing w:line="360" w:lineRule="auto"/>
        <w:ind w:firstLine="420" w:firstLineChars="200"/>
        <w:rPr>
          <w:rFonts w:ascii="宋体" w:hAnsi="宋体" w:cs="宋体"/>
          <w:szCs w:val="21"/>
        </w:rPr>
      </w:pPr>
      <w:r>
        <w:rPr>
          <w:rFonts w:hint="eastAsia" w:ascii="宋体" w:hAnsi="宋体" w:cs="宋体"/>
          <w:szCs w:val="21"/>
        </w:rPr>
        <w:t>按第三条要求制作的竞争性比选响应文件，将竞争性比选响应文件密封到一个封套中，再在封套上写明：</w:t>
      </w:r>
    </w:p>
    <w:p>
      <w:pPr>
        <w:pStyle w:val="9"/>
        <w:rPr>
          <w:rFonts w:ascii="宋体" w:hAnsi="宋体" w:cs="宋体"/>
          <w:szCs w:val="21"/>
        </w:rPr>
      </w:pPr>
    </w:p>
    <w:p>
      <w:pPr>
        <w:pStyle w:val="9"/>
        <w:rPr>
          <w:rFonts w:ascii="宋体" w:hAnsi="宋体" w:cs="宋体"/>
          <w:b/>
          <w:bCs/>
          <w:szCs w:val="21"/>
        </w:rPr>
      </w:pPr>
    </w:p>
    <w:p>
      <w:pPr>
        <w:spacing w:line="360" w:lineRule="auto"/>
        <w:ind w:firstLine="422" w:firstLineChars="200"/>
        <w:jc w:val="center"/>
        <w:rPr>
          <w:rFonts w:ascii="宋体" w:hAnsi="宋体" w:cs="宋体"/>
          <w:b/>
          <w:bCs/>
          <w:szCs w:val="21"/>
          <w:u w:val="single"/>
        </w:rPr>
      </w:pPr>
      <w:r>
        <w:rPr>
          <w:rFonts w:hint="eastAsia" w:ascii="宋体" w:hAnsi="宋体" w:cs="宋体"/>
          <w:b/>
          <w:bCs/>
          <w:szCs w:val="21"/>
          <w:u w:val="single"/>
        </w:rPr>
        <w:t>重庆通力高速公路养护工程有限公司</w:t>
      </w:r>
      <w:r>
        <w:rPr>
          <w:rFonts w:hint="eastAsia" w:ascii="宋体" w:hAnsi="宋体" w:cs="宋体"/>
          <w:b/>
          <w:bCs/>
          <w:szCs w:val="21"/>
          <w:u w:val="single"/>
          <w:lang w:eastAsia="zh-CN"/>
        </w:rPr>
        <w:t>G75巴南服务区改造工程</w:t>
      </w:r>
      <w:r>
        <w:rPr>
          <w:rFonts w:hint="eastAsia" w:ascii="宋体" w:hAnsi="宋体" w:cs="宋体"/>
          <w:b/>
          <w:bCs/>
          <w:szCs w:val="21"/>
          <w:u w:val="single"/>
        </w:rPr>
        <w:t>商品混凝土采购竞争性比选响应文件</w:t>
      </w:r>
    </w:p>
    <w:p>
      <w:pPr>
        <w:spacing w:line="360" w:lineRule="auto"/>
        <w:ind w:firstLine="422" w:firstLineChars="200"/>
        <w:jc w:val="center"/>
        <w:rPr>
          <w:rFonts w:ascii="宋体" w:hAnsi="宋体" w:cs="宋体"/>
          <w:b/>
          <w:bCs/>
          <w:szCs w:val="21"/>
          <w:u w:val="single"/>
        </w:rPr>
      </w:pPr>
      <w:r>
        <w:rPr>
          <w:rFonts w:hint="eastAsia" w:ascii="宋体" w:hAnsi="宋体" w:cs="宋体"/>
          <w:b/>
          <w:bCs/>
          <w:szCs w:val="21"/>
          <w:u w:val="single"/>
        </w:rPr>
        <w:t>在2022年</w:t>
      </w:r>
      <w:r>
        <w:rPr>
          <w:rFonts w:hint="eastAsia" w:ascii="宋体" w:hAnsi="宋体" w:cs="宋体"/>
          <w:b/>
          <w:bCs/>
          <w:szCs w:val="21"/>
          <w:u w:val="single"/>
          <w:lang w:val="en-US" w:eastAsia="zh-CN"/>
        </w:rPr>
        <w:t>7</w:t>
      </w:r>
      <w:r>
        <w:rPr>
          <w:rFonts w:hint="eastAsia" w:ascii="宋体" w:hAnsi="宋体" w:cs="宋体"/>
          <w:b/>
          <w:bCs/>
          <w:szCs w:val="21"/>
          <w:u w:val="single"/>
        </w:rPr>
        <w:t>月</w:t>
      </w:r>
      <w:r>
        <w:rPr>
          <w:rFonts w:hint="eastAsia" w:ascii="宋体" w:hAnsi="宋体" w:cs="宋体"/>
          <w:b/>
          <w:bCs/>
          <w:szCs w:val="21"/>
          <w:u w:val="single"/>
          <w:lang w:val="en-US" w:eastAsia="zh-CN"/>
        </w:rPr>
        <w:t>15</w:t>
      </w:r>
      <w:r>
        <w:rPr>
          <w:rFonts w:hint="eastAsia" w:ascii="宋体" w:hAnsi="宋体" w:cs="宋体"/>
          <w:b/>
          <w:bCs/>
          <w:szCs w:val="21"/>
          <w:u w:val="single"/>
        </w:rPr>
        <w:t>日</w:t>
      </w:r>
      <w:r>
        <w:rPr>
          <w:rFonts w:hint="eastAsia" w:ascii="宋体" w:hAnsi="宋体" w:cs="宋体"/>
          <w:b/>
          <w:bCs/>
          <w:szCs w:val="21"/>
          <w:u w:val="single"/>
          <w:lang w:val="en-US" w:eastAsia="zh-CN"/>
        </w:rPr>
        <w:t>10</w:t>
      </w:r>
      <w:r>
        <w:rPr>
          <w:rFonts w:hint="eastAsia" w:ascii="宋体" w:hAnsi="宋体" w:cs="宋体"/>
          <w:b/>
          <w:bCs/>
          <w:szCs w:val="21"/>
          <w:u w:val="single"/>
        </w:rPr>
        <w:t>时</w:t>
      </w:r>
      <w:r>
        <w:rPr>
          <w:rFonts w:hint="eastAsia" w:ascii="宋体" w:hAnsi="宋体" w:cs="宋体"/>
          <w:b/>
          <w:bCs/>
          <w:szCs w:val="21"/>
          <w:u w:val="single"/>
          <w:lang w:val="en-US" w:eastAsia="zh-CN"/>
        </w:rPr>
        <w:t>00</w:t>
      </w:r>
      <w:r>
        <w:rPr>
          <w:rFonts w:hint="eastAsia" w:ascii="宋体" w:hAnsi="宋体" w:cs="宋体"/>
          <w:b/>
          <w:bCs/>
          <w:szCs w:val="21"/>
          <w:u w:val="single"/>
        </w:rPr>
        <w:t>分前不得开启</w:t>
      </w:r>
      <w:bookmarkStart w:id="37" w:name="_GoBack"/>
      <w:bookmarkEnd w:id="37"/>
    </w:p>
    <w:p>
      <w:pPr>
        <w:spacing w:line="360" w:lineRule="exact"/>
        <w:ind w:firstLine="420" w:firstLineChars="200"/>
        <w:jc w:val="center"/>
        <w:rPr>
          <w:rFonts w:ascii="宋体" w:hAnsi="宋体" w:cs="宋体"/>
          <w:szCs w:val="21"/>
        </w:rPr>
      </w:pPr>
    </w:p>
    <w:p>
      <w:pPr>
        <w:spacing w:line="360" w:lineRule="exact"/>
        <w:ind w:firstLine="420" w:firstLineChars="200"/>
        <w:rPr>
          <w:rFonts w:hint="eastAsia"/>
          <w:szCs w:val="21"/>
        </w:rPr>
      </w:pPr>
      <w:r>
        <w:rPr>
          <w:rFonts w:hint="eastAsia" w:ascii="宋体" w:hAnsi="宋体" w:cs="宋体"/>
          <w:szCs w:val="21"/>
        </w:rPr>
        <w:t>（</w:t>
      </w:r>
      <w:r>
        <w:rPr>
          <w:rFonts w:hint="eastAsia" w:ascii="宋体" w:hAnsi="宋体" w:cs="宋体"/>
          <w:szCs w:val="21"/>
          <w:lang w:val="en-US" w:eastAsia="zh-CN"/>
        </w:rPr>
        <w:t>八</w:t>
      </w:r>
      <w:r>
        <w:rPr>
          <w:rFonts w:hint="eastAsia" w:ascii="宋体" w:hAnsi="宋体" w:cs="宋体"/>
          <w:szCs w:val="21"/>
        </w:rPr>
        <w:t>）</w:t>
      </w:r>
      <w:r>
        <w:rPr>
          <w:rFonts w:hint="eastAsia"/>
          <w:szCs w:val="21"/>
        </w:rPr>
        <w:t>廉政约定：</w:t>
      </w:r>
    </w:p>
    <w:p>
      <w:pPr>
        <w:spacing w:line="360" w:lineRule="exact"/>
        <w:ind w:firstLine="420" w:firstLineChars="200"/>
        <w:rPr>
          <w:rFonts w:hint="eastAsia"/>
          <w:szCs w:val="21"/>
          <w:highlight w:val="none"/>
        </w:rPr>
      </w:pPr>
      <w:r>
        <w:rPr>
          <w:rFonts w:hint="eastAsia"/>
          <w:szCs w:val="21"/>
        </w:rPr>
        <w:t>为杜绝商业贿赂现象，共同营造公平、公正的竞争环境，敬请各比选申请人在参与竞标报价过程中，将比选人明示或暗示要求宴请、招待，或索取礼金、礼品、礼券、其他利益，或故意刁难、显失公平现象，向我司纪检监察</w:t>
      </w:r>
      <w:r>
        <w:rPr>
          <w:rFonts w:hint="eastAsia"/>
          <w:szCs w:val="21"/>
          <w:highlight w:val="none"/>
        </w:rPr>
        <w:t>人员进行举报。具体举报渠道告知如下：</w:t>
      </w:r>
    </w:p>
    <w:p>
      <w:pPr>
        <w:spacing w:line="360" w:lineRule="exact"/>
        <w:ind w:firstLine="420" w:firstLineChars="200"/>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rPr>
        <w:t>举报联系人：</w:t>
      </w:r>
      <w:r>
        <w:rPr>
          <w:rFonts w:hint="eastAsia" w:ascii="宋体" w:hAnsi="宋体" w:eastAsia="宋体" w:cs="宋体"/>
          <w:color w:val="auto"/>
          <w:szCs w:val="21"/>
          <w:highlight w:val="none"/>
          <w:lang w:val="en-US" w:eastAsia="zh-CN"/>
        </w:rPr>
        <w:t>崔老师</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举报电话</w:t>
      </w:r>
      <w:r>
        <w:rPr>
          <w:rFonts w:hint="eastAsia" w:ascii="宋体" w:hAnsi="宋体" w:eastAsia="宋体" w:cs="宋体"/>
          <w:color w:val="auto"/>
          <w:szCs w:val="21"/>
          <w:highlight w:val="none"/>
          <w:lang w:eastAsia="zh-CN"/>
        </w:rPr>
        <w:t>：</w:t>
      </w:r>
      <w:r>
        <w:rPr>
          <w:rFonts w:hint="default" w:ascii="宋体" w:hAnsi="宋体" w:eastAsia="宋体" w:cs="宋体"/>
          <w:color w:val="auto"/>
          <w:szCs w:val="21"/>
          <w:highlight w:val="none"/>
          <w:lang w:val="en-US" w:eastAsia="zh-CN"/>
        </w:rPr>
        <w:t>023-89187977</w:t>
      </w:r>
    </w:p>
    <w:p>
      <w:pPr>
        <w:spacing w:line="360" w:lineRule="exact"/>
        <w:ind w:firstLine="420" w:firstLineChars="200"/>
        <w:rPr>
          <w:rFonts w:hint="eastAsia"/>
          <w:szCs w:val="21"/>
        </w:rPr>
      </w:pPr>
      <w:r>
        <w:rPr>
          <w:rFonts w:hint="eastAsia"/>
          <w:szCs w:val="21"/>
        </w:rPr>
        <w:t>我司承诺：对所有举报信息及时调查处理，对举报来源严格保守秘密，对举报单位因举报所可能遭受的利益损害采取特别措施予以保护。</w:t>
      </w:r>
    </w:p>
    <w:p>
      <w:pPr>
        <w:numPr>
          <w:ilvl w:val="0"/>
          <w:numId w:val="4"/>
        </w:numPr>
        <w:spacing w:line="360" w:lineRule="exact"/>
        <w:ind w:firstLine="420" w:firstLineChars="200"/>
        <w:rPr>
          <w:rFonts w:ascii="宋体" w:hAnsi="宋体" w:cs="宋体"/>
          <w:szCs w:val="21"/>
          <w:highlight w:val="none"/>
        </w:rPr>
      </w:pPr>
      <w:r>
        <w:rPr>
          <w:rFonts w:hint="eastAsia"/>
          <w:szCs w:val="21"/>
          <w:highlight w:val="none"/>
        </w:rPr>
        <w:t>采购合同（附后）。</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（十）比选人联系方式：</w:t>
      </w:r>
    </w:p>
    <w:p>
      <w:pPr>
        <w:spacing w:line="360" w:lineRule="exact"/>
        <w:ind w:firstLine="420" w:firstLineChars="200"/>
        <w:jc w:val="left"/>
        <w:rPr>
          <w:rFonts w:ascii="宋体" w:hAnsi="宋体" w:cs="宋体"/>
          <w:szCs w:val="21"/>
          <w:highlight w:val="none"/>
        </w:rPr>
      </w:pPr>
      <w:r>
        <w:rPr>
          <w:rFonts w:hint="eastAsia" w:ascii="宋体" w:hAnsi="宋体" w:cs="宋体"/>
          <w:szCs w:val="21"/>
          <w:highlight w:val="none"/>
        </w:rPr>
        <w:t>比选人：重庆通力高速公路养护工程有限公司</w:t>
      </w:r>
    </w:p>
    <w:p>
      <w:pPr>
        <w:spacing w:line="36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地址：</w:t>
      </w:r>
      <w:r>
        <w:rPr>
          <w:rFonts w:hint="eastAsia" w:ascii="宋体" w:hAnsi="宋体" w:cs="宋体"/>
          <w:b/>
          <w:bCs/>
          <w:color w:val="auto"/>
          <w:szCs w:val="21"/>
        </w:rPr>
        <w:t>重庆通力高速公路养护工程有限公司</w:t>
      </w:r>
      <w:r>
        <w:rPr>
          <w:rFonts w:hint="eastAsia" w:ascii="宋体" w:hAnsi="宋体" w:cs="宋体"/>
          <w:b/>
          <w:bCs/>
          <w:color w:val="auto"/>
          <w:szCs w:val="21"/>
          <w:lang w:val="en-US" w:eastAsia="zh-CN"/>
        </w:rPr>
        <w:t>306室</w:t>
      </w:r>
      <w:r>
        <w:rPr>
          <w:rFonts w:hint="eastAsia" w:ascii="宋体" w:hAnsi="宋体" w:cs="宋体"/>
          <w:color w:val="auto"/>
          <w:szCs w:val="21"/>
        </w:rPr>
        <w:t>（</w:t>
      </w:r>
      <w:r>
        <w:rPr>
          <w:rFonts w:hint="eastAsia" w:ascii="宋体" w:hAnsi="宋体" w:cs="宋体"/>
          <w:b/>
          <w:bCs/>
          <w:color w:val="auto"/>
          <w:szCs w:val="21"/>
          <w:u w:val="single"/>
        </w:rPr>
        <w:t>重庆市</w:t>
      </w:r>
      <w:r>
        <w:rPr>
          <w:rFonts w:hint="eastAsia" w:ascii="宋体" w:hAnsi="宋体" w:cs="宋体"/>
          <w:b/>
          <w:bCs/>
          <w:color w:val="auto"/>
          <w:szCs w:val="21"/>
          <w:u w:val="single"/>
          <w:lang w:val="en-US" w:eastAsia="zh-CN"/>
        </w:rPr>
        <w:t>沙坪坝区梨高路沙坪坝区档案馆旁重庆市公路养护管理段三楼</w:t>
      </w:r>
      <w:r>
        <w:rPr>
          <w:rFonts w:hint="eastAsia" w:ascii="宋体" w:hAnsi="宋体" w:cs="宋体"/>
          <w:color w:val="auto"/>
          <w:szCs w:val="21"/>
        </w:rPr>
        <w:t>）</w:t>
      </w:r>
    </w:p>
    <w:p>
      <w:pPr>
        <w:spacing w:line="360" w:lineRule="exact"/>
        <w:ind w:firstLine="420" w:firstLineChars="200"/>
        <w:jc w:val="left"/>
        <w:rPr>
          <w:rFonts w:hint="default" w:ascii="宋体" w:hAnsi="宋体" w:cs="宋体"/>
          <w:color w:val="auto"/>
          <w:szCs w:val="21"/>
          <w:highlight w:val="yellow"/>
          <w:lang w:val="en-US"/>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刘</w:t>
      </w:r>
      <w:r>
        <w:rPr>
          <w:rFonts w:hint="eastAsia" w:ascii="宋体" w:hAnsi="宋体" w:cs="宋体"/>
          <w:color w:val="auto"/>
          <w:szCs w:val="21"/>
          <w:highlight w:val="none"/>
        </w:rPr>
        <w:t>老师      电话：023-88563373</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毛老师  电话：13996512809</w:t>
      </w:r>
    </w:p>
    <w:p>
      <w:pPr>
        <w:spacing w:line="360" w:lineRule="exact"/>
        <w:ind w:firstLine="420" w:firstLineChars="200"/>
        <w:jc w:val="left"/>
        <w:rPr>
          <w:rFonts w:ascii="宋体" w:hAnsi="宋体" w:cs="宋体"/>
          <w:szCs w:val="21"/>
          <w:highlight w:val="none"/>
        </w:rPr>
      </w:pPr>
    </w:p>
    <w:p>
      <w:pPr>
        <w:pStyle w:val="9"/>
        <w:rPr>
          <w:rFonts w:ascii="宋体" w:hAnsi="宋体" w:cs="宋体"/>
          <w:szCs w:val="21"/>
        </w:rPr>
      </w:pPr>
    </w:p>
    <w:p>
      <w:pPr>
        <w:pStyle w:val="9"/>
        <w:rPr>
          <w:rFonts w:ascii="宋体" w:hAnsi="宋体" w:cs="宋体"/>
          <w:szCs w:val="21"/>
        </w:rPr>
      </w:pPr>
    </w:p>
    <w:p>
      <w:pPr>
        <w:pStyle w:val="9"/>
        <w:rPr>
          <w:rFonts w:ascii="宋体" w:hAnsi="宋体" w:cs="宋体"/>
          <w:szCs w:val="21"/>
        </w:rPr>
      </w:pPr>
    </w:p>
    <w:p>
      <w:pPr>
        <w:pStyle w:val="9"/>
        <w:rPr>
          <w:rFonts w:ascii="宋体" w:hAnsi="宋体" w:cs="宋体"/>
          <w:szCs w:val="21"/>
        </w:rPr>
      </w:pPr>
    </w:p>
    <w:p>
      <w:pPr>
        <w:pStyle w:val="9"/>
        <w:rPr>
          <w:rFonts w:ascii="宋体" w:hAnsi="宋体" w:cs="宋体"/>
          <w:szCs w:val="21"/>
        </w:rPr>
      </w:pPr>
    </w:p>
    <w:p>
      <w:pPr>
        <w:pStyle w:val="9"/>
        <w:rPr>
          <w:rFonts w:ascii="宋体" w:hAnsi="宋体" w:cs="宋体"/>
          <w:szCs w:val="21"/>
        </w:rPr>
      </w:pPr>
    </w:p>
    <w:p>
      <w:pPr>
        <w:pStyle w:val="9"/>
        <w:rPr>
          <w:rFonts w:ascii="宋体" w:hAnsi="宋体" w:cs="宋体"/>
          <w:szCs w:val="21"/>
        </w:rPr>
      </w:pPr>
    </w:p>
    <w:p>
      <w:pPr>
        <w:rPr>
          <w:rFonts w:ascii="宋体" w:hAnsi="宋体"/>
          <w:szCs w:val="21"/>
        </w:rPr>
      </w:pPr>
      <w:r>
        <w:rPr>
          <w:rFonts w:ascii="宋体" w:hAnsi="宋体"/>
          <w:szCs w:val="21"/>
        </w:rPr>
        <w:br w:type="page"/>
      </w:r>
    </w:p>
    <w:p>
      <w:pPr>
        <w:spacing w:line="360" w:lineRule="exact"/>
        <w:jc w:val="left"/>
        <w:rPr>
          <w:b/>
          <w:sz w:val="24"/>
          <w:szCs w:val="21"/>
        </w:rPr>
      </w:pPr>
      <w:r>
        <w:rPr>
          <w:rFonts w:ascii="宋体" w:hAnsi="宋体"/>
          <w:szCs w:val="21"/>
        </w:rPr>
        <w:t xml:space="preserve"> </w:t>
      </w:r>
      <w:r>
        <w:rPr>
          <w:rFonts w:hint="eastAsia"/>
          <w:b/>
          <w:sz w:val="24"/>
          <w:szCs w:val="21"/>
        </w:rPr>
        <w:t>采购合同：</w:t>
      </w:r>
    </w:p>
    <w:p>
      <w:pPr>
        <w:pStyle w:val="9"/>
      </w:pPr>
    </w:p>
    <w:p>
      <w:pPr>
        <w:spacing w:line="360" w:lineRule="auto"/>
        <w:jc w:val="center"/>
        <w:rPr>
          <w:b/>
          <w:sz w:val="32"/>
          <w:szCs w:val="18"/>
        </w:rPr>
      </w:pPr>
      <w:r>
        <w:rPr>
          <w:rFonts w:hint="eastAsia"/>
          <w:b/>
          <w:sz w:val="32"/>
          <w:szCs w:val="18"/>
        </w:rPr>
        <w:t>重庆通力高速公路养护工程有限公司</w:t>
      </w:r>
    </w:p>
    <w:p>
      <w:pPr>
        <w:spacing w:line="360" w:lineRule="auto"/>
        <w:jc w:val="center"/>
        <w:rPr>
          <w:rFonts w:hint="eastAsia" w:eastAsia="宋体"/>
          <w:b/>
          <w:sz w:val="32"/>
          <w:szCs w:val="18"/>
          <w:lang w:eastAsia="zh-CN"/>
        </w:rPr>
      </w:pPr>
      <w:r>
        <w:rPr>
          <w:rFonts w:hint="eastAsia"/>
          <w:b/>
          <w:sz w:val="32"/>
          <w:szCs w:val="18"/>
          <w:lang w:eastAsia="zh-CN"/>
        </w:rPr>
        <w:t>G75巴南服务区改造工程</w:t>
      </w:r>
    </w:p>
    <w:p>
      <w:pPr>
        <w:spacing w:line="360" w:lineRule="auto"/>
        <w:jc w:val="center"/>
        <w:rPr>
          <w:b/>
          <w:sz w:val="24"/>
          <w:szCs w:val="32"/>
        </w:rPr>
      </w:pPr>
      <w:r>
        <w:rPr>
          <w:rFonts w:hint="eastAsia"/>
          <w:b/>
          <w:sz w:val="32"/>
          <w:szCs w:val="18"/>
        </w:rPr>
        <w:t>商品混凝土采购合同</w:t>
      </w:r>
    </w:p>
    <w:p>
      <w:pPr>
        <w:spacing w:line="360" w:lineRule="auto"/>
        <w:textAlignment w:val="baseline"/>
        <w:rPr>
          <w:sz w:val="24"/>
          <w:szCs w:val="24"/>
        </w:rPr>
      </w:pPr>
      <w:r>
        <w:rPr>
          <w:rFonts w:hint="eastAsia"/>
          <w:sz w:val="24"/>
          <w:szCs w:val="24"/>
        </w:rPr>
        <w:t xml:space="preserve">甲方：重庆通力高速公路养护工程有限公司                              </w:t>
      </w:r>
    </w:p>
    <w:p>
      <w:pPr>
        <w:spacing w:line="360" w:lineRule="auto"/>
        <w:textAlignment w:val="baseline"/>
        <w:rPr>
          <w:sz w:val="24"/>
          <w:szCs w:val="24"/>
        </w:rPr>
      </w:pPr>
      <w:r>
        <w:rPr>
          <w:rFonts w:hint="eastAsia"/>
          <w:sz w:val="24"/>
          <w:szCs w:val="24"/>
        </w:rPr>
        <w:t xml:space="preserve">乙方：                                   </w:t>
      </w:r>
    </w:p>
    <w:p>
      <w:pPr>
        <w:spacing w:line="360" w:lineRule="auto"/>
        <w:ind w:firstLine="480" w:firstLineChars="200"/>
        <w:textAlignment w:val="baseline"/>
        <w:rPr>
          <w:sz w:val="24"/>
          <w:szCs w:val="24"/>
        </w:rPr>
      </w:pPr>
      <w:r>
        <w:rPr>
          <w:rFonts w:hint="eastAsia"/>
          <w:sz w:val="24"/>
          <w:szCs w:val="24"/>
        </w:rPr>
        <w:t>甲方因</w:t>
      </w:r>
      <w:r>
        <w:rPr>
          <w:rFonts w:hint="eastAsia" w:ascii="宋体" w:hAnsi="宋体"/>
          <w:sz w:val="24"/>
          <w:szCs w:val="24"/>
          <w:lang w:eastAsia="zh-CN"/>
        </w:rPr>
        <w:t>G75巴南服务区改造工程</w:t>
      </w:r>
      <w:r>
        <w:rPr>
          <w:rFonts w:hint="eastAsia" w:ascii="宋体" w:hAnsi="宋体"/>
          <w:sz w:val="24"/>
          <w:szCs w:val="24"/>
        </w:rPr>
        <w:t>需要，协议向乙方购买商品混凝土一批；依照《中华人民共和国合同法》及其他有关法律、行政法规，</w:t>
      </w:r>
      <w:r>
        <w:rPr>
          <w:rFonts w:hint="eastAsia"/>
          <w:sz w:val="24"/>
          <w:szCs w:val="24"/>
        </w:rPr>
        <w:t>双方在</w:t>
      </w:r>
      <w:r>
        <w:rPr>
          <w:rFonts w:hint="eastAsia" w:ascii="宋体" w:hAnsi="宋体"/>
          <w:sz w:val="24"/>
          <w:szCs w:val="24"/>
        </w:rPr>
        <w:t>遵循平等、自愿、公平和诚实守信原则的基础上，</w:t>
      </w:r>
      <w:r>
        <w:rPr>
          <w:rFonts w:hint="eastAsia"/>
          <w:sz w:val="24"/>
          <w:szCs w:val="24"/>
        </w:rPr>
        <w:t>经共同协商，达成一致意见，特签订本合同：</w:t>
      </w:r>
    </w:p>
    <w:p>
      <w:pPr>
        <w:spacing w:line="360" w:lineRule="auto"/>
        <w:jc w:val="left"/>
        <w:textAlignment w:val="baseline"/>
        <w:rPr>
          <w:szCs w:val="21"/>
          <w:highlight w:val="yellow"/>
        </w:rPr>
      </w:pPr>
      <w:r>
        <w:rPr>
          <w:rFonts w:hint="eastAsia"/>
          <w:b/>
          <w:sz w:val="24"/>
          <w:szCs w:val="24"/>
        </w:rPr>
        <w:t>一、产品名称、型号、数量、金额</w:t>
      </w:r>
      <w:r>
        <w:rPr>
          <w:rFonts w:hint="eastAsia"/>
          <w:sz w:val="24"/>
          <w:szCs w:val="24"/>
        </w:rPr>
        <w:t>：</w:t>
      </w:r>
      <w:r>
        <w:rPr>
          <w:rFonts w:hint="eastAsia"/>
          <w:szCs w:val="21"/>
        </w:rPr>
        <w:t>货币单位：人民币  元</w:t>
      </w:r>
    </w:p>
    <w:tbl>
      <w:tblPr>
        <w:tblStyle w:val="7"/>
        <w:tblpPr w:leftFromText="180" w:rightFromText="180" w:vertAnchor="text" w:horzAnchor="margin" w:tblpX="213" w:tblpY="24"/>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184"/>
        <w:gridCol w:w="764"/>
        <w:gridCol w:w="828"/>
        <w:gridCol w:w="1198"/>
        <w:gridCol w:w="1224"/>
        <w:gridCol w:w="3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18" w:type="dxa"/>
          </w:tcPr>
          <w:p>
            <w:pPr>
              <w:spacing w:line="360" w:lineRule="auto"/>
              <w:jc w:val="center"/>
              <w:textAlignment w:val="baseline"/>
              <w:rPr>
                <w:b/>
                <w:sz w:val="24"/>
                <w:szCs w:val="24"/>
              </w:rPr>
            </w:pPr>
            <w:r>
              <w:rPr>
                <w:rFonts w:hint="eastAsia"/>
                <w:b/>
                <w:sz w:val="24"/>
                <w:szCs w:val="24"/>
              </w:rPr>
              <w:t>产品名称</w:t>
            </w:r>
          </w:p>
        </w:tc>
        <w:tc>
          <w:tcPr>
            <w:tcW w:w="1184" w:type="dxa"/>
          </w:tcPr>
          <w:p>
            <w:pPr>
              <w:spacing w:line="360" w:lineRule="auto"/>
              <w:jc w:val="center"/>
              <w:textAlignment w:val="baseline"/>
              <w:rPr>
                <w:b/>
                <w:sz w:val="24"/>
                <w:szCs w:val="24"/>
              </w:rPr>
            </w:pPr>
            <w:r>
              <w:rPr>
                <w:rFonts w:hint="eastAsia"/>
                <w:b/>
                <w:sz w:val="24"/>
                <w:szCs w:val="24"/>
              </w:rPr>
              <w:t>规格型号</w:t>
            </w:r>
          </w:p>
        </w:tc>
        <w:tc>
          <w:tcPr>
            <w:tcW w:w="764" w:type="dxa"/>
          </w:tcPr>
          <w:p>
            <w:pPr>
              <w:spacing w:line="360" w:lineRule="auto"/>
              <w:jc w:val="center"/>
              <w:textAlignment w:val="baseline"/>
              <w:rPr>
                <w:b/>
                <w:sz w:val="24"/>
                <w:szCs w:val="24"/>
              </w:rPr>
            </w:pPr>
            <w:r>
              <w:rPr>
                <w:rFonts w:hint="eastAsia"/>
                <w:b/>
                <w:sz w:val="24"/>
                <w:szCs w:val="24"/>
              </w:rPr>
              <w:t>单位</w:t>
            </w:r>
          </w:p>
        </w:tc>
        <w:tc>
          <w:tcPr>
            <w:tcW w:w="828" w:type="dxa"/>
          </w:tcPr>
          <w:p>
            <w:pPr>
              <w:spacing w:line="360" w:lineRule="auto"/>
              <w:jc w:val="center"/>
              <w:textAlignment w:val="baseline"/>
              <w:rPr>
                <w:b/>
                <w:sz w:val="24"/>
                <w:szCs w:val="24"/>
              </w:rPr>
            </w:pPr>
            <w:r>
              <w:rPr>
                <w:rFonts w:hint="eastAsia"/>
                <w:b/>
                <w:sz w:val="24"/>
                <w:szCs w:val="24"/>
              </w:rPr>
              <w:t>数量</w:t>
            </w:r>
          </w:p>
        </w:tc>
        <w:tc>
          <w:tcPr>
            <w:tcW w:w="1198" w:type="dxa"/>
          </w:tcPr>
          <w:p>
            <w:pPr>
              <w:spacing w:line="360" w:lineRule="auto"/>
              <w:jc w:val="center"/>
              <w:textAlignment w:val="baseline"/>
              <w:rPr>
                <w:b/>
                <w:sz w:val="24"/>
                <w:szCs w:val="24"/>
              </w:rPr>
            </w:pPr>
            <w:r>
              <w:rPr>
                <w:rFonts w:hint="eastAsia"/>
                <w:b/>
                <w:sz w:val="24"/>
                <w:szCs w:val="24"/>
              </w:rPr>
              <w:t>到场单价</w:t>
            </w:r>
          </w:p>
        </w:tc>
        <w:tc>
          <w:tcPr>
            <w:tcW w:w="1224" w:type="dxa"/>
          </w:tcPr>
          <w:p>
            <w:pPr>
              <w:spacing w:line="360" w:lineRule="auto"/>
              <w:jc w:val="center"/>
              <w:textAlignment w:val="baseline"/>
              <w:rPr>
                <w:b/>
                <w:sz w:val="24"/>
                <w:szCs w:val="24"/>
              </w:rPr>
            </w:pPr>
            <w:r>
              <w:rPr>
                <w:rFonts w:hint="eastAsia"/>
                <w:b/>
                <w:sz w:val="24"/>
                <w:szCs w:val="24"/>
              </w:rPr>
              <w:t>金额</w:t>
            </w:r>
          </w:p>
        </w:tc>
        <w:tc>
          <w:tcPr>
            <w:tcW w:w="3454" w:type="dxa"/>
          </w:tcPr>
          <w:p>
            <w:pPr>
              <w:spacing w:line="360" w:lineRule="auto"/>
              <w:jc w:val="center"/>
              <w:textAlignment w:val="baseline"/>
              <w:rPr>
                <w:b/>
                <w:sz w:val="24"/>
                <w:szCs w:val="24"/>
              </w:rPr>
            </w:pPr>
            <w:r>
              <w:rPr>
                <w:rFonts w:hint="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418" w:type="dxa"/>
            <w:vAlign w:val="center"/>
          </w:tcPr>
          <w:p>
            <w:pPr>
              <w:widowControl/>
              <w:jc w:val="center"/>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bidi="ar"/>
              </w:rPr>
              <w:t>商品</w:t>
            </w:r>
          </w:p>
          <w:p>
            <w:pPr>
              <w:widowControl/>
              <w:jc w:val="center"/>
              <w:textAlignment w:val="center"/>
              <w:rPr>
                <w:sz w:val="22"/>
                <w:szCs w:val="22"/>
              </w:rPr>
            </w:pPr>
            <w:r>
              <w:rPr>
                <w:rFonts w:hint="eastAsia" w:ascii="宋体" w:hAnsi="宋体" w:cs="宋体"/>
                <w:color w:val="000000"/>
                <w:kern w:val="0"/>
                <w:sz w:val="24"/>
                <w:szCs w:val="24"/>
                <w:lang w:bidi="ar"/>
              </w:rPr>
              <w:t>混凝土</w:t>
            </w:r>
          </w:p>
        </w:tc>
        <w:tc>
          <w:tcPr>
            <w:tcW w:w="1184" w:type="dxa"/>
            <w:vAlign w:val="center"/>
          </w:tcPr>
          <w:p>
            <w:pPr>
              <w:widowControl/>
              <w:jc w:val="center"/>
              <w:textAlignment w:val="center"/>
              <w:rPr>
                <w:rFonts w:hint="default" w:eastAsia="宋体"/>
                <w:sz w:val="22"/>
                <w:szCs w:val="22"/>
                <w:lang w:val="en-US" w:eastAsia="zh-CN"/>
              </w:rPr>
            </w:pPr>
            <w:r>
              <w:rPr>
                <w:rFonts w:hint="eastAsia" w:ascii="宋体" w:hAnsi="宋体" w:cs="宋体"/>
                <w:color w:val="000000"/>
                <w:kern w:val="0"/>
                <w:sz w:val="28"/>
                <w:szCs w:val="28"/>
                <w:lang w:bidi="ar"/>
              </w:rPr>
              <w:t>C</w:t>
            </w:r>
            <w:r>
              <w:rPr>
                <w:rFonts w:hint="eastAsia" w:ascii="宋体" w:hAnsi="宋体" w:cs="宋体"/>
                <w:color w:val="000000"/>
                <w:kern w:val="0"/>
                <w:sz w:val="28"/>
                <w:szCs w:val="28"/>
                <w:lang w:val="en-US" w:eastAsia="zh-CN" w:bidi="ar"/>
              </w:rPr>
              <w:t>20</w:t>
            </w:r>
          </w:p>
        </w:tc>
        <w:tc>
          <w:tcPr>
            <w:tcW w:w="764" w:type="dxa"/>
            <w:vAlign w:val="center"/>
          </w:tcPr>
          <w:p>
            <w:pPr>
              <w:widowControl/>
              <w:jc w:val="center"/>
              <w:textAlignment w:val="center"/>
              <w:rPr>
                <w:rFonts w:ascii="宋体" w:hAnsi="宋体" w:cs="宋体"/>
                <w:sz w:val="22"/>
                <w:szCs w:val="22"/>
              </w:rPr>
            </w:pPr>
            <w:r>
              <w:rPr>
                <w:rFonts w:hint="eastAsia" w:ascii="宋体" w:hAnsi="宋体" w:cs="宋体"/>
                <w:color w:val="000000"/>
                <w:kern w:val="0"/>
                <w:sz w:val="28"/>
                <w:szCs w:val="28"/>
                <w:lang w:bidi="ar"/>
              </w:rPr>
              <w:t>m³</w:t>
            </w:r>
          </w:p>
        </w:tc>
        <w:tc>
          <w:tcPr>
            <w:tcW w:w="828" w:type="dxa"/>
            <w:vAlign w:val="center"/>
          </w:tcPr>
          <w:p>
            <w:pPr>
              <w:widowControl/>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400</w:t>
            </w:r>
          </w:p>
        </w:tc>
        <w:tc>
          <w:tcPr>
            <w:tcW w:w="1198" w:type="dxa"/>
            <w:vAlign w:val="center"/>
          </w:tcPr>
          <w:p>
            <w:pPr>
              <w:spacing w:line="360" w:lineRule="auto"/>
              <w:jc w:val="center"/>
              <w:textAlignment w:val="baseline"/>
              <w:rPr>
                <w:szCs w:val="21"/>
              </w:rPr>
            </w:pPr>
          </w:p>
        </w:tc>
        <w:tc>
          <w:tcPr>
            <w:tcW w:w="1224" w:type="dxa"/>
            <w:vAlign w:val="center"/>
          </w:tcPr>
          <w:p>
            <w:pPr>
              <w:spacing w:line="360" w:lineRule="auto"/>
              <w:jc w:val="center"/>
              <w:textAlignment w:val="baseline"/>
              <w:rPr>
                <w:szCs w:val="21"/>
              </w:rPr>
            </w:pPr>
          </w:p>
        </w:tc>
        <w:tc>
          <w:tcPr>
            <w:tcW w:w="3454" w:type="dxa"/>
            <w:vMerge w:val="restart"/>
            <w:vAlign w:val="center"/>
          </w:tcPr>
          <w:p>
            <w:pPr>
              <w:pStyle w:val="9"/>
              <w:numPr>
                <w:ilvl w:val="0"/>
                <w:numId w:val="0"/>
              </w:numPr>
              <w:jc w:val="left"/>
              <w:rPr>
                <w:rFonts w:hint="default" w:ascii="宋体" w:hAnsi="宋体" w:eastAsia="宋体" w:cs="宋体"/>
                <w:sz w:val="21"/>
                <w:szCs w:val="21"/>
                <w:lang w:val="en-US" w:eastAsia="zh-CN"/>
              </w:rPr>
            </w:pPr>
            <w:r>
              <w:rPr>
                <w:rFonts w:hint="eastAsia" w:ascii="Times New Roman" w:hAnsi="Times New Roman" w:eastAsia="宋体" w:cs="Times New Roman"/>
                <w:b w:val="0"/>
                <w:bCs w:val="0"/>
                <w:caps w:val="0"/>
                <w:kern w:val="2"/>
                <w:sz w:val="21"/>
                <w:lang w:val="en-US" w:eastAsia="zh-CN" w:bidi="ar-SA"/>
              </w:rPr>
              <w:t>1、交货地点：</w:t>
            </w:r>
            <w:r>
              <w:rPr>
                <w:rFonts w:hint="eastAsia" w:eastAsia="宋体" w:cs="Times New Roman"/>
                <w:lang w:val="en-US" w:eastAsia="zh-CN"/>
              </w:rPr>
              <w:t>渝黔射线出城方向</w:t>
            </w:r>
            <w:r>
              <w:rPr>
                <w:rFonts w:hint="eastAsia"/>
                <w:lang w:val="en-US" w:eastAsia="zh-CN"/>
              </w:rPr>
              <w:t>G75巴南服务区。</w:t>
            </w:r>
          </w:p>
          <w:p>
            <w:pPr>
              <w:pStyle w:val="6"/>
              <w:rPr>
                <w:rFonts w:hint="eastAsia" w:eastAsia="宋体"/>
                <w:lang w:val="en-US" w:eastAsia="zh-CN"/>
              </w:rPr>
            </w:pPr>
            <w:r>
              <w:rPr>
                <w:rFonts w:hint="eastAsia" w:ascii="宋体" w:hAnsi="宋体" w:cs="宋体"/>
                <w:b w:val="0"/>
                <w:bCs w:val="0"/>
                <w:sz w:val="21"/>
                <w:szCs w:val="21"/>
                <w:lang w:val="en-US" w:eastAsia="zh-CN"/>
              </w:rPr>
              <w:t>2、</w:t>
            </w:r>
            <w:r>
              <w:rPr>
                <w:rFonts w:hint="eastAsia" w:ascii="宋体" w:hAnsi="宋体" w:eastAsia="宋体" w:cs="宋体"/>
                <w:b w:val="0"/>
                <w:bCs w:val="0"/>
                <w:sz w:val="21"/>
                <w:szCs w:val="21"/>
              </w:rPr>
              <w:t>采购数量为暂定数量，以实际发生为准。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18" w:type="dxa"/>
            <w:vAlign w:val="center"/>
          </w:tcPr>
          <w:p>
            <w:pPr>
              <w:widowControl/>
              <w:jc w:val="center"/>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bidi="ar"/>
              </w:rPr>
              <w:t>商品</w:t>
            </w:r>
          </w:p>
          <w:p>
            <w:pPr>
              <w:widowControl/>
              <w:jc w:val="center"/>
              <w:textAlignment w:val="center"/>
              <w:rPr>
                <w:sz w:val="22"/>
                <w:szCs w:val="22"/>
              </w:rPr>
            </w:pPr>
            <w:r>
              <w:rPr>
                <w:rFonts w:hint="eastAsia" w:ascii="宋体" w:hAnsi="宋体" w:cs="宋体"/>
                <w:color w:val="000000"/>
                <w:kern w:val="0"/>
                <w:sz w:val="24"/>
                <w:szCs w:val="24"/>
                <w:lang w:bidi="ar"/>
              </w:rPr>
              <w:t>混凝土</w:t>
            </w:r>
          </w:p>
        </w:tc>
        <w:tc>
          <w:tcPr>
            <w:tcW w:w="1184" w:type="dxa"/>
            <w:vAlign w:val="center"/>
          </w:tcPr>
          <w:p>
            <w:pPr>
              <w:widowControl/>
              <w:jc w:val="center"/>
              <w:textAlignment w:val="center"/>
              <w:rPr>
                <w:rFonts w:hint="default" w:eastAsia="宋体"/>
                <w:sz w:val="22"/>
                <w:szCs w:val="22"/>
                <w:lang w:val="en-US" w:eastAsia="zh-CN"/>
              </w:rPr>
            </w:pPr>
            <w:r>
              <w:rPr>
                <w:rFonts w:hint="eastAsia" w:ascii="宋体" w:hAnsi="宋体" w:cs="宋体"/>
                <w:color w:val="000000"/>
                <w:kern w:val="0"/>
                <w:sz w:val="28"/>
                <w:szCs w:val="28"/>
                <w:lang w:bidi="ar"/>
              </w:rPr>
              <w:t>C</w:t>
            </w:r>
            <w:r>
              <w:rPr>
                <w:rFonts w:hint="eastAsia" w:ascii="宋体" w:hAnsi="宋体" w:cs="宋体"/>
                <w:color w:val="000000"/>
                <w:kern w:val="0"/>
                <w:sz w:val="28"/>
                <w:szCs w:val="28"/>
                <w:lang w:val="en-US" w:eastAsia="zh-CN" w:bidi="ar"/>
              </w:rPr>
              <w:t>25</w:t>
            </w:r>
          </w:p>
        </w:tc>
        <w:tc>
          <w:tcPr>
            <w:tcW w:w="764" w:type="dxa"/>
            <w:vAlign w:val="center"/>
          </w:tcPr>
          <w:p>
            <w:pPr>
              <w:widowControl/>
              <w:jc w:val="center"/>
              <w:textAlignment w:val="center"/>
              <w:rPr>
                <w:rFonts w:ascii="宋体" w:hAnsi="宋体" w:cs="宋体"/>
                <w:sz w:val="22"/>
                <w:szCs w:val="22"/>
              </w:rPr>
            </w:pPr>
            <w:r>
              <w:rPr>
                <w:rFonts w:hint="eastAsia" w:ascii="宋体" w:hAnsi="宋体" w:cs="宋体"/>
                <w:color w:val="000000"/>
                <w:kern w:val="0"/>
                <w:sz w:val="28"/>
                <w:szCs w:val="28"/>
                <w:lang w:bidi="ar"/>
              </w:rPr>
              <w:t>m³</w:t>
            </w:r>
          </w:p>
        </w:tc>
        <w:tc>
          <w:tcPr>
            <w:tcW w:w="828" w:type="dxa"/>
            <w:vAlign w:val="center"/>
          </w:tcPr>
          <w:p>
            <w:pPr>
              <w:widowControl/>
              <w:jc w:val="center"/>
              <w:textAlignment w:val="center"/>
              <w:rPr>
                <w:rFonts w:hint="default" w:ascii="宋体" w:hAnsi="宋体" w:eastAsia="宋体" w:cs="宋体"/>
                <w:szCs w:val="21"/>
                <w:lang w:val="en-US" w:eastAsia="zh-CN"/>
              </w:rPr>
            </w:pPr>
            <w:r>
              <w:rPr>
                <w:rFonts w:hint="eastAsia" w:ascii="宋体" w:hAnsi="宋体" w:cs="宋体"/>
                <w:color w:val="000000"/>
                <w:kern w:val="0"/>
                <w:sz w:val="24"/>
                <w:szCs w:val="24"/>
                <w:lang w:val="en-US" w:eastAsia="zh-CN" w:bidi="ar"/>
              </w:rPr>
              <w:t>150</w:t>
            </w:r>
          </w:p>
        </w:tc>
        <w:tc>
          <w:tcPr>
            <w:tcW w:w="1198" w:type="dxa"/>
            <w:vAlign w:val="center"/>
          </w:tcPr>
          <w:p>
            <w:pPr>
              <w:spacing w:line="360" w:lineRule="auto"/>
              <w:jc w:val="center"/>
              <w:textAlignment w:val="baseline"/>
              <w:rPr>
                <w:szCs w:val="21"/>
              </w:rPr>
            </w:pPr>
          </w:p>
        </w:tc>
        <w:tc>
          <w:tcPr>
            <w:tcW w:w="1224" w:type="dxa"/>
            <w:vAlign w:val="center"/>
          </w:tcPr>
          <w:p>
            <w:pPr>
              <w:spacing w:line="360" w:lineRule="auto"/>
              <w:jc w:val="center"/>
              <w:textAlignment w:val="baseline"/>
              <w:rPr>
                <w:szCs w:val="21"/>
              </w:rPr>
            </w:pPr>
          </w:p>
        </w:tc>
        <w:tc>
          <w:tcPr>
            <w:tcW w:w="3454" w:type="dxa"/>
            <w:vMerge w:val="continue"/>
            <w:vAlign w:val="center"/>
          </w:tcPr>
          <w:p>
            <w:pPr>
              <w:spacing w:line="360" w:lineRule="auto"/>
              <w:jc w:val="left"/>
              <w:textAlignment w:val="baseline"/>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2602" w:type="dxa"/>
            <w:gridSpan w:val="2"/>
            <w:vAlign w:val="center"/>
          </w:tcPr>
          <w:p>
            <w:pPr>
              <w:spacing w:line="360" w:lineRule="auto"/>
              <w:jc w:val="center"/>
              <w:textAlignment w:val="baseline"/>
              <w:rPr>
                <w:rFonts w:ascii="方正仿宋_GBK" w:hAnsi="方正仿宋_GBK" w:eastAsia="方正仿宋_GBK" w:cs="方正仿宋_GBK"/>
                <w:b/>
                <w:bCs/>
                <w:sz w:val="22"/>
                <w:szCs w:val="22"/>
              </w:rPr>
            </w:pPr>
            <w:r>
              <w:rPr>
                <w:rFonts w:hint="eastAsia" w:ascii="宋体" w:hAnsi="宋体" w:cs="宋体"/>
                <w:b/>
                <w:bCs/>
                <w:sz w:val="22"/>
                <w:szCs w:val="22"/>
              </w:rPr>
              <w:t>合计</w:t>
            </w:r>
          </w:p>
        </w:tc>
        <w:tc>
          <w:tcPr>
            <w:tcW w:w="4014" w:type="dxa"/>
            <w:gridSpan w:val="4"/>
            <w:vAlign w:val="center"/>
          </w:tcPr>
          <w:p>
            <w:pPr>
              <w:spacing w:line="360" w:lineRule="auto"/>
              <w:jc w:val="center"/>
              <w:textAlignment w:val="baseline"/>
              <w:rPr>
                <w:rFonts w:ascii="宋体" w:hAnsi="宋体" w:cs="宋体"/>
                <w:b/>
                <w:bCs/>
                <w:sz w:val="22"/>
                <w:szCs w:val="22"/>
              </w:rPr>
            </w:pPr>
          </w:p>
          <w:p>
            <w:pPr>
              <w:spacing w:line="360" w:lineRule="auto"/>
              <w:jc w:val="center"/>
              <w:textAlignment w:val="baseline"/>
              <w:rPr>
                <w:rFonts w:ascii="宋体" w:hAnsi="宋体" w:cs="宋体"/>
                <w:b/>
                <w:bCs/>
                <w:sz w:val="22"/>
                <w:szCs w:val="22"/>
              </w:rPr>
            </w:pPr>
            <w:r>
              <w:rPr>
                <w:rFonts w:hint="eastAsia" w:ascii="宋体" w:hAnsi="宋体" w:cs="宋体"/>
                <w:b/>
                <w:bCs/>
                <w:sz w:val="22"/>
                <w:szCs w:val="22"/>
              </w:rPr>
              <w:t>大写：</w:t>
            </w:r>
            <w:r>
              <w:rPr>
                <w:rFonts w:hint="eastAsia" w:ascii="宋体" w:hAnsi="宋体" w:cs="宋体"/>
                <w:b/>
                <w:bCs/>
                <w:sz w:val="22"/>
                <w:szCs w:val="22"/>
                <w:u w:val="single"/>
              </w:rPr>
              <w:t xml:space="preserve">                  </w:t>
            </w:r>
            <w:r>
              <w:rPr>
                <w:rFonts w:hint="eastAsia" w:ascii="宋体" w:hAnsi="宋体" w:cs="宋体"/>
                <w:b/>
                <w:bCs/>
                <w:sz w:val="22"/>
                <w:szCs w:val="22"/>
              </w:rPr>
              <w:t xml:space="preserve"> 元整</w:t>
            </w:r>
          </w:p>
          <w:p>
            <w:pPr>
              <w:spacing w:line="360" w:lineRule="auto"/>
              <w:jc w:val="left"/>
              <w:textAlignment w:val="baseline"/>
              <w:rPr>
                <w:rFonts w:ascii="宋体" w:hAnsi="宋体" w:cs="宋体"/>
                <w:color w:val="FF0000"/>
                <w:sz w:val="22"/>
                <w:szCs w:val="22"/>
              </w:rPr>
            </w:pPr>
            <w:r>
              <w:rPr>
                <w:rFonts w:hint="eastAsia" w:ascii="宋体" w:hAnsi="宋体" w:cs="宋体"/>
                <w:color w:val="FF0000"/>
                <w:sz w:val="22"/>
                <w:szCs w:val="22"/>
              </w:rPr>
              <w:t xml:space="preserve">          </w:t>
            </w:r>
          </w:p>
        </w:tc>
        <w:tc>
          <w:tcPr>
            <w:tcW w:w="3454" w:type="dxa"/>
            <w:vMerge w:val="continue"/>
            <w:vAlign w:val="center"/>
          </w:tcPr>
          <w:p>
            <w:pPr>
              <w:spacing w:line="360" w:lineRule="auto"/>
              <w:jc w:val="center"/>
              <w:textAlignment w:val="baseline"/>
              <w:rPr>
                <w:color w:val="FF0000"/>
                <w:sz w:val="32"/>
                <w:szCs w:val="32"/>
              </w:rPr>
            </w:pPr>
          </w:p>
        </w:tc>
      </w:tr>
    </w:tbl>
    <w:p>
      <w:pPr>
        <w:spacing w:line="360" w:lineRule="auto"/>
        <w:ind w:firstLine="480" w:firstLineChars="200"/>
        <w:textAlignment w:val="baseline"/>
        <w:rPr>
          <w:sz w:val="24"/>
          <w:szCs w:val="24"/>
        </w:rPr>
      </w:pPr>
      <w:r>
        <w:rPr>
          <w:rFonts w:hint="eastAsia"/>
          <w:sz w:val="24"/>
          <w:szCs w:val="24"/>
        </w:rPr>
        <w:t>注：1、本合同为综合固定单价合同（乙方不得因市场行情、原材料价格上涨等因素要求上调单价）、（含税，增值税税率3%），具体数量以甲方代表确认的实际到货合格数量为准。</w:t>
      </w:r>
    </w:p>
    <w:p>
      <w:pPr>
        <w:spacing w:line="360" w:lineRule="auto"/>
        <w:ind w:firstLine="480" w:firstLineChars="200"/>
        <w:textAlignment w:val="baseline"/>
        <w:rPr>
          <w:sz w:val="24"/>
          <w:szCs w:val="24"/>
          <w:highlight w:val="none"/>
        </w:rPr>
      </w:pPr>
      <w:r>
        <w:rPr>
          <w:rFonts w:hint="eastAsia"/>
          <w:sz w:val="24"/>
          <w:szCs w:val="24"/>
        </w:rPr>
        <w:t>2、具体采购数量由甲方每次（提前24小时）以书面文件、微信、短信或其他方式向乙方发送订单，若乙方因自身原因导致材料供应不及时，</w:t>
      </w:r>
      <w:r>
        <w:rPr>
          <w:rFonts w:hint="eastAsia"/>
          <w:sz w:val="24"/>
          <w:szCs w:val="24"/>
          <w:highlight w:val="none"/>
        </w:rPr>
        <w:t>则按照合同第十二款，第4条执行。</w:t>
      </w:r>
    </w:p>
    <w:p>
      <w:pPr>
        <w:spacing w:line="360" w:lineRule="auto"/>
        <w:ind w:firstLine="480" w:firstLineChars="200"/>
        <w:textAlignment w:val="baseline"/>
        <w:rPr>
          <w:sz w:val="24"/>
          <w:szCs w:val="24"/>
        </w:rPr>
      </w:pPr>
      <w:r>
        <w:rPr>
          <w:rFonts w:hint="eastAsia"/>
          <w:sz w:val="24"/>
          <w:szCs w:val="24"/>
        </w:rPr>
        <w:t>3、合同期内，甲方以书面、微信、短信等方式向乙方发出订货通知，乙方应在收到订货通知后1小时内及时确认答复；乙方逾期没有回复的，同样视为收到订货通知且应按本合同约定时间将产品送至甲方指定地点。</w:t>
      </w:r>
    </w:p>
    <w:p>
      <w:pPr>
        <w:spacing w:line="360" w:lineRule="auto"/>
        <w:ind w:firstLine="480" w:firstLineChars="200"/>
        <w:textAlignment w:val="baseline"/>
        <w:rPr>
          <w:sz w:val="24"/>
          <w:szCs w:val="24"/>
        </w:rPr>
      </w:pPr>
      <w:r>
        <w:rPr>
          <w:rFonts w:hint="eastAsia"/>
          <w:sz w:val="24"/>
          <w:szCs w:val="24"/>
        </w:rPr>
        <w:t>4、乙方指定经办人：</w:t>
      </w:r>
      <w:r>
        <w:rPr>
          <w:rFonts w:hint="eastAsia"/>
          <w:sz w:val="24"/>
          <w:szCs w:val="24"/>
          <w:u w:val="single"/>
        </w:rPr>
        <w:t xml:space="preserve">     </w:t>
      </w:r>
      <w:r>
        <w:rPr>
          <w:rFonts w:hint="eastAsia"/>
          <w:sz w:val="24"/>
          <w:szCs w:val="24"/>
        </w:rPr>
        <w:t>（身份证号码：</w:t>
      </w:r>
      <w:r>
        <w:rPr>
          <w:rFonts w:hint="eastAsia"/>
          <w:sz w:val="24"/>
          <w:szCs w:val="24"/>
          <w:u w:val="single"/>
        </w:rPr>
        <w:t xml:space="preserve">         </w:t>
      </w:r>
      <w:r>
        <w:rPr>
          <w:rFonts w:hint="eastAsia"/>
          <w:sz w:val="24"/>
          <w:szCs w:val="24"/>
        </w:rPr>
        <w:t xml:space="preserve"> ；联系电话：</w:t>
      </w:r>
      <w:r>
        <w:rPr>
          <w:rFonts w:hint="eastAsia"/>
          <w:sz w:val="24"/>
          <w:szCs w:val="24"/>
          <w:u w:val="single"/>
        </w:rPr>
        <w:t xml:space="preserve">        </w:t>
      </w:r>
      <w:r>
        <w:rPr>
          <w:rFonts w:hint="eastAsia"/>
          <w:sz w:val="24"/>
          <w:szCs w:val="24"/>
        </w:rPr>
        <w:t>；</w:t>
      </w:r>
    </w:p>
    <w:p>
      <w:pPr>
        <w:spacing w:line="360" w:lineRule="auto"/>
        <w:ind w:firstLine="480" w:firstLineChars="200"/>
        <w:textAlignment w:val="baseline"/>
        <w:rPr>
          <w:sz w:val="24"/>
          <w:szCs w:val="24"/>
        </w:rPr>
      </w:pPr>
      <w:r>
        <w:rPr>
          <w:rFonts w:hint="eastAsia"/>
          <w:sz w:val="24"/>
          <w:szCs w:val="24"/>
        </w:rPr>
        <w:t>微信：       ；联系地址：        ）全权代表乙方负责处理本合同项下各项事务，包括但不限于接收订单、与甲方沟通供货事宜、办理结算等，甲方向本条约定的联系方式发送订单，视为乙方已收到。</w:t>
      </w:r>
    </w:p>
    <w:p>
      <w:pPr>
        <w:spacing w:line="360" w:lineRule="auto"/>
        <w:ind w:firstLine="482" w:firstLineChars="200"/>
        <w:rPr>
          <w:rFonts w:ascii="宋体" w:hAnsi="宋体" w:cs="宋体"/>
          <w:sz w:val="24"/>
          <w:szCs w:val="24"/>
        </w:rPr>
      </w:pPr>
      <w:r>
        <w:rPr>
          <w:rFonts w:hint="eastAsia"/>
          <w:b/>
          <w:sz w:val="24"/>
          <w:szCs w:val="24"/>
        </w:rPr>
        <w:t>二、质量要求、技术标准</w:t>
      </w:r>
    </w:p>
    <w:p>
      <w:pPr>
        <w:spacing w:line="360" w:lineRule="auto"/>
        <w:ind w:firstLine="480" w:firstLineChars="200"/>
        <w:textAlignment w:val="baseline"/>
        <w:rPr>
          <w:rFonts w:ascii="宋体" w:hAnsi="宋体"/>
          <w:sz w:val="24"/>
          <w:szCs w:val="24"/>
        </w:rPr>
      </w:pPr>
      <w:r>
        <w:rPr>
          <w:rFonts w:hint="eastAsia" w:ascii="宋体" w:hAnsi="宋体"/>
          <w:sz w:val="24"/>
          <w:szCs w:val="24"/>
        </w:rPr>
        <w:t>根据采购产品据实填写：以下仅供参考</w:t>
      </w:r>
    </w:p>
    <w:p>
      <w:pPr>
        <w:spacing w:line="360" w:lineRule="auto"/>
        <w:ind w:firstLine="480" w:firstLineChars="200"/>
        <w:textAlignment w:val="baseline"/>
        <w:rPr>
          <w:rFonts w:ascii="宋体" w:hAnsi="宋体"/>
          <w:sz w:val="24"/>
          <w:szCs w:val="24"/>
        </w:rPr>
      </w:pPr>
      <w:r>
        <w:rPr>
          <w:rFonts w:hint="eastAsia" w:ascii="宋体" w:hAnsi="宋体"/>
          <w:sz w:val="24"/>
          <w:szCs w:val="24"/>
        </w:rPr>
        <w:t>1、乙方提供的</w:t>
      </w:r>
      <w:r>
        <w:rPr>
          <w:rFonts w:hint="eastAsia" w:ascii="宋体" w:hAnsi="宋体"/>
          <w:sz w:val="24"/>
          <w:szCs w:val="24"/>
          <w:lang w:val="en-GB"/>
        </w:rPr>
        <w:t>商品预拌砼，质量检验不低于国家相关技术标准及甲方设计文件要求。</w:t>
      </w:r>
      <w:r>
        <w:rPr>
          <w:rFonts w:hint="eastAsia" w:ascii="宋体" w:hAnsi="宋体"/>
          <w:sz w:val="24"/>
          <w:szCs w:val="24"/>
        </w:rPr>
        <w:t>因产品质量导致的全部损失及后果责任均由乙方承担。</w:t>
      </w:r>
    </w:p>
    <w:p>
      <w:pPr>
        <w:spacing w:line="360" w:lineRule="auto"/>
        <w:ind w:firstLine="480" w:firstLineChars="200"/>
        <w:jc w:val="left"/>
        <w:textAlignment w:val="baseline"/>
        <w:rPr>
          <w:rFonts w:ascii="宋体" w:hAnsi="宋体"/>
          <w:b/>
          <w:bCs/>
          <w:sz w:val="24"/>
          <w:szCs w:val="24"/>
        </w:rPr>
      </w:pPr>
      <w:r>
        <w:rPr>
          <w:rFonts w:hint="eastAsia" w:ascii="宋体" w:hAnsi="宋体"/>
          <w:sz w:val="24"/>
          <w:szCs w:val="24"/>
        </w:rPr>
        <w:t>2、乙方提供的预拌砼产品合格证及质量检验报告单。技术标准及要求满足以下指标：</w:t>
      </w:r>
    </w:p>
    <w:p>
      <w:pPr>
        <w:spacing w:line="360" w:lineRule="auto"/>
        <w:ind w:firstLine="482" w:firstLineChars="200"/>
        <w:jc w:val="center"/>
        <w:textAlignment w:val="baseline"/>
        <w:rPr>
          <w:rFonts w:ascii="宋体" w:hAnsi="宋体"/>
          <w:b/>
          <w:bCs/>
          <w:sz w:val="24"/>
          <w:szCs w:val="24"/>
        </w:rPr>
      </w:pPr>
      <w:r>
        <w:rPr>
          <w:rFonts w:hint="eastAsia" w:ascii="宋体" w:hAnsi="宋体"/>
          <w:b/>
          <w:bCs/>
          <w:sz w:val="24"/>
          <w:szCs w:val="24"/>
        </w:rPr>
        <w:t>预拌砼耐久性要求</w:t>
      </w:r>
    </w:p>
    <w:tbl>
      <w:tblPr>
        <w:tblStyle w:val="7"/>
        <w:tblW w:w="780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90"/>
        <w:gridCol w:w="931"/>
        <w:gridCol w:w="1313"/>
        <w:gridCol w:w="1701"/>
        <w:gridCol w:w="1300"/>
        <w:gridCol w:w="146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63" w:hRule="exact"/>
          <w:jc w:val="center"/>
        </w:trPr>
        <w:tc>
          <w:tcPr>
            <w:tcW w:w="2021" w:type="dxa"/>
            <w:gridSpan w:val="2"/>
            <w:vAlign w:val="center"/>
          </w:tcPr>
          <w:p>
            <w:pPr>
              <w:spacing w:line="360" w:lineRule="auto"/>
              <w:ind w:firstLine="480" w:firstLineChars="200"/>
              <w:jc w:val="left"/>
              <w:textAlignment w:val="baseline"/>
              <w:rPr>
                <w:rFonts w:ascii="宋体" w:hAnsi="宋体"/>
                <w:sz w:val="24"/>
                <w:szCs w:val="24"/>
              </w:rPr>
            </w:pPr>
            <w:r>
              <w:rPr>
                <w:rFonts w:hint="eastAsia" w:ascii="宋体" w:hAnsi="宋体"/>
                <w:sz w:val="24"/>
                <w:szCs w:val="24"/>
              </w:rPr>
              <w:t>环境类别</w:t>
            </w:r>
          </w:p>
        </w:tc>
        <w:tc>
          <w:tcPr>
            <w:tcW w:w="1313" w:type="dxa"/>
            <w:vAlign w:val="center"/>
          </w:tcPr>
          <w:p>
            <w:pPr>
              <w:spacing w:line="360" w:lineRule="auto"/>
              <w:jc w:val="center"/>
              <w:textAlignment w:val="baseline"/>
              <w:rPr>
                <w:rFonts w:ascii="宋体" w:hAnsi="宋体"/>
                <w:sz w:val="24"/>
                <w:szCs w:val="24"/>
              </w:rPr>
            </w:pPr>
            <w:r>
              <w:rPr>
                <w:rFonts w:hint="eastAsia" w:ascii="宋体" w:hAnsi="宋体"/>
                <w:sz w:val="24"/>
                <w:szCs w:val="24"/>
              </w:rPr>
              <w:t>最大     水胶比</w:t>
            </w:r>
          </w:p>
        </w:tc>
        <w:tc>
          <w:tcPr>
            <w:tcW w:w="1701" w:type="dxa"/>
            <w:vAlign w:val="center"/>
          </w:tcPr>
          <w:p>
            <w:pPr>
              <w:spacing w:line="360" w:lineRule="auto"/>
              <w:jc w:val="center"/>
              <w:textAlignment w:val="baseline"/>
              <w:rPr>
                <w:rFonts w:ascii="宋体" w:hAnsi="宋体"/>
                <w:sz w:val="24"/>
                <w:szCs w:val="24"/>
              </w:rPr>
            </w:pPr>
            <w:r>
              <w:rPr>
                <w:rFonts w:hint="eastAsia" w:ascii="宋体" w:hAnsi="宋体"/>
                <w:sz w:val="24"/>
                <w:szCs w:val="24"/>
              </w:rPr>
              <w:t>最低预拌砼 强度等级</w:t>
            </w:r>
          </w:p>
        </w:tc>
        <w:tc>
          <w:tcPr>
            <w:tcW w:w="1300" w:type="dxa"/>
            <w:vAlign w:val="center"/>
          </w:tcPr>
          <w:p>
            <w:pPr>
              <w:spacing w:line="360" w:lineRule="auto"/>
              <w:jc w:val="left"/>
              <w:textAlignment w:val="baseline"/>
              <w:rPr>
                <w:rFonts w:ascii="宋体" w:hAnsi="宋体"/>
                <w:sz w:val="24"/>
                <w:szCs w:val="24"/>
              </w:rPr>
            </w:pPr>
            <w:r>
              <w:rPr>
                <w:rFonts w:hint="eastAsia" w:ascii="宋体" w:hAnsi="宋体"/>
                <w:sz w:val="24"/>
                <w:szCs w:val="24"/>
              </w:rPr>
              <w:t>最大氯离子含量（%）</w:t>
            </w:r>
          </w:p>
        </w:tc>
        <w:tc>
          <w:tcPr>
            <w:tcW w:w="1465" w:type="dxa"/>
            <w:vAlign w:val="center"/>
          </w:tcPr>
          <w:p>
            <w:pPr>
              <w:spacing w:line="360" w:lineRule="auto"/>
              <w:jc w:val="left"/>
              <w:textAlignment w:val="baseline"/>
              <w:rPr>
                <w:rFonts w:ascii="宋体" w:hAnsi="宋体"/>
                <w:sz w:val="24"/>
                <w:szCs w:val="24"/>
              </w:rPr>
            </w:pPr>
            <w:r>
              <w:rPr>
                <w:rFonts w:hint="eastAsia" w:ascii="宋体" w:hAnsi="宋体"/>
                <w:sz w:val="24"/>
                <w:szCs w:val="24"/>
              </w:rPr>
              <w:t>最大碱含量（kg/m³）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1" w:hRule="exact"/>
          <w:jc w:val="center"/>
        </w:trPr>
        <w:tc>
          <w:tcPr>
            <w:tcW w:w="2021" w:type="dxa"/>
            <w:gridSpan w:val="2"/>
            <w:vAlign w:val="center"/>
          </w:tcPr>
          <w:p>
            <w:pPr>
              <w:spacing w:line="360" w:lineRule="auto"/>
              <w:jc w:val="center"/>
              <w:textAlignment w:val="baseline"/>
              <w:rPr>
                <w:rFonts w:ascii="宋体" w:hAnsi="宋体"/>
                <w:sz w:val="24"/>
                <w:szCs w:val="24"/>
              </w:rPr>
            </w:pPr>
            <w:r>
              <w:rPr>
                <w:rFonts w:hint="eastAsia" w:ascii="宋体" w:hAnsi="宋体"/>
                <w:sz w:val="24"/>
                <w:szCs w:val="24"/>
              </w:rPr>
              <w:t>一</w:t>
            </w:r>
          </w:p>
        </w:tc>
        <w:tc>
          <w:tcPr>
            <w:tcW w:w="1313" w:type="dxa"/>
            <w:vAlign w:val="center"/>
          </w:tcPr>
          <w:p>
            <w:pPr>
              <w:spacing w:line="360" w:lineRule="auto"/>
              <w:jc w:val="center"/>
              <w:textAlignment w:val="baseline"/>
              <w:rPr>
                <w:rFonts w:ascii="宋体" w:hAnsi="宋体"/>
                <w:sz w:val="24"/>
                <w:szCs w:val="24"/>
              </w:rPr>
            </w:pPr>
            <w:r>
              <w:rPr>
                <w:rFonts w:hint="eastAsia" w:ascii="宋体" w:hAnsi="宋体"/>
                <w:sz w:val="24"/>
                <w:szCs w:val="24"/>
              </w:rPr>
              <w:t>0.60</w:t>
            </w:r>
          </w:p>
        </w:tc>
        <w:tc>
          <w:tcPr>
            <w:tcW w:w="1701" w:type="dxa"/>
            <w:vAlign w:val="center"/>
          </w:tcPr>
          <w:p>
            <w:pPr>
              <w:spacing w:line="360" w:lineRule="auto"/>
              <w:jc w:val="center"/>
              <w:textAlignment w:val="baseline"/>
              <w:rPr>
                <w:rFonts w:ascii="宋体" w:hAnsi="宋体"/>
                <w:sz w:val="24"/>
                <w:szCs w:val="24"/>
              </w:rPr>
            </w:pPr>
            <w:r>
              <w:rPr>
                <w:rFonts w:hint="eastAsia" w:ascii="宋体" w:hAnsi="宋体"/>
                <w:sz w:val="24"/>
                <w:szCs w:val="24"/>
              </w:rPr>
              <w:t>C20</w:t>
            </w:r>
          </w:p>
        </w:tc>
        <w:tc>
          <w:tcPr>
            <w:tcW w:w="1300" w:type="dxa"/>
            <w:vAlign w:val="center"/>
          </w:tcPr>
          <w:p>
            <w:pPr>
              <w:spacing w:line="360" w:lineRule="auto"/>
              <w:jc w:val="center"/>
              <w:textAlignment w:val="baseline"/>
              <w:rPr>
                <w:rFonts w:ascii="宋体" w:hAnsi="宋体"/>
                <w:sz w:val="24"/>
                <w:szCs w:val="24"/>
              </w:rPr>
            </w:pPr>
            <w:r>
              <w:rPr>
                <w:rFonts w:hint="eastAsia" w:ascii="宋体" w:hAnsi="宋体"/>
                <w:sz w:val="24"/>
                <w:szCs w:val="24"/>
              </w:rPr>
              <w:t>0.30</w:t>
            </w:r>
          </w:p>
        </w:tc>
        <w:tc>
          <w:tcPr>
            <w:tcW w:w="1465" w:type="dxa"/>
            <w:vAlign w:val="center"/>
          </w:tcPr>
          <w:p>
            <w:pPr>
              <w:spacing w:line="360" w:lineRule="auto"/>
              <w:jc w:val="center"/>
              <w:textAlignment w:val="baseline"/>
              <w:rPr>
                <w:rFonts w:ascii="宋体" w:hAnsi="宋体"/>
                <w:sz w:val="24"/>
                <w:szCs w:val="24"/>
              </w:rPr>
            </w:pPr>
            <w:r>
              <w:rPr>
                <w:rFonts w:hint="eastAsia" w:ascii="宋体" w:hAnsi="宋体"/>
                <w:sz w:val="24"/>
                <w:szCs w:val="24"/>
              </w:rPr>
              <w:t>不限制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1" w:hRule="exact"/>
          <w:jc w:val="center"/>
        </w:trPr>
        <w:tc>
          <w:tcPr>
            <w:tcW w:w="1090" w:type="dxa"/>
            <w:vMerge w:val="restart"/>
            <w:tcBorders>
              <w:right w:val="single" w:color="auto" w:sz="4" w:space="0"/>
            </w:tcBorders>
            <w:vAlign w:val="center"/>
          </w:tcPr>
          <w:p>
            <w:pPr>
              <w:spacing w:line="360" w:lineRule="auto"/>
              <w:jc w:val="center"/>
              <w:textAlignment w:val="baseline"/>
              <w:rPr>
                <w:rFonts w:ascii="宋体" w:hAnsi="宋体"/>
                <w:sz w:val="24"/>
                <w:szCs w:val="24"/>
              </w:rPr>
            </w:pPr>
            <w:r>
              <w:rPr>
                <w:rFonts w:hint="eastAsia" w:ascii="宋体" w:hAnsi="宋体"/>
                <w:sz w:val="24"/>
                <w:szCs w:val="24"/>
              </w:rPr>
              <w:t>二</w:t>
            </w:r>
          </w:p>
          <w:p>
            <w:pPr>
              <w:spacing w:line="360" w:lineRule="auto"/>
              <w:ind w:firstLine="480" w:firstLineChars="200"/>
              <w:jc w:val="center"/>
              <w:textAlignment w:val="baseline"/>
              <w:rPr>
                <w:rFonts w:ascii="宋体" w:hAnsi="宋体"/>
                <w:sz w:val="24"/>
                <w:szCs w:val="24"/>
              </w:rPr>
            </w:pPr>
          </w:p>
          <w:p>
            <w:pPr>
              <w:spacing w:line="360" w:lineRule="auto"/>
              <w:ind w:firstLine="480" w:firstLineChars="200"/>
              <w:jc w:val="center"/>
              <w:textAlignment w:val="baseline"/>
              <w:rPr>
                <w:rFonts w:ascii="宋体" w:hAnsi="宋体"/>
                <w:sz w:val="24"/>
                <w:szCs w:val="24"/>
              </w:rPr>
            </w:pPr>
          </w:p>
        </w:tc>
        <w:tc>
          <w:tcPr>
            <w:tcW w:w="931" w:type="dxa"/>
            <w:tcBorders>
              <w:left w:val="single" w:color="auto" w:sz="4" w:space="0"/>
              <w:bottom w:val="single" w:color="auto" w:sz="4" w:space="0"/>
            </w:tcBorders>
            <w:vAlign w:val="center"/>
          </w:tcPr>
          <w:p>
            <w:pPr>
              <w:spacing w:line="360" w:lineRule="auto"/>
              <w:jc w:val="center"/>
              <w:textAlignment w:val="baseline"/>
              <w:rPr>
                <w:rFonts w:ascii="宋体" w:hAnsi="宋体"/>
                <w:sz w:val="24"/>
                <w:szCs w:val="24"/>
              </w:rPr>
            </w:pPr>
            <w:r>
              <w:rPr>
                <w:rFonts w:hint="eastAsia" w:ascii="宋体" w:hAnsi="宋体"/>
                <w:sz w:val="24"/>
                <w:szCs w:val="24"/>
              </w:rPr>
              <w:t>a</w:t>
            </w:r>
          </w:p>
        </w:tc>
        <w:tc>
          <w:tcPr>
            <w:tcW w:w="1313" w:type="dxa"/>
            <w:vAlign w:val="center"/>
          </w:tcPr>
          <w:p>
            <w:pPr>
              <w:spacing w:line="360" w:lineRule="auto"/>
              <w:jc w:val="center"/>
              <w:textAlignment w:val="baseline"/>
              <w:rPr>
                <w:rFonts w:ascii="宋体" w:hAnsi="宋体"/>
                <w:sz w:val="24"/>
                <w:szCs w:val="24"/>
              </w:rPr>
            </w:pPr>
            <w:r>
              <w:rPr>
                <w:rFonts w:hint="eastAsia" w:ascii="宋体" w:hAnsi="宋体"/>
                <w:sz w:val="24"/>
                <w:szCs w:val="24"/>
              </w:rPr>
              <w:t>0.55</w:t>
            </w:r>
          </w:p>
        </w:tc>
        <w:tc>
          <w:tcPr>
            <w:tcW w:w="1701" w:type="dxa"/>
            <w:vAlign w:val="center"/>
          </w:tcPr>
          <w:p>
            <w:pPr>
              <w:spacing w:line="360" w:lineRule="auto"/>
              <w:jc w:val="center"/>
              <w:textAlignment w:val="baseline"/>
              <w:rPr>
                <w:rFonts w:ascii="宋体" w:hAnsi="宋体"/>
                <w:sz w:val="24"/>
                <w:szCs w:val="24"/>
              </w:rPr>
            </w:pPr>
            <w:r>
              <w:rPr>
                <w:rFonts w:hint="eastAsia" w:ascii="宋体" w:hAnsi="宋体"/>
                <w:sz w:val="24"/>
                <w:szCs w:val="24"/>
              </w:rPr>
              <w:t>C25</w:t>
            </w:r>
          </w:p>
        </w:tc>
        <w:tc>
          <w:tcPr>
            <w:tcW w:w="1300" w:type="dxa"/>
            <w:vAlign w:val="center"/>
          </w:tcPr>
          <w:p>
            <w:pPr>
              <w:spacing w:line="360" w:lineRule="auto"/>
              <w:jc w:val="center"/>
              <w:textAlignment w:val="baseline"/>
              <w:rPr>
                <w:rFonts w:ascii="宋体" w:hAnsi="宋体"/>
                <w:sz w:val="24"/>
                <w:szCs w:val="24"/>
              </w:rPr>
            </w:pPr>
            <w:r>
              <w:rPr>
                <w:rFonts w:hint="eastAsia" w:ascii="宋体" w:hAnsi="宋体"/>
                <w:sz w:val="24"/>
                <w:szCs w:val="24"/>
              </w:rPr>
              <w:t>0.20</w:t>
            </w:r>
          </w:p>
        </w:tc>
        <w:tc>
          <w:tcPr>
            <w:tcW w:w="1465" w:type="dxa"/>
            <w:vMerge w:val="restart"/>
            <w:vAlign w:val="center"/>
          </w:tcPr>
          <w:p>
            <w:pPr>
              <w:spacing w:line="360" w:lineRule="auto"/>
              <w:ind w:firstLine="480" w:firstLineChars="200"/>
              <w:jc w:val="center"/>
              <w:textAlignment w:val="baseline"/>
              <w:rPr>
                <w:rFonts w:ascii="宋体" w:hAnsi="宋体"/>
                <w:sz w:val="24"/>
                <w:szCs w:val="24"/>
              </w:rPr>
            </w:pPr>
          </w:p>
          <w:p>
            <w:pPr>
              <w:spacing w:line="360" w:lineRule="auto"/>
              <w:jc w:val="center"/>
              <w:textAlignment w:val="baseline"/>
              <w:rPr>
                <w:rFonts w:ascii="宋体" w:hAnsi="宋体"/>
                <w:sz w:val="24"/>
                <w:szCs w:val="24"/>
              </w:rPr>
            </w:pPr>
            <w:r>
              <w:rPr>
                <w:rFonts w:hint="eastAsia" w:ascii="宋体" w:hAnsi="宋体"/>
                <w:sz w:val="24"/>
                <w:szCs w:val="24"/>
              </w:rPr>
              <w:t>0.30</w:t>
            </w:r>
          </w:p>
          <w:p>
            <w:pPr>
              <w:spacing w:line="360" w:lineRule="auto"/>
              <w:ind w:firstLine="480" w:firstLineChars="200"/>
              <w:jc w:val="center"/>
              <w:textAlignment w:val="baseline"/>
              <w:rPr>
                <w:rFonts w:ascii="宋体" w:hAnsi="宋体"/>
                <w:sz w:val="24"/>
                <w:szCs w:val="24"/>
              </w:rPr>
            </w:pPr>
          </w:p>
          <w:p>
            <w:pPr>
              <w:spacing w:line="360" w:lineRule="auto"/>
              <w:ind w:firstLine="480" w:firstLineChars="200"/>
              <w:jc w:val="center"/>
              <w:textAlignment w:val="baseline"/>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1" w:hRule="exact"/>
          <w:jc w:val="center"/>
        </w:trPr>
        <w:tc>
          <w:tcPr>
            <w:tcW w:w="1090" w:type="dxa"/>
            <w:vMerge w:val="continue"/>
            <w:tcBorders>
              <w:right w:val="single" w:color="auto" w:sz="4" w:space="0"/>
            </w:tcBorders>
            <w:vAlign w:val="center"/>
          </w:tcPr>
          <w:p>
            <w:pPr>
              <w:spacing w:line="360" w:lineRule="auto"/>
              <w:ind w:firstLine="480" w:firstLineChars="200"/>
              <w:jc w:val="center"/>
              <w:textAlignment w:val="baseline"/>
              <w:rPr>
                <w:rFonts w:ascii="宋体" w:hAnsi="宋体"/>
                <w:sz w:val="24"/>
                <w:szCs w:val="24"/>
              </w:rPr>
            </w:pPr>
          </w:p>
        </w:tc>
        <w:tc>
          <w:tcPr>
            <w:tcW w:w="931" w:type="dxa"/>
            <w:tcBorders>
              <w:top w:val="single" w:color="auto" w:sz="4" w:space="0"/>
              <w:left w:val="single" w:color="auto" w:sz="4" w:space="0"/>
            </w:tcBorders>
            <w:vAlign w:val="center"/>
          </w:tcPr>
          <w:p>
            <w:pPr>
              <w:widowControl/>
              <w:spacing w:line="360" w:lineRule="auto"/>
              <w:jc w:val="center"/>
              <w:textAlignment w:val="baseline"/>
              <w:rPr>
                <w:rFonts w:ascii="宋体" w:hAnsi="宋体"/>
                <w:sz w:val="24"/>
                <w:szCs w:val="24"/>
              </w:rPr>
            </w:pPr>
            <w:r>
              <w:rPr>
                <w:rFonts w:hint="eastAsia" w:ascii="宋体" w:hAnsi="宋体"/>
                <w:sz w:val="24"/>
                <w:szCs w:val="24"/>
              </w:rPr>
              <w:t>b</w:t>
            </w:r>
          </w:p>
        </w:tc>
        <w:tc>
          <w:tcPr>
            <w:tcW w:w="1313" w:type="dxa"/>
            <w:vAlign w:val="center"/>
          </w:tcPr>
          <w:p>
            <w:pPr>
              <w:spacing w:line="360" w:lineRule="auto"/>
              <w:jc w:val="center"/>
              <w:textAlignment w:val="baseline"/>
              <w:rPr>
                <w:rFonts w:ascii="宋体" w:hAnsi="宋体"/>
                <w:sz w:val="24"/>
                <w:szCs w:val="24"/>
              </w:rPr>
            </w:pPr>
            <w:r>
              <w:rPr>
                <w:rFonts w:hint="eastAsia" w:ascii="宋体" w:hAnsi="宋体"/>
                <w:sz w:val="24"/>
                <w:szCs w:val="24"/>
              </w:rPr>
              <w:t>0.50（0.55）</w:t>
            </w:r>
          </w:p>
        </w:tc>
        <w:tc>
          <w:tcPr>
            <w:tcW w:w="1701" w:type="dxa"/>
            <w:vAlign w:val="center"/>
          </w:tcPr>
          <w:p>
            <w:pPr>
              <w:spacing w:line="360" w:lineRule="auto"/>
              <w:jc w:val="center"/>
              <w:textAlignment w:val="baseline"/>
              <w:rPr>
                <w:rFonts w:ascii="宋体" w:hAnsi="宋体"/>
                <w:sz w:val="24"/>
                <w:szCs w:val="24"/>
              </w:rPr>
            </w:pPr>
            <w:r>
              <w:rPr>
                <w:rFonts w:hint="eastAsia" w:ascii="宋体" w:hAnsi="宋体"/>
                <w:sz w:val="24"/>
                <w:szCs w:val="24"/>
              </w:rPr>
              <w:t>C30（C25）</w:t>
            </w:r>
          </w:p>
        </w:tc>
        <w:tc>
          <w:tcPr>
            <w:tcW w:w="1300" w:type="dxa"/>
            <w:vAlign w:val="center"/>
          </w:tcPr>
          <w:p>
            <w:pPr>
              <w:spacing w:line="360" w:lineRule="auto"/>
              <w:jc w:val="center"/>
              <w:textAlignment w:val="baseline"/>
              <w:rPr>
                <w:rFonts w:ascii="宋体" w:hAnsi="宋体"/>
                <w:sz w:val="24"/>
                <w:szCs w:val="24"/>
              </w:rPr>
            </w:pPr>
            <w:r>
              <w:rPr>
                <w:rFonts w:hint="eastAsia" w:ascii="宋体" w:hAnsi="宋体"/>
                <w:sz w:val="24"/>
                <w:szCs w:val="24"/>
              </w:rPr>
              <w:t>0.15</w:t>
            </w:r>
          </w:p>
        </w:tc>
        <w:tc>
          <w:tcPr>
            <w:tcW w:w="1465" w:type="dxa"/>
            <w:vMerge w:val="continue"/>
            <w:vAlign w:val="center"/>
          </w:tcPr>
          <w:p>
            <w:pPr>
              <w:spacing w:line="360" w:lineRule="auto"/>
              <w:ind w:firstLine="480" w:firstLineChars="200"/>
              <w:jc w:val="left"/>
              <w:textAlignment w:val="baseline"/>
              <w:rPr>
                <w:rFonts w:ascii="宋体" w:hAnsi="宋体"/>
                <w:sz w:val="24"/>
                <w:szCs w:val="24"/>
              </w:rPr>
            </w:pPr>
          </w:p>
        </w:tc>
      </w:tr>
    </w:tbl>
    <w:p>
      <w:pPr>
        <w:spacing w:line="360" w:lineRule="auto"/>
        <w:ind w:firstLine="480" w:firstLineChars="200"/>
        <w:textAlignment w:val="baseline"/>
        <w:rPr>
          <w:rFonts w:ascii="宋体" w:hAnsi="宋体"/>
          <w:sz w:val="24"/>
          <w:szCs w:val="24"/>
        </w:rPr>
      </w:pPr>
      <w:r>
        <w:rPr>
          <w:rFonts w:hint="eastAsia" w:ascii="宋体" w:hAnsi="宋体"/>
          <w:sz w:val="24"/>
          <w:szCs w:val="24"/>
        </w:rPr>
        <w:t>注：① 氯离子含量系指其占胶凝材料总量的百分比。</w:t>
      </w:r>
    </w:p>
    <w:p>
      <w:pPr>
        <w:spacing w:line="360" w:lineRule="auto"/>
        <w:ind w:firstLine="480" w:firstLineChars="200"/>
        <w:textAlignment w:val="baseline"/>
        <w:rPr>
          <w:rFonts w:ascii="宋体" w:hAnsi="宋体"/>
          <w:sz w:val="24"/>
          <w:szCs w:val="24"/>
        </w:rPr>
      </w:pPr>
      <w:r>
        <w:rPr>
          <w:rFonts w:hint="eastAsia" w:ascii="宋体" w:hAnsi="宋体"/>
          <w:sz w:val="24"/>
          <w:szCs w:val="24"/>
        </w:rPr>
        <w:t>② 预应力构件预拌砼中最大氯离子含量为0.06%；7d预拌砼强度达到设计强度等级的85%以上。</w:t>
      </w:r>
    </w:p>
    <w:p>
      <w:pPr>
        <w:spacing w:line="360" w:lineRule="auto"/>
        <w:ind w:firstLine="480" w:firstLineChars="200"/>
        <w:textAlignment w:val="baseline"/>
        <w:rPr>
          <w:rFonts w:ascii="宋体" w:hAnsi="宋体"/>
          <w:sz w:val="24"/>
          <w:szCs w:val="24"/>
        </w:rPr>
      </w:pPr>
      <w:r>
        <w:rPr>
          <w:rFonts w:hint="eastAsia" w:ascii="宋体" w:hAnsi="宋体"/>
          <w:sz w:val="24"/>
          <w:szCs w:val="24"/>
        </w:rPr>
        <w:t>③ 处于严寒和寒冷地区二b、三a类环境中的预拌砼应使用引气剂，并可采用括号中的有关参数。</w:t>
      </w:r>
    </w:p>
    <w:p>
      <w:pPr>
        <w:spacing w:line="360" w:lineRule="auto"/>
        <w:ind w:firstLine="480" w:firstLineChars="200"/>
        <w:textAlignment w:val="baseline"/>
        <w:rPr>
          <w:rFonts w:ascii="宋体" w:hAnsi="宋体"/>
          <w:sz w:val="24"/>
          <w:szCs w:val="24"/>
        </w:rPr>
      </w:pPr>
      <w:r>
        <w:rPr>
          <w:rFonts w:hint="eastAsia" w:ascii="宋体" w:hAnsi="宋体"/>
          <w:sz w:val="24"/>
          <w:szCs w:val="24"/>
        </w:rPr>
        <w:t>④ 当使用非碱活性骨料时，对预拌砼中的碱含量可不做限制。</w:t>
      </w:r>
    </w:p>
    <w:p>
      <w:pPr>
        <w:spacing w:line="360" w:lineRule="auto"/>
        <w:ind w:firstLine="480" w:firstLineChars="200"/>
        <w:textAlignment w:val="baseline"/>
        <w:rPr>
          <w:rFonts w:ascii="宋体" w:hAnsi="宋体"/>
          <w:sz w:val="24"/>
          <w:szCs w:val="24"/>
        </w:rPr>
      </w:pPr>
      <w:r>
        <w:rPr>
          <w:rFonts w:hint="eastAsia" w:ascii="宋体" w:hAnsi="宋体"/>
          <w:sz w:val="24"/>
          <w:szCs w:val="24"/>
        </w:rPr>
        <w:t>⑤ 预拌砼结构在使用年限内应建立定期检测、维修制度，当结构出现可见的耐久性缺陷时，应及时进行处理。</w:t>
      </w:r>
    </w:p>
    <w:p>
      <w:pPr>
        <w:numPr>
          <w:ilvl w:val="255"/>
          <w:numId w:val="0"/>
        </w:numPr>
        <w:spacing w:line="360" w:lineRule="auto"/>
        <w:ind w:firstLine="480" w:firstLineChars="200"/>
        <w:textAlignment w:val="baseline"/>
        <w:rPr>
          <w:rFonts w:ascii="宋体" w:hAnsi="宋体"/>
          <w:sz w:val="24"/>
          <w:szCs w:val="24"/>
        </w:rPr>
      </w:pPr>
      <w:r>
        <w:rPr>
          <w:rFonts w:hint="eastAsia" w:ascii="宋体" w:hAnsi="宋体"/>
          <w:sz w:val="24"/>
          <w:szCs w:val="24"/>
        </w:rPr>
        <w:t>乙方提供的商品预拌砼需附原材料检测报告（含合格证）及每批次商品预拌砼的生产厂家提供的有检测资质单位出具的配合比报告【需原材料检测报告</w:t>
      </w:r>
      <w:r>
        <w:rPr>
          <w:rFonts w:hint="eastAsia" w:ascii="宋体" w:hAnsi="宋体"/>
          <w:sz w:val="24"/>
          <w:szCs w:val="24"/>
          <w:lang w:val="en-US" w:eastAsia="zh-CN"/>
        </w:rPr>
        <w:t>2</w:t>
      </w:r>
      <w:r>
        <w:rPr>
          <w:rFonts w:hint="eastAsia" w:ascii="宋体" w:hAnsi="宋体"/>
          <w:sz w:val="24"/>
          <w:szCs w:val="24"/>
        </w:rPr>
        <w:t>份（加盖检测单位章及乙方鲜章），配合比报告</w:t>
      </w:r>
      <w:r>
        <w:rPr>
          <w:rFonts w:hint="eastAsia" w:ascii="宋体" w:hAnsi="宋体"/>
          <w:sz w:val="24"/>
          <w:szCs w:val="24"/>
          <w:lang w:val="en-US" w:eastAsia="zh-CN"/>
        </w:rPr>
        <w:t>2</w:t>
      </w:r>
      <w:r>
        <w:rPr>
          <w:rFonts w:hint="eastAsia" w:ascii="宋体" w:hAnsi="宋体"/>
          <w:sz w:val="24"/>
          <w:szCs w:val="24"/>
        </w:rPr>
        <w:t>份（加盖检测单位章及乙方鲜章），自检合格报告</w:t>
      </w:r>
      <w:r>
        <w:rPr>
          <w:rFonts w:hint="eastAsia" w:ascii="宋体" w:hAnsi="宋体"/>
          <w:sz w:val="24"/>
          <w:szCs w:val="24"/>
          <w:lang w:val="en-US" w:eastAsia="zh-CN"/>
        </w:rPr>
        <w:t>2</w:t>
      </w:r>
      <w:r>
        <w:rPr>
          <w:rFonts w:hint="eastAsia" w:ascii="宋体" w:hAnsi="宋体"/>
          <w:sz w:val="24"/>
          <w:szCs w:val="24"/>
        </w:rPr>
        <w:t>份（加盖检测单位鲜章）】。</w:t>
      </w:r>
    </w:p>
    <w:p>
      <w:pPr>
        <w:spacing w:line="420" w:lineRule="atLeast"/>
        <w:ind w:firstLine="480" w:firstLineChars="200"/>
        <w:rPr>
          <w:sz w:val="24"/>
          <w:szCs w:val="24"/>
        </w:rPr>
      </w:pPr>
      <w:r>
        <w:rPr>
          <w:rFonts w:hint="eastAsia"/>
          <w:sz w:val="24"/>
          <w:szCs w:val="24"/>
          <w:lang w:val="en-US" w:eastAsia="zh-CN"/>
        </w:rPr>
        <w:t>3</w:t>
      </w:r>
      <w:r>
        <w:rPr>
          <w:rFonts w:hint="eastAsia"/>
          <w:sz w:val="24"/>
          <w:szCs w:val="24"/>
        </w:rPr>
        <w:t>、商品预拌砼质量要求严格按</w:t>
      </w:r>
      <w:r>
        <w:rPr>
          <w:rFonts w:hint="eastAsia" w:ascii="宋体" w:hAnsi="宋体"/>
          <w:sz w:val="24"/>
          <w:szCs w:val="24"/>
        </w:rPr>
        <w:t>国家相关技术标准</w:t>
      </w:r>
      <w:r>
        <w:rPr>
          <w:rFonts w:hint="eastAsia"/>
          <w:sz w:val="24"/>
          <w:szCs w:val="24"/>
        </w:rPr>
        <w:t>以及甲方设计文件标准执行，预拌砼强度等级必须达到项目工程的评定标准。</w:t>
      </w:r>
    </w:p>
    <w:p>
      <w:pPr>
        <w:spacing w:line="420" w:lineRule="atLeast"/>
        <w:ind w:firstLine="480" w:firstLineChars="200"/>
        <w:rPr>
          <w:b/>
          <w:sz w:val="24"/>
          <w:szCs w:val="24"/>
        </w:rPr>
      </w:pPr>
      <w:r>
        <w:rPr>
          <w:rFonts w:hint="eastAsia"/>
          <w:sz w:val="24"/>
          <w:szCs w:val="24"/>
          <w:lang w:val="en-US" w:eastAsia="zh-CN"/>
        </w:rPr>
        <w:t>4</w:t>
      </w:r>
      <w:r>
        <w:rPr>
          <w:rFonts w:hint="eastAsia"/>
          <w:sz w:val="24"/>
          <w:szCs w:val="24"/>
        </w:rPr>
        <w:t>、如产品出现质量问题，甲方可在发现问题后</w:t>
      </w:r>
      <w:r>
        <w:rPr>
          <w:rFonts w:hint="eastAsia"/>
          <w:sz w:val="24"/>
          <w:szCs w:val="24"/>
          <w:lang w:val="en-US" w:eastAsia="zh-CN"/>
        </w:rPr>
        <w:t>立即</w:t>
      </w:r>
      <w:r>
        <w:rPr>
          <w:rFonts w:hint="eastAsia"/>
          <w:sz w:val="24"/>
          <w:szCs w:val="24"/>
        </w:rPr>
        <w:t>向乙方提出异议。</w:t>
      </w:r>
      <w:r>
        <w:rPr>
          <w:rFonts w:hint="eastAsia"/>
          <w:sz w:val="24"/>
          <w:szCs w:val="24"/>
          <w:lang w:val="en-US" w:eastAsia="zh-CN"/>
        </w:rPr>
        <w:t>并可拒收。</w:t>
      </w:r>
      <w:r>
        <w:rPr>
          <w:rFonts w:hint="eastAsia"/>
          <w:sz w:val="24"/>
          <w:szCs w:val="24"/>
        </w:rPr>
        <w:t>甲方未在上述期限内提出异议的，不免除乙方的质量保证责任。</w:t>
      </w:r>
    </w:p>
    <w:p>
      <w:pPr>
        <w:spacing w:line="360" w:lineRule="auto"/>
        <w:textAlignment w:val="baseline"/>
        <w:rPr>
          <w:b/>
          <w:sz w:val="24"/>
          <w:szCs w:val="24"/>
        </w:rPr>
      </w:pPr>
      <w:r>
        <w:rPr>
          <w:rFonts w:hint="eastAsia"/>
          <w:color w:val="FF0000"/>
          <w:sz w:val="24"/>
          <w:szCs w:val="24"/>
        </w:rPr>
        <w:t xml:space="preserve">   </w:t>
      </w:r>
      <w:r>
        <w:rPr>
          <w:rFonts w:hint="eastAsia"/>
          <w:b/>
          <w:sz w:val="24"/>
          <w:szCs w:val="24"/>
        </w:rPr>
        <w:t>三、交（提）货地点、方式</w:t>
      </w:r>
    </w:p>
    <w:p>
      <w:pPr>
        <w:spacing w:line="360" w:lineRule="auto"/>
        <w:ind w:firstLine="480" w:firstLineChars="200"/>
        <w:textAlignment w:val="baseline"/>
        <w:rPr>
          <w:sz w:val="24"/>
          <w:szCs w:val="24"/>
        </w:rPr>
      </w:pPr>
      <w:r>
        <w:rPr>
          <w:rFonts w:hint="eastAsia"/>
          <w:sz w:val="24"/>
          <w:szCs w:val="24"/>
        </w:rPr>
        <w:t>1、甲方所采购的商品混凝土由乙方以</w:t>
      </w:r>
      <w:r>
        <w:rPr>
          <w:rFonts w:hint="eastAsia"/>
          <w:b/>
          <w:bCs/>
          <w:sz w:val="24"/>
          <w:szCs w:val="24"/>
          <w:u w:val="single"/>
        </w:rPr>
        <w:t>混凝土罐车</w:t>
      </w:r>
      <w:r>
        <w:rPr>
          <w:rFonts w:hint="eastAsia"/>
          <w:sz w:val="24"/>
          <w:szCs w:val="24"/>
        </w:rPr>
        <w:t>运至甲方指定位置：</w:t>
      </w:r>
      <w:r>
        <w:rPr>
          <w:rFonts w:hint="eastAsia"/>
          <w:b/>
          <w:bCs/>
          <w:sz w:val="24"/>
          <w:szCs w:val="24"/>
          <w:u w:val="single"/>
          <w:lang w:val="en-US" w:eastAsia="zh-CN"/>
        </w:rPr>
        <w:t>G75巴南服务区</w:t>
      </w:r>
      <w:r>
        <w:rPr>
          <w:rFonts w:hint="eastAsia"/>
          <w:sz w:val="24"/>
          <w:szCs w:val="24"/>
        </w:rPr>
        <w:t>。</w:t>
      </w:r>
    </w:p>
    <w:p>
      <w:pPr>
        <w:spacing w:line="360" w:lineRule="auto"/>
        <w:ind w:firstLine="480" w:firstLineChars="200"/>
        <w:textAlignment w:val="baseline"/>
        <w:rPr>
          <w:sz w:val="24"/>
          <w:szCs w:val="24"/>
        </w:rPr>
      </w:pPr>
      <w:r>
        <w:rPr>
          <w:rFonts w:hint="eastAsia"/>
          <w:sz w:val="24"/>
          <w:szCs w:val="24"/>
        </w:rPr>
        <w:t>2、包装须按甲方要求执行，如甲方无特殊要求则按国家有关规定或采用适宜运输与保证质量的包装，包装符合安全、环保、卫生标准。因包装不善造成的产品毁损、灭失，由乙方承担责任。</w:t>
      </w:r>
    </w:p>
    <w:p>
      <w:pPr>
        <w:spacing w:line="360" w:lineRule="auto"/>
        <w:ind w:firstLine="480" w:firstLineChars="200"/>
        <w:textAlignment w:val="baseline"/>
        <w:rPr>
          <w:sz w:val="24"/>
          <w:szCs w:val="24"/>
        </w:rPr>
      </w:pPr>
      <w:r>
        <w:rPr>
          <w:rFonts w:hint="eastAsia"/>
          <w:sz w:val="24"/>
          <w:szCs w:val="24"/>
        </w:rPr>
        <w:t>3、乙方应对产品进行有效、安全的包装，应做到防雨、防潮湿、防震等保护措施，确保产品能够安全无损的运抵交货地点。</w:t>
      </w:r>
    </w:p>
    <w:p>
      <w:pPr>
        <w:spacing w:line="360" w:lineRule="auto"/>
        <w:ind w:firstLine="480" w:firstLineChars="200"/>
        <w:textAlignment w:val="baseline"/>
        <w:rPr>
          <w:sz w:val="24"/>
          <w:szCs w:val="24"/>
        </w:rPr>
      </w:pPr>
      <w:r>
        <w:rPr>
          <w:rFonts w:hint="eastAsia"/>
          <w:sz w:val="24"/>
          <w:szCs w:val="24"/>
        </w:rPr>
        <w:t>4、乙方所供应的商品混凝土经甲方对外观初步验收合格后收货。在转运过程中，乙方必须采取有效措施避免材料的二次污染或受损，否则，甲方有权拒绝收货或要求退货。</w:t>
      </w:r>
    </w:p>
    <w:p>
      <w:pPr>
        <w:spacing w:line="360" w:lineRule="auto"/>
        <w:ind w:firstLine="472" w:firstLineChars="196"/>
        <w:textAlignment w:val="baseline"/>
        <w:rPr>
          <w:b/>
          <w:sz w:val="24"/>
          <w:szCs w:val="24"/>
        </w:rPr>
      </w:pPr>
      <w:r>
        <w:rPr>
          <w:rFonts w:hint="eastAsia"/>
          <w:b/>
          <w:sz w:val="24"/>
          <w:szCs w:val="24"/>
        </w:rPr>
        <w:t>四、运输方式及到达站港和费用负担</w:t>
      </w:r>
    </w:p>
    <w:p>
      <w:pPr>
        <w:spacing w:line="360" w:lineRule="auto"/>
        <w:ind w:firstLine="480" w:firstLineChars="200"/>
        <w:rPr>
          <w:rFonts w:ascii="宋体" w:hAnsi="宋体" w:cs="宋体"/>
          <w:sz w:val="24"/>
          <w:szCs w:val="24"/>
        </w:rPr>
      </w:pPr>
      <w:r>
        <w:rPr>
          <w:rFonts w:hint="eastAsia" w:ascii="宋体" w:hAnsi="宋体" w:cs="宋体"/>
          <w:sz w:val="24"/>
          <w:szCs w:val="24"/>
        </w:rPr>
        <w:t>本合同约定的材料价格为甲方指定位置的到场单价。材料运输的安全由乙方负责，因超限等引起的一切后果及责任均由乙方自行承担。乙方必须保证安全、及时、足额供货；涉及危化品运输的，运输车辆必须具备“危化品运输许可证”，甲方不承担由此造成的安全责任及相应费用。</w:t>
      </w:r>
    </w:p>
    <w:p>
      <w:pPr>
        <w:spacing w:line="360" w:lineRule="auto"/>
        <w:ind w:firstLine="472" w:firstLineChars="196"/>
        <w:rPr>
          <w:rFonts w:ascii="宋体" w:hAnsi="宋体"/>
          <w:b/>
          <w:sz w:val="24"/>
        </w:rPr>
      </w:pPr>
      <w:r>
        <w:rPr>
          <w:rFonts w:hint="eastAsia" w:ascii="宋体" w:hAnsi="宋体"/>
          <w:b/>
          <w:sz w:val="24"/>
        </w:rPr>
        <w:t>五、货物所有权</w:t>
      </w:r>
    </w:p>
    <w:p>
      <w:pPr>
        <w:spacing w:line="360" w:lineRule="auto"/>
        <w:ind w:firstLine="480" w:firstLineChars="200"/>
        <w:rPr>
          <w:rFonts w:ascii="宋体" w:hAnsi="宋体"/>
          <w:sz w:val="24"/>
        </w:rPr>
      </w:pPr>
      <w:r>
        <w:rPr>
          <w:rFonts w:hint="eastAsia" w:ascii="宋体" w:hAnsi="宋体"/>
          <w:sz w:val="24"/>
        </w:rPr>
        <w:t>本合同项下货物的风险转移以所有权转移的时间为准，即货物交付验收前所有权归属于乙方，货物风险、保管费用等均由乙方承担；货物交付验收后所有权转移为甲方所有，货物风险自货物交付验收后由甲方承担（货物由乙方保管的除外）。</w:t>
      </w:r>
    </w:p>
    <w:p>
      <w:pPr>
        <w:spacing w:line="360" w:lineRule="auto"/>
        <w:ind w:firstLine="472" w:firstLineChars="196"/>
        <w:textAlignment w:val="baseline"/>
        <w:rPr>
          <w:b/>
          <w:sz w:val="24"/>
          <w:szCs w:val="24"/>
        </w:rPr>
      </w:pPr>
      <w:r>
        <w:rPr>
          <w:rFonts w:hint="eastAsia"/>
          <w:b/>
          <w:sz w:val="24"/>
          <w:szCs w:val="24"/>
        </w:rPr>
        <w:t>六、计量方法</w:t>
      </w:r>
    </w:p>
    <w:p>
      <w:pPr>
        <w:spacing w:line="480" w:lineRule="exact"/>
        <w:ind w:firstLine="470" w:firstLineChars="196"/>
        <w:rPr>
          <w:sz w:val="24"/>
          <w:szCs w:val="24"/>
        </w:rPr>
      </w:pPr>
      <w:r>
        <w:rPr>
          <w:rFonts w:hint="eastAsia"/>
          <w:sz w:val="24"/>
          <w:szCs w:val="24"/>
        </w:rPr>
        <w:t>1、商品混凝土供应量按乙方运到施工现场，</w:t>
      </w:r>
      <w:r>
        <w:rPr>
          <w:rFonts w:hint="eastAsia" w:ascii="宋体" w:hAnsi="宋体"/>
          <w:sz w:val="24"/>
        </w:rPr>
        <w:t>并经甲方</w:t>
      </w:r>
      <w:r>
        <w:rPr>
          <w:rFonts w:hint="eastAsia"/>
          <w:sz w:val="24"/>
          <w:szCs w:val="24"/>
        </w:rPr>
        <w:t>实际签证的供货小票</w:t>
      </w:r>
      <w:r>
        <w:rPr>
          <w:rFonts w:hint="eastAsia"/>
          <w:sz w:val="24"/>
          <w:szCs w:val="24"/>
          <w:lang w:val="en-US" w:eastAsia="zh-CN"/>
        </w:rPr>
        <w:t>或磅单</w:t>
      </w:r>
      <w:r>
        <w:rPr>
          <w:rFonts w:hint="eastAsia"/>
          <w:sz w:val="24"/>
          <w:szCs w:val="24"/>
        </w:rPr>
        <w:t>计算，以体积计量，以立方米为计量单位。</w:t>
      </w:r>
    </w:p>
    <w:p>
      <w:pPr>
        <w:spacing w:line="480" w:lineRule="exact"/>
        <w:ind w:firstLine="470" w:firstLineChars="196"/>
        <w:textAlignment w:val="baseline"/>
      </w:pPr>
      <w:r>
        <w:rPr>
          <w:rFonts w:hint="eastAsia"/>
          <w:sz w:val="24"/>
          <w:szCs w:val="24"/>
        </w:rPr>
        <w:t>2、甲方可随时对乙方的砼运输车实际装载量过磅抽检，若抽检中发现误差超过国家计量允许范围（±2%）(具体按</w:t>
      </w:r>
      <w:r>
        <w:fldChar w:fldCharType="begin"/>
      </w:r>
      <w:r>
        <w:instrText xml:space="preserve"> HYPERLINK "http://www.baidu.com/s?wd=%E3%80%8A%E9%A2%84%E6%8B%8C%E6%B7%B7%E5%87%9D%E5%9C%9F%E3%80%8B&amp;tn=SE_PcZhidaonwhc_ngpagmjz&amp;rsv_dl=gh_pc_zhidao" \t "https://zhidao.baidu.com/question/_blank" </w:instrText>
      </w:r>
      <w:r>
        <w:fldChar w:fldCharType="separate"/>
      </w:r>
      <w:r>
        <w:rPr>
          <w:sz w:val="24"/>
          <w:szCs w:val="24"/>
        </w:rPr>
        <w:t>《预拌混凝土》</w:t>
      </w:r>
      <w:r>
        <w:rPr>
          <w:sz w:val="24"/>
          <w:szCs w:val="24"/>
        </w:rPr>
        <w:fldChar w:fldCharType="end"/>
      </w:r>
      <w:r>
        <w:rPr>
          <w:sz w:val="24"/>
          <w:szCs w:val="24"/>
        </w:rPr>
        <w:t>GB/T14902</w:t>
      </w:r>
      <w:r>
        <w:rPr>
          <w:rFonts w:hint="eastAsia"/>
          <w:sz w:val="24"/>
          <w:szCs w:val="24"/>
        </w:rPr>
        <w:t>-2012相关条款执行)，则该日该批次供应的预拌砼按抽检到的比例计算。抽检时，需乙方在场，每批次第一车预拌砼不能作为抽检依据，每批次抽检不得少于1车。 </w:t>
      </w:r>
    </w:p>
    <w:p>
      <w:pPr>
        <w:spacing w:line="360" w:lineRule="auto"/>
        <w:ind w:firstLine="472" w:firstLineChars="196"/>
        <w:textAlignment w:val="baseline"/>
        <w:rPr>
          <w:b/>
          <w:sz w:val="24"/>
          <w:szCs w:val="24"/>
        </w:rPr>
      </w:pPr>
      <w:r>
        <w:rPr>
          <w:rFonts w:hint="eastAsia"/>
          <w:b/>
          <w:sz w:val="24"/>
          <w:szCs w:val="24"/>
        </w:rPr>
        <w:t>七、验收标准、方法</w:t>
      </w:r>
    </w:p>
    <w:p>
      <w:pPr>
        <w:spacing w:line="360" w:lineRule="auto"/>
        <w:ind w:firstLine="480" w:firstLineChars="200"/>
        <w:rPr>
          <w:sz w:val="24"/>
          <w:szCs w:val="24"/>
        </w:rPr>
      </w:pPr>
      <w:r>
        <w:rPr>
          <w:rFonts w:hint="eastAsia"/>
          <w:sz w:val="24"/>
          <w:szCs w:val="24"/>
        </w:rPr>
        <w:t>1、乙方应严格执行供货周期，保质、保量的完成产品供应。在每批次产品到达指定地点后，甲方组织进行验收，乙方应予配合。甲方在验收过程中发现产品规格、材质、质量、包装、数量不符合合同约定的，甲方有权拒收，要求乙方无条件更换、补足；但乙方的交货期限并不因此延长，由此造成迟延交货的，乙方仍应按合同约定承担相应违约责任。</w:t>
      </w:r>
    </w:p>
    <w:p>
      <w:pPr>
        <w:spacing w:line="360" w:lineRule="auto"/>
        <w:ind w:firstLine="480" w:firstLineChars="200"/>
        <w:rPr>
          <w:sz w:val="24"/>
          <w:szCs w:val="24"/>
        </w:rPr>
      </w:pPr>
      <w:r>
        <w:rPr>
          <w:rFonts w:hint="eastAsia"/>
          <w:sz w:val="24"/>
          <w:szCs w:val="24"/>
        </w:rPr>
        <w:t>2、初验后发现质量问题的（包括但不限于不合格、不满足技术要求等），乙方应在接到甲方通知后无条件退货，因此产生的全部责任，包括工期影响等，均由乙方承担。若乙方对于甲方提出的质量问题有异议的，在无条件退货的同时</w:t>
      </w:r>
      <w:r>
        <w:rPr>
          <w:rFonts w:hint="eastAsia" w:ascii="宋体" w:hAnsi="宋体" w:cs="宋体"/>
          <w:kern w:val="0"/>
          <w:sz w:val="24"/>
          <w:szCs w:val="24"/>
        </w:rPr>
        <w:t>，</w:t>
      </w:r>
      <w:r>
        <w:rPr>
          <w:rFonts w:hint="eastAsia"/>
          <w:sz w:val="24"/>
          <w:szCs w:val="24"/>
        </w:rPr>
        <w:t>可委托经甲乙双方认可的第三方检测机构进行检测，</w:t>
      </w:r>
      <w:r>
        <w:rPr>
          <w:rFonts w:hint="eastAsia" w:ascii="宋体" w:hAnsi="宋体" w:cs="宋体"/>
          <w:kern w:val="0"/>
          <w:sz w:val="24"/>
          <w:szCs w:val="24"/>
        </w:rPr>
        <w:t>费用先由乙方垫付，最终由相应责任方承担（如合格费用由甲方支付，如不合格费用由乙方支付）。</w:t>
      </w:r>
      <w:r>
        <w:rPr>
          <w:rFonts w:hint="eastAsia"/>
          <w:sz w:val="24"/>
          <w:szCs w:val="24"/>
        </w:rPr>
        <w:t>发生产品质量责任问题，乙方须承担由此造成的一切损失及费用。</w:t>
      </w:r>
    </w:p>
    <w:p>
      <w:pPr>
        <w:spacing w:line="360" w:lineRule="auto"/>
        <w:ind w:firstLine="480" w:firstLineChars="200"/>
        <w:rPr>
          <w:sz w:val="24"/>
          <w:szCs w:val="24"/>
        </w:rPr>
      </w:pPr>
      <w:r>
        <w:rPr>
          <w:rFonts w:hint="eastAsia"/>
          <w:sz w:val="24"/>
          <w:szCs w:val="24"/>
        </w:rPr>
        <w:t>3、甲方收货验收并不免除乙方的质量保证义务及对合同产品质量应当承担的责任，如果甲方在使用或销售合同产品或含有合同产品的产品时发现因合同产品在设计、安装、制造、材料、工艺等方面的缺陷导致的任何质量问题，仍应由乙方承担全部责任。</w:t>
      </w:r>
    </w:p>
    <w:p>
      <w:pPr>
        <w:spacing w:line="360" w:lineRule="auto"/>
        <w:ind w:firstLine="480" w:firstLineChars="200"/>
        <w:textAlignment w:val="baseline"/>
        <w:rPr>
          <w:sz w:val="24"/>
          <w:szCs w:val="24"/>
        </w:rPr>
      </w:pPr>
      <w:r>
        <w:rPr>
          <w:rFonts w:hint="eastAsia"/>
          <w:sz w:val="24"/>
          <w:szCs w:val="24"/>
        </w:rPr>
        <w:t>4、如本合同采购的产品因其自身特点导致甲方无法在验收时发现其质量问题、设计、安装、制造、材料、工艺等缺陷，则甲方应享有合理的适用或测试使用期间，如在该期间内发现上述产品问题，则乙方应无条件为甲方提供换货或退货处理，在此种情况下乙方无权以甲方已签收作为已交付合格产品的抗辩。</w:t>
      </w:r>
    </w:p>
    <w:p>
      <w:pPr>
        <w:spacing w:line="360" w:lineRule="auto"/>
        <w:ind w:firstLine="472" w:firstLineChars="196"/>
        <w:rPr>
          <w:b/>
          <w:sz w:val="24"/>
          <w:szCs w:val="24"/>
        </w:rPr>
      </w:pPr>
      <w:r>
        <w:rPr>
          <w:rFonts w:hint="eastAsia"/>
          <w:b/>
          <w:sz w:val="24"/>
          <w:szCs w:val="24"/>
        </w:rPr>
        <w:t>八、发票的开具</w:t>
      </w:r>
    </w:p>
    <w:p>
      <w:pPr>
        <w:adjustRightInd w:val="0"/>
        <w:snapToGrid w:val="0"/>
        <w:spacing w:line="520" w:lineRule="exact"/>
        <w:ind w:firstLine="405" w:firstLineChars="169"/>
        <w:textAlignment w:val="baseline"/>
        <w:rPr>
          <w:sz w:val="24"/>
          <w:szCs w:val="24"/>
        </w:rPr>
      </w:pPr>
      <w:r>
        <w:rPr>
          <w:rFonts w:hint="eastAsia"/>
          <w:sz w:val="24"/>
          <w:szCs w:val="24"/>
        </w:rPr>
        <w:t>1、</w:t>
      </w:r>
      <w:r>
        <w:rPr>
          <w:rFonts w:hint="eastAsia" w:ascii="宋体" w:hAnsi="宋体"/>
          <w:sz w:val="24"/>
          <w:szCs w:val="24"/>
        </w:rPr>
        <w:t>商品混凝土</w:t>
      </w:r>
      <w:r>
        <w:rPr>
          <w:rFonts w:hint="eastAsia"/>
          <w:sz w:val="24"/>
          <w:szCs w:val="24"/>
        </w:rPr>
        <w:t>产品、砼泵送费用销售全额发票由乙方开具</w:t>
      </w:r>
      <w:r>
        <w:rPr>
          <w:rFonts w:hint="eastAsia"/>
          <w:b/>
          <w:sz w:val="24"/>
          <w:szCs w:val="24"/>
        </w:rPr>
        <w:t>增值税专用发票（抵扣税率</w:t>
      </w:r>
      <w:r>
        <w:rPr>
          <w:rFonts w:hint="eastAsia"/>
          <w:b/>
          <w:sz w:val="24"/>
          <w:szCs w:val="24"/>
          <w:u w:val="single"/>
        </w:rPr>
        <w:t xml:space="preserve"> 3%</w:t>
      </w:r>
      <w:r>
        <w:rPr>
          <w:rFonts w:hint="eastAsia"/>
          <w:b/>
          <w:sz w:val="24"/>
          <w:szCs w:val="24"/>
        </w:rPr>
        <w:t>）</w:t>
      </w:r>
      <w:r>
        <w:rPr>
          <w:rFonts w:hint="eastAsia"/>
          <w:sz w:val="24"/>
          <w:szCs w:val="24"/>
        </w:rPr>
        <w:t>给甲方，发票单位名称为本合同甲乙双方全称（销售发票中已包含运输费，运输费不再单独开具发票，该发票必须足额合法有效且符合甲方的要求），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20" w:lineRule="exact"/>
        <w:ind w:firstLine="405" w:firstLineChars="169"/>
        <w:textAlignment w:val="baseline"/>
        <w:rPr>
          <w:sz w:val="24"/>
          <w:szCs w:val="24"/>
        </w:rPr>
      </w:pPr>
      <w:r>
        <w:rPr>
          <w:rFonts w:hint="eastAsia"/>
          <w:sz w:val="24"/>
          <w:szCs w:val="24"/>
        </w:rPr>
        <w:t>2、乙方应按照甲方要求，在甲方支付合同价款前，及时向甲方开具可以抵扣税款的增值税专用发票。因乙方开具发票不及时给甲方造成无法及时认证、抵扣发票等情形的，乙方需向甲方承担赔偿责任，包括但不限于税款、滞纳金、罚款及相关损失等。</w:t>
      </w:r>
    </w:p>
    <w:p>
      <w:pPr>
        <w:adjustRightInd w:val="0"/>
        <w:snapToGrid w:val="0"/>
        <w:spacing w:line="520" w:lineRule="exact"/>
        <w:ind w:firstLine="405" w:firstLineChars="169"/>
        <w:textAlignment w:val="baseline"/>
        <w:rPr>
          <w:sz w:val="24"/>
          <w:szCs w:val="24"/>
        </w:rPr>
      </w:pPr>
      <w:r>
        <w:rPr>
          <w:rFonts w:hint="eastAsia"/>
          <w:sz w:val="24"/>
          <w:szCs w:val="24"/>
        </w:rPr>
        <w:t>3、本合同内容经双方同意变更的，如果涉及到合同价款等增值税专用发票记载项目发生变化的，需要作废、重开、补开、红字开具增值税专用发票的，甲乙双方需履行各自的协助义务。</w:t>
      </w:r>
    </w:p>
    <w:p>
      <w:pPr>
        <w:adjustRightInd w:val="0"/>
        <w:snapToGrid w:val="0"/>
        <w:spacing w:line="520" w:lineRule="exact"/>
        <w:ind w:firstLine="405" w:firstLineChars="169"/>
        <w:textAlignment w:val="baseline"/>
        <w:rPr>
          <w:sz w:val="24"/>
          <w:szCs w:val="24"/>
        </w:rPr>
      </w:pPr>
      <w:r>
        <w:rPr>
          <w:rFonts w:hint="eastAsia"/>
          <w:sz w:val="24"/>
          <w:szCs w:val="24"/>
        </w:rPr>
        <w:t>4、合同生效后，因合同双方纳税人身份、纳税方式或因相关法律法规变动导致的增值税税率的变化，应遵循相关税收政策的要求，对合同价格及增值税税额进行调整。</w:t>
      </w:r>
    </w:p>
    <w:p>
      <w:pPr>
        <w:spacing w:line="360" w:lineRule="auto"/>
        <w:ind w:firstLine="472" w:firstLineChars="196"/>
        <w:textAlignment w:val="baseline"/>
        <w:rPr>
          <w:sz w:val="24"/>
          <w:szCs w:val="24"/>
        </w:rPr>
      </w:pPr>
      <w:r>
        <w:rPr>
          <w:rFonts w:hint="eastAsia"/>
          <w:b/>
          <w:sz w:val="24"/>
          <w:szCs w:val="24"/>
        </w:rPr>
        <w:t>九、结算方式及期限</w:t>
      </w:r>
    </w:p>
    <w:p>
      <w:pPr>
        <w:adjustRightInd w:val="0"/>
        <w:snapToGrid w:val="0"/>
        <w:spacing w:line="480" w:lineRule="exact"/>
        <w:ind w:firstLine="405" w:firstLineChars="169"/>
        <w:textAlignment w:val="baseline"/>
        <w:rPr>
          <w:rFonts w:hint="eastAsia"/>
          <w:color w:val="000000"/>
          <w:sz w:val="24"/>
          <w:szCs w:val="24"/>
          <w:lang w:val="en-US" w:eastAsia="zh-CN"/>
        </w:rPr>
      </w:pPr>
      <w:r>
        <w:rPr>
          <w:rFonts w:hint="eastAsia"/>
          <w:color w:val="000000"/>
          <w:sz w:val="24"/>
          <w:szCs w:val="24"/>
        </w:rPr>
        <w:t>1</w:t>
      </w:r>
      <w:r>
        <w:rPr>
          <w:rFonts w:hint="eastAsia"/>
          <w:color w:val="000000"/>
          <w:sz w:val="24"/>
          <w:szCs w:val="24"/>
          <w:lang w:eastAsia="zh-CN"/>
        </w:rPr>
        <w:t>、</w:t>
      </w:r>
      <w:r>
        <w:rPr>
          <w:rFonts w:hint="eastAsia"/>
          <w:color w:val="000000"/>
          <w:sz w:val="24"/>
          <w:szCs w:val="24"/>
          <w:lang w:val="en-US" w:eastAsia="zh-CN"/>
        </w:rPr>
        <w:t>材料预付款：</w:t>
      </w:r>
      <w:r>
        <w:rPr>
          <w:rFonts w:hint="eastAsia"/>
          <w:b/>
          <w:bCs/>
          <w:color w:val="000000"/>
          <w:sz w:val="24"/>
          <w:szCs w:val="24"/>
          <w:u w:val="single"/>
          <w:lang w:val="en-US" w:eastAsia="zh-CN"/>
        </w:rPr>
        <w:t>无</w:t>
      </w:r>
      <w:r>
        <w:rPr>
          <w:rFonts w:hint="eastAsia"/>
          <w:color w:val="000000"/>
          <w:sz w:val="24"/>
          <w:szCs w:val="24"/>
          <w:lang w:val="en-US" w:eastAsia="zh-CN"/>
        </w:rPr>
        <w:t>。</w:t>
      </w:r>
    </w:p>
    <w:p>
      <w:pPr>
        <w:adjustRightInd w:val="0"/>
        <w:snapToGrid w:val="0"/>
        <w:spacing w:line="480" w:lineRule="exact"/>
        <w:ind w:firstLine="405" w:firstLineChars="169"/>
        <w:textAlignment w:val="baseline"/>
        <w:rPr>
          <w:sz w:val="24"/>
          <w:szCs w:val="24"/>
        </w:rPr>
      </w:pPr>
      <w:r>
        <w:rPr>
          <w:rFonts w:hint="eastAsia" w:cs="Times New Roman"/>
          <w:color w:val="000000"/>
          <w:sz w:val="24"/>
          <w:szCs w:val="24"/>
          <w:lang w:val="en-US" w:eastAsia="zh-CN"/>
        </w:rPr>
        <w:t>2</w:t>
      </w:r>
      <w:r>
        <w:rPr>
          <w:rFonts w:hint="eastAsia" w:ascii="Times New Roman" w:hAnsi="Times New Roman" w:eastAsia="宋体" w:cs="Times New Roman"/>
          <w:color w:val="000000"/>
          <w:sz w:val="24"/>
          <w:szCs w:val="24"/>
          <w:lang w:val="en-US" w:eastAsia="zh-CN"/>
        </w:rPr>
        <w:t>、结算方式：</w:t>
      </w:r>
      <w:r>
        <w:rPr>
          <w:rFonts w:hint="eastAsia"/>
          <w:b/>
          <w:bCs/>
          <w:sz w:val="24"/>
          <w:szCs w:val="24"/>
          <w:u w:val="single"/>
          <w:lang w:val="en-US" w:eastAsia="zh-CN"/>
        </w:rPr>
        <w:t>完工</w:t>
      </w:r>
      <w:r>
        <w:rPr>
          <w:rFonts w:hint="eastAsia"/>
          <w:sz w:val="24"/>
          <w:szCs w:val="24"/>
        </w:rPr>
        <w:t>结算，</w:t>
      </w:r>
      <w:r>
        <w:rPr>
          <w:rFonts w:hint="eastAsia" w:ascii="宋体" w:hAnsi="宋体" w:cs="宋体"/>
          <w:sz w:val="24"/>
          <w:lang w:bidi="ar"/>
        </w:rPr>
        <w:t>乙方在完成本工程供销任务后，由甲方按最终实际工程量向乙方办理完工结算及支付，支付金额=当期已对账的实际收货数量×合同单价</w:t>
      </w:r>
      <w:r>
        <w:rPr>
          <w:rFonts w:hint="eastAsia"/>
          <w:sz w:val="24"/>
          <w:szCs w:val="24"/>
        </w:rPr>
        <w:t>。甲方自费用清单（</w:t>
      </w:r>
      <w:r>
        <w:rPr>
          <w:rFonts w:hint="eastAsia" w:ascii="宋体" w:hAnsi="宋体"/>
          <w:sz w:val="24"/>
          <w:szCs w:val="24"/>
        </w:rPr>
        <w:t>按甲方代表实际验收的合格数量和材料合同单价及运费单价计算）</w:t>
      </w:r>
      <w:r>
        <w:rPr>
          <w:rFonts w:hint="eastAsia"/>
          <w:sz w:val="24"/>
          <w:szCs w:val="24"/>
        </w:rPr>
        <w:t>及发票送达之日起</w:t>
      </w:r>
      <w:r>
        <w:rPr>
          <w:rFonts w:hint="eastAsia"/>
          <w:b/>
          <w:bCs/>
          <w:sz w:val="24"/>
          <w:szCs w:val="24"/>
          <w:u w:val="single"/>
        </w:rPr>
        <w:t>20</w:t>
      </w:r>
      <w:r>
        <w:rPr>
          <w:rFonts w:hint="eastAsia"/>
          <w:sz w:val="24"/>
          <w:szCs w:val="24"/>
        </w:rPr>
        <w:t>个工作日内以</w:t>
      </w:r>
      <w:r>
        <w:rPr>
          <w:rFonts w:hint="eastAsia"/>
          <w:b/>
          <w:bCs/>
          <w:sz w:val="24"/>
          <w:szCs w:val="24"/>
          <w:u w:val="single"/>
        </w:rPr>
        <w:t>银行转账</w:t>
      </w:r>
      <w:r>
        <w:rPr>
          <w:rFonts w:hint="eastAsia"/>
          <w:sz w:val="24"/>
          <w:szCs w:val="24"/>
        </w:rPr>
        <w:t>方式支付给乙方（每月25日-次月5日无法办理支付）。乙方迟延提供发票和相关结算资料的，甲方的付款期限相应顺延。</w:t>
      </w:r>
    </w:p>
    <w:p>
      <w:pPr>
        <w:spacing w:line="360" w:lineRule="auto"/>
        <w:ind w:firstLine="472" w:firstLineChars="196"/>
        <w:textAlignment w:val="baseline"/>
        <w:rPr>
          <w:b/>
          <w:sz w:val="24"/>
          <w:szCs w:val="24"/>
        </w:rPr>
      </w:pPr>
      <w:r>
        <w:rPr>
          <w:rFonts w:hint="eastAsia"/>
          <w:b/>
          <w:sz w:val="24"/>
          <w:szCs w:val="24"/>
        </w:rPr>
        <w:t>十、质量保证金</w:t>
      </w:r>
    </w:p>
    <w:p>
      <w:pPr>
        <w:pStyle w:val="9"/>
        <w:spacing w:line="360" w:lineRule="auto"/>
        <w:rPr>
          <w:rFonts w:ascii="宋体" w:hAnsi="宋体" w:eastAsia="宋体"/>
          <w:kern w:val="2"/>
          <w:sz w:val="24"/>
          <w:szCs w:val="24"/>
        </w:rPr>
      </w:pPr>
      <w:r>
        <w:rPr>
          <w:rFonts w:hint="eastAsia" w:ascii="宋体" w:hAnsi="宋体" w:eastAsia="宋体"/>
          <w:kern w:val="2"/>
          <w:sz w:val="24"/>
          <w:szCs w:val="24"/>
        </w:rPr>
        <w:t xml:space="preserve">    本采购合同无质量保证金。</w:t>
      </w:r>
    </w:p>
    <w:p>
      <w:pPr>
        <w:spacing w:line="360" w:lineRule="auto"/>
        <w:ind w:firstLine="472" w:firstLineChars="196"/>
        <w:rPr>
          <w:b/>
          <w:sz w:val="24"/>
          <w:szCs w:val="24"/>
        </w:rPr>
      </w:pPr>
      <w:r>
        <w:rPr>
          <w:rFonts w:hint="eastAsia"/>
          <w:b/>
          <w:sz w:val="24"/>
          <w:szCs w:val="24"/>
        </w:rPr>
        <w:t>十一、违约责任</w:t>
      </w:r>
    </w:p>
    <w:p>
      <w:pPr>
        <w:spacing w:line="360" w:lineRule="auto"/>
        <w:ind w:firstLine="470" w:firstLineChars="196"/>
        <w:rPr>
          <w:rFonts w:ascii="宋体"/>
          <w:sz w:val="24"/>
          <w:szCs w:val="24"/>
        </w:rPr>
      </w:pPr>
      <w:r>
        <w:rPr>
          <w:rFonts w:hint="eastAsia" w:ascii="宋体" w:hAnsi="宋体"/>
          <w:sz w:val="24"/>
          <w:szCs w:val="24"/>
        </w:rPr>
        <w:t>1、乙方必须保证供货质量（要求检验合格率达到100%），若因材料质量原因（检验合格率不足100%）导致的一切损失皆由乙方负责。若出现材料质量事故的，按</w:t>
      </w:r>
      <w:r>
        <w:rPr>
          <w:rFonts w:hint="eastAsia" w:ascii="宋体" w:hAnsi="宋体"/>
          <w:b/>
          <w:sz w:val="24"/>
          <w:szCs w:val="24"/>
          <w:u w:val="single"/>
        </w:rPr>
        <w:t>贰万元/次</w:t>
      </w:r>
      <w:r>
        <w:rPr>
          <w:rFonts w:hint="eastAsia" w:ascii="宋体" w:hAnsi="宋体"/>
          <w:sz w:val="24"/>
          <w:szCs w:val="24"/>
        </w:rPr>
        <w:t>的标准向甲方支付违约金，出现二次及以上事故的，</w:t>
      </w:r>
      <w:r>
        <w:rPr>
          <w:rFonts w:hint="eastAsia" w:ascii="宋体"/>
          <w:sz w:val="24"/>
          <w:szCs w:val="24"/>
        </w:rPr>
        <w:t>甲方可随时终止或解除本合同（因乙方到场材料验收未通过，初次拒收，二次终止合同）</w:t>
      </w:r>
      <w:r>
        <w:rPr>
          <w:rFonts w:hint="eastAsia" w:ascii="宋体"/>
          <w:sz w:val="24"/>
        </w:rPr>
        <w:t>，要求乙方赔偿甲方全部损失</w:t>
      </w:r>
      <w:r>
        <w:rPr>
          <w:rFonts w:hint="eastAsia" w:ascii="宋体"/>
          <w:sz w:val="24"/>
          <w:szCs w:val="24"/>
        </w:rPr>
        <w:t>。</w:t>
      </w:r>
    </w:p>
    <w:p>
      <w:pPr>
        <w:spacing w:line="360" w:lineRule="auto"/>
        <w:ind w:firstLine="480" w:firstLineChars="200"/>
        <w:rPr>
          <w:rFonts w:ascii="宋体"/>
          <w:sz w:val="24"/>
          <w:szCs w:val="24"/>
        </w:rPr>
      </w:pPr>
      <w:r>
        <w:rPr>
          <w:rFonts w:hint="eastAsia" w:ascii="宋体"/>
          <w:sz w:val="24"/>
          <w:szCs w:val="24"/>
        </w:rPr>
        <w:t>2、</w:t>
      </w:r>
      <w:r>
        <w:rPr>
          <w:rFonts w:hint="eastAsia" w:ascii="宋体" w:hAnsi="宋体"/>
          <w:sz w:val="24"/>
          <w:szCs w:val="24"/>
        </w:rPr>
        <w:t>乙方保证收到甲方短信或通知后7日内将甲方所需合同材料送达到指定地点。乙方材料的供应量、送货时间必须满足甲方通知要求和甲方施工进度要求，否则，按</w:t>
      </w:r>
      <w:r>
        <w:rPr>
          <w:rFonts w:hint="eastAsia" w:ascii="宋体" w:hAnsi="宋体"/>
          <w:b/>
          <w:sz w:val="24"/>
          <w:szCs w:val="24"/>
          <w:u w:val="single"/>
        </w:rPr>
        <w:t>壹万元/天</w:t>
      </w:r>
      <w:r>
        <w:rPr>
          <w:rFonts w:hint="eastAsia" w:ascii="宋体" w:hAnsi="宋体"/>
          <w:sz w:val="24"/>
          <w:szCs w:val="24"/>
        </w:rPr>
        <w:t>的标准向甲方支付违约金；同时</w:t>
      </w:r>
      <w:r>
        <w:rPr>
          <w:rFonts w:hint="eastAsia" w:ascii="宋体"/>
          <w:sz w:val="24"/>
          <w:szCs w:val="24"/>
        </w:rPr>
        <w:t>，甲方有权终止或解除合同，要求乙方支付合同总金额</w:t>
      </w:r>
      <w:r>
        <w:rPr>
          <w:rFonts w:hint="eastAsia" w:ascii="宋体"/>
          <w:b/>
          <w:bCs/>
          <w:sz w:val="24"/>
          <w:szCs w:val="24"/>
          <w:u w:val="single"/>
        </w:rPr>
        <w:t>30%</w:t>
      </w:r>
      <w:r>
        <w:rPr>
          <w:rFonts w:hint="eastAsia" w:ascii="宋体"/>
          <w:sz w:val="24"/>
          <w:szCs w:val="24"/>
        </w:rPr>
        <w:t>的违约金，并赔偿甲方全部损失。</w:t>
      </w:r>
    </w:p>
    <w:p>
      <w:pPr>
        <w:spacing w:line="360" w:lineRule="auto"/>
        <w:ind w:firstLine="480" w:firstLineChars="200"/>
        <w:rPr>
          <w:rFonts w:ascii="宋体" w:hAnsi="宋体"/>
          <w:sz w:val="24"/>
          <w:szCs w:val="24"/>
        </w:rPr>
      </w:pPr>
      <w:r>
        <w:rPr>
          <w:rFonts w:hint="eastAsia" w:ascii="宋体" w:hAnsi="宋体"/>
          <w:sz w:val="24"/>
          <w:szCs w:val="24"/>
        </w:rPr>
        <w:t>3、如果乙方在延误24小时供货后无法正常供货，甲方因项目工期需要有权采购同规格同型号的材料确保正常生产施工，直至乙方恢复正常供货为止。并且，期间产生的相关费用以及临时采购这批次材料的本合同货价及超出</w:t>
      </w:r>
      <w:r>
        <w:rPr>
          <w:rFonts w:hint="eastAsia" w:ascii="宋体" w:hAnsi="宋体"/>
          <w:sz w:val="24"/>
          <w:szCs w:val="24"/>
          <w:highlight w:val="none"/>
        </w:rPr>
        <w:t>本合同</w:t>
      </w:r>
      <w:r>
        <w:rPr>
          <w:rFonts w:hint="eastAsia" w:ascii="宋体" w:hAnsi="宋体"/>
          <w:sz w:val="24"/>
          <w:szCs w:val="24"/>
        </w:rPr>
        <w:t>数量的合同材料差价由乙方全部承担。</w:t>
      </w:r>
    </w:p>
    <w:p>
      <w:pPr>
        <w:spacing w:line="360" w:lineRule="auto"/>
        <w:rPr>
          <w:rFonts w:ascii="宋体"/>
          <w:sz w:val="24"/>
          <w:szCs w:val="24"/>
        </w:rPr>
      </w:pPr>
      <w:r>
        <w:rPr>
          <w:rFonts w:hint="eastAsia" w:ascii="宋体"/>
          <w:sz w:val="24"/>
          <w:szCs w:val="24"/>
        </w:rPr>
        <w:t xml:space="preserve">    4、乙方迟延履行合同其他义务的，每迟延一天（次），</w:t>
      </w:r>
      <w:r>
        <w:rPr>
          <w:rFonts w:hint="eastAsia" w:ascii="宋体" w:hAnsi="宋体"/>
          <w:sz w:val="24"/>
          <w:szCs w:val="24"/>
        </w:rPr>
        <w:t>按</w:t>
      </w:r>
      <w:r>
        <w:rPr>
          <w:rFonts w:hint="eastAsia" w:ascii="宋体" w:hAnsi="宋体"/>
          <w:b/>
          <w:bCs/>
          <w:sz w:val="24"/>
          <w:szCs w:val="24"/>
          <w:u w:val="single"/>
        </w:rPr>
        <w:t>伍</w:t>
      </w:r>
      <w:r>
        <w:rPr>
          <w:rFonts w:hint="eastAsia" w:ascii="宋体" w:hAnsi="宋体"/>
          <w:b/>
          <w:sz w:val="24"/>
          <w:szCs w:val="24"/>
          <w:u w:val="single"/>
        </w:rPr>
        <w:t>万元/天（次）</w:t>
      </w:r>
      <w:r>
        <w:rPr>
          <w:rFonts w:hint="eastAsia" w:ascii="宋体" w:hAnsi="宋体"/>
          <w:sz w:val="24"/>
          <w:szCs w:val="24"/>
        </w:rPr>
        <w:t>的标准向甲方支付违约金；迟延超过3天</w:t>
      </w:r>
      <w:r>
        <w:rPr>
          <w:rFonts w:hint="eastAsia" w:ascii="宋体"/>
          <w:sz w:val="24"/>
          <w:szCs w:val="24"/>
        </w:rPr>
        <w:t>（次）</w:t>
      </w:r>
      <w:r>
        <w:rPr>
          <w:rFonts w:hint="eastAsia" w:ascii="宋体" w:hAnsi="宋体"/>
          <w:sz w:val="24"/>
          <w:szCs w:val="24"/>
        </w:rPr>
        <w:t>的</w:t>
      </w:r>
      <w:r>
        <w:rPr>
          <w:rFonts w:hint="eastAsia" w:ascii="宋体"/>
          <w:sz w:val="24"/>
          <w:szCs w:val="24"/>
        </w:rPr>
        <w:t>，甲方有权终止或解除合同，要求乙方支付合同总金额</w:t>
      </w:r>
      <w:r>
        <w:rPr>
          <w:rFonts w:hint="eastAsia" w:ascii="宋体"/>
          <w:b/>
          <w:bCs/>
          <w:sz w:val="24"/>
          <w:szCs w:val="24"/>
          <w:u w:val="single"/>
        </w:rPr>
        <w:t>30%</w:t>
      </w:r>
      <w:r>
        <w:rPr>
          <w:rFonts w:hint="eastAsia" w:ascii="宋体"/>
          <w:sz w:val="24"/>
          <w:szCs w:val="24"/>
        </w:rPr>
        <w:t>的违约金，并赔偿甲方全部损失。</w:t>
      </w:r>
    </w:p>
    <w:p>
      <w:pPr>
        <w:spacing w:line="360" w:lineRule="auto"/>
        <w:ind w:firstLine="480" w:firstLineChars="200"/>
        <w:rPr>
          <w:rFonts w:ascii="宋体" w:hAnsi="宋体"/>
          <w:sz w:val="24"/>
          <w:szCs w:val="24"/>
        </w:rPr>
      </w:pPr>
      <w:r>
        <w:rPr>
          <w:rFonts w:hint="eastAsia" w:ascii="宋体"/>
          <w:sz w:val="24"/>
          <w:szCs w:val="24"/>
        </w:rPr>
        <w:t>5、乙方应保证供应货物不得存在任何权利瑕疵或侵犯任何第三人合法权益，否则，甲方有权终止或解除合同，要求乙方赔偿甲方全部损失。</w:t>
      </w:r>
    </w:p>
    <w:p>
      <w:pPr>
        <w:spacing w:line="360" w:lineRule="auto"/>
        <w:ind w:firstLine="480" w:firstLineChars="200"/>
        <w:textAlignment w:val="baseline"/>
        <w:rPr>
          <w:sz w:val="24"/>
          <w:szCs w:val="24"/>
        </w:rPr>
      </w:pPr>
      <w:r>
        <w:rPr>
          <w:rFonts w:hint="eastAsia" w:ascii="宋体"/>
          <w:sz w:val="24"/>
          <w:szCs w:val="24"/>
        </w:rPr>
        <w:t>6</w:t>
      </w:r>
      <w:r>
        <w:rPr>
          <w:rFonts w:hint="eastAsia"/>
          <w:sz w:val="24"/>
          <w:szCs w:val="24"/>
        </w:rPr>
        <w:t>、双方</w:t>
      </w:r>
      <w:r>
        <w:rPr>
          <w:rFonts w:hint="eastAsia" w:ascii="宋体" w:hAnsi="宋体"/>
          <w:sz w:val="24"/>
          <w:szCs w:val="24"/>
        </w:rPr>
        <w:t>其余违约</w:t>
      </w:r>
      <w:r>
        <w:rPr>
          <w:rFonts w:hint="eastAsia"/>
          <w:sz w:val="24"/>
          <w:szCs w:val="24"/>
        </w:rPr>
        <w:t>按《中华人民共和国民法典》执行，由违约方向守约方赔偿由此给守约方造成的一切经济损失。</w:t>
      </w:r>
    </w:p>
    <w:p>
      <w:pPr>
        <w:spacing w:line="360" w:lineRule="auto"/>
        <w:ind w:firstLine="480" w:firstLineChars="200"/>
        <w:textAlignment w:val="baseline"/>
        <w:rPr>
          <w:rFonts w:ascii="宋体" w:hAnsi="宋体"/>
          <w:sz w:val="24"/>
        </w:rPr>
      </w:pPr>
      <w:r>
        <w:rPr>
          <w:rFonts w:hint="eastAsia"/>
          <w:sz w:val="24"/>
          <w:szCs w:val="24"/>
        </w:rPr>
        <w:t>7、本合同约定的甲方损失</w:t>
      </w:r>
      <w:r>
        <w:rPr>
          <w:rFonts w:hint="eastAsia" w:ascii="宋体" w:hAnsi="宋体"/>
          <w:sz w:val="24"/>
        </w:rPr>
        <w:t>包括工期延误损失、甲方向第三人承担的违约金、赔偿金、甲方预期利润等全部直接和间接损失。</w:t>
      </w:r>
    </w:p>
    <w:p>
      <w:pPr>
        <w:spacing w:line="360" w:lineRule="auto"/>
        <w:ind w:firstLine="480" w:firstLineChars="200"/>
        <w:textAlignment w:val="baseline"/>
        <w:rPr>
          <w:sz w:val="24"/>
          <w:szCs w:val="24"/>
        </w:rPr>
      </w:pPr>
      <w:r>
        <w:rPr>
          <w:rFonts w:hint="eastAsia"/>
          <w:sz w:val="24"/>
          <w:szCs w:val="24"/>
        </w:rPr>
        <w:t>8、若合同执行期间，乙方供应的材料因质量不合格出现退货的，处以50000元/次的违约罚金；乙方供应的材料质量不合格造成工程返工或返修，卖方除承担继续履行、采取修理、更换、退货等补救措施外，处以100000元/次的违约罚金。</w:t>
      </w:r>
    </w:p>
    <w:p>
      <w:pPr>
        <w:spacing w:line="360" w:lineRule="auto"/>
        <w:ind w:firstLine="472" w:firstLineChars="196"/>
        <w:textAlignment w:val="baseline"/>
        <w:rPr>
          <w:b/>
          <w:sz w:val="24"/>
          <w:szCs w:val="24"/>
        </w:rPr>
      </w:pPr>
      <w:r>
        <w:rPr>
          <w:rFonts w:hint="eastAsia"/>
          <w:b/>
          <w:sz w:val="24"/>
          <w:szCs w:val="24"/>
        </w:rPr>
        <w:t>十二、其它约定事项</w:t>
      </w:r>
    </w:p>
    <w:p>
      <w:pPr>
        <w:spacing w:line="360" w:lineRule="auto"/>
        <w:ind w:firstLine="472" w:firstLineChars="197"/>
        <w:textAlignment w:val="baseline"/>
        <w:rPr>
          <w:rFonts w:ascii="宋体" w:hAnsi="宋体"/>
          <w:sz w:val="24"/>
          <w:szCs w:val="24"/>
        </w:rPr>
      </w:pPr>
      <w:r>
        <w:rPr>
          <w:rFonts w:hint="eastAsia"/>
          <w:sz w:val="24"/>
          <w:szCs w:val="24"/>
        </w:rPr>
        <w:t>1、</w:t>
      </w:r>
      <w:r>
        <w:rPr>
          <w:rFonts w:hint="eastAsia" w:ascii="宋体" w:hAnsi="宋体"/>
          <w:sz w:val="24"/>
          <w:szCs w:val="24"/>
        </w:rPr>
        <w:t>本合同</w:t>
      </w:r>
      <w:r>
        <w:rPr>
          <w:rFonts w:hint="eastAsia"/>
          <w:sz w:val="24"/>
          <w:szCs w:val="24"/>
        </w:rPr>
        <w:t>为</w:t>
      </w:r>
      <w:r>
        <w:rPr>
          <w:rFonts w:hint="eastAsia"/>
          <w:b/>
          <w:bCs/>
          <w:sz w:val="24"/>
          <w:szCs w:val="24"/>
          <w:u w:val="single"/>
        </w:rPr>
        <w:t>综合固定单价</w:t>
      </w:r>
      <w:r>
        <w:rPr>
          <w:rFonts w:hint="eastAsia"/>
          <w:sz w:val="24"/>
          <w:szCs w:val="24"/>
        </w:rPr>
        <w:t>合同。包含运输费、材料费、保险、税金、通行费、合理损耗、间接费、运杂费、利润、规费、物价上涨、安全措施费、装车费等在内的各种费用以及合同明示或暗示的所有责任、义务和一般风险。</w:t>
      </w:r>
    </w:p>
    <w:p>
      <w:pPr>
        <w:spacing w:line="360" w:lineRule="auto"/>
        <w:ind w:firstLine="460" w:firstLineChars="192"/>
        <w:rPr>
          <w:rFonts w:ascii="宋体" w:hAnsi="宋体"/>
          <w:sz w:val="24"/>
          <w:szCs w:val="24"/>
        </w:rPr>
      </w:pPr>
      <w:r>
        <w:rPr>
          <w:rFonts w:hint="eastAsia" w:ascii="宋体" w:hAnsi="宋体"/>
          <w:sz w:val="24"/>
          <w:szCs w:val="24"/>
        </w:rPr>
        <w:t>2、在实际供货中，可能会因施工调整、质量等原因对供货数量和时间进行调整，会导致乙方在实际供货中数量发生变化，最终</w:t>
      </w:r>
      <w:r>
        <w:rPr>
          <w:rFonts w:hint="eastAsia"/>
          <w:sz w:val="24"/>
          <w:szCs w:val="24"/>
        </w:rPr>
        <w:t>数量以甲方代表确认的实际到货合格数量为准</w:t>
      </w:r>
      <w:r>
        <w:rPr>
          <w:rFonts w:hint="eastAsia" w:ascii="宋体" w:hAnsi="宋体"/>
          <w:sz w:val="24"/>
          <w:szCs w:val="24"/>
        </w:rPr>
        <w:t>。期间乙方不得以供应数量和时间有变化要求进行单价变更。</w:t>
      </w:r>
    </w:p>
    <w:p>
      <w:pPr>
        <w:spacing w:line="360" w:lineRule="auto"/>
        <w:ind w:firstLine="472" w:firstLineChars="197"/>
        <w:textAlignment w:val="baseline"/>
        <w:rPr>
          <w:sz w:val="24"/>
          <w:szCs w:val="24"/>
          <w:highlight w:val="none"/>
        </w:rPr>
      </w:pPr>
      <w:r>
        <w:rPr>
          <w:rFonts w:hint="eastAsia"/>
          <w:sz w:val="24"/>
          <w:szCs w:val="24"/>
        </w:rPr>
        <w:t>3、如乙方产品因质量原因未通过质检（含颜色），乙方必须接受无条件退货，并由乙方</w:t>
      </w:r>
      <w:r>
        <w:rPr>
          <w:rFonts w:hint="eastAsia"/>
          <w:sz w:val="24"/>
          <w:szCs w:val="24"/>
          <w:highlight w:val="none"/>
        </w:rPr>
        <w:t>承担由此造成的一切损失，甲方有权立即解除或终止合同。</w:t>
      </w:r>
    </w:p>
    <w:p>
      <w:pPr>
        <w:spacing w:line="360" w:lineRule="auto"/>
        <w:ind w:firstLine="460" w:firstLineChars="192"/>
        <w:rPr>
          <w:rFonts w:hint="eastAsia" w:ascii="宋体" w:hAnsi="宋体"/>
          <w:sz w:val="24"/>
          <w:szCs w:val="24"/>
        </w:rPr>
      </w:pPr>
      <w:r>
        <w:rPr>
          <w:rFonts w:hint="eastAsia" w:ascii="宋体" w:hAnsi="宋体"/>
          <w:sz w:val="24"/>
          <w:szCs w:val="24"/>
        </w:rPr>
        <w:t>4、如果乙方在延误24小时供货后无法正常供货，甲方因项目工期需要有权采购同规格同型号的材料确保正常生产施工，直至乙方恢复正常供货为止。并且，期间产生的相关费用以及临时采购这批次材料的本合同货价及超出本合同同数量的合同材料差价由乙方全部承担。</w:t>
      </w:r>
    </w:p>
    <w:p>
      <w:pPr>
        <w:spacing w:line="360" w:lineRule="auto"/>
        <w:ind w:firstLine="460" w:firstLineChars="192"/>
        <w:rPr>
          <w:rFonts w:hint="eastAsia" w:ascii="宋体" w:hAnsi="宋体"/>
          <w:sz w:val="24"/>
          <w:szCs w:val="24"/>
          <w:lang w:val="en-US" w:eastAsia="zh-CN"/>
        </w:rPr>
      </w:pPr>
      <w:r>
        <w:rPr>
          <w:rFonts w:hint="eastAsia" w:ascii="宋体" w:hAnsi="宋体"/>
          <w:sz w:val="24"/>
          <w:szCs w:val="24"/>
          <w:lang w:val="en-US" w:eastAsia="zh-CN"/>
        </w:rPr>
        <w:t>5、如甲方需使用乙方砼输送泵车进行泵送，每次使用数量≧ 50 m³时，按实际砼方量计泵送费，每次使用数量&lt;50 m³时，按50 m³计泵送费。</w:t>
      </w:r>
    </w:p>
    <w:p>
      <w:pPr>
        <w:spacing w:line="360" w:lineRule="auto"/>
        <w:ind w:firstLine="460" w:firstLineChars="192"/>
        <w:rPr>
          <w:rFonts w:hint="eastAsia" w:ascii="宋体" w:hAnsi="宋体"/>
          <w:sz w:val="24"/>
          <w:szCs w:val="24"/>
        </w:rPr>
      </w:pPr>
      <w:r>
        <w:rPr>
          <w:rFonts w:hint="eastAsia" w:ascii="宋体" w:hAnsi="宋体"/>
          <w:sz w:val="24"/>
          <w:szCs w:val="24"/>
          <w:lang w:val="en-US" w:eastAsia="zh-CN"/>
        </w:rPr>
        <w:t>6、甲方的询价文件及乙方的报价文件作为本合同的附件，具有同</w:t>
      </w:r>
      <w:r>
        <w:rPr>
          <w:rFonts w:hint="eastAsia" w:ascii="宋体" w:hAnsi="宋体"/>
          <w:sz w:val="24"/>
          <w:szCs w:val="24"/>
        </w:rPr>
        <w:t>等法律效力，若有不一致或矛盾之处，以本合同条款为准。</w:t>
      </w:r>
    </w:p>
    <w:p>
      <w:pPr>
        <w:spacing w:line="360" w:lineRule="auto"/>
        <w:ind w:firstLine="460" w:firstLineChars="192"/>
        <w:rPr>
          <w:rFonts w:ascii="宋体" w:hAnsi="宋体"/>
          <w:sz w:val="24"/>
        </w:rPr>
      </w:pPr>
      <w:r>
        <w:rPr>
          <w:rFonts w:hint="eastAsia" w:ascii="宋体" w:hAnsi="宋体"/>
          <w:sz w:val="24"/>
          <w:lang w:val="en-US" w:eastAsia="zh-CN"/>
        </w:rPr>
        <w:t>7</w:t>
      </w:r>
      <w:r>
        <w:rPr>
          <w:rFonts w:hint="eastAsia" w:ascii="宋体" w:hAnsi="宋体"/>
          <w:sz w:val="24"/>
        </w:rPr>
        <w:t>、若出现重庆高速公路收费站限重等不可违抗因素，无任何运费调价机制，所有到场的运输费用由乙方自行承当。</w:t>
      </w:r>
    </w:p>
    <w:p>
      <w:pPr>
        <w:spacing w:line="360" w:lineRule="auto"/>
        <w:ind w:firstLine="463" w:firstLineChars="192"/>
        <w:rPr>
          <w:rFonts w:hint="eastAsia" w:eastAsia="宋体"/>
          <w:sz w:val="24"/>
          <w:szCs w:val="24"/>
          <w:highlight w:val="yellow"/>
          <w:lang w:eastAsia="zh-CN"/>
        </w:rPr>
      </w:pPr>
      <w:r>
        <w:rPr>
          <w:rFonts w:hint="eastAsia"/>
          <w:b/>
          <w:sz w:val="24"/>
          <w:szCs w:val="24"/>
        </w:rPr>
        <w:t>十三、本合同有效期</w:t>
      </w:r>
      <w:r>
        <w:rPr>
          <w:rFonts w:hint="eastAsia" w:ascii="宋体" w:hAnsi="宋体"/>
          <w:sz w:val="24"/>
          <w:szCs w:val="24"/>
        </w:rPr>
        <w:t>：</w:t>
      </w:r>
      <w:r>
        <w:rPr>
          <w:rFonts w:hint="eastAsia" w:ascii="宋体" w:hAnsi="宋体"/>
          <w:b/>
          <w:bCs/>
          <w:sz w:val="24"/>
          <w:szCs w:val="24"/>
          <w:u w:val="single"/>
        </w:rPr>
        <w:t>自本</w:t>
      </w:r>
      <w:r>
        <w:rPr>
          <w:rFonts w:hint="eastAsia" w:ascii="宋体" w:hAnsi="宋体" w:cs="宋体"/>
          <w:b/>
          <w:sz w:val="24"/>
          <w:szCs w:val="24"/>
          <w:u w:val="single"/>
        </w:rPr>
        <w:t>合同签订之日起至双方办理完结算时为止</w:t>
      </w:r>
      <w:r>
        <w:rPr>
          <w:rFonts w:hint="eastAsia" w:ascii="宋体" w:hAnsi="宋体" w:cs="宋体"/>
          <w:b/>
          <w:sz w:val="24"/>
          <w:szCs w:val="24"/>
          <w:u w:val="single"/>
          <w:lang w:eastAsia="zh-CN"/>
        </w:rPr>
        <w:t>。</w:t>
      </w:r>
    </w:p>
    <w:p>
      <w:pPr>
        <w:spacing w:line="360" w:lineRule="auto"/>
        <w:ind w:firstLine="472" w:firstLineChars="196"/>
        <w:textAlignment w:val="baseline"/>
        <w:rPr>
          <w:sz w:val="24"/>
          <w:szCs w:val="24"/>
        </w:rPr>
      </w:pPr>
      <w:r>
        <w:rPr>
          <w:rFonts w:hint="eastAsia"/>
          <w:b/>
          <w:sz w:val="24"/>
          <w:szCs w:val="24"/>
        </w:rPr>
        <w:t>十四、争议及解决方式：</w:t>
      </w:r>
      <w:r>
        <w:rPr>
          <w:rFonts w:hint="eastAsia"/>
          <w:sz w:val="24"/>
          <w:szCs w:val="24"/>
        </w:rPr>
        <w:t>本合同在执行过程中若发生争议，双方协商解决，协商不成，可向</w:t>
      </w:r>
      <w:r>
        <w:rPr>
          <w:rFonts w:hint="eastAsia"/>
          <w:b/>
          <w:sz w:val="24"/>
          <w:szCs w:val="24"/>
          <w:u w:val="single"/>
        </w:rPr>
        <w:t>重庆</w:t>
      </w:r>
      <w:r>
        <w:rPr>
          <w:rFonts w:hint="eastAsia"/>
          <w:sz w:val="24"/>
          <w:szCs w:val="24"/>
        </w:rPr>
        <w:t>仲裁委员会申请仲裁。</w:t>
      </w:r>
    </w:p>
    <w:p>
      <w:pPr>
        <w:spacing w:line="360" w:lineRule="auto"/>
        <w:ind w:firstLine="472" w:firstLineChars="196"/>
        <w:textAlignment w:val="baseline"/>
        <w:rPr>
          <w:sz w:val="24"/>
          <w:szCs w:val="24"/>
        </w:rPr>
      </w:pPr>
      <w:r>
        <w:rPr>
          <w:rFonts w:hint="eastAsia"/>
          <w:b/>
          <w:sz w:val="24"/>
          <w:szCs w:val="24"/>
        </w:rPr>
        <w:t>十五、合同签订点</w:t>
      </w:r>
      <w:r>
        <w:rPr>
          <w:rFonts w:hint="eastAsia"/>
          <w:sz w:val="24"/>
          <w:szCs w:val="24"/>
        </w:rPr>
        <w:t>：重庆市沙坪坝区天星桥街道梨高路重庆通力高速公路养护工程有限公司。</w:t>
      </w:r>
    </w:p>
    <w:p>
      <w:pPr>
        <w:spacing w:line="360" w:lineRule="auto"/>
        <w:ind w:firstLine="472" w:firstLineChars="196"/>
        <w:textAlignment w:val="baseline"/>
      </w:pPr>
      <w:r>
        <w:rPr>
          <w:rFonts w:hint="eastAsia"/>
          <w:b/>
          <w:sz w:val="24"/>
          <w:szCs w:val="24"/>
        </w:rPr>
        <w:t>十六、</w:t>
      </w:r>
      <w:r>
        <w:rPr>
          <w:rFonts w:hint="eastAsia"/>
          <w:sz w:val="24"/>
          <w:szCs w:val="24"/>
        </w:rPr>
        <w:t>本合同一式</w:t>
      </w:r>
      <w:r>
        <w:rPr>
          <w:rFonts w:hint="eastAsia"/>
          <w:b/>
          <w:sz w:val="24"/>
          <w:szCs w:val="24"/>
          <w:u w:val="single"/>
        </w:rPr>
        <w:t>陆</w:t>
      </w:r>
      <w:r>
        <w:rPr>
          <w:rFonts w:hint="eastAsia"/>
          <w:sz w:val="24"/>
          <w:szCs w:val="24"/>
        </w:rPr>
        <w:t>份，甲方执</w:t>
      </w:r>
      <w:r>
        <w:rPr>
          <w:rFonts w:hint="eastAsia"/>
          <w:b/>
          <w:sz w:val="24"/>
          <w:szCs w:val="24"/>
          <w:u w:val="single"/>
        </w:rPr>
        <w:t>肆</w:t>
      </w:r>
      <w:r>
        <w:rPr>
          <w:rFonts w:hint="eastAsia"/>
          <w:sz w:val="24"/>
          <w:szCs w:val="24"/>
        </w:rPr>
        <w:t>份，乙方执</w:t>
      </w:r>
      <w:r>
        <w:rPr>
          <w:rFonts w:hint="eastAsia"/>
          <w:b/>
          <w:sz w:val="24"/>
          <w:szCs w:val="24"/>
          <w:u w:val="single"/>
        </w:rPr>
        <w:t>贰</w:t>
      </w:r>
      <w:r>
        <w:rPr>
          <w:rFonts w:hint="eastAsia"/>
          <w:sz w:val="24"/>
          <w:szCs w:val="24"/>
        </w:rPr>
        <w:t>份，具有同等法律效力；自双方签字并盖章后生效，完成财务结算支付后自动失效。</w:t>
      </w:r>
    </w:p>
    <w:p>
      <w:pPr>
        <w:spacing w:line="360" w:lineRule="auto"/>
        <w:rPr>
          <w:sz w:val="24"/>
          <w:szCs w:val="24"/>
        </w:rPr>
      </w:pPr>
      <w:r>
        <w:rPr>
          <w:rFonts w:hint="eastAsia"/>
          <w:sz w:val="24"/>
          <w:szCs w:val="24"/>
        </w:rPr>
        <w:t>甲方（盖章）：                           乙方（盖章）：</w:t>
      </w:r>
    </w:p>
    <w:p>
      <w:pPr>
        <w:spacing w:line="276" w:lineRule="auto"/>
        <w:rPr>
          <w:sz w:val="24"/>
          <w:szCs w:val="24"/>
        </w:rPr>
      </w:pPr>
      <w:r>
        <w:rPr>
          <w:rFonts w:hint="eastAsia"/>
          <w:sz w:val="24"/>
          <w:szCs w:val="24"/>
        </w:rPr>
        <w:t xml:space="preserve">重庆通力高速公路养护工程有限公司                                             </w:t>
      </w:r>
    </w:p>
    <w:p>
      <w:pPr>
        <w:spacing w:line="360" w:lineRule="auto"/>
        <w:rPr>
          <w:sz w:val="24"/>
          <w:szCs w:val="24"/>
        </w:rPr>
      </w:pPr>
      <w:r>
        <w:rPr>
          <w:rFonts w:hint="eastAsia"/>
          <w:sz w:val="24"/>
          <w:szCs w:val="24"/>
        </w:rPr>
        <w:t>法定代表人                               法定代表人</w:t>
      </w:r>
    </w:p>
    <w:p>
      <w:pPr>
        <w:spacing w:line="360" w:lineRule="auto"/>
        <w:rPr>
          <w:sz w:val="24"/>
          <w:szCs w:val="24"/>
        </w:rPr>
      </w:pPr>
      <w:r>
        <w:rPr>
          <w:rFonts w:hint="eastAsia"/>
          <w:sz w:val="24"/>
          <w:szCs w:val="24"/>
        </w:rPr>
        <w:t>或授权代表：                             或授权代表：</w:t>
      </w:r>
    </w:p>
    <w:p>
      <w:pPr>
        <w:spacing w:line="360" w:lineRule="auto"/>
        <w:rPr>
          <w:sz w:val="24"/>
          <w:szCs w:val="24"/>
        </w:rPr>
      </w:pPr>
      <w:r>
        <w:rPr>
          <w:rFonts w:hint="eastAsia"/>
          <w:sz w:val="24"/>
          <w:szCs w:val="24"/>
        </w:rPr>
        <w:t>部门负责人：                             经办人：</w:t>
      </w:r>
    </w:p>
    <w:p>
      <w:pPr>
        <w:spacing w:line="360" w:lineRule="auto"/>
        <w:ind w:left="6000" w:hanging="6000" w:hangingChars="2500"/>
        <w:rPr>
          <w:sz w:val="24"/>
          <w:szCs w:val="24"/>
        </w:rPr>
      </w:pPr>
      <w:r>
        <w:rPr>
          <w:rFonts w:hint="eastAsia"/>
          <w:sz w:val="24"/>
          <w:szCs w:val="24"/>
        </w:rPr>
        <w:t xml:space="preserve">经办人：                                 开户银行：    </w:t>
      </w:r>
    </w:p>
    <w:p>
      <w:pPr>
        <w:spacing w:line="360" w:lineRule="auto"/>
        <w:rPr>
          <w:sz w:val="24"/>
          <w:szCs w:val="24"/>
        </w:rPr>
      </w:pPr>
      <w:r>
        <w:rPr>
          <w:rFonts w:hint="eastAsia"/>
          <w:sz w:val="24"/>
          <w:szCs w:val="24"/>
        </w:rPr>
        <w:t xml:space="preserve">                                         账号：                             </w:t>
      </w:r>
    </w:p>
    <w:p>
      <w:pPr>
        <w:spacing w:line="360" w:lineRule="auto"/>
        <w:rPr>
          <w:sz w:val="24"/>
          <w:szCs w:val="24"/>
        </w:rPr>
      </w:pPr>
    </w:p>
    <w:p>
      <w:pPr>
        <w:spacing w:line="360" w:lineRule="auto"/>
        <w:textAlignment w:val="baseline"/>
        <w:rPr>
          <w:sz w:val="24"/>
        </w:rPr>
      </w:pPr>
      <w:r>
        <w:rPr>
          <w:rFonts w:hint="eastAsia"/>
          <w:sz w:val="24"/>
        </w:rPr>
        <w:t>日期：    年   月    日 　　           日期：    年   月    日</w:t>
      </w:r>
    </w:p>
    <w:p>
      <w:pPr>
        <w:spacing w:line="360" w:lineRule="auto"/>
        <w:rPr>
          <w:sz w:val="24"/>
        </w:rPr>
        <w:sectPr>
          <w:headerReference r:id="rId3" w:type="first"/>
          <w:endnotePr>
            <w:numFmt w:val="decimal"/>
          </w:endnotePr>
          <w:pgSz w:w="11907" w:h="16834"/>
          <w:pgMar w:top="1009" w:right="1226" w:bottom="873" w:left="1241" w:header="851" w:footer="851" w:gutter="0"/>
          <w:paperSrc w:first="7" w:other="7"/>
          <w:pgNumType w:start="1"/>
          <w:cols w:space="720" w:num="1"/>
          <w:docGrid w:type="lines" w:linePitch="312" w:charSpace="0"/>
        </w:sectPr>
      </w:pPr>
    </w:p>
    <w:p>
      <w:pPr>
        <w:spacing w:line="360" w:lineRule="auto"/>
        <w:jc w:val="center"/>
        <w:rPr>
          <w:b/>
          <w:sz w:val="36"/>
          <w:szCs w:val="36"/>
        </w:rPr>
      </w:pPr>
      <w:r>
        <w:rPr>
          <w:rFonts w:hint="eastAsia"/>
          <w:b/>
          <w:sz w:val="36"/>
          <w:szCs w:val="36"/>
        </w:rPr>
        <w:t>重庆通力高速公路养护工程有限公司</w:t>
      </w:r>
    </w:p>
    <w:p>
      <w:pPr>
        <w:spacing w:line="360" w:lineRule="auto"/>
        <w:jc w:val="center"/>
        <w:rPr>
          <w:b/>
          <w:sz w:val="36"/>
          <w:szCs w:val="36"/>
        </w:rPr>
      </w:pPr>
      <w:r>
        <w:rPr>
          <w:rFonts w:hint="eastAsia"/>
          <w:b/>
          <w:sz w:val="36"/>
          <w:szCs w:val="36"/>
          <w:lang w:eastAsia="zh-CN"/>
        </w:rPr>
        <w:t>G75巴南服务区改造工程</w:t>
      </w:r>
      <w:r>
        <w:rPr>
          <w:rFonts w:hint="eastAsia"/>
          <w:b/>
          <w:sz w:val="36"/>
          <w:szCs w:val="36"/>
        </w:rPr>
        <w:t>商品混凝土采购之廉政合同</w:t>
      </w:r>
    </w:p>
    <w:p>
      <w:pPr>
        <w:adjustRightInd w:val="0"/>
        <w:snapToGrid w:val="0"/>
        <w:spacing w:line="360" w:lineRule="auto"/>
        <w:ind w:firstLine="480" w:firstLineChars="200"/>
        <w:textAlignment w:val="baseline"/>
        <w:rPr>
          <w:sz w:val="24"/>
        </w:rPr>
      </w:pPr>
      <w:r>
        <w:rPr>
          <w:rFonts w:hint="eastAsia"/>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资金的安全和有效使用及投资效益，</w:t>
      </w:r>
      <w:r>
        <w:rPr>
          <w:rFonts w:hint="eastAsia"/>
          <w:b/>
          <w:sz w:val="24"/>
          <w:u w:val="single"/>
        </w:rPr>
        <w:t>重庆通力高速公路养护工程有限公司</w:t>
      </w:r>
      <w:r>
        <w:rPr>
          <w:rFonts w:hint="eastAsia"/>
          <w:sz w:val="24"/>
        </w:rPr>
        <w:t>（以下称甲方）与</w:t>
      </w:r>
      <w:r>
        <w:rPr>
          <w:rFonts w:hint="eastAsia"/>
          <w:b/>
          <w:bCs/>
          <w:sz w:val="24"/>
          <w:szCs w:val="24"/>
          <w:u w:val="single"/>
        </w:rPr>
        <w:t xml:space="preserve">             </w:t>
      </w:r>
      <w:r>
        <w:rPr>
          <w:rFonts w:hint="eastAsia"/>
          <w:sz w:val="24"/>
        </w:rPr>
        <w:t xml:space="preserve">（以下称乙方），特订立如下合同。   </w:t>
      </w:r>
    </w:p>
    <w:p>
      <w:pPr>
        <w:adjustRightInd w:val="0"/>
        <w:snapToGrid w:val="0"/>
        <w:spacing w:line="360" w:lineRule="auto"/>
        <w:ind w:firstLine="482" w:firstLineChars="200"/>
        <w:textAlignment w:val="baseline"/>
        <w:rPr>
          <w:sz w:val="24"/>
        </w:rPr>
      </w:pPr>
      <w:r>
        <w:rPr>
          <w:rFonts w:hint="eastAsia"/>
          <w:b/>
          <w:sz w:val="24"/>
        </w:rPr>
        <w:t>一、甲乙双方的权利和义务</w:t>
      </w:r>
    </w:p>
    <w:p>
      <w:pPr>
        <w:spacing w:line="360" w:lineRule="auto"/>
        <w:ind w:firstLine="480" w:firstLineChars="200"/>
        <w:rPr>
          <w:sz w:val="24"/>
        </w:rPr>
      </w:pPr>
      <w:r>
        <w:rPr>
          <w:rFonts w:hint="eastAsia"/>
          <w:sz w:val="24"/>
        </w:rPr>
        <w:t>1、严格遵守党和国家有关法律法规及交通部的有关规定。</w:t>
      </w:r>
    </w:p>
    <w:p>
      <w:pPr>
        <w:spacing w:line="360" w:lineRule="auto"/>
        <w:ind w:firstLine="480" w:firstLineChars="200"/>
        <w:rPr>
          <w:sz w:val="24"/>
        </w:rPr>
      </w:pPr>
      <w:r>
        <w:rPr>
          <w:rFonts w:hint="eastAsia"/>
          <w:sz w:val="24"/>
        </w:rPr>
        <w:t>2、严格执行</w:t>
      </w:r>
      <w:r>
        <w:rPr>
          <w:rFonts w:hint="eastAsia"/>
          <w:b/>
          <w:bCs/>
          <w:sz w:val="24"/>
          <w:u w:val="single"/>
        </w:rPr>
        <w:t>《重庆通力高速公路养护工程有限公司</w:t>
      </w:r>
      <w:r>
        <w:rPr>
          <w:rFonts w:hint="eastAsia"/>
          <w:b/>
          <w:bCs/>
          <w:sz w:val="24"/>
          <w:u w:val="single"/>
          <w:lang w:eastAsia="zh-CN"/>
        </w:rPr>
        <w:t>G75巴南服务区改造工程</w:t>
      </w:r>
      <w:r>
        <w:rPr>
          <w:rFonts w:hint="eastAsia"/>
          <w:b/>
          <w:bCs/>
          <w:sz w:val="24"/>
          <w:u w:val="single"/>
        </w:rPr>
        <w:t>商品混凝土采购合同》</w:t>
      </w:r>
      <w:r>
        <w:rPr>
          <w:rFonts w:hint="eastAsia"/>
          <w:sz w:val="24"/>
        </w:rPr>
        <w:t>的相关条款，自觉按合同办事。</w:t>
      </w:r>
    </w:p>
    <w:p>
      <w:pPr>
        <w:spacing w:line="360" w:lineRule="auto"/>
        <w:ind w:firstLine="480" w:firstLineChars="200"/>
        <w:rPr>
          <w:sz w:val="24"/>
          <w:szCs w:val="22"/>
        </w:rPr>
      </w:pPr>
      <w:r>
        <w:rPr>
          <w:rFonts w:hint="eastAsia"/>
          <w:sz w:val="24"/>
          <w:szCs w:val="22"/>
        </w:rPr>
        <w:t>3、双方的业务活动坚持公开、公正、诚信、透明的原则（除法律认定的商业秘密和合同文件另有规定之外），不得损害国家和集体利益，违反工程建设管理规章制度。</w:t>
      </w:r>
    </w:p>
    <w:p>
      <w:pPr>
        <w:spacing w:line="360" w:lineRule="auto"/>
        <w:ind w:firstLine="480" w:firstLineChars="200"/>
        <w:rPr>
          <w:sz w:val="24"/>
        </w:rPr>
      </w:pPr>
      <w:r>
        <w:rPr>
          <w:rFonts w:hint="eastAsia"/>
          <w:sz w:val="24"/>
        </w:rPr>
        <w:t>4、建立健全廉政制度，开展廉政教育，设立廉政告示牌，公布举报电话，监督并认真查处违法违纪行为。</w:t>
      </w:r>
    </w:p>
    <w:p>
      <w:pPr>
        <w:spacing w:line="360" w:lineRule="auto"/>
        <w:ind w:firstLine="480" w:firstLineChars="200"/>
        <w:rPr>
          <w:sz w:val="24"/>
        </w:rPr>
      </w:pPr>
      <w:r>
        <w:rPr>
          <w:rFonts w:hint="eastAsia"/>
          <w:sz w:val="24"/>
        </w:rPr>
        <w:t>5、发现对方在业务活动中有违反廉政规定的行为，有及时提醒对方纠正的权利和义务。</w:t>
      </w:r>
    </w:p>
    <w:p>
      <w:pPr>
        <w:spacing w:line="360" w:lineRule="auto"/>
        <w:ind w:firstLine="480" w:firstLineChars="200"/>
        <w:rPr>
          <w:sz w:val="24"/>
        </w:rPr>
      </w:pPr>
      <w:r>
        <w:rPr>
          <w:rFonts w:hint="eastAsia"/>
          <w:sz w:val="24"/>
        </w:rPr>
        <w:t>6、发现对方严重违反本合同义务条款的行为，有向其上级有关部门举报、建议给予处理并要求告知处理结果的权利。</w:t>
      </w:r>
    </w:p>
    <w:p>
      <w:pPr>
        <w:spacing w:line="360" w:lineRule="auto"/>
        <w:ind w:firstLine="472" w:firstLineChars="196"/>
        <w:rPr>
          <w:b/>
          <w:sz w:val="24"/>
        </w:rPr>
      </w:pPr>
      <w:r>
        <w:rPr>
          <w:rFonts w:hint="eastAsia"/>
          <w:b/>
          <w:sz w:val="24"/>
        </w:rPr>
        <w:t>二、甲方义务</w:t>
      </w:r>
    </w:p>
    <w:p>
      <w:pPr>
        <w:spacing w:line="360" w:lineRule="auto"/>
        <w:ind w:firstLine="480" w:firstLineChars="200"/>
        <w:rPr>
          <w:sz w:val="24"/>
        </w:rPr>
      </w:pPr>
      <w:r>
        <w:rPr>
          <w:rFonts w:hint="eastAsia"/>
          <w:sz w:val="24"/>
        </w:rPr>
        <w:t>1、甲方及其工作人员不得索要或接受乙方的礼金、有价证券和贵重要物品，不得在乙方报销任何应由甲方或个人支付的费用等。</w:t>
      </w:r>
    </w:p>
    <w:p>
      <w:pPr>
        <w:spacing w:line="360" w:lineRule="auto"/>
        <w:ind w:firstLine="480" w:firstLineChars="200"/>
        <w:rPr>
          <w:sz w:val="24"/>
        </w:rPr>
      </w:pPr>
      <w:r>
        <w:rPr>
          <w:rFonts w:hint="eastAsia"/>
          <w:sz w:val="24"/>
        </w:rPr>
        <w:t>2、甲方工作人员不得参加乙方安排的宴请或可能影响公正的其他宴请和娱乐活动。不得接受乙方提供的通讯工具、交通工具和高档办公用品等。</w:t>
      </w:r>
    </w:p>
    <w:p>
      <w:pPr>
        <w:spacing w:line="360" w:lineRule="auto"/>
        <w:ind w:firstLine="480" w:firstLineChars="200"/>
        <w:rPr>
          <w:sz w:val="24"/>
        </w:rPr>
      </w:pPr>
      <w:r>
        <w:rPr>
          <w:rFonts w:hint="eastAsia"/>
          <w:sz w:val="24"/>
        </w:rPr>
        <w:t>3、甲方及其工作人员不得要求或者接受乙方为其住房装修、婚丧嫁娶活动、配偶子女的工作安排以及出国出境、旅游等提供方便等。</w:t>
      </w:r>
    </w:p>
    <w:p>
      <w:pPr>
        <w:spacing w:line="360" w:lineRule="auto"/>
        <w:ind w:firstLine="480" w:firstLineChars="200"/>
        <w:rPr>
          <w:sz w:val="24"/>
        </w:rPr>
      </w:pPr>
      <w:r>
        <w:rPr>
          <w:rFonts w:hint="eastAsia"/>
          <w:sz w:val="24"/>
        </w:rPr>
        <w:t>4、甲方工作人员的配偶、子女不得从事与甲方工程有关的材料设备供应、工程分包、劳务等经济活动等。</w:t>
      </w:r>
    </w:p>
    <w:p>
      <w:pPr>
        <w:spacing w:line="360" w:lineRule="auto"/>
        <w:ind w:firstLine="480" w:firstLineChars="200"/>
        <w:rPr>
          <w:sz w:val="24"/>
        </w:rPr>
      </w:pPr>
      <w:r>
        <w:rPr>
          <w:rFonts w:hint="eastAsia"/>
          <w:sz w:val="24"/>
        </w:rPr>
        <w:t>5、甲方及其工作人员不得以任何理由向乙方推荐分包单位，不得要求乙方购买合同规定外的材料和设备。</w:t>
      </w:r>
    </w:p>
    <w:p>
      <w:pPr>
        <w:spacing w:line="360" w:lineRule="auto"/>
        <w:ind w:firstLine="472" w:firstLineChars="196"/>
        <w:rPr>
          <w:b/>
          <w:sz w:val="24"/>
        </w:rPr>
      </w:pPr>
      <w:r>
        <w:rPr>
          <w:rFonts w:hint="eastAsia"/>
          <w:b/>
          <w:sz w:val="24"/>
        </w:rPr>
        <w:t>三、乙方义务</w:t>
      </w:r>
    </w:p>
    <w:p>
      <w:pPr>
        <w:spacing w:line="360" w:lineRule="auto"/>
        <w:ind w:firstLine="480" w:firstLineChars="200"/>
        <w:rPr>
          <w:sz w:val="24"/>
        </w:rPr>
      </w:pPr>
      <w:r>
        <w:rPr>
          <w:rFonts w:hint="eastAsia"/>
          <w:sz w:val="24"/>
        </w:rPr>
        <w:t>1、乙方不得以任何理由向甲方及其工作人员行贿或馈赠礼金、有价证券、贵重礼品。</w:t>
      </w:r>
    </w:p>
    <w:p>
      <w:pPr>
        <w:spacing w:line="360" w:lineRule="auto"/>
        <w:ind w:firstLine="480" w:firstLineChars="200"/>
        <w:rPr>
          <w:sz w:val="24"/>
        </w:rPr>
      </w:pPr>
      <w:r>
        <w:rPr>
          <w:rFonts w:hint="eastAsia"/>
          <w:sz w:val="24"/>
        </w:rPr>
        <w:t>2、乙方不得以任何名义为甲方及其工作人员报销应由甲方单位或个人支付的任何费用。</w:t>
      </w:r>
    </w:p>
    <w:p>
      <w:pPr>
        <w:spacing w:line="360" w:lineRule="auto"/>
        <w:ind w:firstLine="480" w:firstLineChars="200"/>
        <w:rPr>
          <w:sz w:val="24"/>
        </w:rPr>
      </w:pPr>
      <w:r>
        <w:rPr>
          <w:rFonts w:hint="eastAsia"/>
          <w:sz w:val="24"/>
        </w:rPr>
        <w:t>3、乙方不得以任何理由邀请甲方工作人员外出旅游或安排甲方工作人员参加宴请及娱乐活动。</w:t>
      </w:r>
    </w:p>
    <w:p>
      <w:pPr>
        <w:spacing w:line="360" w:lineRule="auto"/>
        <w:ind w:firstLine="480" w:firstLineChars="200"/>
        <w:rPr>
          <w:sz w:val="24"/>
        </w:rPr>
      </w:pPr>
      <w:r>
        <w:rPr>
          <w:rFonts w:hint="eastAsia"/>
          <w:sz w:val="24"/>
        </w:rPr>
        <w:t>4、乙方不得为甲方单位和个人购置或提供通讯工具、交通工具和高档办公用品等。</w:t>
      </w:r>
    </w:p>
    <w:p>
      <w:pPr>
        <w:spacing w:line="360" w:lineRule="auto"/>
        <w:ind w:firstLine="480" w:firstLineChars="200"/>
        <w:rPr>
          <w:sz w:val="24"/>
        </w:rPr>
      </w:pPr>
      <w:r>
        <w:rPr>
          <w:rFonts w:hint="eastAsia"/>
          <w:sz w:val="24"/>
        </w:rPr>
        <w:t>5、乙方及其工作人员应严格按规程办事，不得为谋取私利向工作人员非法行贿，私下串通，损害甲方利益。同时依法履行向甲方承诺的上述其他廉政义务。</w:t>
      </w:r>
    </w:p>
    <w:p>
      <w:pPr>
        <w:spacing w:line="360" w:lineRule="auto"/>
        <w:ind w:firstLine="480" w:firstLineChars="200"/>
        <w:rPr>
          <w:sz w:val="24"/>
        </w:rPr>
      </w:pPr>
      <w:r>
        <w:rPr>
          <w:rFonts w:hint="eastAsia"/>
          <w:sz w:val="24"/>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spacing w:line="360" w:lineRule="auto"/>
        <w:ind w:firstLine="472" w:firstLineChars="196"/>
        <w:rPr>
          <w:b/>
          <w:sz w:val="24"/>
        </w:rPr>
      </w:pPr>
      <w:r>
        <w:rPr>
          <w:rFonts w:hint="eastAsia"/>
          <w:b/>
          <w:sz w:val="24"/>
        </w:rPr>
        <w:t>四、违约责任</w:t>
      </w:r>
    </w:p>
    <w:p>
      <w:pPr>
        <w:spacing w:line="360" w:lineRule="auto"/>
        <w:ind w:firstLine="480" w:firstLineChars="200"/>
        <w:rPr>
          <w:sz w:val="24"/>
        </w:rPr>
      </w:pPr>
      <w:r>
        <w:rPr>
          <w:rFonts w:hint="eastAsia"/>
          <w:sz w:val="24"/>
        </w:rPr>
        <w:t>1、甲方及其工作人员违反本合同第一、二条，按管理权限，依据有关规定给予党纪、政纪或组织处理；涉嫌犯罪的，移交司法机关追究刑事责任；给乙方单位造成经济损失的，应予以赔偿。</w:t>
      </w:r>
    </w:p>
    <w:p>
      <w:pPr>
        <w:spacing w:line="360" w:lineRule="auto"/>
        <w:ind w:firstLine="480" w:firstLineChars="200"/>
        <w:rPr>
          <w:sz w:val="24"/>
        </w:rPr>
      </w:pPr>
      <w:r>
        <w:rPr>
          <w:rFonts w:hint="eastAsia"/>
          <w:sz w:val="24"/>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360" w:lineRule="auto"/>
        <w:ind w:firstLine="472" w:firstLineChars="196"/>
        <w:rPr>
          <w:b/>
          <w:sz w:val="24"/>
        </w:rPr>
      </w:pPr>
      <w:r>
        <w:rPr>
          <w:rFonts w:hint="eastAsia"/>
          <w:b/>
          <w:sz w:val="24"/>
        </w:rPr>
        <w:t>五、双方约定</w:t>
      </w:r>
    </w:p>
    <w:p>
      <w:pPr>
        <w:spacing w:line="360" w:lineRule="auto"/>
        <w:ind w:firstLine="480" w:firstLineChars="200"/>
        <w:rPr>
          <w:sz w:val="24"/>
        </w:rPr>
      </w:pPr>
      <w:r>
        <w:rPr>
          <w:rFonts w:hint="eastAsia"/>
          <w:sz w:val="24"/>
        </w:rPr>
        <w:t>本合同由双方或双方上级单位的纪检监察部门负责监督执行。</w:t>
      </w:r>
    </w:p>
    <w:p>
      <w:pPr>
        <w:spacing w:line="360" w:lineRule="auto"/>
        <w:ind w:firstLine="472" w:firstLineChars="196"/>
        <w:rPr>
          <w:sz w:val="24"/>
        </w:rPr>
      </w:pPr>
      <w:r>
        <w:rPr>
          <w:rFonts w:hint="eastAsia"/>
          <w:b/>
          <w:sz w:val="24"/>
        </w:rPr>
        <w:t>六、</w:t>
      </w:r>
      <w:r>
        <w:rPr>
          <w:rFonts w:hint="eastAsia"/>
          <w:sz w:val="24"/>
        </w:rPr>
        <w:t>本合同有效期为甲乙双方签署之日起至该合同到期后止。</w:t>
      </w:r>
    </w:p>
    <w:p>
      <w:pPr>
        <w:spacing w:line="360" w:lineRule="auto"/>
        <w:ind w:firstLine="472" w:firstLineChars="196"/>
        <w:rPr>
          <w:sz w:val="24"/>
        </w:rPr>
      </w:pPr>
      <w:r>
        <w:rPr>
          <w:rFonts w:hint="eastAsia"/>
          <w:b/>
          <w:sz w:val="24"/>
        </w:rPr>
        <w:t>七、</w:t>
      </w:r>
      <w:r>
        <w:rPr>
          <w:rFonts w:hint="eastAsia"/>
          <w:sz w:val="24"/>
        </w:rPr>
        <w:t>本合同作为</w:t>
      </w:r>
      <w:r>
        <w:rPr>
          <w:rFonts w:hint="eastAsia"/>
          <w:b/>
          <w:sz w:val="24"/>
        </w:rPr>
        <w:t>《</w:t>
      </w:r>
      <w:r>
        <w:rPr>
          <w:rFonts w:hint="eastAsia"/>
          <w:b/>
          <w:bCs/>
          <w:sz w:val="24"/>
          <w:u w:val="single"/>
        </w:rPr>
        <w:t>重庆通力高速公路养护工程有限公司</w:t>
      </w:r>
      <w:r>
        <w:rPr>
          <w:rFonts w:hint="eastAsia"/>
          <w:b/>
          <w:bCs/>
          <w:sz w:val="24"/>
          <w:u w:val="single"/>
          <w:lang w:eastAsia="zh-CN"/>
        </w:rPr>
        <w:t>G75巴南服务区改造工程</w:t>
      </w:r>
      <w:r>
        <w:rPr>
          <w:rFonts w:hint="eastAsia"/>
          <w:b/>
          <w:bCs/>
          <w:sz w:val="24"/>
          <w:u w:val="single"/>
        </w:rPr>
        <w:t>商品混凝土采购合同</w:t>
      </w:r>
      <w:r>
        <w:rPr>
          <w:rFonts w:hint="eastAsia"/>
          <w:b/>
          <w:sz w:val="24"/>
        </w:rPr>
        <w:t>》</w:t>
      </w:r>
      <w:r>
        <w:rPr>
          <w:rFonts w:hint="eastAsia"/>
          <w:sz w:val="24"/>
        </w:rPr>
        <w:t>的附件，具有同等的法律效力，经合同双方签署立即生效。</w:t>
      </w:r>
    </w:p>
    <w:p>
      <w:pPr>
        <w:spacing w:line="360" w:lineRule="auto"/>
        <w:ind w:firstLine="472" w:firstLineChars="196"/>
        <w:textAlignment w:val="baseline"/>
        <w:rPr>
          <w:rFonts w:ascii="宋体" w:hAnsi="宋体"/>
          <w:sz w:val="24"/>
        </w:rPr>
      </w:pPr>
      <w:r>
        <w:rPr>
          <w:rFonts w:hint="eastAsia"/>
          <w:b/>
          <w:sz w:val="24"/>
        </w:rPr>
        <w:t>八、</w:t>
      </w:r>
      <w:r>
        <w:rPr>
          <w:rFonts w:hint="eastAsia" w:ascii="宋体"/>
          <w:sz w:val="24"/>
        </w:rPr>
        <w:t>本合同一式</w:t>
      </w:r>
      <w:r>
        <w:rPr>
          <w:rFonts w:hint="eastAsia" w:ascii="宋体"/>
          <w:b/>
          <w:sz w:val="24"/>
          <w:u w:val="single"/>
        </w:rPr>
        <w:t>陆</w:t>
      </w:r>
      <w:r>
        <w:rPr>
          <w:rFonts w:hint="eastAsia" w:ascii="宋体"/>
          <w:sz w:val="24"/>
        </w:rPr>
        <w:t>份，甲方执</w:t>
      </w:r>
      <w:r>
        <w:rPr>
          <w:rFonts w:hint="eastAsia" w:ascii="宋体"/>
          <w:b/>
          <w:sz w:val="24"/>
          <w:u w:val="single"/>
        </w:rPr>
        <w:t>肆</w:t>
      </w:r>
      <w:r>
        <w:rPr>
          <w:rFonts w:hint="eastAsia" w:ascii="宋体"/>
          <w:sz w:val="24"/>
        </w:rPr>
        <w:t>份，乙方执</w:t>
      </w:r>
      <w:r>
        <w:rPr>
          <w:rFonts w:hint="eastAsia" w:ascii="宋体"/>
          <w:b/>
          <w:sz w:val="24"/>
          <w:u w:val="single"/>
        </w:rPr>
        <w:t>贰</w:t>
      </w:r>
      <w:r>
        <w:rPr>
          <w:rFonts w:hint="eastAsia" w:ascii="宋体"/>
          <w:sz w:val="24"/>
        </w:rPr>
        <w:t>份；具有同等法律效力；自双方签字并盖章后生效，甲乙双方</w:t>
      </w:r>
      <w:r>
        <w:rPr>
          <w:rFonts w:hint="eastAsia" w:ascii="宋体" w:hAnsi="宋体"/>
          <w:sz w:val="24"/>
        </w:rPr>
        <w:t>履行合同全部义务、结算价款支付完毕后，本合同即告终止。</w:t>
      </w:r>
    </w:p>
    <w:p>
      <w:pPr>
        <w:spacing w:line="360" w:lineRule="auto"/>
        <w:ind w:firstLine="470" w:firstLineChars="196"/>
        <w:textAlignment w:val="baseline"/>
        <w:rPr>
          <w:rFonts w:ascii="宋体" w:hAnsi="宋体"/>
          <w:sz w:val="24"/>
        </w:rPr>
      </w:pPr>
    </w:p>
    <w:p>
      <w:pPr>
        <w:spacing w:line="360" w:lineRule="auto"/>
        <w:textAlignment w:val="baseline"/>
        <w:rPr>
          <w:rFonts w:ascii="宋体" w:hAnsi="宋体"/>
          <w:sz w:val="24"/>
        </w:rPr>
      </w:pPr>
    </w:p>
    <w:p>
      <w:pPr>
        <w:rPr>
          <w:rFonts w:hint="eastAsia" w:ascii="宋体" w:hAnsi="宋体"/>
          <w:sz w:val="24"/>
        </w:rPr>
      </w:pPr>
      <w:r>
        <w:rPr>
          <w:rFonts w:hint="eastAsia" w:ascii="宋体" w:hAnsi="宋体"/>
          <w:sz w:val="24"/>
        </w:rPr>
        <w:br w:type="page"/>
      </w:r>
    </w:p>
    <w:p>
      <w:pPr>
        <w:spacing w:line="360" w:lineRule="auto"/>
        <w:textAlignment w:val="baseline"/>
        <w:rPr>
          <w:rFonts w:ascii="宋体" w:hAnsi="宋体"/>
          <w:sz w:val="24"/>
        </w:rPr>
      </w:pPr>
      <w:r>
        <w:rPr>
          <w:rFonts w:hint="eastAsia" w:ascii="宋体" w:hAnsi="宋体"/>
          <w:sz w:val="24"/>
        </w:rPr>
        <w:t>（本页无正文）</w:t>
      </w:r>
    </w:p>
    <w:p>
      <w:pPr>
        <w:pStyle w:val="6"/>
      </w:pPr>
    </w:p>
    <w:p/>
    <w:p>
      <w:pPr>
        <w:spacing w:line="360" w:lineRule="auto"/>
        <w:ind w:firstLine="470" w:firstLineChars="196"/>
        <w:textAlignment w:val="baseline"/>
        <w:rPr>
          <w:rFonts w:ascii="宋体" w:hAnsi="宋体"/>
          <w:sz w:val="24"/>
        </w:rPr>
      </w:pPr>
    </w:p>
    <w:p>
      <w:pPr>
        <w:spacing w:line="276" w:lineRule="auto"/>
        <w:textAlignment w:val="baseline"/>
        <w:rPr>
          <w:rFonts w:ascii="宋体" w:hAnsi="宋体"/>
          <w:sz w:val="24"/>
        </w:rPr>
      </w:pPr>
      <w:r>
        <w:rPr>
          <w:rFonts w:hint="eastAsia" w:ascii="宋体" w:hAnsi="宋体"/>
          <w:sz w:val="24"/>
        </w:rPr>
        <w:t>甲方：（盖章）                         乙方：（盖章）</w:t>
      </w:r>
    </w:p>
    <w:p>
      <w:pPr>
        <w:spacing w:line="276" w:lineRule="auto"/>
        <w:rPr>
          <w:sz w:val="24"/>
          <w:szCs w:val="24"/>
        </w:rPr>
      </w:pPr>
      <w:r>
        <w:rPr>
          <w:rFonts w:hint="eastAsia"/>
          <w:sz w:val="24"/>
          <w:szCs w:val="24"/>
        </w:rPr>
        <w:t xml:space="preserve">重庆通力高速公路养护工程有限公司      </w:t>
      </w:r>
    </w:p>
    <w:p>
      <w:pPr>
        <w:pStyle w:val="6"/>
      </w:pPr>
    </w:p>
    <w:p/>
    <w:p>
      <w:pPr>
        <w:spacing w:line="276" w:lineRule="auto"/>
        <w:rPr>
          <w:rFonts w:hint="eastAsia" w:ascii="宋体" w:hAnsi="宋体"/>
          <w:sz w:val="24"/>
        </w:rPr>
      </w:pPr>
      <w:r>
        <w:rPr>
          <w:rFonts w:hint="eastAsia" w:ascii="宋体" w:hAnsi="宋体"/>
          <w:sz w:val="24"/>
        </w:rPr>
        <w:t>法定代表人                             法定代表人</w:t>
      </w:r>
    </w:p>
    <w:p>
      <w:pPr>
        <w:pStyle w:val="6"/>
      </w:pPr>
    </w:p>
    <w:p>
      <w:pPr>
        <w:spacing w:line="276" w:lineRule="auto"/>
        <w:textAlignment w:val="baseline"/>
      </w:pPr>
      <w:r>
        <w:rPr>
          <w:rFonts w:hint="eastAsia" w:ascii="宋体" w:hAnsi="宋体"/>
          <w:sz w:val="24"/>
        </w:rPr>
        <w:t>或授权代表：                           或授权代表：</w:t>
      </w:r>
    </w:p>
    <w:p>
      <w:pPr>
        <w:spacing w:line="276" w:lineRule="auto"/>
        <w:rPr>
          <w:rFonts w:hint="eastAsia"/>
        </w:rPr>
      </w:pPr>
      <w:r>
        <w:rPr>
          <w:rFonts w:hint="eastAsia"/>
        </w:rPr>
        <w:t>部门负责人：</w:t>
      </w:r>
    </w:p>
    <w:p>
      <w:pPr>
        <w:pStyle w:val="6"/>
      </w:pPr>
    </w:p>
    <w:p>
      <w:pPr>
        <w:widowControl/>
        <w:spacing w:line="276" w:lineRule="auto"/>
        <w:ind w:left="259" w:leftChars="9" w:hanging="240" w:hangingChars="100"/>
        <w:jc w:val="left"/>
        <w:textAlignment w:val="baseline"/>
        <w:rPr>
          <w:rFonts w:hint="eastAsia" w:ascii="宋体" w:hAnsi="宋体"/>
          <w:sz w:val="24"/>
        </w:rPr>
      </w:pPr>
      <w:r>
        <w:rPr>
          <w:rFonts w:hint="eastAsia" w:ascii="宋体" w:hAnsi="宋体"/>
          <w:sz w:val="24"/>
        </w:rPr>
        <w:t>经办人：                               经办人：</w:t>
      </w:r>
    </w:p>
    <w:p>
      <w:pPr>
        <w:pStyle w:val="6"/>
      </w:pPr>
    </w:p>
    <w:p>
      <w:pPr>
        <w:widowControl/>
        <w:spacing w:line="276" w:lineRule="auto"/>
        <w:jc w:val="left"/>
        <w:textAlignment w:val="baseline"/>
        <w:rPr>
          <w:rFonts w:ascii="宋体" w:hAnsi="宋体" w:cs="宋体"/>
          <w:b/>
          <w:sz w:val="36"/>
        </w:rPr>
        <w:sectPr>
          <w:headerReference r:id="rId4" w:type="default"/>
          <w:footerReference r:id="rId5" w:type="default"/>
          <w:pgSz w:w="11906" w:h="16838"/>
          <w:pgMar w:top="1418" w:right="1361" w:bottom="1418" w:left="1361" w:header="851" w:footer="992" w:gutter="0"/>
          <w:cols w:space="720" w:num="1"/>
          <w:docGrid w:type="lines" w:linePitch="312" w:charSpace="0"/>
        </w:sectPr>
      </w:pPr>
      <w:r>
        <w:rPr>
          <w:rFonts w:hint="eastAsia"/>
          <w:sz w:val="24"/>
        </w:rPr>
        <w:t xml:space="preserve">签约时间：    年   月   日             签约时间：    年   月   </w:t>
      </w:r>
    </w:p>
    <w:p>
      <w:pPr>
        <w:spacing w:line="360" w:lineRule="auto"/>
        <w:jc w:val="center"/>
        <w:rPr>
          <w:rFonts w:ascii="宋体" w:hAnsi="宋体" w:cs="宋体"/>
          <w:b/>
          <w:sz w:val="36"/>
        </w:rPr>
      </w:pPr>
    </w:p>
    <w:p>
      <w:pPr>
        <w:jc w:val="center"/>
        <w:rPr>
          <w:rFonts w:ascii="宋体" w:hAnsi="宋体" w:cs="宋体"/>
          <w:b/>
          <w:sz w:val="36"/>
        </w:rPr>
      </w:pPr>
      <w:r>
        <w:rPr>
          <w:rFonts w:hint="eastAsia" w:ascii="宋体" w:hAnsi="宋体" w:cs="宋体"/>
          <w:b/>
          <w:sz w:val="36"/>
        </w:rPr>
        <w:t>比选申请文件格式</w:t>
      </w: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（以下内容为示例）</w:t>
      </w:r>
    </w:p>
    <w:p>
      <w:pPr>
        <w:jc w:val="center"/>
        <w:rPr>
          <w:rFonts w:ascii="宋体" w:hAnsi="宋体" w:cs="宋体"/>
          <w:b/>
          <w:sz w:val="24"/>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sectPr>
          <w:pgSz w:w="11906" w:h="16838"/>
          <w:pgMar w:top="1418" w:right="1361" w:bottom="1418" w:left="1361" w:header="851" w:footer="992" w:gutter="0"/>
          <w:cols w:space="720" w:num="1"/>
          <w:docGrid w:type="lines" w:linePitch="312" w:charSpace="0"/>
        </w:sectPr>
      </w:pPr>
    </w:p>
    <w:p>
      <w:pPr>
        <w:jc w:val="center"/>
        <w:rPr>
          <w:rFonts w:ascii="宋体" w:hAnsi="宋体" w:cs="宋体"/>
          <w:b/>
          <w:sz w:val="40"/>
          <w:szCs w:val="44"/>
          <w:u w:val="single"/>
        </w:rPr>
      </w:pPr>
    </w:p>
    <w:p>
      <w:pPr>
        <w:jc w:val="center"/>
        <w:rPr>
          <w:rFonts w:ascii="宋体" w:hAnsi="宋体" w:cs="宋体"/>
          <w:b/>
          <w:sz w:val="40"/>
          <w:szCs w:val="44"/>
          <w:u w:val="single"/>
        </w:rPr>
      </w:pPr>
    </w:p>
    <w:p>
      <w:pPr>
        <w:jc w:val="center"/>
        <w:rPr>
          <w:rFonts w:ascii="宋体" w:hAnsi="宋体" w:cs="宋体"/>
          <w:b/>
          <w:sz w:val="40"/>
          <w:szCs w:val="44"/>
          <w:u w:val="single"/>
        </w:rPr>
      </w:pPr>
      <w:r>
        <w:rPr>
          <w:rFonts w:hint="eastAsia" w:ascii="宋体" w:hAnsi="宋体" w:cs="宋体"/>
          <w:b/>
          <w:sz w:val="40"/>
          <w:szCs w:val="44"/>
          <w:u w:val="single"/>
        </w:rPr>
        <w:t>重庆通力高速公路养护工程有限公司</w:t>
      </w:r>
    </w:p>
    <w:p>
      <w:pPr>
        <w:jc w:val="center"/>
        <w:rPr>
          <w:rFonts w:ascii="宋体" w:hAnsi="宋体" w:cs="宋体"/>
          <w:b/>
          <w:sz w:val="40"/>
          <w:szCs w:val="44"/>
          <w:u w:val="single"/>
        </w:rPr>
      </w:pPr>
      <w:r>
        <w:rPr>
          <w:rFonts w:hint="eastAsia" w:ascii="宋体" w:hAnsi="宋体" w:cs="宋体"/>
          <w:b/>
          <w:sz w:val="40"/>
          <w:szCs w:val="44"/>
          <w:u w:val="single"/>
          <w:lang w:eastAsia="zh-CN"/>
        </w:rPr>
        <w:t>G75巴南服务区改造工程</w:t>
      </w:r>
      <w:r>
        <w:rPr>
          <w:rFonts w:hint="eastAsia" w:ascii="宋体" w:hAnsi="宋体" w:cs="宋体"/>
          <w:b/>
          <w:sz w:val="40"/>
          <w:szCs w:val="44"/>
          <w:u w:val="single"/>
        </w:rPr>
        <w:t>商品混凝土采购</w:t>
      </w:r>
    </w:p>
    <w:p>
      <w:pPr>
        <w:jc w:val="center"/>
        <w:rPr>
          <w:rFonts w:ascii="宋体" w:hAnsi="宋体" w:cs="宋体"/>
          <w:b/>
          <w:sz w:val="40"/>
          <w:szCs w:val="44"/>
        </w:rPr>
      </w:pPr>
      <w:r>
        <w:rPr>
          <w:rFonts w:hint="eastAsia" w:ascii="宋体" w:hAnsi="宋体" w:cs="宋体"/>
          <w:b/>
          <w:sz w:val="40"/>
          <w:szCs w:val="44"/>
          <w:u w:val="single"/>
        </w:rPr>
        <w:t>比选申请文件</w:t>
      </w: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u w:val="single"/>
        </w:rPr>
      </w:pPr>
      <w:r>
        <w:rPr>
          <w:rFonts w:hint="eastAsia" w:ascii="宋体" w:hAnsi="宋体" w:cs="宋体"/>
          <w:sz w:val="32"/>
          <w:szCs w:val="32"/>
          <w:u w:val="single"/>
        </w:rPr>
        <w:t>比选申请单位名称全称（盖单位公章）</w:t>
      </w:r>
    </w:p>
    <w:p>
      <w:pPr>
        <w:jc w:val="center"/>
        <w:rPr>
          <w:rFonts w:ascii="宋体" w:hAnsi="宋体" w:cs="宋体"/>
          <w:sz w:val="32"/>
          <w:szCs w:val="32"/>
          <w:u w:val="single"/>
        </w:rPr>
      </w:pPr>
    </w:p>
    <w:p>
      <w:pPr>
        <w:pStyle w:val="10"/>
        <w:rPr>
          <w:color w:val="auto"/>
        </w:rPr>
      </w:pPr>
    </w:p>
    <w:p>
      <w:pPr>
        <w:pStyle w:val="10"/>
        <w:rPr>
          <w:color w:val="auto"/>
        </w:rPr>
      </w:pPr>
    </w:p>
    <w:p>
      <w:pPr>
        <w:tabs>
          <w:tab w:val="left" w:pos="900"/>
          <w:tab w:val="left" w:pos="1080"/>
        </w:tabs>
        <w:spacing w:line="300" w:lineRule="auto"/>
        <w:jc w:val="center"/>
        <w:outlineLvl w:val="0"/>
        <w:rPr>
          <w:rFonts w:ascii="Arial" w:hAnsi="Arial" w:cs="Arial"/>
          <w:b/>
          <w:sz w:val="24"/>
        </w:rPr>
      </w:pPr>
      <w:r>
        <w:rPr>
          <w:rFonts w:hint="eastAsia" w:ascii="Arial" w:hAnsi="Arial" w:cs="Arial"/>
          <w:b/>
          <w:sz w:val="24"/>
        </w:rPr>
        <w:t>目  录</w:t>
      </w: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60" w:lineRule="auto"/>
        <w:outlineLvl w:val="0"/>
        <w:rPr>
          <w:szCs w:val="21"/>
        </w:rPr>
      </w:pPr>
      <w:r>
        <w:rPr>
          <w:rFonts w:hint="eastAsia"/>
          <w:szCs w:val="21"/>
        </w:rPr>
        <w:t>一、报价书</w:t>
      </w:r>
    </w:p>
    <w:p>
      <w:pPr>
        <w:tabs>
          <w:tab w:val="left" w:pos="900"/>
          <w:tab w:val="left" w:pos="1080"/>
        </w:tabs>
        <w:spacing w:line="360" w:lineRule="auto"/>
        <w:outlineLvl w:val="0"/>
        <w:rPr>
          <w:szCs w:val="21"/>
        </w:rPr>
      </w:pPr>
      <w:r>
        <w:rPr>
          <w:rFonts w:hint="eastAsia"/>
          <w:szCs w:val="21"/>
        </w:rPr>
        <w:t>二、法定代表人身份证明及授权委托书</w:t>
      </w:r>
    </w:p>
    <w:p>
      <w:pPr>
        <w:tabs>
          <w:tab w:val="left" w:pos="900"/>
          <w:tab w:val="left" w:pos="1080"/>
        </w:tabs>
        <w:spacing w:line="360" w:lineRule="auto"/>
        <w:outlineLvl w:val="0"/>
        <w:rPr>
          <w:szCs w:val="21"/>
        </w:rPr>
      </w:pPr>
      <w:r>
        <w:rPr>
          <w:rFonts w:hint="eastAsia"/>
          <w:szCs w:val="21"/>
        </w:rPr>
        <w:t>三、比选申请单位有效的营业执照</w:t>
      </w:r>
    </w:p>
    <w:p>
      <w:pPr>
        <w:tabs>
          <w:tab w:val="left" w:pos="900"/>
          <w:tab w:val="left" w:pos="1080"/>
        </w:tabs>
        <w:spacing w:line="360" w:lineRule="auto"/>
        <w:outlineLvl w:val="0"/>
        <w:rPr>
          <w:szCs w:val="21"/>
        </w:rPr>
      </w:pPr>
      <w:r>
        <w:rPr>
          <w:rFonts w:hint="eastAsia"/>
          <w:szCs w:val="21"/>
        </w:rPr>
        <w:t>四、比选申请单位自行承诺部分</w:t>
      </w:r>
    </w:p>
    <w:p>
      <w:pPr>
        <w:tabs>
          <w:tab w:val="left" w:pos="900"/>
          <w:tab w:val="left" w:pos="1080"/>
        </w:tabs>
        <w:spacing w:line="360" w:lineRule="auto"/>
        <w:outlineLvl w:val="0"/>
        <w:rPr>
          <w:szCs w:val="21"/>
        </w:rPr>
      </w:pPr>
      <w:r>
        <w:rPr>
          <w:rFonts w:hint="eastAsia"/>
          <w:szCs w:val="21"/>
        </w:rPr>
        <w:t>五、已标价报价清单</w:t>
      </w:r>
    </w:p>
    <w:p>
      <w:pPr>
        <w:tabs>
          <w:tab w:val="left" w:pos="900"/>
          <w:tab w:val="left" w:pos="1080"/>
        </w:tabs>
        <w:spacing w:line="300" w:lineRule="auto"/>
        <w:jc w:val="center"/>
        <w:outlineLvl w:val="0"/>
        <w:rPr>
          <w:rFonts w:ascii="宋体" w:hAnsi="宋体" w:cs="宋体"/>
          <w:b/>
          <w:sz w:val="24"/>
        </w:rPr>
      </w:pPr>
    </w:p>
    <w:p>
      <w:pPr>
        <w:pStyle w:val="10"/>
        <w:rPr>
          <w:color w:val="auto"/>
        </w:rPr>
      </w:pPr>
    </w:p>
    <w:p>
      <w:pPr>
        <w:pStyle w:val="10"/>
        <w:rPr>
          <w:color w:val="auto"/>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pStyle w:val="10"/>
        <w:rPr>
          <w:color w:val="auto"/>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pStyle w:val="10"/>
        <w:rPr>
          <w:color w:val="auto"/>
        </w:rPr>
      </w:pPr>
    </w:p>
    <w:p>
      <w:pPr>
        <w:pStyle w:val="10"/>
        <w:rPr>
          <w:color w:val="auto"/>
        </w:rPr>
      </w:pPr>
    </w:p>
    <w:p>
      <w:pPr>
        <w:pStyle w:val="10"/>
        <w:rPr>
          <w:color w:val="auto"/>
        </w:rPr>
      </w:pPr>
    </w:p>
    <w:p>
      <w:pPr>
        <w:spacing w:line="440" w:lineRule="exact"/>
        <w:outlineLvl w:val="1"/>
        <w:rPr>
          <w:rFonts w:ascii="宋体" w:hAnsi="宋体" w:cs="宋体"/>
          <w:b/>
        </w:rPr>
      </w:pPr>
    </w:p>
    <w:p>
      <w:pPr>
        <w:jc w:val="center"/>
        <w:outlineLvl w:val="2"/>
        <w:rPr>
          <w:rFonts w:ascii="宋体" w:hAnsi="宋体" w:cs="宋体"/>
          <w:b/>
          <w:sz w:val="28"/>
          <w:szCs w:val="28"/>
        </w:rPr>
      </w:pPr>
      <w:bookmarkStart w:id="32" w:name="_Toc265510122"/>
      <w:r>
        <w:rPr>
          <w:rFonts w:hint="eastAsia" w:ascii="宋体" w:hAnsi="宋体" w:cs="宋体"/>
          <w:b/>
          <w:sz w:val="28"/>
          <w:szCs w:val="28"/>
        </w:rPr>
        <w:t>一、报价书</w:t>
      </w:r>
      <w:bookmarkEnd w:id="32"/>
    </w:p>
    <w:p>
      <w:pPr>
        <w:spacing w:line="440" w:lineRule="exact"/>
        <w:rPr>
          <w:szCs w:val="21"/>
        </w:rPr>
      </w:pPr>
      <w:r>
        <w:rPr>
          <w:rFonts w:hint="eastAsia" w:ascii="宋体" w:hAnsi="宋体"/>
          <w:b/>
          <w:u w:val="single"/>
        </w:rPr>
        <w:t>致：重庆通力高速公路养护工程有限公司</w:t>
      </w:r>
    </w:p>
    <w:p>
      <w:pPr>
        <w:spacing w:line="440" w:lineRule="exact"/>
        <w:ind w:firstLine="420" w:firstLineChars="200"/>
        <w:rPr>
          <w:szCs w:val="21"/>
        </w:rPr>
      </w:pPr>
      <w:r>
        <w:rPr>
          <w:szCs w:val="21"/>
        </w:rPr>
        <w:t>1．我方已仔细研究了</w:t>
      </w:r>
      <w:r>
        <w:rPr>
          <w:rFonts w:hint="eastAsia" w:ascii="宋体" w:hAnsi="宋体"/>
          <w:b/>
          <w:u w:val="single"/>
        </w:rPr>
        <w:t>重庆通力高速公路养护工程有限公司</w:t>
      </w:r>
      <w:r>
        <w:rPr>
          <w:rFonts w:hint="eastAsia" w:ascii="宋体" w:hAnsi="宋体"/>
          <w:b/>
          <w:u w:val="single"/>
          <w:lang w:eastAsia="zh-CN"/>
        </w:rPr>
        <w:t>G75巴南服务区改造工程</w:t>
      </w:r>
      <w:r>
        <w:rPr>
          <w:rFonts w:hint="eastAsia" w:ascii="宋体" w:hAnsi="宋体"/>
          <w:b/>
          <w:u w:val="single"/>
        </w:rPr>
        <w:t>商品混凝土采购</w:t>
      </w:r>
      <w:r>
        <w:rPr>
          <w:rFonts w:hint="eastAsia"/>
          <w:szCs w:val="21"/>
        </w:rPr>
        <w:t>竞争性比选</w:t>
      </w:r>
      <w:r>
        <w:rPr>
          <w:szCs w:val="21"/>
        </w:rPr>
        <w:t>文件的全部内容，</w:t>
      </w:r>
      <w:r>
        <w:rPr>
          <w:rFonts w:hint="eastAsia"/>
          <w:szCs w:val="21"/>
        </w:rPr>
        <w:t>根据相关取费标准，愿意以总报价（大写）</w:t>
      </w:r>
      <w:r>
        <w:rPr>
          <w:rFonts w:hint="eastAsia"/>
          <w:szCs w:val="21"/>
          <w:u w:val="single"/>
        </w:rPr>
        <w:t xml:space="preserve">     </w:t>
      </w:r>
      <w:r>
        <w:rPr>
          <w:rFonts w:hint="eastAsia"/>
          <w:szCs w:val="21"/>
        </w:rPr>
        <w:t>（¥</w:t>
      </w:r>
      <w:r>
        <w:rPr>
          <w:rFonts w:hint="eastAsia"/>
          <w:szCs w:val="21"/>
          <w:u w:val="single"/>
        </w:rPr>
        <w:t xml:space="preserve">    </w:t>
      </w:r>
      <w:r>
        <w:rPr>
          <w:rFonts w:hint="eastAsia"/>
          <w:szCs w:val="21"/>
        </w:rPr>
        <w:t>），并按</w:t>
      </w:r>
      <w:r>
        <w:rPr>
          <w:szCs w:val="21"/>
        </w:rPr>
        <w:t>约定实施。</w:t>
      </w:r>
    </w:p>
    <w:p>
      <w:pPr>
        <w:spacing w:line="440" w:lineRule="exact"/>
        <w:ind w:firstLine="420" w:firstLineChars="200"/>
        <w:rPr>
          <w:szCs w:val="21"/>
        </w:rPr>
      </w:pPr>
      <w:r>
        <w:rPr>
          <w:szCs w:val="21"/>
        </w:rPr>
        <w:t>2．我方承诺在投标有效期内不修改、撤销</w:t>
      </w:r>
      <w:r>
        <w:rPr>
          <w:rFonts w:hint="eastAsia"/>
          <w:szCs w:val="21"/>
        </w:rPr>
        <w:t>比选申请文件</w:t>
      </w:r>
      <w:r>
        <w:rPr>
          <w:szCs w:val="21"/>
        </w:rPr>
        <w:t>。</w:t>
      </w:r>
    </w:p>
    <w:p>
      <w:pPr>
        <w:spacing w:line="440" w:lineRule="exact"/>
        <w:ind w:firstLine="420" w:firstLineChars="200"/>
        <w:rPr>
          <w:szCs w:val="21"/>
        </w:rPr>
      </w:pPr>
      <w:r>
        <w:rPr>
          <w:szCs w:val="21"/>
        </w:rPr>
        <w:t>3．</w:t>
      </w:r>
      <w:r>
        <w:rPr>
          <w:rFonts w:hint="eastAsia"/>
        </w:rPr>
        <w:t>我方在此声明，所递交的比选申请文件及有关资料内容完整、真实和准确。</w:t>
      </w:r>
    </w:p>
    <w:p>
      <w:pPr>
        <w:spacing w:line="440" w:lineRule="exact"/>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ind w:firstLine="3675" w:firstLineChars="1750"/>
        <w:rPr>
          <w:szCs w:val="21"/>
        </w:rPr>
      </w:pPr>
      <w:r>
        <w:rPr>
          <w:rFonts w:hint="eastAsia"/>
          <w:szCs w:val="21"/>
        </w:rPr>
        <w:t>竞</w:t>
      </w:r>
      <w:r>
        <w:rPr>
          <w:szCs w:val="21"/>
        </w:rPr>
        <w:t xml:space="preserve"> 标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szCs w:val="21"/>
        </w:rPr>
      </w:pPr>
      <w:r>
        <w:rPr>
          <w:szCs w:val="21"/>
        </w:rPr>
        <w:t>电话：</w:t>
      </w:r>
      <w:r>
        <w:rPr>
          <w:szCs w:val="21"/>
          <w:u w:val="single"/>
        </w:rPr>
        <w:t xml:space="preserve">                                     </w:t>
      </w:r>
    </w:p>
    <w:p>
      <w:pPr>
        <w:spacing w:line="440" w:lineRule="exact"/>
        <w:ind w:firstLine="3675" w:firstLineChars="1750"/>
        <w:rPr>
          <w:szCs w:val="21"/>
        </w:rPr>
      </w:pPr>
      <w:r>
        <w:rPr>
          <w:szCs w:val="21"/>
        </w:rPr>
        <w:t>传真：</w:t>
      </w:r>
      <w:r>
        <w:rPr>
          <w:szCs w:val="21"/>
          <w:u w:val="single"/>
        </w:rPr>
        <w:t xml:space="preserve">                                     </w:t>
      </w:r>
    </w:p>
    <w:p>
      <w:pPr>
        <w:spacing w:line="440" w:lineRule="exact"/>
        <w:ind w:firstLine="3675" w:firstLineChars="1750"/>
        <w:rPr>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pStyle w:val="10"/>
        <w:rPr>
          <w:color w:val="auto"/>
        </w:rPr>
      </w:pPr>
    </w:p>
    <w:p>
      <w:pPr>
        <w:pStyle w:val="10"/>
        <w:rPr>
          <w:rFonts w:ascii="宋体" w:hAnsi="宋体" w:cs="宋体"/>
          <w:b/>
          <w:color w:val="auto"/>
        </w:rPr>
      </w:pPr>
    </w:p>
    <w:p>
      <w:pPr>
        <w:pStyle w:val="10"/>
        <w:rPr>
          <w:rFonts w:ascii="宋体" w:hAnsi="宋体" w:cs="宋体"/>
          <w:b/>
          <w:color w:val="auto"/>
        </w:rPr>
      </w:pPr>
    </w:p>
    <w:p>
      <w:pPr>
        <w:pStyle w:val="10"/>
        <w:rPr>
          <w:rFonts w:ascii="宋体" w:hAnsi="宋体" w:cs="宋体"/>
          <w:b/>
          <w:color w:val="auto"/>
        </w:rPr>
      </w:pPr>
    </w:p>
    <w:p>
      <w:pPr>
        <w:pStyle w:val="10"/>
        <w:rPr>
          <w:rFonts w:ascii="宋体" w:hAnsi="宋体" w:cs="宋体"/>
          <w:b/>
          <w:color w:val="auto"/>
        </w:rPr>
      </w:pPr>
    </w:p>
    <w:p>
      <w:pPr>
        <w:spacing w:line="440" w:lineRule="exact"/>
        <w:ind w:firstLine="2670" w:firstLineChars="950"/>
        <w:outlineLvl w:val="1"/>
        <w:rPr>
          <w:rFonts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ascii="宋体" w:hAnsi="宋体" w:cs="宋体"/>
          <w:sz w:val="20"/>
        </w:rPr>
      </w:pPr>
    </w:p>
    <w:p>
      <w:pPr>
        <w:topLinePunct/>
        <w:spacing w:line="440" w:lineRule="exact"/>
        <w:ind w:firstLine="422" w:firstLineChars="200"/>
        <w:jc w:val="center"/>
        <w:outlineLvl w:val="2"/>
        <w:rPr>
          <w:b/>
          <w:szCs w:val="21"/>
        </w:rPr>
      </w:pPr>
      <w:bookmarkStart w:id="33" w:name="_Toc262547328"/>
      <w:r>
        <w:rPr>
          <w:rFonts w:hint="eastAsia"/>
          <w:b/>
          <w:szCs w:val="21"/>
        </w:rPr>
        <w:t>（一）法定代表人身份证明</w:t>
      </w:r>
      <w:bookmarkEnd w:id="33"/>
    </w:p>
    <w:p>
      <w:pPr>
        <w:spacing w:line="440" w:lineRule="exact"/>
        <w:rPr>
          <w:szCs w:val="21"/>
        </w:rPr>
      </w:pPr>
      <w:r>
        <w:rPr>
          <w:rFonts w:hint="eastAsia"/>
          <w:szCs w:val="21"/>
        </w:rPr>
        <w:t>比选申请人名称：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单位性质：</w:t>
      </w:r>
      <w:r>
        <w:rPr>
          <w:szCs w:val="21"/>
          <w:u w:val="single"/>
        </w:rPr>
        <w:t xml:space="preserve">                               </w:t>
      </w:r>
      <w:r>
        <w:rPr>
          <w:szCs w:val="21"/>
        </w:rPr>
        <w:t xml:space="preserve"> </w:t>
      </w:r>
    </w:p>
    <w:p>
      <w:pPr>
        <w:spacing w:line="440" w:lineRule="exact"/>
        <w:rPr>
          <w:szCs w:val="21"/>
        </w:rPr>
      </w:pPr>
      <w:r>
        <w:rPr>
          <w:rFonts w:hint="eastAsia"/>
          <w:szCs w:val="21"/>
        </w:rPr>
        <w:t>地址：</w:t>
      </w:r>
      <w:r>
        <w:rPr>
          <w:szCs w:val="21"/>
          <w:u w:val="single"/>
        </w:rPr>
        <w:t xml:space="preserve">                                   </w:t>
      </w:r>
    </w:p>
    <w:p>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rPr>
          <w:szCs w:val="21"/>
        </w:rPr>
      </w:pPr>
      <w:r>
        <w:rPr>
          <w:rFonts w:hint="eastAsia"/>
          <w:szCs w:val="21"/>
        </w:rPr>
        <w:t>经营期限：</w:t>
      </w:r>
      <w:r>
        <w:rPr>
          <w:szCs w:val="21"/>
          <w:u w:val="single"/>
        </w:rPr>
        <w:t xml:space="preserve">                               </w:t>
      </w:r>
    </w:p>
    <w:p>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（法人手签）</w:t>
      </w:r>
      <w:r>
        <w:rPr>
          <w:szCs w:val="21"/>
        </w:rPr>
        <w:t xml:space="preserve"> </w:t>
      </w:r>
      <w:r>
        <w:rPr>
          <w:rFonts w:hint="eastAsia"/>
          <w:szCs w:val="21"/>
        </w:rPr>
        <w:t>性别：</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rPr>
        <w:t>职务：</w:t>
      </w:r>
      <w:r>
        <w:rPr>
          <w:szCs w:val="21"/>
          <w:u w:val="single"/>
        </w:rPr>
        <w:t xml:space="preserve">        </w:t>
      </w:r>
    </w:p>
    <w:p>
      <w:pPr>
        <w:spacing w:line="440" w:lineRule="exact"/>
        <w:rPr>
          <w:szCs w:val="21"/>
        </w:rPr>
      </w:pPr>
      <w:r>
        <w:rPr>
          <w:rFonts w:hint="eastAsia"/>
          <w:szCs w:val="21"/>
        </w:rPr>
        <w:t>系</w:t>
      </w:r>
      <w:r>
        <w:rPr>
          <w:szCs w:val="21"/>
          <w:u w:val="single"/>
        </w:rPr>
        <w:t xml:space="preserve">                             </w:t>
      </w:r>
      <w:r>
        <w:rPr>
          <w:szCs w:val="21"/>
        </w:rPr>
        <w:t xml:space="preserve"> </w:t>
      </w:r>
      <w:r>
        <w:rPr>
          <w:rFonts w:hint="eastAsia"/>
          <w:szCs w:val="21"/>
        </w:rPr>
        <w:t>（比选申请人名称）的法定代表人。</w:t>
      </w:r>
    </w:p>
    <w:p>
      <w:pPr>
        <w:spacing w:line="440" w:lineRule="exact"/>
        <w:ind w:firstLine="420" w:firstLineChars="20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r>
        <w:rPr>
          <w:rFonts w:hint="eastAsia" w:ascii="宋体" w:hAnsi="宋体"/>
          <w:szCs w:val="21"/>
        </w:rPr>
        <w:t>注：法定代表人的签字必须是亲笔签名，不得用印章、签名章或其他电子制版签名。</w:t>
      </w:r>
    </w:p>
    <w:p>
      <w:pPr>
        <w:topLinePunct/>
        <w:spacing w:line="440" w:lineRule="exact"/>
        <w:ind w:firstLine="400" w:firstLineChars="200"/>
        <w:jc w:val="center"/>
        <w:outlineLvl w:val="2"/>
        <w:rPr>
          <w:rFonts w:ascii="宋体" w:hAnsi="宋体" w:cs="宋体"/>
          <w:b/>
          <w:szCs w:val="21"/>
        </w:rPr>
      </w:pPr>
      <w:r>
        <w:rPr>
          <w:rFonts w:hint="eastAsia" w:ascii="宋体" w:hAnsi="宋体" w:cs="宋体"/>
          <w:sz w:val="20"/>
        </w:rPr>
        <w:br w:type="page"/>
      </w:r>
      <w:bookmarkStart w:id="34" w:name="_Toc262547329"/>
      <w:r>
        <w:rPr>
          <w:rFonts w:hint="eastAsia" w:ascii="宋体" w:hAnsi="宋体" w:cs="宋体"/>
          <w:b/>
          <w:szCs w:val="21"/>
        </w:rPr>
        <w:t>（二）授权委托书</w:t>
      </w:r>
      <w:bookmarkEnd w:id="34"/>
      <w:r>
        <w:rPr>
          <w:rFonts w:hint="eastAsia" w:ascii="宋体" w:hAnsi="宋体" w:cs="宋体"/>
          <w:b/>
          <w:szCs w:val="21"/>
        </w:rPr>
        <w:t xml:space="preserve"> </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（比选申请人名称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rPr>
        <w:t>（姓名）为我方代理人。代理人根据授权，以我方名义签署、澄清、说明、补正、递交、撤回、修改</w:t>
      </w:r>
      <w:r>
        <w:rPr>
          <w:rFonts w:hint="eastAsia" w:ascii="宋体" w:hAnsi="宋体"/>
          <w:b/>
          <w:u w:val="single"/>
        </w:rPr>
        <w:t>重庆通力高速公路养护工程有限公司</w:t>
      </w:r>
      <w:r>
        <w:rPr>
          <w:rFonts w:hint="eastAsia" w:ascii="宋体" w:hAnsi="宋体"/>
          <w:b/>
          <w:u w:val="single"/>
          <w:lang w:eastAsia="zh-CN"/>
        </w:rPr>
        <w:t>G75巴南服务区改造工程</w:t>
      </w:r>
      <w:r>
        <w:rPr>
          <w:rFonts w:hint="eastAsia" w:ascii="宋体" w:hAnsi="宋体"/>
          <w:b/>
          <w:u w:val="single"/>
        </w:rPr>
        <w:t>商品混凝土采购</w:t>
      </w:r>
      <w:r>
        <w:rPr>
          <w:rFonts w:hint="eastAsia" w:ascii="宋体" w:hAnsi="宋体" w:cs="宋体"/>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附：法定代表人及授权委托人身份证明。</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hint="eastAsia" w:ascii="宋体" w:hAnsi="宋体" w:cs="宋体"/>
          <w:kern w:val="0"/>
          <w:szCs w:val="21"/>
        </w:rPr>
        <w:t>比选申请人：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ascii="宋体" w:hAnsi="宋体" w:cs="宋体"/>
          <w:kern w:val="0"/>
        </w:rPr>
      </w:pPr>
    </w:p>
    <w:p>
      <w:pPr>
        <w:rPr>
          <w:rFonts w:ascii="宋体" w:hAnsi="宋体" w:cs="宋体"/>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600" w:lineRule="exact"/>
        <w:rPr>
          <w:rFonts w:ascii="宋体" w:hAnsi="宋体" w:cs="宋体"/>
          <w:sz w:val="28"/>
          <w:szCs w:val="28"/>
        </w:rPr>
      </w:pPr>
    </w:p>
    <w:p>
      <w:pPr>
        <w:spacing w:line="600" w:lineRule="exact"/>
        <w:rPr>
          <w:rFonts w:ascii="宋体" w:hAnsi="宋体" w:cs="宋体"/>
          <w:sz w:val="28"/>
          <w:szCs w:val="28"/>
        </w:rPr>
      </w:pPr>
    </w:p>
    <w:p>
      <w:pPr>
        <w:pStyle w:val="10"/>
        <w:rPr>
          <w:color w:val="auto"/>
        </w:rPr>
      </w:pPr>
    </w:p>
    <w:p>
      <w:pPr>
        <w:tabs>
          <w:tab w:val="left" w:pos="900"/>
          <w:tab w:val="left" w:pos="1080"/>
        </w:tabs>
        <w:spacing w:line="300" w:lineRule="auto"/>
        <w:jc w:val="center"/>
        <w:outlineLvl w:val="0"/>
        <w:rPr>
          <w:rFonts w:ascii="宋体" w:hAnsi="宋体" w:cs="宋体"/>
          <w:b/>
          <w:sz w:val="28"/>
          <w:szCs w:val="28"/>
        </w:rPr>
        <w:sectPr>
          <w:pgSz w:w="11906" w:h="16838"/>
          <w:pgMar w:top="1418" w:right="991" w:bottom="1418" w:left="1361" w:header="851" w:footer="992" w:gutter="0"/>
          <w:cols w:space="720" w:num="1"/>
          <w:docGrid w:type="lines" w:linePitch="312" w:charSpace="0"/>
        </w:sectPr>
      </w:pPr>
      <w:r>
        <w:rPr>
          <w:rFonts w:hint="eastAsia" w:ascii="宋体" w:hAnsi="宋体" w:cs="宋体"/>
          <w:b/>
          <w:sz w:val="28"/>
          <w:szCs w:val="28"/>
        </w:rPr>
        <w:t>三、比选申请单位有效的营业执照</w:t>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四、比选申请单位自行承诺部分</w:t>
      </w:r>
    </w:p>
    <w:p>
      <w:pPr>
        <w:pStyle w:val="6"/>
        <w:rPr>
          <w:rFonts w:ascii="宋体" w:hAnsi="宋体" w:cs="宋体"/>
          <w:b w:val="0"/>
          <w:sz w:val="28"/>
          <w:szCs w:val="28"/>
        </w:rPr>
      </w:pPr>
    </w:p>
    <w:p>
      <w:pPr>
        <w:spacing w:line="440" w:lineRule="exact"/>
        <w:rPr>
          <w:szCs w:val="21"/>
        </w:rPr>
      </w:pPr>
      <w:r>
        <w:rPr>
          <w:rFonts w:hint="eastAsia"/>
          <w:szCs w:val="21"/>
        </w:rPr>
        <w:t>重庆通力高速公路养护工程有限公司：</w:t>
      </w:r>
    </w:p>
    <w:p>
      <w:pPr>
        <w:spacing w:line="440" w:lineRule="exact"/>
        <w:ind w:firstLine="630" w:firstLineChars="300"/>
        <w:rPr>
          <w:szCs w:val="21"/>
        </w:rPr>
      </w:pPr>
      <w:r>
        <w:rPr>
          <w:rFonts w:hint="eastAsia"/>
          <w:szCs w:val="21"/>
        </w:rPr>
        <w:t>我司承诺本次报价的所有资料均为真实材料。且在“信用中国”网站（http://www.creditchina.gov.cn/）中未被列入失信被执行人名单（黑名单）。</w:t>
      </w:r>
    </w:p>
    <w:p>
      <w:pPr>
        <w:spacing w:line="440" w:lineRule="exact"/>
        <w:ind w:firstLine="420" w:firstLineChars="200"/>
        <w:rPr>
          <w:szCs w:val="21"/>
        </w:rPr>
      </w:pPr>
      <w:r>
        <w:rPr>
          <w:rFonts w:hint="eastAsia"/>
          <w:szCs w:val="21"/>
        </w:rPr>
        <w:t>我司将按照竞争性比选文件提供合格的材料。若违背竞争性比选文件及合同要求，我司将按照约定接受处罚。</w:t>
      </w:r>
    </w:p>
    <w:p>
      <w:pPr>
        <w:pStyle w:val="10"/>
        <w:rPr>
          <w:rFonts w:ascii="宋体" w:hAnsi="宋体" w:cs="宋体"/>
          <w:b/>
          <w:color w:val="auto"/>
          <w:sz w:val="28"/>
          <w:szCs w:val="28"/>
        </w:rPr>
      </w:pPr>
    </w:p>
    <w:p>
      <w:pPr>
        <w:spacing w:line="440" w:lineRule="exact"/>
        <w:ind w:firstLine="3990" w:firstLineChars="1900"/>
        <w:jc w:val="right"/>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pPr>
        <w:pStyle w:val="10"/>
        <w:rPr>
          <w:color w:val="auto"/>
          <w:szCs w:val="21"/>
        </w:rPr>
      </w:pPr>
      <w:r>
        <w:rPr>
          <w:color w:val="auto"/>
          <w:szCs w:val="21"/>
        </w:rPr>
        <w:t xml:space="preserve">                                 </w:t>
      </w:r>
      <w:r>
        <w:rPr>
          <w:rFonts w:hint="eastAsia"/>
          <w:color w:val="auto"/>
          <w:szCs w:val="21"/>
        </w:rPr>
        <w:t xml:space="preserve">   </w:t>
      </w:r>
      <w:r>
        <w:rPr>
          <w:color w:val="auto"/>
          <w:szCs w:val="21"/>
        </w:rPr>
        <w:t xml:space="preserve"> </w:t>
      </w:r>
    </w:p>
    <w:p>
      <w:pPr>
        <w:pStyle w:val="10"/>
        <w:jc w:val="right"/>
        <w:rPr>
          <w:rFonts w:ascii="宋体" w:hAnsi="宋体" w:eastAsia="宋体" w:cs="宋体"/>
          <w:color w:val="auto"/>
          <w:szCs w:val="21"/>
        </w:rPr>
      </w:pPr>
      <w:r>
        <w:rPr>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pStyle w:val="10"/>
        <w:jc w:val="right"/>
        <w:rPr>
          <w:rFonts w:ascii="宋体" w:hAnsi="宋体" w:eastAsia="宋体" w:cs="宋体"/>
          <w:color w:val="auto"/>
          <w:szCs w:val="21"/>
        </w:rPr>
      </w:pPr>
    </w:p>
    <w:p>
      <w:pPr>
        <w:pStyle w:val="10"/>
        <w:jc w:val="right"/>
        <w:rPr>
          <w:rFonts w:ascii="宋体" w:hAnsi="宋体" w:eastAsia="宋体" w:cs="宋体"/>
          <w:color w:val="auto"/>
          <w:szCs w:val="21"/>
        </w:rPr>
      </w:pPr>
    </w:p>
    <w:p>
      <w:pPr>
        <w:spacing w:line="440" w:lineRule="exact"/>
        <w:ind w:firstLine="420" w:firstLineChars="200"/>
        <w:rPr>
          <w:szCs w:val="21"/>
        </w:rPr>
        <w:sectPr>
          <w:pgSz w:w="11906" w:h="16838"/>
          <w:pgMar w:top="1418" w:right="1361" w:bottom="1418" w:left="1361" w:header="851" w:footer="992" w:gutter="0"/>
          <w:cols w:space="720" w:num="1"/>
          <w:docGrid w:type="lines" w:linePitch="312" w:charSpace="0"/>
        </w:sectPr>
      </w:pPr>
      <w:bookmarkStart w:id="35" w:name="_Hlk45640489"/>
      <w:r>
        <w:rPr>
          <w:rFonts w:hint="eastAsia"/>
          <w:szCs w:val="21"/>
        </w:rPr>
        <w:drawing>
          <wp:anchor distT="0" distB="0" distL="114300" distR="114300" simplePos="0" relativeHeight="251659264" behindDoc="0" locked="0" layoutInCell="1" allowOverlap="1">
            <wp:simplePos x="0" y="0"/>
            <wp:positionH relativeFrom="column">
              <wp:posOffset>0</wp:posOffset>
            </wp:positionH>
            <wp:positionV relativeFrom="paragraph">
              <wp:posOffset>1089660</wp:posOffset>
            </wp:positionV>
            <wp:extent cx="5486400" cy="2545715"/>
            <wp:effectExtent l="0" t="0" r="0" b="698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486400" cy="2545715"/>
                    </a:xfrm>
                    <a:prstGeom prst="rect">
                      <a:avLst/>
                    </a:prstGeom>
                    <a:noFill/>
                    <a:ln>
                      <a:noFill/>
                    </a:ln>
                  </pic:spPr>
                </pic:pic>
              </a:graphicData>
            </a:graphic>
          </wp:anchor>
        </w:drawing>
      </w:r>
      <w:r>
        <w:rPr>
          <w:rFonts w:hint="eastAsia"/>
          <w:szCs w:val="21"/>
        </w:rPr>
        <w:t>注“比选申请人的信誉承诺”应附比选申请人在“信用中国”网站（http://www.creditchina.gov.cn/）中未被列入失信被惩戒对象的网页截图复印件；在“信用中国”网站（http://www.creditchina.gov.cn/)中</w:t>
      </w:r>
      <w:bookmarkStart w:id="36" w:name="_Hlk45640316"/>
      <w:r>
        <w:rPr>
          <w:rFonts w:hint="eastAsia"/>
          <w:szCs w:val="21"/>
        </w:rPr>
        <w:t>未被列入失信被惩戒</w:t>
      </w:r>
      <w:bookmarkEnd w:id="36"/>
      <w:r>
        <w:rPr>
          <w:rFonts w:hint="eastAsia"/>
          <w:szCs w:val="21"/>
        </w:rPr>
        <w:t>对象由投标人自行截图证明，示例如下：</w:t>
      </w:r>
      <w:bookmarkEnd w:id="35"/>
    </w:p>
    <w:p>
      <w:pPr>
        <w:pStyle w:val="10"/>
        <w:jc w:val="center"/>
        <w:rPr>
          <w:rFonts w:ascii="宋体" w:hAnsi="宋体" w:cs="宋体"/>
          <w:b/>
          <w:sz w:val="28"/>
          <w:szCs w:val="28"/>
        </w:rPr>
      </w:pPr>
      <w:r>
        <w:rPr>
          <w:rFonts w:hint="eastAsia" w:ascii="宋体" w:hAnsi="宋体" w:cs="宋体"/>
          <w:b/>
          <w:sz w:val="28"/>
          <w:szCs w:val="28"/>
        </w:rPr>
        <w:t>五、已标价报价清单</w:t>
      </w:r>
    </w:p>
    <w:p>
      <w:pPr>
        <w:spacing w:line="360" w:lineRule="auto"/>
        <w:jc w:val="center"/>
        <w:textAlignment w:val="baseline"/>
        <w:rPr>
          <w:sz w:val="24"/>
          <w:szCs w:val="24"/>
        </w:rPr>
      </w:pPr>
      <w:r>
        <w:rPr>
          <w:rFonts w:hint="eastAsia"/>
          <w:szCs w:val="21"/>
        </w:rPr>
        <w:t>货币单位：人民币  元</w:t>
      </w:r>
    </w:p>
    <w:tbl>
      <w:tblPr>
        <w:tblStyle w:val="7"/>
        <w:tblW w:w="11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9"/>
        <w:gridCol w:w="1038"/>
        <w:gridCol w:w="582"/>
        <w:gridCol w:w="1167"/>
        <w:gridCol w:w="660"/>
        <w:gridCol w:w="1080"/>
        <w:gridCol w:w="900"/>
        <w:gridCol w:w="1245"/>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289" w:type="dxa"/>
            <w:vMerge w:val="restart"/>
            <w:vAlign w:val="center"/>
          </w:tcPr>
          <w:p>
            <w:pPr>
              <w:spacing w:line="260" w:lineRule="exact"/>
              <w:jc w:val="center"/>
              <w:textAlignment w:val="baseline"/>
              <w:rPr>
                <w:b/>
                <w:sz w:val="18"/>
                <w:szCs w:val="18"/>
              </w:rPr>
            </w:pPr>
            <w:r>
              <w:rPr>
                <w:rFonts w:hint="eastAsia"/>
                <w:b/>
                <w:sz w:val="18"/>
                <w:szCs w:val="18"/>
              </w:rPr>
              <w:t>产品名称</w:t>
            </w:r>
          </w:p>
        </w:tc>
        <w:tc>
          <w:tcPr>
            <w:tcW w:w="1038" w:type="dxa"/>
            <w:vMerge w:val="restart"/>
            <w:vAlign w:val="center"/>
          </w:tcPr>
          <w:p>
            <w:pPr>
              <w:spacing w:line="260" w:lineRule="exact"/>
              <w:jc w:val="center"/>
              <w:textAlignment w:val="baseline"/>
              <w:rPr>
                <w:b/>
                <w:sz w:val="18"/>
                <w:szCs w:val="18"/>
              </w:rPr>
            </w:pPr>
            <w:r>
              <w:rPr>
                <w:rFonts w:hint="eastAsia"/>
                <w:b/>
                <w:sz w:val="18"/>
                <w:szCs w:val="18"/>
              </w:rPr>
              <w:t>规格型号</w:t>
            </w:r>
          </w:p>
        </w:tc>
        <w:tc>
          <w:tcPr>
            <w:tcW w:w="582" w:type="dxa"/>
            <w:vMerge w:val="restart"/>
            <w:vAlign w:val="center"/>
          </w:tcPr>
          <w:p>
            <w:pPr>
              <w:spacing w:line="260" w:lineRule="exact"/>
              <w:jc w:val="center"/>
              <w:textAlignment w:val="baseline"/>
              <w:rPr>
                <w:b/>
                <w:sz w:val="18"/>
                <w:szCs w:val="18"/>
              </w:rPr>
            </w:pPr>
            <w:r>
              <w:rPr>
                <w:rFonts w:hint="eastAsia"/>
                <w:b/>
                <w:sz w:val="18"/>
                <w:szCs w:val="18"/>
              </w:rPr>
              <w:t>单位</w:t>
            </w:r>
          </w:p>
        </w:tc>
        <w:tc>
          <w:tcPr>
            <w:tcW w:w="1167" w:type="dxa"/>
            <w:vMerge w:val="restart"/>
            <w:vAlign w:val="center"/>
          </w:tcPr>
          <w:p>
            <w:pPr>
              <w:spacing w:line="260" w:lineRule="exact"/>
              <w:jc w:val="center"/>
              <w:textAlignment w:val="baseline"/>
              <w:rPr>
                <w:b/>
                <w:sz w:val="18"/>
                <w:szCs w:val="18"/>
              </w:rPr>
            </w:pPr>
            <w:r>
              <w:rPr>
                <w:rFonts w:hint="eastAsia"/>
                <w:b/>
                <w:sz w:val="18"/>
                <w:szCs w:val="18"/>
              </w:rPr>
              <w:t>暂估数量</w:t>
            </w:r>
          </w:p>
        </w:tc>
        <w:tc>
          <w:tcPr>
            <w:tcW w:w="1740" w:type="dxa"/>
            <w:gridSpan w:val="2"/>
            <w:vAlign w:val="center"/>
          </w:tcPr>
          <w:p>
            <w:pPr>
              <w:spacing w:line="260" w:lineRule="exact"/>
              <w:jc w:val="center"/>
              <w:textAlignment w:val="baseline"/>
              <w:rPr>
                <w:b/>
                <w:sz w:val="18"/>
                <w:szCs w:val="18"/>
              </w:rPr>
            </w:pPr>
            <w:r>
              <w:rPr>
                <w:rFonts w:hint="eastAsia"/>
                <w:b/>
                <w:sz w:val="18"/>
                <w:szCs w:val="18"/>
              </w:rPr>
              <w:t>含税到场限价</w:t>
            </w:r>
          </w:p>
        </w:tc>
        <w:tc>
          <w:tcPr>
            <w:tcW w:w="2145" w:type="dxa"/>
            <w:gridSpan w:val="2"/>
            <w:vAlign w:val="center"/>
          </w:tcPr>
          <w:p>
            <w:pPr>
              <w:spacing w:line="260" w:lineRule="exact"/>
              <w:jc w:val="center"/>
              <w:textAlignment w:val="baseline"/>
              <w:rPr>
                <w:b/>
                <w:sz w:val="18"/>
                <w:szCs w:val="18"/>
              </w:rPr>
            </w:pPr>
            <w:r>
              <w:rPr>
                <w:rFonts w:hint="eastAsia"/>
                <w:b/>
                <w:sz w:val="18"/>
                <w:szCs w:val="18"/>
              </w:rPr>
              <w:t>含税到场报价</w:t>
            </w:r>
          </w:p>
        </w:tc>
        <w:tc>
          <w:tcPr>
            <w:tcW w:w="2143" w:type="dxa"/>
            <w:vMerge w:val="restart"/>
            <w:vAlign w:val="center"/>
          </w:tcPr>
          <w:p>
            <w:pPr>
              <w:spacing w:line="260" w:lineRule="exact"/>
              <w:jc w:val="center"/>
              <w:textAlignment w:val="baseline"/>
              <w:rPr>
                <w:b/>
                <w:sz w:val="18"/>
                <w:szCs w:val="18"/>
              </w:rPr>
            </w:pPr>
            <w:r>
              <w:rPr>
                <w:rFonts w:hint="eastAsia"/>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289" w:type="dxa"/>
            <w:vMerge w:val="continue"/>
            <w:vAlign w:val="center"/>
          </w:tcPr>
          <w:p>
            <w:pPr>
              <w:spacing w:line="260" w:lineRule="exact"/>
              <w:jc w:val="center"/>
              <w:textAlignment w:val="baseline"/>
              <w:rPr>
                <w:sz w:val="18"/>
                <w:szCs w:val="18"/>
              </w:rPr>
            </w:pPr>
          </w:p>
        </w:tc>
        <w:tc>
          <w:tcPr>
            <w:tcW w:w="1038" w:type="dxa"/>
            <w:vMerge w:val="continue"/>
            <w:vAlign w:val="center"/>
          </w:tcPr>
          <w:p>
            <w:pPr>
              <w:spacing w:line="260" w:lineRule="exact"/>
              <w:jc w:val="center"/>
              <w:textAlignment w:val="baseline"/>
              <w:rPr>
                <w:sz w:val="18"/>
                <w:szCs w:val="18"/>
              </w:rPr>
            </w:pPr>
          </w:p>
        </w:tc>
        <w:tc>
          <w:tcPr>
            <w:tcW w:w="582" w:type="dxa"/>
            <w:vMerge w:val="continue"/>
            <w:vAlign w:val="center"/>
          </w:tcPr>
          <w:p>
            <w:pPr>
              <w:spacing w:line="260" w:lineRule="exact"/>
              <w:jc w:val="center"/>
              <w:textAlignment w:val="baseline"/>
              <w:rPr>
                <w:sz w:val="18"/>
                <w:szCs w:val="18"/>
              </w:rPr>
            </w:pPr>
          </w:p>
        </w:tc>
        <w:tc>
          <w:tcPr>
            <w:tcW w:w="1167" w:type="dxa"/>
            <w:vMerge w:val="continue"/>
            <w:vAlign w:val="center"/>
          </w:tcPr>
          <w:p>
            <w:pPr>
              <w:spacing w:line="260" w:lineRule="exact"/>
              <w:jc w:val="center"/>
              <w:textAlignment w:val="baseline"/>
              <w:rPr>
                <w:sz w:val="18"/>
                <w:szCs w:val="18"/>
              </w:rPr>
            </w:pPr>
          </w:p>
        </w:tc>
        <w:tc>
          <w:tcPr>
            <w:tcW w:w="660" w:type="dxa"/>
            <w:vAlign w:val="center"/>
          </w:tcPr>
          <w:p>
            <w:pPr>
              <w:spacing w:line="260" w:lineRule="exact"/>
              <w:jc w:val="center"/>
              <w:textAlignment w:val="baseline"/>
              <w:rPr>
                <w:b/>
                <w:sz w:val="18"/>
                <w:szCs w:val="18"/>
              </w:rPr>
            </w:pPr>
            <w:r>
              <w:rPr>
                <w:rFonts w:hint="eastAsia"/>
                <w:b/>
                <w:sz w:val="18"/>
                <w:szCs w:val="18"/>
              </w:rPr>
              <w:t>单价</w:t>
            </w:r>
          </w:p>
        </w:tc>
        <w:tc>
          <w:tcPr>
            <w:tcW w:w="1080" w:type="dxa"/>
            <w:vAlign w:val="center"/>
          </w:tcPr>
          <w:p>
            <w:pPr>
              <w:spacing w:line="260" w:lineRule="exact"/>
              <w:jc w:val="center"/>
              <w:textAlignment w:val="baseline"/>
              <w:rPr>
                <w:b/>
                <w:sz w:val="18"/>
                <w:szCs w:val="18"/>
              </w:rPr>
            </w:pPr>
            <w:r>
              <w:rPr>
                <w:rFonts w:hint="eastAsia"/>
                <w:b/>
                <w:sz w:val="18"/>
                <w:szCs w:val="18"/>
              </w:rPr>
              <w:t>合计金额</w:t>
            </w:r>
          </w:p>
        </w:tc>
        <w:tc>
          <w:tcPr>
            <w:tcW w:w="900" w:type="dxa"/>
            <w:vAlign w:val="center"/>
          </w:tcPr>
          <w:p>
            <w:pPr>
              <w:spacing w:line="260" w:lineRule="exact"/>
              <w:jc w:val="center"/>
              <w:textAlignment w:val="baseline"/>
              <w:rPr>
                <w:b/>
                <w:sz w:val="18"/>
                <w:szCs w:val="18"/>
              </w:rPr>
            </w:pPr>
            <w:r>
              <w:rPr>
                <w:rFonts w:hint="eastAsia"/>
                <w:b/>
                <w:sz w:val="18"/>
                <w:szCs w:val="18"/>
              </w:rPr>
              <w:t>单价</w:t>
            </w:r>
          </w:p>
        </w:tc>
        <w:tc>
          <w:tcPr>
            <w:tcW w:w="1245" w:type="dxa"/>
            <w:vAlign w:val="center"/>
          </w:tcPr>
          <w:p>
            <w:pPr>
              <w:spacing w:line="260" w:lineRule="exact"/>
              <w:jc w:val="center"/>
              <w:textAlignment w:val="baseline"/>
              <w:rPr>
                <w:b/>
                <w:sz w:val="18"/>
                <w:szCs w:val="18"/>
              </w:rPr>
            </w:pPr>
            <w:r>
              <w:rPr>
                <w:rFonts w:hint="eastAsia"/>
                <w:b/>
                <w:sz w:val="18"/>
                <w:szCs w:val="18"/>
              </w:rPr>
              <w:t>合计金额</w:t>
            </w:r>
          </w:p>
        </w:tc>
        <w:tc>
          <w:tcPr>
            <w:tcW w:w="2143" w:type="dxa"/>
            <w:vMerge w:val="continue"/>
            <w:vAlign w:val="center"/>
          </w:tcPr>
          <w:p>
            <w:pPr>
              <w:spacing w:line="260" w:lineRule="exact"/>
              <w:jc w:val="center"/>
              <w:textAlignment w:val="baseline"/>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2289" w:type="dxa"/>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bidi="ar"/>
              </w:rPr>
              <w:t>商品</w:t>
            </w:r>
          </w:p>
          <w:p>
            <w:pPr>
              <w:widowControl/>
              <w:jc w:val="center"/>
              <w:textAlignment w:val="center"/>
              <w:rPr>
                <w:sz w:val="18"/>
                <w:szCs w:val="18"/>
              </w:rPr>
            </w:pPr>
            <w:r>
              <w:rPr>
                <w:rFonts w:hint="eastAsia" w:ascii="宋体" w:hAnsi="宋体" w:cs="宋体"/>
                <w:color w:val="000000"/>
                <w:kern w:val="0"/>
                <w:sz w:val="22"/>
                <w:szCs w:val="22"/>
                <w:lang w:bidi="ar"/>
              </w:rPr>
              <w:t>混凝土</w:t>
            </w:r>
          </w:p>
        </w:tc>
        <w:tc>
          <w:tcPr>
            <w:tcW w:w="1038" w:type="dxa"/>
            <w:vAlign w:val="center"/>
          </w:tcPr>
          <w:p>
            <w:pPr>
              <w:spacing w:line="260" w:lineRule="exact"/>
              <w:jc w:val="center"/>
              <w:textAlignment w:val="baseline"/>
              <w:rPr>
                <w:sz w:val="18"/>
                <w:szCs w:val="18"/>
              </w:rPr>
            </w:pPr>
            <w:r>
              <w:rPr>
                <w:rFonts w:hint="eastAsia"/>
                <w:sz w:val="18"/>
                <w:szCs w:val="18"/>
              </w:rPr>
              <w:t>C</w:t>
            </w:r>
            <w:r>
              <w:rPr>
                <w:rFonts w:hint="eastAsia"/>
                <w:sz w:val="18"/>
                <w:szCs w:val="18"/>
                <w:lang w:val="en-US" w:eastAsia="zh-CN"/>
              </w:rPr>
              <w:t>2</w:t>
            </w:r>
            <w:r>
              <w:rPr>
                <w:rFonts w:hint="eastAsia"/>
                <w:sz w:val="18"/>
                <w:szCs w:val="18"/>
              </w:rPr>
              <w:t>0</w:t>
            </w:r>
          </w:p>
        </w:tc>
        <w:tc>
          <w:tcPr>
            <w:tcW w:w="582" w:type="dxa"/>
            <w:vAlign w:val="center"/>
          </w:tcPr>
          <w:p>
            <w:pPr>
              <w:spacing w:line="260" w:lineRule="exact"/>
              <w:jc w:val="center"/>
              <w:textAlignment w:val="baseline"/>
              <w:rPr>
                <w:sz w:val="18"/>
                <w:szCs w:val="18"/>
              </w:rPr>
            </w:pPr>
            <w:r>
              <w:rPr>
                <w:rFonts w:hint="eastAsia"/>
                <w:sz w:val="18"/>
                <w:szCs w:val="18"/>
              </w:rPr>
              <w:t>m³</w:t>
            </w:r>
          </w:p>
        </w:tc>
        <w:tc>
          <w:tcPr>
            <w:tcW w:w="1167" w:type="dxa"/>
            <w:vAlign w:val="center"/>
          </w:tcPr>
          <w:p>
            <w:pPr>
              <w:spacing w:line="260" w:lineRule="exact"/>
              <w:jc w:val="center"/>
              <w:textAlignment w:val="baseline"/>
              <w:rPr>
                <w:rFonts w:hint="default" w:eastAsia="宋体"/>
                <w:sz w:val="18"/>
                <w:szCs w:val="18"/>
                <w:lang w:val="en-US" w:eastAsia="zh-CN"/>
              </w:rPr>
            </w:pPr>
            <w:r>
              <w:rPr>
                <w:rFonts w:hint="eastAsia"/>
                <w:sz w:val="18"/>
                <w:szCs w:val="18"/>
                <w:lang w:val="en-US" w:eastAsia="zh-CN"/>
              </w:rPr>
              <w:t>400</w:t>
            </w:r>
          </w:p>
        </w:tc>
        <w:tc>
          <w:tcPr>
            <w:tcW w:w="660" w:type="dxa"/>
            <w:vAlign w:val="center"/>
          </w:tcPr>
          <w:p>
            <w:pPr>
              <w:spacing w:line="260" w:lineRule="exact"/>
              <w:jc w:val="center"/>
              <w:textAlignment w:val="baseline"/>
              <w:rPr>
                <w:rFonts w:hint="default" w:eastAsia="宋体"/>
                <w:sz w:val="18"/>
                <w:szCs w:val="18"/>
                <w:lang w:val="en-US" w:eastAsia="zh-CN"/>
              </w:rPr>
            </w:pPr>
            <w:r>
              <w:rPr>
                <w:rFonts w:hint="eastAsia"/>
                <w:sz w:val="18"/>
                <w:szCs w:val="18"/>
                <w:lang w:val="en-US" w:eastAsia="zh-CN"/>
              </w:rPr>
              <w:t>580</w:t>
            </w:r>
          </w:p>
        </w:tc>
        <w:tc>
          <w:tcPr>
            <w:tcW w:w="1080" w:type="dxa"/>
            <w:vAlign w:val="center"/>
          </w:tcPr>
          <w:p>
            <w:pPr>
              <w:spacing w:line="260" w:lineRule="exact"/>
              <w:jc w:val="center"/>
              <w:textAlignment w:val="baseline"/>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232000</w:t>
            </w:r>
          </w:p>
        </w:tc>
        <w:tc>
          <w:tcPr>
            <w:tcW w:w="900" w:type="dxa"/>
            <w:vAlign w:val="center"/>
          </w:tcPr>
          <w:p>
            <w:pPr>
              <w:spacing w:line="260" w:lineRule="exact"/>
              <w:jc w:val="center"/>
              <w:textAlignment w:val="baseline"/>
              <w:rPr>
                <w:sz w:val="18"/>
                <w:szCs w:val="18"/>
              </w:rPr>
            </w:pPr>
          </w:p>
        </w:tc>
        <w:tc>
          <w:tcPr>
            <w:tcW w:w="1245" w:type="dxa"/>
            <w:vAlign w:val="center"/>
          </w:tcPr>
          <w:p>
            <w:pPr>
              <w:spacing w:line="260" w:lineRule="exact"/>
              <w:jc w:val="center"/>
              <w:textAlignment w:val="baseline"/>
              <w:rPr>
                <w:sz w:val="18"/>
                <w:szCs w:val="18"/>
              </w:rPr>
            </w:pPr>
          </w:p>
        </w:tc>
        <w:tc>
          <w:tcPr>
            <w:tcW w:w="2143" w:type="dxa"/>
            <w:vMerge w:val="restart"/>
            <w:vAlign w:val="center"/>
          </w:tcPr>
          <w:p>
            <w:pPr>
              <w:pStyle w:val="9"/>
              <w:numPr>
                <w:ilvl w:val="0"/>
                <w:numId w:val="0"/>
              </w:numPr>
              <w:jc w:val="left"/>
              <w:rPr>
                <w:rFonts w:hint="default" w:ascii="宋体" w:hAnsi="宋体" w:eastAsia="宋体" w:cs="宋体"/>
                <w:sz w:val="21"/>
                <w:szCs w:val="21"/>
                <w:lang w:val="en-US" w:eastAsia="zh-CN"/>
              </w:rPr>
            </w:pPr>
            <w:r>
              <w:rPr>
                <w:rFonts w:hint="eastAsia" w:ascii="Times New Roman" w:hAnsi="Times New Roman" w:eastAsia="宋体" w:cs="Times New Roman"/>
                <w:b w:val="0"/>
                <w:bCs w:val="0"/>
                <w:caps w:val="0"/>
                <w:kern w:val="2"/>
                <w:sz w:val="21"/>
                <w:lang w:val="en-US" w:eastAsia="zh-CN" w:bidi="ar-SA"/>
              </w:rPr>
              <w:t>1、交货地点：</w:t>
            </w:r>
            <w:r>
              <w:rPr>
                <w:rFonts w:hint="eastAsia" w:eastAsia="宋体" w:cs="Times New Roman"/>
                <w:lang w:val="en-US" w:eastAsia="zh-CN"/>
              </w:rPr>
              <w:t>渝黔射线出城方向</w:t>
            </w:r>
            <w:r>
              <w:rPr>
                <w:rFonts w:hint="eastAsia"/>
                <w:lang w:val="en-US" w:eastAsia="zh-CN"/>
              </w:rPr>
              <w:t>G75巴南服务区。</w:t>
            </w:r>
          </w:p>
          <w:p>
            <w:pPr>
              <w:spacing w:line="260" w:lineRule="exact"/>
              <w:jc w:val="left"/>
              <w:textAlignment w:val="baseline"/>
              <w:rPr>
                <w:sz w:val="18"/>
                <w:szCs w:val="18"/>
              </w:rPr>
            </w:pPr>
            <w:r>
              <w:rPr>
                <w:rFonts w:hint="eastAsia" w:ascii="宋体" w:hAnsi="宋体" w:cs="宋体"/>
                <w:b w:val="0"/>
                <w:bCs w:val="0"/>
                <w:sz w:val="21"/>
                <w:szCs w:val="21"/>
                <w:lang w:val="en-US" w:eastAsia="zh-CN"/>
              </w:rPr>
              <w:t>2、</w:t>
            </w:r>
            <w:r>
              <w:rPr>
                <w:rFonts w:hint="eastAsia" w:ascii="宋体" w:hAnsi="宋体" w:eastAsia="宋体" w:cs="宋体"/>
                <w:b w:val="0"/>
                <w:bCs w:val="0"/>
                <w:sz w:val="21"/>
                <w:szCs w:val="21"/>
              </w:rPr>
              <w:t>采购数量为暂定数量，以实际发生为准。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2289" w:type="dxa"/>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bidi="ar"/>
              </w:rPr>
              <w:t>商品</w:t>
            </w:r>
          </w:p>
          <w:p>
            <w:pPr>
              <w:widowControl/>
              <w:jc w:val="center"/>
              <w:textAlignment w:val="center"/>
              <w:rPr>
                <w:sz w:val="18"/>
                <w:szCs w:val="18"/>
              </w:rPr>
            </w:pPr>
            <w:r>
              <w:rPr>
                <w:rFonts w:hint="eastAsia" w:ascii="宋体" w:hAnsi="宋体" w:cs="宋体"/>
                <w:color w:val="000000"/>
                <w:kern w:val="0"/>
                <w:sz w:val="22"/>
                <w:szCs w:val="22"/>
                <w:lang w:bidi="ar"/>
              </w:rPr>
              <w:t>混凝土</w:t>
            </w:r>
          </w:p>
        </w:tc>
        <w:tc>
          <w:tcPr>
            <w:tcW w:w="1038" w:type="dxa"/>
            <w:vAlign w:val="center"/>
          </w:tcPr>
          <w:p>
            <w:pPr>
              <w:spacing w:line="260" w:lineRule="exact"/>
              <w:jc w:val="center"/>
              <w:textAlignment w:val="baseline"/>
              <w:rPr>
                <w:rFonts w:hint="default" w:eastAsia="宋体"/>
                <w:sz w:val="18"/>
                <w:szCs w:val="18"/>
                <w:lang w:val="en-US" w:eastAsia="zh-CN"/>
              </w:rPr>
            </w:pPr>
            <w:r>
              <w:rPr>
                <w:rFonts w:hint="eastAsia"/>
                <w:sz w:val="18"/>
                <w:szCs w:val="18"/>
              </w:rPr>
              <w:t>C</w:t>
            </w:r>
            <w:r>
              <w:rPr>
                <w:rFonts w:hint="eastAsia"/>
                <w:sz w:val="18"/>
                <w:szCs w:val="18"/>
                <w:lang w:val="en-US" w:eastAsia="zh-CN"/>
              </w:rPr>
              <w:t>25</w:t>
            </w:r>
          </w:p>
        </w:tc>
        <w:tc>
          <w:tcPr>
            <w:tcW w:w="582" w:type="dxa"/>
            <w:vAlign w:val="center"/>
          </w:tcPr>
          <w:p>
            <w:pPr>
              <w:spacing w:line="260" w:lineRule="exact"/>
              <w:jc w:val="center"/>
              <w:textAlignment w:val="baseline"/>
              <w:rPr>
                <w:sz w:val="18"/>
                <w:szCs w:val="18"/>
              </w:rPr>
            </w:pPr>
            <w:r>
              <w:rPr>
                <w:rFonts w:hint="eastAsia"/>
                <w:sz w:val="18"/>
                <w:szCs w:val="18"/>
              </w:rPr>
              <w:t>m³</w:t>
            </w:r>
          </w:p>
        </w:tc>
        <w:tc>
          <w:tcPr>
            <w:tcW w:w="1167" w:type="dxa"/>
            <w:vAlign w:val="center"/>
          </w:tcPr>
          <w:p>
            <w:pPr>
              <w:spacing w:line="260" w:lineRule="exact"/>
              <w:jc w:val="center"/>
              <w:textAlignment w:val="baseline"/>
              <w:rPr>
                <w:rFonts w:hint="default" w:eastAsia="宋体"/>
                <w:sz w:val="18"/>
                <w:szCs w:val="18"/>
                <w:lang w:val="en-US" w:eastAsia="zh-CN"/>
              </w:rPr>
            </w:pPr>
            <w:r>
              <w:rPr>
                <w:rFonts w:hint="eastAsia"/>
                <w:sz w:val="18"/>
                <w:szCs w:val="18"/>
                <w:lang w:val="en-US" w:eastAsia="zh-CN"/>
              </w:rPr>
              <w:t>150</w:t>
            </w:r>
          </w:p>
        </w:tc>
        <w:tc>
          <w:tcPr>
            <w:tcW w:w="660" w:type="dxa"/>
            <w:vAlign w:val="center"/>
          </w:tcPr>
          <w:p>
            <w:pPr>
              <w:spacing w:line="260" w:lineRule="exact"/>
              <w:jc w:val="center"/>
              <w:textAlignment w:val="baseline"/>
              <w:rPr>
                <w:rFonts w:hint="default" w:eastAsia="宋体"/>
                <w:sz w:val="18"/>
                <w:szCs w:val="18"/>
                <w:lang w:val="en-US" w:eastAsia="zh-CN"/>
              </w:rPr>
            </w:pPr>
            <w:r>
              <w:rPr>
                <w:rFonts w:hint="eastAsia"/>
                <w:sz w:val="18"/>
                <w:szCs w:val="18"/>
                <w:lang w:val="en-US" w:eastAsia="zh-CN"/>
              </w:rPr>
              <w:t>600</w:t>
            </w:r>
          </w:p>
        </w:tc>
        <w:tc>
          <w:tcPr>
            <w:tcW w:w="1080" w:type="dxa"/>
            <w:vAlign w:val="center"/>
          </w:tcPr>
          <w:p>
            <w:pPr>
              <w:spacing w:line="260" w:lineRule="exact"/>
              <w:jc w:val="center"/>
              <w:textAlignment w:val="baseline"/>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90000</w:t>
            </w:r>
          </w:p>
        </w:tc>
        <w:tc>
          <w:tcPr>
            <w:tcW w:w="900" w:type="dxa"/>
            <w:vAlign w:val="center"/>
          </w:tcPr>
          <w:p>
            <w:pPr>
              <w:spacing w:line="260" w:lineRule="exact"/>
              <w:jc w:val="center"/>
              <w:textAlignment w:val="baseline"/>
              <w:rPr>
                <w:sz w:val="18"/>
                <w:szCs w:val="18"/>
              </w:rPr>
            </w:pPr>
          </w:p>
        </w:tc>
        <w:tc>
          <w:tcPr>
            <w:tcW w:w="1245" w:type="dxa"/>
            <w:vAlign w:val="center"/>
          </w:tcPr>
          <w:p>
            <w:pPr>
              <w:spacing w:line="260" w:lineRule="exact"/>
              <w:jc w:val="center"/>
              <w:textAlignment w:val="baseline"/>
              <w:rPr>
                <w:sz w:val="18"/>
                <w:szCs w:val="18"/>
              </w:rPr>
            </w:pPr>
          </w:p>
        </w:tc>
        <w:tc>
          <w:tcPr>
            <w:tcW w:w="2143" w:type="dxa"/>
            <w:vMerge w:val="continue"/>
            <w:vAlign w:val="center"/>
          </w:tcPr>
          <w:p>
            <w:pPr>
              <w:spacing w:line="260" w:lineRule="exact"/>
              <w:jc w:val="left"/>
              <w:textAlignment w:val="baseline"/>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076" w:type="dxa"/>
            <w:gridSpan w:val="4"/>
            <w:vAlign w:val="center"/>
          </w:tcPr>
          <w:p>
            <w:pPr>
              <w:widowControl/>
              <w:spacing w:line="260" w:lineRule="exact"/>
              <w:jc w:val="center"/>
              <w:textAlignment w:val="center"/>
              <w:rPr>
                <w:rFonts w:ascii="宋体" w:hAnsi="宋体" w:cs="宋体"/>
                <w:kern w:val="0"/>
                <w:sz w:val="18"/>
                <w:szCs w:val="18"/>
                <w:lang w:bidi="ar"/>
              </w:rPr>
            </w:pPr>
            <w:r>
              <w:rPr>
                <w:rFonts w:hint="eastAsia"/>
                <w:sz w:val="18"/>
                <w:szCs w:val="18"/>
              </w:rPr>
              <w:t>最高总限价</w:t>
            </w:r>
          </w:p>
        </w:tc>
        <w:tc>
          <w:tcPr>
            <w:tcW w:w="6028" w:type="dxa"/>
            <w:gridSpan w:val="5"/>
            <w:vAlign w:val="center"/>
          </w:tcPr>
          <w:p>
            <w:pPr>
              <w:spacing w:line="260" w:lineRule="exact"/>
              <w:jc w:val="center"/>
              <w:textAlignment w:val="baseline"/>
              <w:rPr>
                <w:sz w:val="18"/>
                <w:szCs w:val="18"/>
              </w:rPr>
            </w:pPr>
            <w:r>
              <w:rPr>
                <w:rFonts w:hint="eastAsia"/>
                <w:b/>
                <w:bCs/>
                <w:sz w:val="18"/>
                <w:szCs w:val="18"/>
                <w:u w:val="single"/>
                <w:lang w:val="en-US" w:eastAsia="zh-CN"/>
              </w:rPr>
              <w:t>322000</w:t>
            </w:r>
            <w:r>
              <w:rPr>
                <w:rFonts w:hint="eastAsia"/>
                <w:b/>
                <w:bCs/>
                <w:sz w:val="18"/>
                <w:szCs w:val="18"/>
                <w:u w:val="single"/>
              </w:rPr>
              <w:t xml:space="preserve"> </w:t>
            </w:r>
            <w:r>
              <w:rPr>
                <w:rFonts w:hint="eastAsia"/>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076" w:type="dxa"/>
            <w:gridSpan w:val="4"/>
            <w:vAlign w:val="center"/>
          </w:tcPr>
          <w:p>
            <w:pPr>
              <w:widowControl/>
              <w:spacing w:line="260" w:lineRule="exact"/>
              <w:jc w:val="center"/>
              <w:textAlignment w:val="center"/>
              <w:rPr>
                <w:rFonts w:ascii="宋体" w:hAnsi="宋体" w:cs="宋体"/>
                <w:kern w:val="0"/>
                <w:sz w:val="18"/>
                <w:szCs w:val="18"/>
                <w:lang w:bidi="ar"/>
              </w:rPr>
            </w:pPr>
            <w:r>
              <w:rPr>
                <w:rFonts w:hint="eastAsia"/>
                <w:sz w:val="18"/>
                <w:szCs w:val="18"/>
              </w:rPr>
              <w:t>竞标总报价</w:t>
            </w:r>
          </w:p>
        </w:tc>
        <w:tc>
          <w:tcPr>
            <w:tcW w:w="6028" w:type="dxa"/>
            <w:gridSpan w:val="5"/>
            <w:vAlign w:val="center"/>
          </w:tcPr>
          <w:p>
            <w:pPr>
              <w:spacing w:line="260" w:lineRule="exact"/>
              <w:jc w:val="center"/>
              <w:textAlignment w:val="baseline"/>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11104" w:type="dxa"/>
            <w:gridSpan w:val="9"/>
            <w:vAlign w:val="center"/>
          </w:tcPr>
          <w:p>
            <w:pPr>
              <w:keepNext w:val="0"/>
              <w:keepLines w:val="0"/>
              <w:widowControl/>
              <w:suppressLineNumbers w:val="0"/>
              <w:jc w:val="both"/>
              <w:textAlignment w:val="center"/>
              <w:rPr>
                <w:rFonts w:hint="eastAsia"/>
                <w:lang w:val="en-US" w:eastAsia="zh-CN"/>
              </w:rPr>
            </w:pPr>
            <w:r>
              <w:rPr>
                <w:rFonts w:hint="eastAsia"/>
                <w:lang w:val="en-US" w:eastAsia="zh-CN"/>
              </w:rPr>
              <w:t>注：本询价约定的工程量为暂定工程量，实际工程量以现场收方为准。</w:t>
            </w:r>
          </w:p>
          <w:p>
            <w:pPr>
              <w:keepNext w:val="0"/>
              <w:keepLines w:val="0"/>
              <w:widowControl/>
              <w:suppressLineNumbers w:val="0"/>
              <w:jc w:val="both"/>
              <w:textAlignment w:val="center"/>
              <w:rPr>
                <w:rFonts w:hint="eastAsia"/>
                <w:lang w:val="en-US" w:eastAsia="zh-CN"/>
              </w:rPr>
            </w:pPr>
            <w:r>
              <w:rPr>
                <w:rFonts w:hint="eastAsia"/>
                <w:lang w:val="en-US" w:eastAsia="zh-CN"/>
              </w:rPr>
              <w:t>1、上述报价为税后价，投标（报价）人应提供合法有效且符合询价方要求的增值税专用发票，抵扣税率为3% 。</w:t>
            </w:r>
          </w:p>
          <w:p>
            <w:pPr>
              <w:keepNext w:val="0"/>
              <w:keepLines w:val="0"/>
              <w:widowControl/>
              <w:suppressLineNumbers w:val="0"/>
              <w:jc w:val="both"/>
              <w:textAlignment w:val="center"/>
              <w:rPr>
                <w:rFonts w:hint="default" w:eastAsia="宋体" w:cs="Times New Roman"/>
                <w:lang w:val="zh-CN" w:eastAsia="zh-CN"/>
              </w:rPr>
            </w:pPr>
            <w:r>
              <w:rPr>
                <w:rFonts w:hint="eastAsia" w:eastAsia="宋体" w:cs="Times New Roman"/>
                <w:lang w:val="en-US" w:eastAsia="zh-CN"/>
              </w:rPr>
              <w:t>2、本合同单价为含税到场综合单价（含高速公路通行费及装卸费等），上述单价为固定单价，在合同期内不予调整</w:t>
            </w:r>
            <w:r>
              <w:rPr>
                <w:rFonts w:hint="default" w:eastAsia="宋体" w:cs="Times New Roman"/>
                <w:lang w:val="zh-CN" w:eastAsia="zh-CN"/>
              </w:rPr>
              <w:t>。</w:t>
            </w:r>
          </w:p>
          <w:p>
            <w:pPr>
              <w:keepNext w:val="0"/>
              <w:keepLines w:val="0"/>
              <w:widowControl/>
              <w:suppressLineNumbers w:val="0"/>
              <w:jc w:val="both"/>
              <w:textAlignment w:val="center"/>
              <w:rPr>
                <w:rFonts w:hint="eastAsia" w:eastAsia="宋体" w:cs="Times New Roman"/>
                <w:lang w:val="en-US" w:eastAsia="zh-CN"/>
              </w:rPr>
            </w:pPr>
            <w:r>
              <w:rPr>
                <w:rFonts w:hint="eastAsia" w:eastAsia="宋体" w:cs="Times New Roman"/>
                <w:lang w:val="en-US" w:eastAsia="zh-CN"/>
              </w:rPr>
              <w:t>3、比选申请人必须保证比选人商品混凝土的供应及时，比选人一般提前一天以电话（短信）通知计划用量。</w:t>
            </w:r>
          </w:p>
          <w:p>
            <w:pPr>
              <w:spacing w:line="260" w:lineRule="exact"/>
              <w:textAlignment w:val="baseline"/>
              <w:rPr>
                <w:sz w:val="18"/>
                <w:szCs w:val="18"/>
              </w:rPr>
            </w:pPr>
            <w:r>
              <w:rPr>
                <w:rFonts w:hint="eastAsia" w:eastAsia="宋体" w:cs="Times New Roman"/>
                <w:lang w:val="en-US" w:eastAsia="zh-CN"/>
              </w:rPr>
              <w:t>4、本工程需对高速公路进行交通管制，比选申请人需服从比选人的交通作业指挥。比选人制定的交货地点：渝黔射线出城方向</w:t>
            </w:r>
            <w:r>
              <w:rPr>
                <w:rFonts w:hint="eastAsia"/>
                <w:lang w:val="en-US" w:eastAsia="zh-CN"/>
              </w:rPr>
              <w:t>G75巴南服务区</w:t>
            </w:r>
            <w:r>
              <w:rPr>
                <w:rFonts w:hint="eastAsia" w:eastAsia="宋体" w:cs="Times New Roman"/>
                <w:lang w:val="en-US" w:eastAsia="zh-CN"/>
              </w:rPr>
              <w:t>。</w:t>
            </w:r>
          </w:p>
        </w:tc>
      </w:tr>
    </w:tbl>
    <w:p>
      <w:pPr>
        <w:spacing w:line="480" w:lineRule="exact"/>
        <w:ind w:firstLine="2880" w:firstLineChars="1200"/>
        <w:jc w:val="left"/>
        <w:rPr>
          <w:sz w:val="24"/>
          <w:szCs w:val="28"/>
          <w:u w:val="single"/>
        </w:rPr>
      </w:pPr>
      <w:r>
        <w:rPr>
          <w:rFonts w:hint="eastAsia"/>
          <w:sz w:val="24"/>
          <w:szCs w:val="28"/>
        </w:rPr>
        <w:t>比选申请人（盖单位公章）：</w:t>
      </w:r>
      <w:r>
        <w:rPr>
          <w:rFonts w:hint="eastAsia"/>
          <w:sz w:val="24"/>
          <w:szCs w:val="24"/>
        </w:rPr>
        <w:t>___________________</w:t>
      </w:r>
      <w:r>
        <w:rPr>
          <w:rFonts w:hint="eastAsia"/>
          <w:sz w:val="24"/>
          <w:szCs w:val="28"/>
          <w:u w:val="single"/>
        </w:rPr>
        <w:t xml:space="preserve">                </w:t>
      </w:r>
    </w:p>
    <w:p>
      <w:pPr>
        <w:spacing w:line="480" w:lineRule="exact"/>
        <w:ind w:left="2852" w:leftChars="1358"/>
        <w:rPr>
          <w:sz w:val="24"/>
          <w:szCs w:val="28"/>
        </w:rPr>
      </w:pPr>
      <w:r>
        <w:rPr>
          <w:rFonts w:hint="eastAsia"/>
          <w:sz w:val="24"/>
          <w:szCs w:val="24"/>
        </w:rPr>
        <w:t>法定代表人（或授权代表）：___________________</w:t>
      </w:r>
      <w:r>
        <w:rPr>
          <w:rFonts w:hint="eastAsia"/>
          <w:sz w:val="24"/>
          <w:szCs w:val="28"/>
        </w:rPr>
        <w:t>联系电话：</w:t>
      </w:r>
      <w:r>
        <w:rPr>
          <w:rFonts w:hint="eastAsia"/>
          <w:sz w:val="24"/>
          <w:szCs w:val="28"/>
          <w:u w:val="single"/>
        </w:rPr>
        <w:t xml:space="preserve">       </w:t>
      </w:r>
      <w:r>
        <w:rPr>
          <w:rFonts w:hint="eastAsia"/>
          <w:sz w:val="24"/>
          <w:szCs w:val="28"/>
        </w:rPr>
        <w:t xml:space="preserve">                             </w:t>
      </w:r>
    </w:p>
    <w:p>
      <w:pPr>
        <w:spacing w:line="480" w:lineRule="exact"/>
        <w:ind w:firstLine="240" w:firstLineChars="100"/>
        <w:jc w:val="right"/>
      </w:pPr>
      <w:r>
        <w:rPr>
          <w:rFonts w:hint="eastAsia"/>
          <w:sz w:val="24"/>
          <w:szCs w:val="28"/>
        </w:rPr>
        <w:t>日期：   年    月    日</w:t>
      </w:r>
    </w:p>
    <w:p/>
    <w:sectPr>
      <w:head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rFonts w:hint="eastAsia"/>
      </w:rPr>
      <w:t xml:space="preserve">                                   重庆通力高速公路工程有限公司购销合同                  合同编号： 09G-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896E9"/>
    <w:multiLevelType w:val="singleLevel"/>
    <w:tmpl w:val="892896E9"/>
    <w:lvl w:ilvl="0" w:tentative="0">
      <w:start w:val="1"/>
      <w:numFmt w:val="decimal"/>
      <w:suff w:val="nothing"/>
      <w:lvlText w:val="%1、"/>
      <w:lvlJc w:val="left"/>
    </w:lvl>
  </w:abstractNum>
  <w:abstractNum w:abstractNumId="1">
    <w:nsid w:val="1B52B921"/>
    <w:multiLevelType w:val="singleLevel"/>
    <w:tmpl w:val="1B52B921"/>
    <w:lvl w:ilvl="0" w:tentative="0">
      <w:start w:val="1"/>
      <w:numFmt w:val="decimal"/>
      <w:suff w:val="nothing"/>
      <w:lvlText w:val="%1、"/>
      <w:lvlJc w:val="left"/>
    </w:lvl>
  </w:abstractNum>
  <w:abstractNum w:abstractNumId="2">
    <w:nsid w:val="320C029B"/>
    <w:multiLevelType w:val="singleLevel"/>
    <w:tmpl w:val="320C029B"/>
    <w:lvl w:ilvl="0" w:tentative="0">
      <w:start w:val="9"/>
      <w:numFmt w:val="chineseCounting"/>
      <w:suff w:val="nothing"/>
      <w:lvlText w:val="（%1）"/>
      <w:lvlJc w:val="left"/>
      <w:rPr>
        <w:rFonts w:hint="eastAsia"/>
      </w:rPr>
    </w:lvl>
  </w:abstractNum>
  <w:abstractNum w:abstractNumId="3">
    <w:nsid w:val="589AB4D9"/>
    <w:multiLevelType w:val="singleLevel"/>
    <w:tmpl w:val="589AB4D9"/>
    <w:lvl w:ilvl="0" w:tentative="0">
      <w:start w:val="4"/>
      <w:numFmt w:val="chineseCounting"/>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NzNiZDc5Yjk3NzEyNmVlYTNiODA0OTYzZjA3NzYifQ=="/>
  </w:docVars>
  <w:rsids>
    <w:rsidRoot w:val="349A1550"/>
    <w:rsid w:val="001D1C54"/>
    <w:rsid w:val="00213A12"/>
    <w:rsid w:val="004C5189"/>
    <w:rsid w:val="009A6B3D"/>
    <w:rsid w:val="017C0232"/>
    <w:rsid w:val="02224073"/>
    <w:rsid w:val="03A528BE"/>
    <w:rsid w:val="06B82FAD"/>
    <w:rsid w:val="0CE0261E"/>
    <w:rsid w:val="0D6231C7"/>
    <w:rsid w:val="0EC67291"/>
    <w:rsid w:val="0F394DC8"/>
    <w:rsid w:val="0F843BEA"/>
    <w:rsid w:val="121A7883"/>
    <w:rsid w:val="12E86320"/>
    <w:rsid w:val="132803FF"/>
    <w:rsid w:val="147D3C77"/>
    <w:rsid w:val="15DF41F2"/>
    <w:rsid w:val="176725E7"/>
    <w:rsid w:val="18760D7D"/>
    <w:rsid w:val="1EB61874"/>
    <w:rsid w:val="1F443106"/>
    <w:rsid w:val="1FA83694"/>
    <w:rsid w:val="20083813"/>
    <w:rsid w:val="215E2404"/>
    <w:rsid w:val="232B5B1E"/>
    <w:rsid w:val="25DB0988"/>
    <w:rsid w:val="283326B3"/>
    <w:rsid w:val="283C5022"/>
    <w:rsid w:val="28800EBC"/>
    <w:rsid w:val="290822BE"/>
    <w:rsid w:val="2AE94D8E"/>
    <w:rsid w:val="2BDE5C4B"/>
    <w:rsid w:val="2EF857AD"/>
    <w:rsid w:val="2F5C6AA1"/>
    <w:rsid w:val="2F837332"/>
    <w:rsid w:val="332E2493"/>
    <w:rsid w:val="345473FC"/>
    <w:rsid w:val="349A1550"/>
    <w:rsid w:val="36DE286A"/>
    <w:rsid w:val="37FD501A"/>
    <w:rsid w:val="382F5349"/>
    <w:rsid w:val="39AF0E40"/>
    <w:rsid w:val="3DF67564"/>
    <w:rsid w:val="3E0E07CE"/>
    <w:rsid w:val="3FC36380"/>
    <w:rsid w:val="43B44BF3"/>
    <w:rsid w:val="43C91EF3"/>
    <w:rsid w:val="4BCB5E91"/>
    <w:rsid w:val="51C501F0"/>
    <w:rsid w:val="51FC6627"/>
    <w:rsid w:val="53FC1A4E"/>
    <w:rsid w:val="55877B5D"/>
    <w:rsid w:val="5760172C"/>
    <w:rsid w:val="5BD90156"/>
    <w:rsid w:val="5D657C27"/>
    <w:rsid w:val="5DB6074F"/>
    <w:rsid w:val="5FA212FF"/>
    <w:rsid w:val="60492912"/>
    <w:rsid w:val="62CF347D"/>
    <w:rsid w:val="66B92093"/>
    <w:rsid w:val="67191D4F"/>
    <w:rsid w:val="678E232E"/>
    <w:rsid w:val="68187AAB"/>
    <w:rsid w:val="6A6D1720"/>
    <w:rsid w:val="6B9569F6"/>
    <w:rsid w:val="6B9D16C7"/>
    <w:rsid w:val="6CC771BC"/>
    <w:rsid w:val="6E2B15E2"/>
    <w:rsid w:val="73BE1EBD"/>
    <w:rsid w:val="750C58CE"/>
    <w:rsid w:val="75A730DE"/>
    <w:rsid w:val="787C2BD1"/>
    <w:rsid w:val="7AA5772A"/>
    <w:rsid w:val="7F485CB7"/>
    <w:rsid w:val="7F6556D9"/>
    <w:rsid w:val="7FE94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9"/>
    <w:pPr>
      <w:keepNext/>
      <w:keepLines/>
      <w:spacing w:before="260" w:after="260" w:line="412" w:lineRule="auto"/>
      <w:ind w:firstLine="49" w:firstLineChars="49"/>
      <w:outlineLvl w:val="2"/>
    </w:pPr>
    <w:rPr>
      <w:b/>
      <w:bCs/>
      <w:kern w:val="0"/>
      <w:sz w:val="32"/>
      <w:szCs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spacing w:before="120" w:after="120"/>
      <w:jc w:val="left"/>
    </w:pPr>
    <w:rPr>
      <w:rFonts w:ascii="Calibri" w:hAnsi="Calibri"/>
      <w:b/>
      <w:bCs/>
      <w:caps/>
      <w:sz w:val="20"/>
    </w:rPr>
  </w:style>
  <w:style w:type="paragraph" w:customStyle="1" w:styleId="9">
    <w:name w:val="无间隔1"/>
    <w:qFormat/>
    <w:uiPriority w:val="1"/>
    <w:pPr>
      <w:jc w:val="both"/>
    </w:pPr>
    <w:rPr>
      <w:rFonts w:ascii="Times New Roman" w:hAnsi="Times New Roman" w:eastAsia="Times New Roman" w:cs="Times New Roman"/>
      <w:lang w:val="en-US" w:eastAsia="zh-CN" w:bidi="ar-SA"/>
    </w:rPr>
  </w:style>
  <w:style w:type="paragraph" w:customStyle="1" w:styleId="1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10622</Words>
  <Characters>11195</Characters>
  <Lines>106</Lines>
  <Paragraphs>29</Paragraphs>
  <TotalTime>38</TotalTime>
  <ScaleCrop>false</ScaleCrop>
  <LinksUpToDate>false</LinksUpToDate>
  <CharactersWithSpaces>12665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2022-02-15T08:06:00Z</dcterms:created>
  <dc:creator>哈皮扭几儿</dc:creator>
  <cp:lastModifiedBy>晰透</cp:lastModifiedBy>
  <dcterms:modified xsi:type="dcterms:W3CDTF">2022-07-11T02:35:58Z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5735861AF42A4CBB9F540905E72A1336</vt:lpwstr>
  </property>
</Properties>
</file>