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00" w:lineRule="exact"/>
        <w:jc w:val="center"/>
        <w:rPr>
          <w:rFonts w:hint="eastAsia" w:ascii="宋体" w:hAnsi="宋体" w:cs="宋体"/>
          <w:b/>
          <w:color w:val="auto"/>
          <w:sz w:val="32"/>
          <w:szCs w:val="32"/>
          <w:highlight w:val="none"/>
        </w:rPr>
      </w:pPr>
    </w:p>
    <w:p>
      <w:pPr>
        <w:shd w:val="clear"/>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终端监控智能维护箱合作研发项目</w:t>
      </w:r>
    </w:p>
    <w:p>
      <w:pPr>
        <w:shd w:val="clear"/>
        <w:rPr>
          <w:rFonts w:hint="eastAsia" w:ascii="宋体" w:hAnsi="宋体" w:cs="宋体"/>
          <w:color w:val="auto"/>
          <w:sz w:val="28"/>
          <w:szCs w:val="2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比</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选</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pPr>
        <w:shd w:val="clear"/>
        <w:jc w:val="center"/>
        <w:rPr>
          <w:rFonts w:hint="eastAsia" w:ascii="宋体" w:hAnsi="宋体" w:cs="宋体"/>
          <w:b/>
          <w:color w:val="auto"/>
          <w:sz w:val="48"/>
          <w:szCs w:val="48"/>
          <w:highlight w:val="none"/>
        </w:rPr>
      </w:pPr>
    </w:p>
    <w:p>
      <w:pPr>
        <w:shd w:val="clear"/>
        <w:jc w:val="center"/>
        <w:rPr>
          <w:rFonts w:hint="eastAsia" w:ascii="宋体" w:hAnsi="宋体" w:cs="宋体"/>
          <w:b/>
          <w:color w:val="auto"/>
          <w:sz w:val="96"/>
          <w:szCs w:val="72"/>
          <w:highlight w:val="none"/>
        </w:rPr>
      </w:pPr>
      <w:r>
        <w:rPr>
          <w:rFonts w:hint="eastAsia" w:ascii="宋体" w:hAnsi="宋体" w:cs="宋体"/>
          <w:b/>
          <w:color w:val="auto"/>
          <w:sz w:val="48"/>
          <w:szCs w:val="48"/>
          <w:highlight w:val="none"/>
        </w:rPr>
        <w:t>件</w:t>
      </w:r>
    </w:p>
    <w:p>
      <w:pPr>
        <w:shd w:val="clear"/>
        <w:spacing w:line="400" w:lineRule="exact"/>
        <w:rPr>
          <w:rFonts w:hint="eastAsia" w:ascii="宋体" w:hAnsi="宋体" w:cs="宋体"/>
          <w:color w:val="auto"/>
          <w:highlight w:val="none"/>
        </w:rPr>
      </w:pPr>
    </w:p>
    <w:p>
      <w:pPr>
        <w:shd w:val="clear"/>
        <w:spacing w:line="400" w:lineRule="exact"/>
        <w:rPr>
          <w:rFonts w:hint="eastAsia" w:ascii="宋体" w:hAnsi="宋体" w:cs="宋体"/>
          <w:color w:val="auto"/>
          <w:highlight w:val="none"/>
        </w:rPr>
      </w:pPr>
    </w:p>
    <w:p>
      <w:pPr>
        <w:shd w:val="clear"/>
        <w:spacing w:line="400" w:lineRule="exact"/>
        <w:rPr>
          <w:rFonts w:hint="eastAsia" w:ascii="宋体" w:hAnsi="宋体" w:cs="宋体"/>
          <w:color w:val="auto"/>
          <w:highlight w:val="none"/>
        </w:rPr>
      </w:pPr>
    </w:p>
    <w:p>
      <w:pPr>
        <w:shd w:val="clear"/>
        <w:rPr>
          <w:rFonts w:hint="eastAsia"/>
          <w:color w:val="auto"/>
          <w:highlight w:val="none"/>
        </w:rPr>
      </w:pPr>
    </w:p>
    <w:p>
      <w:pPr>
        <w:shd w:val="clear"/>
        <w:rPr>
          <w:rFonts w:hint="eastAsia"/>
          <w:color w:val="auto"/>
          <w:highlight w:val="none"/>
        </w:rPr>
      </w:pPr>
    </w:p>
    <w:p>
      <w:pPr>
        <w:shd w:val="clea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pPr>
        <w:shd w:val="clea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6 </w:t>
      </w:r>
      <w:r>
        <w:rPr>
          <w:rFonts w:hint="eastAsia" w:ascii="宋体" w:hAnsi="宋体" w:cs="宋体"/>
          <w:b/>
          <w:color w:val="auto"/>
          <w:sz w:val="28"/>
          <w:szCs w:val="28"/>
          <w:highlight w:val="none"/>
        </w:rPr>
        <w:t>月</w:t>
      </w:r>
    </w:p>
    <w:p>
      <w:pPr>
        <w:pStyle w:val="29"/>
        <w:shd w:val="clear"/>
        <w:jc w:val="center"/>
        <w:outlineLvl w:val="0"/>
        <w:rPr>
          <w:rFonts w:hint="eastAsia" w:ascii="宋体" w:hAnsi="宋体" w:cs="宋体"/>
          <w:color w:val="auto"/>
          <w:szCs w:val="21"/>
          <w:highlight w:val="none"/>
        </w:rPr>
      </w:pPr>
      <w:r>
        <w:rPr>
          <w:color w:val="auto"/>
          <w:highlight w:val="none"/>
        </w:rPr>
        <w:br w:type="page"/>
      </w:r>
      <w:bookmarkStart w:id="0" w:name="_Toc296602400"/>
      <w:bookmarkStart w:id="1" w:name="_Toc246996898"/>
      <w:bookmarkStart w:id="2" w:name="_Toc27358"/>
      <w:bookmarkStart w:id="3" w:name="_Toc507319889"/>
      <w:bookmarkStart w:id="4" w:name="_Toc507428442"/>
      <w:bookmarkStart w:id="5" w:name="_Toc247085669"/>
      <w:r>
        <w:rPr>
          <w:rFonts w:hint="eastAsia" w:ascii="宋体" w:hAnsi="宋体" w:cs="宋体"/>
          <w:b w:val="0"/>
          <w:color w:val="auto"/>
          <w:sz w:val="32"/>
          <w:highlight w:val="none"/>
        </w:rPr>
        <w:t>目   录</w:t>
      </w:r>
      <w:bookmarkEnd w:id="0"/>
      <w:bookmarkEnd w:id="1"/>
      <w:bookmarkEnd w:id="2"/>
      <w:bookmarkEnd w:id="3"/>
      <w:bookmarkEnd w:id="4"/>
      <w:bookmarkEnd w:id="5"/>
    </w:p>
    <w:p>
      <w:pPr>
        <w:pStyle w:val="29"/>
        <w:shd w:val="clear"/>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_Toc25855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_Toc25855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29"/>
        <w:shd w:val="clear"/>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_Toc18539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bCs/>
          <w:caps/>
          <w:color w:val="auto"/>
          <w:highlight w:val="none"/>
        </w:rPr>
        <w:fldChar w:fldCharType="end"/>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_Toc7273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第三章 评标办法（</w:t>
      </w:r>
      <w:r>
        <w:rPr>
          <w:rFonts w:hint="eastAsia" w:ascii="宋体" w:hAnsi="宋体" w:cs="宋体"/>
          <w:color w:val="auto"/>
          <w:highlight w:val="none"/>
          <w:lang w:val="en-US" w:eastAsia="zh-CN"/>
        </w:rPr>
        <w:t>综合评估法</w:t>
      </w:r>
      <w:r>
        <w:rPr>
          <w:rFonts w:hint="eastAsia" w:ascii="宋体" w:hAnsi="宋体" w:cs="宋体"/>
          <w:color w:val="auto"/>
          <w:highlight w:val="none"/>
        </w:rPr>
        <w:t>）</w:t>
      </w:r>
      <w:r>
        <w:rPr>
          <w:color w:val="auto"/>
          <w:highlight w:val="none"/>
        </w:rPr>
        <w:tab/>
      </w:r>
      <w:r>
        <w:rPr>
          <w:rFonts w:hint="eastAsia" w:ascii="宋体" w:hAnsi="宋体" w:cs="宋体"/>
          <w:bCs/>
          <w:caps/>
          <w:color w:val="auto"/>
          <w:highlight w:val="none"/>
        </w:rPr>
        <w:fldChar w:fldCharType="end"/>
      </w:r>
      <w:r>
        <w:rPr>
          <w:rFonts w:hint="eastAsia"/>
          <w:color w:val="auto"/>
          <w:highlight w:val="none"/>
          <w:lang w:val="en-US" w:eastAsia="zh-CN"/>
        </w:rPr>
        <w:t>8</w:t>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_Toc6879 </w:instrText>
      </w:r>
      <w:r>
        <w:rPr>
          <w:rFonts w:hint="eastAsia" w:ascii="宋体" w:hAnsi="宋体" w:cs="宋体"/>
          <w:bCs/>
          <w:caps/>
          <w:color w:val="auto"/>
          <w:highlight w:val="none"/>
        </w:rPr>
        <w:fldChar w:fldCharType="separate"/>
      </w:r>
      <w:r>
        <w:rPr>
          <w:rFonts w:hint="eastAsia"/>
          <w:bCs/>
          <w:color w:val="auto"/>
          <w:highlight w:val="none"/>
          <w:lang w:val="en-US" w:eastAsia="zh-CN"/>
        </w:rPr>
        <w:t>第四章 报价说明</w:t>
      </w:r>
      <w:r>
        <w:rPr>
          <w:color w:val="auto"/>
          <w:highlight w:val="none"/>
        </w:rPr>
        <w:tab/>
      </w:r>
      <w:r>
        <w:rPr>
          <w:color w:val="auto"/>
          <w:highlight w:val="none"/>
        </w:rPr>
        <w:fldChar w:fldCharType="begin"/>
      </w:r>
      <w:r>
        <w:rPr>
          <w:color w:val="auto"/>
          <w:highlight w:val="none"/>
        </w:rPr>
        <w:instrText xml:space="preserve"> PAGEREF _Toc6879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r>
        <w:rPr>
          <w:rFonts w:hint="eastAsia"/>
          <w:color w:val="auto"/>
          <w:highlight w:val="none"/>
          <w:lang w:val="en-US" w:eastAsia="zh-CN"/>
        </w:rPr>
        <w:t>2</w:t>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_Toc4638 </w:instrText>
      </w:r>
      <w:r>
        <w:rPr>
          <w:rFonts w:hint="eastAsia" w:ascii="宋体" w:hAnsi="宋体" w:cs="宋体"/>
          <w:bCs/>
          <w:caps/>
          <w:color w:val="auto"/>
          <w:highlight w:val="none"/>
        </w:rPr>
        <w:fldChar w:fldCharType="separate"/>
      </w:r>
      <w:r>
        <w:rPr>
          <w:rFonts w:hint="eastAsia" w:ascii="宋体" w:hAnsi="宋体" w:cs="宋体"/>
          <w:color w:val="auto"/>
          <w:highlight w:val="none"/>
        </w:rPr>
        <w:t xml:space="preserve">第五章 </w:t>
      </w:r>
      <w:r>
        <w:rPr>
          <w:rFonts w:hint="eastAsia" w:ascii="宋体" w:hAnsi="宋体" w:cs="宋体"/>
          <w:color w:val="auto"/>
          <w:highlight w:val="none"/>
          <w:lang w:eastAsia="zh-CN"/>
        </w:rPr>
        <w:t>报价清单</w:t>
      </w:r>
      <w:r>
        <w:rPr>
          <w:color w:val="auto"/>
          <w:highlight w:val="none"/>
        </w:rPr>
        <w:tab/>
      </w:r>
      <w:r>
        <w:rPr>
          <w:color w:val="auto"/>
          <w:highlight w:val="none"/>
        </w:rPr>
        <w:fldChar w:fldCharType="begin"/>
      </w:r>
      <w:r>
        <w:rPr>
          <w:color w:val="auto"/>
          <w:highlight w:val="none"/>
        </w:rPr>
        <w:instrText xml:space="preserve"> PAGEREF _Toc4638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r>
        <w:rPr>
          <w:rFonts w:hint="eastAsia"/>
          <w:color w:val="auto"/>
          <w:highlight w:val="none"/>
          <w:lang w:val="en-US" w:eastAsia="zh-CN"/>
        </w:rPr>
        <w:t>3</w:t>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_Toc28333 </w:instrText>
      </w:r>
      <w:r>
        <w:rPr>
          <w:rFonts w:hint="eastAsia" w:ascii="宋体" w:hAnsi="宋体" w:cs="宋体"/>
          <w:bCs/>
          <w:caps/>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r>
        <w:rPr>
          <w:rFonts w:hint="eastAsia"/>
          <w:color w:val="auto"/>
          <w:highlight w:val="none"/>
          <w:lang w:val="en-US" w:eastAsia="zh-CN"/>
        </w:rPr>
        <w:t>4</w:t>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_Toc904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第七章  技术标准和工作要求</w:t>
      </w:r>
      <w:r>
        <w:rPr>
          <w:color w:val="auto"/>
          <w:highlight w:val="none"/>
        </w:rPr>
        <w:tab/>
      </w:r>
      <w:r>
        <w:rPr>
          <w:color w:val="auto"/>
          <w:highlight w:val="none"/>
        </w:rPr>
        <w:fldChar w:fldCharType="begin"/>
      </w:r>
      <w:r>
        <w:rPr>
          <w:color w:val="auto"/>
          <w:highlight w:val="none"/>
        </w:rPr>
        <w:instrText xml:space="preserve"> PAGEREF _Toc904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r>
        <w:rPr>
          <w:rFonts w:hint="eastAsia"/>
          <w:color w:val="auto"/>
          <w:highlight w:val="none"/>
          <w:lang w:val="en-US" w:eastAsia="zh-CN"/>
        </w:rPr>
        <w:t>5</w:t>
      </w:r>
    </w:p>
    <w:p>
      <w:pPr>
        <w:pStyle w:val="29"/>
        <w:shd w:val="clear"/>
        <w:tabs>
          <w:tab w:val="right" w:leader="dot" w:pos="9638"/>
        </w:tabs>
        <w:rPr>
          <w:rFonts w:hint="eastAsia" w:eastAsia="宋体"/>
          <w:color w:val="auto"/>
          <w:highlight w:val="none"/>
          <w:lang w:eastAsia="zh-CN"/>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_Toc15881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_Toc15881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r>
        <w:rPr>
          <w:rFonts w:hint="eastAsia"/>
          <w:color w:val="auto"/>
          <w:highlight w:val="none"/>
          <w:lang w:val="en-US" w:eastAsia="zh-CN"/>
        </w:rPr>
        <w:t>9</w:t>
      </w:r>
    </w:p>
    <w:p>
      <w:pPr>
        <w:pStyle w:val="35"/>
        <w:shd w:val="clear"/>
        <w:tabs>
          <w:tab w:val="right" w:leader="dot" w:pos="9628"/>
        </w:tabs>
        <w:ind w:left="0" w:leftChars="0" w:firstLine="0" w:firstLineChars="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p>
    <w:p>
      <w:pPr>
        <w:pStyle w:val="4"/>
        <w:shd w:val="clear"/>
        <w:spacing w:before="0" w:after="0" w:line="360" w:lineRule="auto"/>
        <w:jc w:val="center"/>
        <w:rPr>
          <w:rFonts w:hint="eastAsia" w:ascii="宋体" w:hAnsi="宋体" w:cs="宋体"/>
          <w:color w:val="auto"/>
          <w:highlight w:val="none"/>
        </w:rPr>
      </w:pPr>
      <w:bookmarkStart w:id="6" w:name="_Toc144974479"/>
      <w:bookmarkStart w:id="7" w:name="_Toc152045511"/>
      <w:bookmarkStart w:id="8" w:name="_Toc152042287"/>
      <w:bookmarkStart w:id="9" w:name="_Toc507319890"/>
      <w:bookmarkStart w:id="10" w:name="_Toc179632527"/>
      <w:bookmarkStart w:id="11" w:name="_Toc246996157"/>
      <w:bookmarkStart w:id="12" w:name="_Toc247085671"/>
      <w:bookmarkStart w:id="13" w:name="_Toc246996900"/>
      <w:bookmarkStart w:id="14" w:name="_Toc247096243"/>
      <w:bookmarkStart w:id="15" w:name="_Toc2000404"/>
      <w:bookmarkStart w:id="16" w:name="_Toc25855"/>
      <w:r>
        <w:rPr>
          <w:rFonts w:hint="eastAsia" w:ascii="宋体" w:hAnsi="宋体" w:cs="宋体"/>
          <w:color w:val="auto"/>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color w:val="auto"/>
          <w:highlight w:val="none"/>
        </w:rPr>
        <w:t>比选公告</w:t>
      </w:r>
      <w:bookmarkEnd w:id="16"/>
    </w:p>
    <w:p>
      <w:pPr>
        <w:shd w:val="clear"/>
        <w:spacing w:line="440" w:lineRule="exact"/>
        <w:jc w:val="center"/>
        <w:rPr>
          <w:rFonts w:hint="eastAsia" w:ascii="宋体" w:hAnsi="宋体" w:cs="宋体"/>
          <w:b/>
          <w:color w:val="auto"/>
          <w:sz w:val="28"/>
          <w:szCs w:val="28"/>
          <w:highlight w:val="none"/>
        </w:rPr>
      </w:pPr>
      <w:bookmarkStart w:id="17" w:name="OLE_LINK3"/>
      <w:bookmarkStart w:id="18" w:name="OLE_LINK2"/>
    </w:p>
    <w:p>
      <w:pPr>
        <w:pStyle w:val="5"/>
        <w:shd w:val="clear"/>
        <w:spacing w:before="120" w:after="0" w:line="360" w:lineRule="auto"/>
        <w:rPr>
          <w:rFonts w:hint="eastAsia" w:ascii="宋体" w:hAnsi="宋体" w:eastAsia="宋体" w:cs="宋体"/>
          <w:color w:val="auto"/>
          <w:highlight w:val="none"/>
        </w:rPr>
      </w:pPr>
      <w:bookmarkStart w:id="19" w:name="_Toc144974480"/>
      <w:bookmarkStart w:id="20" w:name="_Toc246996158"/>
      <w:bookmarkStart w:id="21" w:name="_Toc11329213"/>
      <w:bookmarkStart w:id="22" w:name="_Toc10076"/>
      <w:bookmarkStart w:id="23" w:name="_Toc6549"/>
      <w:bookmarkStart w:id="24" w:name="_Toc26575"/>
      <w:bookmarkStart w:id="25" w:name="_Toc5988"/>
      <w:bookmarkStart w:id="26" w:name="_Toc179632528"/>
      <w:bookmarkStart w:id="27" w:name="_Toc247085672"/>
      <w:bookmarkStart w:id="28" w:name="_Toc10956"/>
      <w:bookmarkStart w:id="29" w:name="_Toc24874"/>
      <w:bookmarkStart w:id="30" w:name="_Toc246996901"/>
      <w:bookmarkStart w:id="31" w:name="_Toc1930"/>
      <w:bookmarkStart w:id="32" w:name="_Toc152042288"/>
      <w:bookmarkStart w:id="33" w:name="_Toc152045512"/>
      <w:bookmarkStart w:id="34" w:name="_Toc507319891"/>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eastAsia="zh-CN"/>
        </w:rPr>
        <w:t>终端监控智能维护箱合作研发项目</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pPr>
        <w:pStyle w:val="5"/>
        <w:shd w:val="clear"/>
        <w:spacing w:before="120" w:after="0" w:line="360" w:lineRule="auto"/>
        <w:rPr>
          <w:rFonts w:hint="eastAsia" w:ascii="宋体" w:hAnsi="宋体" w:eastAsia="宋体" w:cs="宋体"/>
          <w:color w:val="auto"/>
          <w:highlight w:val="none"/>
        </w:rPr>
      </w:pPr>
      <w:bookmarkStart w:id="35" w:name="_Toc21343"/>
      <w:bookmarkStart w:id="36" w:name="_Toc11329214"/>
      <w:bookmarkStart w:id="37" w:name="_Toc507319892"/>
      <w:bookmarkStart w:id="38" w:name="_Toc32159"/>
      <w:bookmarkStart w:id="39" w:name="_Toc21621"/>
      <w:bookmarkStart w:id="40" w:name="_Toc152045513"/>
      <w:bookmarkStart w:id="41" w:name="_Toc246996902"/>
      <w:bookmarkStart w:id="42" w:name="_Toc144974481"/>
      <w:bookmarkStart w:id="43" w:name="_Toc247085673"/>
      <w:bookmarkStart w:id="44" w:name="_Toc18109"/>
      <w:bookmarkStart w:id="45" w:name="_Toc10952"/>
      <w:bookmarkStart w:id="46" w:name="_Toc14538"/>
      <w:bookmarkStart w:id="47" w:name="_Toc152042289"/>
      <w:bookmarkStart w:id="48" w:name="_Toc2824"/>
      <w:bookmarkStart w:id="49" w:name="_Toc246996159"/>
      <w:bookmarkStart w:id="50" w:name="_Toc179632529"/>
      <w:r>
        <w:rPr>
          <w:rFonts w:hint="eastAsia" w:ascii="宋体" w:hAnsi="宋体" w:eastAsia="宋体" w:cs="宋体"/>
          <w:color w:val="auto"/>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hd w:val="clear"/>
        <w:spacing w:line="360" w:lineRule="auto"/>
        <w:ind w:firstLine="420" w:firstLineChars="200"/>
        <w:rPr>
          <w:rFonts w:hint="default" w:ascii="宋体" w:hAnsi="宋体" w:eastAsia="宋体" w:cs="宋体"/>
          <w:color w:val="auto"/>
          <w:highlight w:val="none"/>
          <w:lang w:val="en-US" w:eastAsia="zh-CN"/>
        </w:rPr>
      </w:pPr>
      <w:bookmarkStart w:id="51" w:name="_Toc446247226"/>
      <w:r>
        <w:rPr>
          <w:rFonts w:hint="eastAsia" w:ascii="宋体" w:hAnsi="宋体" w:cs="宋体"/>
          <w:color w:val="auto"/>
          <w:highlight w:val="none"/>
        </w:rPr>
        <w:t>2.1 项目地点：</w:t>
      </w:r>
      <w:bookmarkEnd w:id="51"/>
      <w:r>
        <w:rPr>
          <w:rFonts w:hint="eastAsia" w:ascii="宋体" w:hAnsi="宋体" w:cs="宋体"/>
          <w:color w:val="auto"/>
          <w:szCs w:val="21"/>
          <w:highlight w:val="none"/>
          <w:u w:val="single"/>
          <w:lang w:val="en-US" w:eastAsia="zh-CN"/>
        </w:rPr>
        <w:t>重庆高速公路集团有限公司的营运高速公路路段</w:t>
      </w:r>
      <w:r>
        <w:rPr>
          <w:rFonts w:hint="eastAsia" w:ascii="宋体" w:hAnsi="宋体" w:cs="宋体"/>
          <w:color w:val="auto"/>
          <w:highlight w:val="none"/>
          <w:lang w:eastAsia="zh-CN"/>
        </w:rPr>
        <w:t>。</w:t>
      </w:r>
    </w:p>
    <w:p>
      <w:pPr>
        <w:pStyle w:val="14"/>
        <w:shd w:val="clear"/>
        <w:adjustRightInd w:val="0"/>
        <w:spacing w:line="400" w:lineRule="exact"/>
        <w:jc w:val="both"/>
        <w:rPr>
          <w:rFonts w:hint="eastAsia" w:ascii="宋体" w:hAnsi="宋体" w:cs="宋体"/>
          <w:color w:val="auto"/>
          <w:szCs w:val="21"/>
          <w:highlight w:val="none"/>
        </w:rPr>
      </w:pPr>
      <w:r>
        <w:rPr>
          <w:rFonts w:hint="eastAsia" w:ascii="宋体" w:hAnsi="宋体" w:cs="宋体"/>
          <w:color w:val="auto"/>
          <w:szCs w:val="21"/>
          <w:highlight w:val="none"/>
        </w:rPr>
        <w:t>2.2 项目概况：</w:t>
      </w:r>
      <w:r>
        <w:rPr>
          <w:rFonts w:hint="eastAsia" w:ascii="宋体" w:hAnsi="宋体" w:cs="宋体"/>
          <w:color w:val="auto"/>
          <w:szCs w:val="21"/>
          <w:highlight w:val="none"/>
          <w:lang w:eastAsia="zh-CN"/>
        </w:rPr>
        <w:t>利用终端监控智能维护箱对高速公路机电设备进行监测，及时发现和定位设备问题并进行修复，保障设备的正常运行，对高速公路车辆的安全、高效运转尤为重要。为此，我司拟进行一款终端监控智能维护箱的研发，通过前端硬件设备和后端管控平台，协同智能监测高速公路机电设备的运行状态。现拟使用竞争性比选的方式，选择具有终端监控智能维护箱软硬件设施研发能力的单位，并根据高速公路应用需求进行定制化开发。</w:t>
      </w:r>
    </w:p>
    <w:p>
      <w:pPr>
        <w:pStyle w:val="14"/>
        <w:shd w:val="clear"/>
        <w:adjustRightInd w:val="0"/>
        <w:spacing w:line="400" w:lineRule="exact"/>
        <w:rPr>
          <w:rFonts w:hint="eastAsia" w:ascii="宋体" w:hAnsi="宋体" w:cs="宋体"/>
          <w:color w:val="auto"/>
          <w:highlight w:val="none"/>
        </w:rPr>
      </w:pPr>
      <w:r>
        <w:rPr>
          <w:rFonts w:hint="eastAsia" w:ascii="宋体" w:hAnsi="宋体" w:cs="宋体"/>
          <w:color w:val="auto"/>
          <w:highlight w:val="none"/>
        </w:rPr>
        <w:t>2.3 比选范围：</w:t>
      </w:r>
    </w:p>
    <w:p>
      <w:pPr>
        <w:pStyle w:val="14"/>
        <w:shd w:val="clear"/>
        <w:adjustRightIn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（1）终端监控智能维护箱</w:t>
      </w:r>
    </w:p>
    <w:p>
      <w:pPr>
        <w:pStyle w:val="14"/>
        <w:shd w:val="clear"/>
        <w:adjustRightInd w:val="0"/>
        <w:spacing w:line="400" w:lineRule="exact"/>
        <w:ind w:left="0" w:leftChars="0"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①协议网关支持多种设备接入，支持WIFI/4G/光纤通讯、远程WEB操作，使用主流开源操作系统（如Android），支持TF卡、外扩USB接口硬盘储存设备。</w:t>
      </w:r>
    </w:p>
    <w:p>
      <w:pPr>
        <w:pStyle w:val="14"/>
        <w:shd w:val="clear"/>
        <w:adjustRightIn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②技术指标需求应具有压铸铝外壳、LCD显示屏、开关设备、温湿度传感器、门禁、定位模块、抓拍相机、电子锁、保护电器等基本构件，并配备其它辅助电器元件，所有元件和技术参数需符合国家标准GB7251设计要求。 </w:t>
      </w:r>
    </w:p>
    <w:p>
      <w:pPr>
        <w:pStyle w:val="14"/>
        <w:shd w:val="clear"/>
        <w:adjustRightIn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（2）后端管控平台</w:t>
      </w:r>
    </w:p>
    <w:p>
      <w:pPr>
        <w:pStyle w:val="14"/>
        <w:shd w:val="clear"/>
        <w:adjustRightIn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平台应将接入终端设备管控所需的模块集成在一个系统中，包括但不限于电源管理、通讯管理、环境动力检测、设备监控、故障智能分析等功能模块，并提供二次开发接口，根据实际管控需求开发新的功能模块。</w:t>
      </w:r>
    </w:p>
    <w:p>
      <w:pPr>
        <w:pStyle w:val="14"/>
        <w:shd w:val="clear"/>
        <w:adjustRightInd w:val="0"/>
        <w:spacing w:line="40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详细内容详见“第七章  技术标准和工作要求”。</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2.4 研发成果交付及周期要求</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本项目合作研发周期为合同签订日起的6个月内，需交付的研发成果及周期要求如下：</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（1）设备设计图纸及样机：合同签订日起的1个月内，</w:t>
      </w:r>
      <w:r>
        <w:rPr>
          <w:rFonts w:hint="default" w:ascii="宋体" w:hAnsi="宋体" w:cs="宋体"/>
          <w:color w:val="auto"/>
          <w:szCs w:val="21"/>
          <w:highlight w:val="none"/>
          <w:lang w:val="en-US" w:eastAsia="zh-CN"/>
        </w:rPr>
        <w:t>报价人提供满足</w:t>
      </w:r>
      <w:r>
        <w:rPr>
          <w:rFonts w:hint="eastAsia" w:ascii="宋体" w:hAnsi="宋体" w:cs="宋体"/>
          <w:color w:val="auto"/>
          <w:szCs w:val="21"/>
          <w:highlight w:val="none"/>
          <w:lang w:val="en-US" w:eastAsia="zh-CN"/>
        </w:rPr>
        <w:t>采购人</w:t>
      </w:r>
      <w:r>
        <w:rPr>
          <w:rFonts w:hint="default" w:ascii="宋体" w:hAnsi="宋体" w:cs="宋体"/>
          <w:color w:val="auto"/>
          <w:szCs w:val="21"/>
          <w:highlight w:val="none"/>
          <w:lang w:val="en-US" w:eastAsia="zh-CN"/>
        </w:rPr>
        <w:t>需求的终端监控智能维护箱设备纸质和电子版设计图纸各一套，并提供3套测试合格的终端监控智能维护箱测试样机。</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（2）管控平台软件：合同签订日起的1个月内，</w:t>
      </w:r>
      <w:r>
        <w:rPr>
          <w:rFonts w:hint="default" w:ascii="宋体" w:hAnsi="宋体" w:cs="宋体"/>
          <w:color w:val="auto"/>
          <w:szCs w:val="21"/>
          <w:highlight w:val="none"/>
          <w:lang w:val="en-US" w:eastAsia="zh-CN"/>
        </w:rPr>
        <w:t>报价</w:t>
      </w:r>
      <w:r>
        <w:rPr>
          <w:rFonts w:hint="eastAsia" w:ascii="宋体" w:hAnsi="宋体" w:cs="宋体"/>
          <w:color w:val="auto"/>
          <w:szCs w:val="21"/>
          <w:highlight w:val="none"/>
          <w:lang w:val="en-US" w:eastAsia="zh-CN"/>
        </w:rPr>
        <w:t>人</w:t>
      </w:r>
      <w:r>
        <w:rPr>
          <w:rFonts w:hint="default" w:ascii="宋体" w:hAnsi="宋体" w:cs="宋体"/>
          <w:color w:val="auto"/>
          <w:szCs w:val="21"/>
          <w:highlight w:val="none"/>
          <w:lang w:val="en-US" w:eastAsia="zh-CN"/>
        </w:rPr>
        <w:t>提供1套终端监控智能维护管控平台软件及对应的《使用手册》。</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（3）检测报告：合同签订日起的1个月内，</w:t>
      </w:r>
      <w:r>
        <w:rPr>
          <w:rFonts w:hint="default" w:ascii="宋体" w:hAnsi="宋体" w:cs="宋体"/>
          <w:color w:val="auto"/>
          <w:szCs w:val="21"/>
          <w:highlight w:val="none"/>
          <w:lang w:val="en-US" w:eastAsia="zh-CN"/>
        </w:rPr>
        <w:t>报价人协助</w:t>
      </w:r>
      <w:r>
        <w:rPr>
          <w:rFonts w:hint="eastAsia" w:ascii="宋体" w:hAnsi="宋体" w:cs="宋体"/>
          <w:color w:val="auto"/>
          <w:szCs w:val="21"/>
          <w:highlight w:val="none"/>
          <w:lang w:val="en-US" w:eastAsia="zh-CN"/>
        </w:rPr>
        <w:t>采购人</w:t>
      </w:r>
      <w:r>
        <w:rPr>
          <w:rFonts w:hint="default" w:ascii="宋体" w:hAnsi="宋体" w:cs="宋体"/>
          <w:color w:val="auto"/>
          <w:szCs w:val="21"/>
          <w:highlight w:val="none"/>
          <w:lang w:val="en-US" w:eastAsia="zh-CN"/>
        </w:rPr>
        <w:t>进行送检工作，取得交通运输部相关检测部门的智能监控维护箱《检测报告》、管控平台《测试报告》</w:t>
      </w:r>
      <w:r>
        <w:rPr>
          <w:rFonts w:hint="eastAsia" w:ascii="宋体" w:hAnsi="宋体" w:cs="宋体"/>
          <w:color w:val="auto"/>
          <w:szCs w:val="21"/>
          <w:highlight w:val="none"/>
          <w:lang w:val="en-US" w:eastAsia="zh-CN"/>
        </w:rPr>
        <w:t>，使</w:t>
      </w:r>
      <w:r>
        <w:rPr>
          <w:rFonts w:hint="default" w:ascii="宋体" w:hAnsi="宋体" w:cs="宋体"/>
          <w:color w:val="auto"/>
          <w:szCs w:val="21"/>
          <w:highlight w:val="none"/>
          <w:lang w:val="en-US" w:eastAsia="zh-CN"/>
        </w:rPr>
        <w:t>终端监控智能维护箱设备</w:t>
      </w:r>
      <w:r>
        <w:rPr>
          <w:rFonts w:hint="eastAsia" w:ascii="宋体" w:hAnsi="宋体" w:cs="宋体"/>
          <w:color w:val="auto"/>
          <w:szCs w:val="21"/>
          <w:highlight w:val="none"/>
          <w:lang w:val="en-US" w:eastAsia="zh-CN"/>
        </w:rPr>
        <w:t>能够在交通建设工程领域使用。</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（4）知识产权：合同签订日起的3个月内，</w:t>
      </w:r>
      <w:r>
        <w:rPr>
          <w:rFonts w:hint="default" w:ascii="宋体" w:hAnsi="宋体" w:cs="宋体"/>
          <w:color w:val="auto"/>
          <w:szCs w:val="21"/>
          <w:highlight w:val="none"/>
          <w:lang w:val="en-US" w:eastAsia="zh-CN"/>
        </w:rPr>
        <w:t>报价人协助</w:t>
      </w:r>
      <w:r>
        <w:rPr>
          <w:rFonts w:hint="eastAsia" w:ascii="宋体" w:hAnsi="宋体" w:cs="宋体"/>
          <w:color w:val="auto"/>
          <w:szCs w:val="21"/>
          <w:highlight w:val="none"/>
          <w:lang w:val="en-US" w:eastAsia="zh-CN"/>
        </w:rPr>
        <w:t>采购人</w:t>
      </w:r>
      <w:r>
        <w:rPr>
          <w:rFonts w:hint="default" w:ascii="宋体" w:hAnsi="宋体" w:cs="宋体"/>
          <w:color w:val="auto"/>
          <w:szCs w:val="21"/>
          <w:highlight w:val="none"/>
          <w:lang w:val="en-US" w:eastAsia="zh-CN"/>
        </w:rPr>
        <w:t>基于合作研发产品进行</w:t>
      </w:r>
      <w:r>
        <w:rPr>
          <w:rFonts w:hint="eastAsia" w:ascii="宋体" w:hAnsi="宋体" w:cs="宋体"/>
          <w:color w:val="auto"/>
          <w:szCs w:val="21"/>
          <w:highlight w:val="none"/>
          <w:lang w:val="en-US" w:eastAsia="zh-CN"/>
        </w:rPr>
        <w:t>发明</w:t>
      </w:r>
      <w:r>
        <w:rPr>
          <w:rFonts w:hint="default" w:ascii="宋体" w:hAnsi="宋体" w:cs="宋体"/>
          <w:color w:val="auto"/>
          <w:szCs w:val="21"/>
          <w:highlight w:val="none"/>
          <w:lang w:val="en-US" w:eastAsia="zh-CN"/>
        </w:rPr>
        <w:t>专利申报1项</w:t>
      </w:r>
      <w:r>
        <w:rPr>
          <w:rFonts w:hint="eastAsia" w:ascii="宋体" w:hAnsi="宋体" w:cs="宋体"/>
          <w:color w:val="auto"/>
          <w:szCs w:val="21"/>
          <w:highlight w:val="none"/>
          <w:lang w:val="en-US" w:eastAsia="zh-CN"/>
        </w:rPr>
        <w:t>，实用新型专利申报1项，软件</w:t>
      </w:r>
      <w:r>
        <w:rPr>
          <w:rFonts w:hint="default" w:ascii="宋体" w:hAnsi="宋体" w:cs="宋体"/>
          <w:color w:val="auto"/>
          <w:szCs w:val="21"/>
          <w:highlight w:val="none"/>
          <w:lang w:val="en-US" w:eastAsia="zh-CN"/>
        </w:rPr>
        <w:t>著作权申报1项，</w:t>
      </w:r>
      <w:r>
        <w:rPr>
          <w:rFonts w:hint="eastAsia" w:ascii="宋体" w:hAnsi="宋体" w:cs="宋体"/>
          <w:color w:val="auto"/>
          <w:szCs w:val="21"/>
          <w:highlight w:val="none"/>
          <w:lang w:val="en-US" w:eastAsia="zh-CN"/>
        </w:rPr>
        <w:t>技术论文投稿2篇。技术论文原则上在合作研发周期内发表。报价人在双方共同约定范围内</w:t>
      </w:r>
      <w:r>
        <w:rPr>
          <w:rFonts w:hint="default" w:ascii="宋体" w:hAnsi="宋体" w:cs="宋体"/>
          <w:color w:val="auto"/>
          <w:szCs w:val="21"/>
          <w:highlight w:val="none"/>
          <w:lang w:val="en-US" w:eastAsia="zh-CN"/>
        </w:rPr>
        <w:t>提供知识产权申报所需要的基础文档性资料。</w:t>
      </w:r>
    </w:p>
    <w:p>
      <w:pPr>
        <w:pStyle w:val="14"/>
        <w:shd w:val="clear"/>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（5）研发报告：合作研发周期结束后的一个月内，报价人提交项目研发报告。</w:t>
      </w:r>
    </w:p>
    <w:p>
      <w:pPr>
        <w:pStyle w:val="5"/>
        <w:shd w:val="clear"/>
        <w:spacing w:before="120" w:after="0" w:line="360" w:lineRule="auto"/>
        <w:rPr>
          <w:rFonts w:hint="eastAsia" w:ascii="宋体" w:hAnsi="宋体" w:eastAsia="宋体" w:cs="宋体"/>
          <w:color w:val="auto"/>
          <w:highlight w:val="none"/>
        </w:rPr>
      </w:pPr>
      <w:bookmarkStart w:id="52" w:name="_Toc247085674"/>
      <w:bookmarkStart w:id="53" w:name="_Toc26728"/>
      <w:bookmarkStart w:id="54" w:name="_Toc1455"/>
      <w:bookmarkStart w:id="55" w:name="_Toc11329215"/>
      <w:bookmarkStart w:id="56" w:name="_Toc179632530"/>
      <w:bookmarkStart w:id="57" w:name="_Toc246996160"/>
      <w:bookmarkStart w:id="58" w:name="_Toc507319893"/>
      <w:bookmarkStart w:id="59" w:name="_Toc15801"/>
      <w:bookmarkStart w:id="60" w:name="_Toc15568"/>
      <w:bookmarkStart w:id="61" w:name="_Toc246996903"/>
      <w:bookmarkStart w:id="62" w:name="_Toc152042290"/>
      <w:bookmarkStart w:id="63" w:name="_Toc7065"/>
      <w:bookmarkStart w:id="64" w:name="_Toc144974482"/>
      <w:bookmarkStart w:id="65" w:name="_Toc30356"/>
      <w:bookmarkStart w:id="66" w:name="_Toc152045514"/>
      <w:bookmarkStart w:id="67" w:name="_Toc10171"/>
      <w:r>
        <w:rPr>
          <w:rFonts w:hint="eastAsia" w:ascii="宋体" w:hAnsi="宋体" w:eastAsia="宋体" w:cs="宋体"/>
          <w:color w:val="auto"/>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hd w:val="clear"/>
        <w:spacing w:line="400" w:lineRule="exact"/>
        <w:ind w:firstLine="420" w:firstLineChars="200"/>
        <w:rPr>
          <w:rFonts w:hint="eastAsia" w:ascii="宋体" w:hAnsi="宋体" w:cs="宋体"/>
          <w:color w:val="auto"/>
          <w:szCs w:val="21"/>
          <w:highlight w:val="none"/>
          <w:shd w:val="clear" w:color="auto" w:fill="FFFFFF"/>
        </w:rPr>
      </w:pPr>
      <w:bookmarkStart w:id="68" w:name="_Toc179632531"/>
      <w:bookmarkStart w:id="69" w:name="_Toc152042291"/>
      <w:bookmarkStart w:id="70" w:name="_Toc152045515"/>
      <w:bookmarkStart w:id="71" w:name="_Toc246996161"/>
      <w:bookmarkStart w:id="72" w:name="_Toc144974483"/>
      <w:bookmarkStart w:id="73" w:name="_Toc247085675"/>
      <w:bookmarkStart w:id="74" w:name="_Toc246996904"/>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w:t>
      </w:r>
    </w:p>
    <w:p>
      <w:pPr>
        <w:shd w:val="clea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）在中华人民共和国境内依法注册、具有独立法人资格</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具有有效的营业执照；</w:t>
      </w:r>
    </w:p>
    <w:p>
      <w:pPr>
        <w:shd w:val="clear"/>
        <w:spacing w:line="400" w:lineRule="exact"/>
        <w:ind w:firstLine="420" w:firstLineChars="20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）报价人必须拥有终端监控智能维护箱的自研产品</w:t>
      </w:r>
      <w:r>
        <w:rPr>
          <w:rFonts w:hint="eastAsia" w:ascii="宋体" w:hAnsi="宋体" w:cs="宋体"/>
          <w:color w:val="auto"/>
          <w:szCs w:val="21"/>
          <w:highlight w:val="none"/>
          <w:shd w:val="clear" w:color="auto" w:fill="FFFFFF"/>
          <w:lang w:eastAsia="zh-CN"/>
        </w:rPr>
        <w:t>；</w:t>
      </w:r>
    </w:p>
    <w:p>
      <w:pPr>
        <w:shd w:val="clear"/>
        <w:spacing w:line="400" w:lineRule="exact"/>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 xml:space="preserve">3.2 </w:t>
      </w:r>
      <w:r>
        <w:rPr>
          <w:rFonts w:hint="eastAsia" w:ascii="宋体" w:hAnsi="宋体" w:cs="宋体"/>
          <w:color w:val="auto"/>
          <w:szCs w:val="21"/>
          <w:highlight w:val="none"/>
          <w:shd w:val="clear" w:color="auto" w:fill="FFFFFF"/>
          <w:lang w:val="en-US" w:eastAsia="zh-CN"/>
        </w:rPr>
        <w:t>业绩要求：2020年1月1日至投标截止日，至少有一个100万元及以上的终端监控智能维护箱销售业绩</w:t>
      </w:r>
      <w:r>
        <w:rPr>
          <w:rFonts w:hint="eastAsia" w:ascii="宋体" w:hAnsi="宋体" w:cs="宋体"/>
          <w:color w:val="auto"/>
          <w:kern w:val="2"/>
          <w:sz w:val="21"/>
          <w:szCs w:val="21"/>
          <w:highlight w:val="none"/>
          <w:lang w:val="en-US" w:eastAsia="zh-CN"/>
        </w:rPr>
        <w:t>（以合同签订时间为准）</w:t>
      </w:r>
      <w:r>
        <w:rPr>
          <w:rFonts w:hint="eastAsia" w:ascii="宋体" w:hAnsi="宋体" w:cs="宋体"/>
          <w:color w:val="auto"/>
          <w:szCs w:val="21"/>
          <w:highlight w:val="none"/>
          <w:shd w:val="clear" w:color="auto" w:fill="FFFFFF"/>
          <w:lang w:val="en-US" w:eastAsia="zh-CN"/>
        </w:rPr>
        <w:t>。</w:t>
      </w:r>
    </w:p>
    <w:p>
      <w:pPr>
        <w:shd w:val="clea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 xml:space="preserve">3.3 </w:t>
      </w:r>
      <w:r>
        <w:rPr>
          <w:rFonts w:hint="eastAsia" w:ascii="宋体" w:hAnsi="宋体" w:cs="宋体"/>
          <w:color w:val="auto"/>
          <w:szCs w:val="21"/>
          <w:highlight w:val="none"/>
          <w:shd w:val="clear" w:color="auto" w:fill="FFFFFF"/>
        </w:rPr>
        <w:t>信誉</w:t>
      </w:r>
      <w:r>
        <w:rPr>
          <w:rFonts w:hint="eastAsia" w:ascii="宋体" w:hAnsi="宋体" w:cs="宋体"/>
          <w:color w:val="auto"/>
          <w:szCs w:val="21"/>
          <w:highlight w:val="none"/>
          <w:shd w:val="clear" w:color="auto" w:fill="FFFFFF"/>
          <w:lang w:val="en-US" w:eastAsia="zh-CN"/>
        </w:rPr>
        <w:t>要求</w:t>
      </w:r>
      <w:r>
        <w:rPr>
          <w:rFonts w:hint="eastAsia" w:ascii="宋体" w:hAnsi="宋体" w:cs="宋体"/>
          <w:color w:val="auto"/>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hd w:val="clear"/>
        <w:spacing w:line="400" w:lineRule="exact"/>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3.4 报价人须提供采购人要求的所有资质要求、业绩要求、信誉要求的复印件并加盖单位鲜公章。</w:t>
      </w:r>
    </w:p>
    <w:p>
      <w:pPr>
        <w:shd w:val="clea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 xml:space="preserve"> 本次比选不接受联合体</w:t>
      </w:r>
      <w:r>
        <w:rPr>
          <w:rFonts w:hint="eastAsia" w:ascii="宋体" w:hAnsi="宋体" w:cs="宋体"/>
          <w:color w:val="auto"/>
          <w:szCs w:val="21"/>
          <w:highlight w:val="none"/>
          <w:shd w:val="clear" w:color="auto" w:fill="FFFFFF"/>
          <w:lang w:val="en-US" w:eastAsia="zh-CN"/>
        </w:rPr>
        <w:t>及</w:t>
      </w:r>
      <w:r>
        <w:rPr>
          <w:rFonts w:hint="eastAsia" w:ascii="宋体" w:hAnsi="宋体" w:cs="宋体"/>
          <w:color w:val="auto"/>
          <w:szCs w:val="21"/>
          <w:highlight w:val="none"/>
          <w:shd w:val="clear" w:color="auto" w:fill="FFFFFF"/>
        </w:rPr>
        <w:t>代理商报价。</w:t>
      </w:r>
    </w:p>
    <w:p>
      <w:pPr>
        <w:shd w:val="clea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5"/>
        <w:shd w:val="clear"/>
        <w:spacing w:before="120" w:after="0" w:line="400" w:lineRule="exact"/>
        <w:rPr>
          <w:rFonts w:hint="eastAsia" w:ascii="宋体" w:hAnsi="宋体" w:eastAsia="宋体" w:cs="宋体"/>
          <w:color w:val="auto"/>
          <w:highlight w:val="none"/>
        </w:rPr>
      </w:pPr>
      <w:bookmarkStart w:id="75" w:name="_Toc11329216"/>
      <w:bookmarkStart w:id="76" w:name="_Toc6126"/>
      <w:bookmarkStart w:id="77" w:name="_Toc507319894"/>
      <w:bookmarkStart w:id="78" w:name="_Toc14361"/>
      <w:bookmarkStart w:id="79" w:name="_Toc17747"/>
      <w:bookmarkStart w:id="80" w:name="_Toc850"/>
      <w:bookmarkStart w:id="81" w:name="_Toc557"/>
      <w:bookmarkStart w:id="82" w:name="_Toc25619"/>
      <w:bookmarkStart w:id="83" w:name="_Toc12460"/>
      <w:r>
        <w:rPr>
          <w:rFonts w:hint="eastAsia" w:ascii="宋体" w:hAnsi="宋体" w:eastAsia="宋体" w:cs="宋体"/>
          <w:color w:val="auto"/>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bookmarkStart w:id="84" w:name="_Toc246996905"/>
      <w:bookmarkStart w:id="85" w:name="_Toc152042292"/>
      <w:bookmarkStart w:id="86" w:name="_Toc247085676"/>
      <w:bookmarkStart w:id="87" w:name="_Toc11329217"/>
      <w:bookmarkStart w:id="88" w:name="_Toc179632532"/>
      <w:bookmarkStart w:id="89" w:name="_Toc507319895"/>
      <w:bookmarkStart w:id="90" w:name="_Toc144974484"/>
      <w:bookmarkStart w:id="91" w:name="_Toc246996162"/>
      <w:bookmarkStart w:id="92" w:name="_Toc15204551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ascii="宋体" w:hAnsi="宋体" w:cs="Times New Roman"/>
          <w:color w:val="auto"/>
          <w:szCs w:val="21"/>
          <w:highlight w:val="none"/>
        </w:rPr>
        <w:t>，</w:t>
      </w:r>
      <w:r>
        <w:rPr>
          <w:rFonts w:hint="eastAsia" w:ascii="宋体" w:hAnsi="宋体" w:cs="Times New Roman"/>
          <w:color w:val="auto"/>
          <w:szCs w:val="21"/>
          <w:highlight w:val="none"/>
          <w:lang w:val="en-US" w:eastAsia="zh-CN"/>
        </w:rPr>
        <w:t>在</w:t>
      </w:r>
      <w:r>
        <w:rPr>
          <w:rFonts w:hint="eastAsia" w:ascii="宋体" w:hAnsi="宋体" w:cs="Times New Roman"/>
          <w:color w:val="auto"/>
          <w:szCs w:val="21"/>
          <w:highlight w:val="none"/>
          <w:u w:val="single"/>
        </w:rPr>
        <w:t>20</w:t>
      </w:r>
      <w:r>
        <w:rPr>
          <w:rFonts w:hint="eastAsia" w:ascii="宋体" w:hAnsi="宋体" w:cs="Times New Roman"/>
          <w:color w:val="auto"/>
          <w:szCs w:val="21"/>
          <w:highlight w:val="none"/>
          <w:u w:val="single"/>
          <w:lang w:val="en-US" w:eastAsia="zh-CN"/>
        </w:rPr>
        <w:t>22</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 xml:space="preserve"> 9 </w:t>
      </w:r>
      <w:r>
        <w:rPr>
          <w:rFonts w:hint="eastAsia" w:ascii="宋体" w:hAnsi="宋体" w:cs="Times New Roman"/>
          <w:color w:val="auto"/>
          <w:szCs w:val="21"/>
          <w:highlight w:val="none"/>
        </w:rPr>
        <w:t>日</w:t>
      </w:r>
      <w:r>
        <w:rPr>
          <w:rFonts w:hint="eastAsia" w:ascii="宋体" w:hAnsi="宋体" w:cs="Times New Roman"/>
          <w:color w:val="auto"/>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15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olor w:val="auto"/>
          <w:szCs w:val="21"/>
          <w:highlight w:val="none"/>
        </w:rPr>
        <w:t>前在重庆高速集团官网上</w:t>
      </w:r>
      <w:r>
        <w:rPr>
          <w:rFonts w:hint="eastAsia" w:ascii="宋体" w:hAnsi="宋体"/>
          <w:color w:val="auto"/>
          <w:szCs w:val="21"/>
          <w:highlight w:val="none"/>
          <w:lang w:val="en-US" w:eastAsia="zh-CN"/>
        </w:rPr>
        <w:t>获取比选文件</w:t>
      </w:r>
      <w:r>
        <w:rPr>
          <w:rFonts w:hint="eastAsia" w:ascii="宋体" w:hAnsi="宋体"/>
          <w:color w:val="auto"/>
          <w:szCs w:val="21"/>
          <w:highlight w:val="none"/>
        </w:rPr>
        <w:t>，各报价人应随时关注网上发布的竞争性比选文件答疑、补遗、澄清等文件内容，不管报价人是否下载，均视为已知晓竞争性比选文件的全部内容和有关事宜。</w:t>
      </w:r>
    </w:p>
    <w:p>
      <w:pPr>
        <w:pStyle w:val="5"/>
        <w:shd w:val="clear"/>
        <w:spacing w:before="120" w:after="0" w:line="400" w:lineRule="exact"/>
        <w:rPr>
          <w:rFonts w:hint="eastAsia" w:ascii="宋体" w:hAnsi="宋体" w:eastAsia="宋体" w:cs="宋体"/>
          <w:color w:val="auto"/>
          <w:highlight w:val="none"/>
        </w:rPr>
      </w:pPr>
      <w:bookmarkStart w:id="93" w:name="_Toc17845"/>
      <w:bookmarkStart w:id="94" w:name="_Toc9131"/>
      <w:bookmarkStart w:id="95" w:name="_Toc31493"/>
      <w:bookmarkStart w:id="96" w:name="_Toc16686"/>
      <w:bookmarkStart w:id="97" w:name="_Toc27512"/>
      <w:bookmarkStart w:id="98" w:name="_Toc3356"/>
      <w:bookmarkStart w:id="99" w:name="_Toc2547"/>
      <w:r>
        <w:rPr>
          <w:rFonts w:hint="eastAsia" w:ascii="宋体" w:hAnsi="宋体" w:eastAsia="宋体" w:cs="宋体"/>
          <w:color w:val="auto"/>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color w:val="auto"/>
          <w:highlight w:val="none"/>
        </w:rPr>
        <w:t>及相关事宜</w:t>
      </w:r>
      <w:bookmarkEnd w:id="93"/>
      <w:bookmarkEnd w:id="94"/>
      <w:bookmarkEnd w:id="95"/>
      <w:bookmarkEnd w:id="96"/>
      <w:bookmarkEnd w:id="97"/>
      <w:bookmarkEnd w:id="98"/>
      <w:bookmarkEnd w:id="99"/>
    </w:p>
    <w:p>
      <w:pPr>
        <w:shd w:val="clear"/>
        <w:tabs>
          <w:tab w:val="left" w:pos="36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5.1报价截止时间和开标时间：</w:t>
      </w:r>
      <w:r>
        <w:rPr>
          <w:rFonts w:hint="eastAsia" w:ascii="宋体" w:hAnsi="宋体" w:cs="Times New Roman"/>
          <w:color w:val="auto"/>
          <w:szCs w:val="21"/>
          <w:highlight w:val="none"/>
          <w:u w:val="single"/>
        </w:rPr>
        <w:t>20</w:t>
      </w:r>
      <w:r>
        <w:rPr>
          <w:rFonts w:hint="eastAsia" w:ascii="宋体" w:hAnsi="宋体" w:cs="Times New Roman"/>
          <w:color w:val="auto"/>
          <w:szCs w:val="21"/>
          <w:highlight w:val="none"/>
          <w:u w:val="single"/>
          <w:lang w:val="en-US" w:eastAsia="zh-CN"/>
        </w:rPr>
        <w:t>22</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 xml:space="preserve"> 9 </w:t>
      </w:r>
      <w:r>
        <w:rPr>
          <w:rFonts w:hint="eastAsia" w:ascii="宋体" w:hAnsi="宋体" w:cs="Times New Roman"/>
          <w:color w:val="auto"/>
          <w:szCs w:val="21"/>
          <w:highlight w:val="none"/>
        </w:rPr>
        <w:t>日</w:t>
      </w:r>
      <w:r>
        <w:rPr>
          <w:rFonts w:hint="eastAsia" w:ascii="宋体" w:hAnsi="宋体" w:cs="Times New Roman"/>
          <w:color w:val="auto"/>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15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00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p>
      <w:pPr>
        <w:shd w:val="clear"/>
        <w:tabs>
          <w:tab w:val="left" w:pos="360"/>
        </w:tabs>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5.2报价的递交：重庆市南岸区四公里内环入口200米处重庆首讯科技大楼</w:t>
      </w:r>
      <w:r>
        <w:rPr>
          <w:rFonts w:hint="eastAsia" w:ascii="宋体" w:hAnsi="宋体" w:cs="宋体"/>
          <w:color w:val="auto"/>
          <w:szCs w:val="21"/>
          <w:highlight w:val="none"/>
          <w:lang w:val="en-US" w:eastAsia="zh-CN"/>
        </w:rPr>
        <w:t>一楼</w:t>
      </w:r>
      <w:r>
        <w:rPr>
          <w:rFonts w:hint="eastAsia" w:ascii="宋体" w:hAnsi="宋体" w:cs="Times New Roman"/>
          <w:color w:val="auto"/>
          <w:szCs w:val="21"/>
          <w:highlight w:val="none"/>
          <w:lang w:val="en-US" w:eastAsia="zh-CN"/>
        </w:rPr>
        <w:t>。</w:t>
      </w:r>
    </w:p>
    <w:p>
      <w:pPr>
        <w:shd w:val="clear"/>
        <w:tabs>
          <w:tab w:val="left" w:pos="36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ascii="宋体" w:hAnsi="宋体" w:cs="宋体"/>
          <w:color w:val="auto"/>
          <w:szCs w:val="21"/>
          <w:highlight w:val="none"/>
        </w:rPr>
        <w:t>采购人不组织现场踏勘，不召开报价预备会。</w:t>
      </w:r>
    </w:p>
    <w:p>
      <w:pPr>
        <w:pStyle w:val="5"/>
        <w:shd w:val="clear"/>
        <w:spacing w:before="120" w:after="0" w:line="400" w:lineRule="exact"/>
        <w:rPr>
          <w:rFonts w:hint="eastAsia" w:ascii="宋体" w:hAnsi="宋体" w:eastAsia="宋体" w:cs="宋体"/>
          <w:color w:val="auto"/>
          <w:highlight w:val="none"/>
        </w:rPr>
      </w:pPr>
      <w:bookmarkStart w:id="100" w:name="_Toc14947"/>
      <w:bookmarkStart w:id="101" w:name="_Toc11329219"/>
      <w:bookmarkStart w:id="102" w:name="_Toc4284"/>
      <w:bookmarkStart w:id="103" w:name="_Toc144974485"/>
      <w:bookmarkStart w:id="104" w:name="_Toc246996907"/>
      <w:bookmarkStart w:id="105" w:name="_Toc393"/>
      <w:bookmarkStart w:id="106" w:name="_Toc152045517"/>
      <w:bookmarkStart w:id="107" w:name="_Toc507319897"/>
      <w:bookmarkStart w:id="108" w:name="_Toc5716"/>
      <w:bookmarkStart w:id="109" w:name="_Toc179632534"/>
      <w:bookmarkStart w:id="110" w:name="_Toc21615"/>
      <w:bookmarkStart w:id="111" w:name="_Toc246996164"/>
      <w:bookmarkStart w:id="112" w:name="_Toc247085678"/>
      <w:bookmarkStart w:id="113" w:name="_Toc152042293"/>
      <w:bookmarkStart w:id="114" w:name="_Toc18402"/>
      <w:bookmarkStart w:id="115" w:name="_Toc14972"/>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hd w:val="clear"/>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1"/>
              <w:shd w:val="clear"/>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shd w:val="clear"/>
              <w:topLinePunct/>
              <w:spacing w:line="400" w:lineRule="exact"/>
              <w:ind w:left="1050" w:leftChars="200" w:hanging="630" w:hanging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重庆市南岸区四公里内环入口重庆首讯科技股份有限公司</w:t>
            </w:r>
          </w:p>
        </w:tc>
        <w:tc>
          <w:tcPr>
            <w:tcW w:w="1415" w:type="dxa"/>
            <w:vAlign w:val="center"/>
          </w:tcPr>
          <w:p>
            <w:pPr>
              <w:shd w:val="clea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shd w:val="clea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高老师</w:t>
            </w:r>
          </w:p>
        </w:tc>
        <w:tc>
          <w:tcPr>
            <w:tcW w:w="1415" w:type="dxa"/>
            <w:vAlign w:val="center"/>
          </w:tcPr>
          <w:p>
            <w:pPr>
              <w:shd w:val="clea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shd w:val="clea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13883011048</w:t>
            </w:r>
          </w:p>
        </w:tc>
        <w:tc>
          <w:tcPr>
            <w:tcW w:w="1415" w:type="dxa"/>
            <w:vAlign w:val="center"/>
          </w:tcPr>
          <w:p>
            <w:pPr>
              <w:shd w:val="clea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shd w:val="clear"/>
              <w:topLinePunct/>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商务联系人：蒋老师</w:t>
            </w:r>
          </w:p>
        </w:tc>
        <w:tc>
          <w:tcPr>
            <w:tcW w:w="1415" w:type="dxa"/>
            <w:vAlign w:val="center"/>
          </w:tcPr>
          <w:p>
            <w:pPr>
              <w:shd w:val="clea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shd w:val="clear"/>
              <w:topLinePunct/>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 话：18523055172</w:t>
            </w:r>
          </w:p>
        </w:tc>
        <w:tc>
          <w:tcPr>
            <w:tcW w:w="1415" w:type="dxa"/>
            <w:vAlign w:val="center"/>
          </w:tcPr>
          <w:p>
            <w:pPr>
              <w:shd w:val="clear"/>
              <w:spacing w:line="400" w:lineRule="exact"/>
              <w:ind w:firstLine="420" w:firstLineChars="200"/>
              <w:rPr>
                <w:rFonts w:hint="eastAsia" w:ascii="宋体" w:hAnsi="宋体" w:cs="宋体"/>
                <w:color w:val="auto"/>
                <w:szCs w:val="21"/>
                <w:highlight w:val="none"/>
              </w:rPr>
            </w:pPr>
          </w:p>
        </w:tc>
      </w:tr>
    </w:tbl>
    <w:p>
      <w:pPr>
        <w:pStyle w:val="29"/>
        <w:shd w:val="clear"/>
        <w:rPr>
          <w:color w:val="auto"/>
          <w:highlight w:val="none"/>
        </w:rPr>
      </w:pPr>
    </w:p>
    <w:bookmarkEnd w:id="17"/>
    <w:bookmarkEnd w:id="18"/>
    <w:p>
      <w:pPr>
        <w:pStyle w:val="4"/>
        <w:shd w:val="clear"/>
        <w:spacing w:before="0" w:after="0" w:line="360" w:lineRule="auto"/>
        <w:jc w:val="center"/>
        <w:rPr>
          <w:rFonts w:hint="eastAsia" w:ascii="宋体" w:hAnsi="宋体" w:cs="宋体"/>
          <w:color w:val="auto"/>
          <w:highlight w:val="none"/>
        </w:rPr>
      </w:pPr>
      <w:bookmarkStart w:id="116" w:name="_Toc2000405"/>
      <w:bookmarkStart w:id="117" w:name="_Toc507319898"/>
      <w:bookmarkStart w:id="118" w:name="_Toc152042303"/>
      <w:bookmarkStart w:id="119" w:name="_Toc144974495"/>
      <w:bookmarkStart w:id="120" w:name="_Toc247085687"/>
      <w:bookmarkStart w:id="121" w:name="_Toc152045527"/>
      <w:bookmarkStart w:id="122" w:name="_Toc246996916"/>
      <w:bookmarkStart w:id="123" w:name="_Toc246996173"/>
      <w:bookmarkStart w:id="124" w:name="_Toc179632544"/>
      <w:r>
        <w:rPr>
          <w:rFonts w:hint="eastAsia" w:ascii="宋体" w:hAnsi="宋体" w:cs="宋体"/>
          <w:color w:val="auto"/>
          <w:highlight w:val="none"/>
        </w:rPr>
        <w:br w:type="page"/>
      </w:r>
      <w:bookmarkStart w:id="125" w:name="_Toc18539"/>
      <w:r>
        <w:rPr>
          <w:rFonts w:hint="eastAsia" w:ascii="宋体" w:hAnsi="宋体" w:cs="宋体"/>
          <w:color w:val="auto"/>
          <w:highlight w:val="none"/>
        </w:rPr>
        <w:t>第二章 报价人须知</w:t>
      </w:r>
      <w:bookmarkEnd w:id="116"/>
      <w:bookmarkEnd w:id="117"/>
      <w:bookmarkEnd w:id="118"/>
      <w:bookmarkEnd w:id="119"/>
      <w:bookmarkEnd w:id="120"/>
      <w:bookmarkEnd w:id="121"/>
      <w:bookmarkEnd w:id="122"/>
      <w:bookmarkEnd w:id="123"/>
      <w:bookmarkEnd w:id="124"/>
      <w:bookmarkEnd w:id="125"/>
    </w:p>
    <w:p>
      <w:pPr>
        <w:shd w:val="clear"/>
        <w:rPr>
          <w:rFonts w:hint="eastAsia"/>
          <w:color w:val="auto"/>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hd w:val="clear"/>
              <w:spacing w:line="400" w:lineRule="exact"/>
              <w:jc w:val="center"/>
              <w:rPr>
                <w:rFonts w:hint="eastAsia" w:ascii="宋体" w:hAnsi="宋体" w:cs="宋体"/>
                <w:b/>
                <w:color w:val="auto"/>
                <w:kern w:val="0"/>
                <w:szCs w:val="21"/>
                <w:highlight w:val="none"/>
              </w:rPr>
            </w:pPr>
            <w:bookmarkStart w:id="126" w:name="_Toc326760840"/>
            <w:r>
              <w:rPr>
                <w:rFonts w:hint="eastAsia" w:ascii="宋体" w:hAnsi="宋体" w:cs="宋体"/>
                <w:b/>
                <w:color w:val="auto"/>
                <w:kern w:val="0"/>
                <w:szCs w:val="21"/>
                <w:highlight w:val="none"/>
                <w:lang w:val="en-US" w:eastAsia="zh-CN"/>
              </w:rPr>
              <w:t>序</w:t>
            </w:r>
            <w:r>
              <w:rPr>
                <w:rFonts w:hint="eastAsia" w:ascii="宋体" w:hAnsi="宋体" w:cs="宋体"/>
                <w:b/>
                <w:color w:val="auto"/>
                <w:kern w:val="0"/>
                <w:szCs w:val="21"/>
                <w:highlight w:val="none"/>
              </w:rPr>
              <w:t>号</w:t>
            </w:r>
          </w:p>
        </w:tc>
        <w:tc>
          <w:tcPr>
            <w:tcW w:w="2106" w:type="dxa"/>
            <w:vAlign w:val="center"/>
          </w:tcPr>
          <w:p>
            <w:pPr>
              <w:shd w:val="clear"/>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shd w:val="clear"/>
              <w:spacing w:line="400" w:lineRule="exact"/>
              <w:ind w:firstLine="422" w:firstLineChars="20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采购人：重庆首讯科技股份有限公司</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址：重庆市南岸区四公里内环入口重庆首讯科技股份有限公司</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蒋老师</w:t>
            </w:r>
          </w:p>
          <w:p>
            <w:pPr>
              <w:shd w:val="clea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w:t>
            </w:r>
            <w:r>
              <w:rPr>
                <w:rFonts w:hint="eastAsia" w:ascii="宋体" w:hAnsi="宋体" w:cs="宋体"/>
                <w:color w:val="auto"/>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终端监控智能维护箱合作研发项目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项目地点</w:t>
            </w:r>
          </w:p>
        </w:tc>
        <w:tc>
          <w:tcPr>
            <w:tcW w:w="7104" w:type="dxa"/>
            <w:vAlign w:val="center"/>
          </w:tcPr>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2106" w:type="dxa"/>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比选范围</w:t>
            </w:r>
          </w:p>
        </w:tc>
        <w:tc>
          <w:tcPr>
            <w:tcW w:w="7104" w:type="dxa"/>
            <w:vAlign w:val="center"/>
          </w:tcPr>
          <w:p>
            <w:pPr>
              <w:shd w:val="clea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2106" w:type="dxa"/>
            <w:vAlign w:val="center"/>
          </w:tcPr>
          <w:p>
            <w:pPr>
              <w:shd w:val="clea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lang w:val="en-US" w:eastAsia="zh-CN"/>
              </w:rPr>
              <w:t>要求</w:t>
            </w:r>
          </w:p>
        </w:tc>
        <w:tc>
          <w:tcPr>
            <w:tcW w:w="7104" w:type="dxa"/>
            <w:vAlign w:val="center"/>
          </w:tcPr>
          <w:p>
            <w:pPr>
              <w:shd w:val="clea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hd w:val="clea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04" w:type="dxa"/>
          </w:tcPr>
          <w:p>
            <w:pPr>
              <w:shd w:val="clear"/>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满足国家现行的相关技术标准</w:t>
            </w:r>
            <w:r>
              <w:rPr>
                <w:rFonts w:hint="eastAsia" w:ascii="宋体" w:hAnsi="宋体" w:cs="宋体"/>
                <w:color w:val="auto"/>
                <w:szCs w:val="21"/>
                <w:highlight w:val="none"/>
                <w:lang w:val="en-US" w:eastAsia="zh-CN"/>
              </w:rPr>
              <w:t>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安全目标</w:t>
            </w:r>
          </w:p>
        </w:tc>
        <w:tc>
          <w:tcPr>
            <w:tcW w:w="7104" w:type="dxa"/>
          </w:tcPr>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报价人资质条件、能力与信誉</w:t>
            </w:r>
          </w:p>
        </w:tc>
        <w:tc>
          <w:tcPr>
            <w:tcW w:w="7104" w:type="dxa"/>
            <w:vAlign w:val="center"/>
          </w:tcPr>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（1）资质条件（以下资质文件若因疫情影响过期无法办理延续手续，需附相关行政部门下发的延期办理文件）：</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1）在中华人民共和国境内依法注册、具有独立法人资格，具有有效的营业执照（</w:t>
            </w:r>
            <w:r>
              <w:rPr>
                <w:rFonts w:hint="eastAsia" w:ascii="宋体" w:hAnsi="宋体" w:cs="宋体"/>
                <w:color w:val="auto"/>
                <w:szCs w:val="21"/>
                <w:highlight w:val="none"/>
                <w:lang w:val="en-US" w:eastAsia="zh-CN"/>
              </w:rPr>
              <w:t>需提供营业执照及相关证明文件</w:t>
            </w:r>
            <w:r>
              <w:rPr>
                <w:rFonts w:hint="eastAsia" w:ascii="宋体" w:hAnsi="宋体" w:cs="宋体"/>
                <w:color w:val="auto"/>
                <w:szCs w:val="21"/>
                <w:highlight w:val="none"/>
              </w:rPr>
              <w:t>）；</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2）报价人必须拥有终端监控智能维护箱的自研产品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需提供</w:t>
            </w:r>
            <w:r>
              <w:rPr>
                <w:rFonts w:hint="eastAsia" w:ascii="宋体" w:hAnsi="宋体" w:cs="宋体"/>
                <w:color w:val="auto"/>
                <w:szCs w:val="21"/>
                <w:highlight w:val="none"/>
              </w:rPr>
              <w:t>终端监控智能维护箱设备</w:t>
            </w:r>
            <w:r>
              <w:rPr>
                <w:rFonts w:hint="eastAsia" w:ascii="宋体" w:hAnsi="宋体" w:cs="宋体"/>
                <w:color w:val="auto"/>
                <w:szCs w:val="21"/>
                <w:highlight w:val="none"/>
                <w:lang w:val="en-US" w:eastAsia="zh-CN"/>
              </w:rPr>
              <w:t>相关专利和软件著作权等证明材料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（2）业绩要求：2020年1月1日至投标截止日，至少有一个100万元及以上的终端监控智能维护箱</w:t>
            </w:r>
            <w:r>
              <w:rPr>
                <w:rFonts w:hint="eastAsia" w:ascii="宋体" w:hAnsi="宋体" w:cs="宋体"/>
                <w:color w:val="auto"/>
                <w:szCs w:val="21"/>
                <w:highlight w:val="none"/>
                <w:lang w:val="en-US" w:eastAsia="zh-CN"/>
              </w:rPr>
              <w:t>销售</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需提供</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或相关证明材料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）信誉要求：</w:t>
            </w:r>
          </w:p>
          <w:p>
            <w:pPr>
              <w:shd w:val="clea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报价人不得存在下列情形之一：</w:t>
            </w:r>
          </w:p>
          <w:p>
            <w:pPr>
              <w:shd w:val="clea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在国家企业信用信息公示系统（http://www.gsxt.gov.cn/）中未被列入严重违法失信企业名单（黑名单）信息；在“信用中国”网站（http://www.creditchina.gov.cn/）中未被列入失信惩戒执行人名单。</w:t>
            </w:r>
            <w:r>
              <w:rPr>
                <w:rFonts w:hint="eastAsia" w:ascii="宋体" w:hAnsi="宋体" w:cs="宋体"/>
                <w:color w:val="auto"/>
                <w:szCs w:val="21"/>
                <w:highlight w:val="none"/>
                <w:lang w:eastAsia="zh-CN"/>
              </w:rPr>
              <w:t>（</w:t>
            </w:r>
            <w:r>
              <w:rPr>
                <w:rFonts w:hint="eastAsia" w:ascii="Times New Roman" w:hAnsi="宋体"/>
                <w:b/>
                <w:bCs/>
                <w:color w:val="auto"/>
                <w:sz w:val="21"/>
                <w:szCs w:val="21"/>
                <w:highlight w:val="none"/>
              </w:rPr>
              <w:t>须提供信誉网站查询结果截图</w:t>
            </w:r>
            <w:r>
              <w:rPr>
                <w:rFonts w:hint="eastAsia" w:hAnsi="宋体"/>
                <w:b/>
                <w:bCs/>
                <w:color w:val="auto"/>
                <w:sz w:val="21"/>
                <w:szCs w:val="21"/>
                <w:highlight w:val="none"/>
                <w:lang w:eastAsia="zh-CN"/>
              </w:rPr>
              <w:t>，</w:t>
            </w:r>
            <w:r>
              <w:rPr>
                <w:rFonts w:hint="eastAsia" w:ascii="Times New Roman" w:hAnsi="宋体"/>
                <w:b/>
                <w:bCs/>
                <w:color w:val="auto"/>
                <w:sz w:val="21"/>
                <w:szCs w:val="21"/>
                <w:highlight w:val="none"/>
              </w:rPr>
              <w:t>并加盖单位</w:t>
            </w:r>
            <w:r>
              <w:rPr>
                <w:rFonts w:hint="eastAsia" w:hAnsi="宋体"/>
                <w:b/>
                <w:bCs/>
                <w:color w:val="auto"/>
                <w:sz w:val="21"/>
                <w:szCs w:val="21"/>
                <w:highlight w:val="none"/>
                <w:lang w:val="en-US" w:eastAsia="zh-CN"/>
              </w:rPr>
              <w:t>鲜</w:t>
            </w:r>
            <w:r>
              <w:rPr>
                <w:rFonts w:hint="eastAsia" w:ascii="Times New Roman" w:hAnsi="宋体"/>
                <w:b/>
                <w:bCs/>
                <w:color w:val="auto"/>
                <w:sz w:val="21"/>
                <w:szCs w:val="21"/>
                <w:highlight w:val="none"/>
              </w:rPr>
              <w:t>公章</w:t>
            </w:r>
            <w:r>
              <w:rPr>
                <w:rFonts w:hint="eastAsia" w:ascii="宋体" w:hAnsi="宋体" w:cs="宋体"/>
                <w:color w:val="auto"/>
                <w:szCs w:val="21"/>
                <w:highlight w:val="none"/>
                <w:lang w:eastAsia="zh-CN"/>
              </w:rPr>
              <w:t>）</w:t>
            </w:r>
          </w:p>
          <w:p>
            <w:pPr>
              <w:shd w:val="clea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 w:val="21"/>
                <w:szCs w:val="21"/>
                <w:highlight w:val="none"/>
                <w:lang w:val="en-US" w:eastAsia="zh-CN"/>
              </w:rPr>
              <w:t>被国家、重庆市（含市或任意区县）有关行政部门处以暂停投标资格行政处罚，且在处罚期限内；</w:t>
            </w:r>
          </w:p>
          <w:p>
            <w:pPr>
              <w:shd w:val="clea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4）被重庆市交通主管部门暂停在渝承揽新业务且在暂停期内；</w:t>
            </w:r>
          </w:p>
          <w:p>
            <w:pPr>
              <w:shd w:val="clea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5）被责令停业，暂扣或吊销执照，或吊销资质证书；</w:t>
            </w:r>
          </w:p>
          <w:p>
            <w:pPr>
              <w:shd w:val="clea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6）进入清算程序，或被宣告破产，或其他丧失履约能力的情形；</w:t>
            </w:r>
          </w:p>
          <w:p>
            <w:pPr>
              <w:shd w:val="clea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7）报价人或其法定代表人在近两年内有行贿犯罪行为的。</w:t>
            </w:r>
            <w:r>
              <w:rPr>
                <w:rFonts w:hint="eastAsia" w:ascii="宋体" w:hAnsi="宋体" w:eastAsia="宋体" w:cs="宋体"/>
                <w:color w:val="auto"/>
                <w:sz w:val="21"/>
                <w:szCs w:val="21"/>
                <w:highlight w:val="none"/>
              </w:rPr>
              <w:t>被责令停业的；</w:t>
            </w:r>
          </w:p>
          <w:p>
            <w:pPr>
              <w:shd w:val="clea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）在最近三年内有骗取中标或严重违约或所承担的产品或服务有重大质量问题的；</w:t>
            </w:r>
          </w:p>
          <w:p>
            <w:pPr>
              <w:shd w:val="clea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）有不良行为记录的。</w:t>
            </w:r>
          </w:p>
          <w:p>
            <w:pPr>
              <w:shd w:val="clear"/>
              <w:spacing w:line="400" w:lineRule="exact"/>
              <w:ind w:firstLine="422" w:firstLineChars="200"/>
              <w:rPr>
                <w:rFonts w:hint="default" w:ascii="宋体" w:hAnsi="宋体" w:cs="宋体"/>
                <w:color w:val="auto"/>
                <w:szCs w:val="21"/>
                <w:highlight w:val="none"/>
                <w:lang w:val="en-US" w:eastAsia="zh-CN"/>
              </w:rPr>
            </w:pPr>
            <w:r>
              <w:rPr>
                <w:rFonts w:hint="eastAsia" w:ascii="宋体" w:hAnsi="宋体" w:eastAsia="宋体" w:cs="宋体"/>
                <w:b/>
                <w:bCs/>
                <w:color w:val="auto"/>
                <w:sz w:val="21"/>
                <w:szCs w:val="21"/>
                <w:highlight w:val="none"/>
              </w:rPr>
              <w:t>提供中国裁判文书网、信用中国、中国政府采购网、国家企业信用信息公示系统截图</w:t>
            </w:r>
            <w:r>
              <w:rPr>
                <w:rFonts w:hint="eastAsia" w:ascii="宋体" w:hAnsi="宋体" w:cs="宋体"/>
                <w:b/>
                <w:bCs/>
                <w:color w:val="auto"/>
                <w:sz w:val="21"/>
                <w:szCs w:val="21"/>
                <w:highlight w:val="none"/>
                <w:lang w:eastAsia="zh-CN"/>
              </w:rPr>
              <w:t>，</w:t>
            </w:r>
            <w:r>
              <w:rPr>
                <w:rFonts w:hint="eastAsia" w:ascii="Times New Roman" w:hAnsi="宋体"/>
                <w:b/>
                <w:bCs/>
                <w:color w:val="auto"/>
                <w:sz w:val="21"/>
                <w:szCs w:val="21"/>
                <w:highlight w:val="none"/>
              </w:rPr>
              <w:t>并加盖单位鲜公章</w:t>
            </w:r>
            <w:r>
              <w:rPr>
                <w:rFonts w:hint="eastAsia" w:ascii="宋体" w:hAnsi="宋体" w:eastAsia="宋体" w:cs="宋体"/>
                <w:color w:val="auto"/>
                <w:sz w:val="21"/>
                <w:szCs w:val="21"/>
                <w:highlight w:val="none"/>
              </w:rPr>
              <w:t>。</w:t>
            </w:r>
          </w:p>
          <w:p>
            <w:pPr>
              <w:shd w:val="clea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）项目主要人员要求：</w:t>
            </w:r>
            <w:r>
              <w:rPr>
                <w:rFonts w:hint="eastAsia" w:ascii="宋体" w:hAnsi="宋体" w:cs="宋体"/>
                <w:color w:val="auto"/>
                <w:szCs w:val="21"/>
                <w:highlight w:val="none"/>
                <w:lang w:val="en-US" w:eastAsia="zh-CN"/>
              </w:rPr>
              <w:t>无</w:t>
            </w:r>
          </w:p>
          <w:p>
            <w:pPr>
              <w:shd w:val="clea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）其他要求：</w:t>
            </w:r>
            <w:r>
              <w:rPr>
                <w:rFonts w:hint="eastAsia" w:ascii="宋体" w:hAnsi="宋体" w:cs="宋体"/>
                <w:color w:val="auto"/>
                <w:szCs w:val="21"/>
                <w:highlight w:val="none"/>
                <w:lang w:val="en-US" w:eastAsia="zh-CN"/>
              </w:rPr>
              <w:t>无</w:t>
            </w:r>
          </w:p>
          <w:p>
            <w:pPr>
              <w:shd w:val="clea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（6）委托代理人必须为报价人人本单位人员。否则，将作否决投标处理。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w:t>
            </w:r>
          </w:p>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shd w:val="clea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2106" w:type="dxa"/>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shd w:val="clear"/>
              <w:spacing w:line="400" w:lineRule="exact"/>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2106" w:type="dxa"/>
            <w:vAlign w:val="center"/>
          </w:tcPr>
          <w:p>
            <w:pPr>
              <w:shd w:val="clear"/>
              <w:spacing w:line="440" w:lineRule="exact"/>
              <w:jc w:val="center"/>
              <w:rPr>
                <w:rFonts w:hint="eastAsia"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shd w:val="clea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hd w:val="clear"/>
              <w:spacing w:line="400" w:lineRule="exact"/>
              <w:jc w:val="center"/>
              <w:rPr>
                <w:rFonts w:hint="default" w:ascii="宋体" w:hAnsi="宋体" w:eastAsia="宋体" w:cs="宋体"/>
                <w:color w:val="auto"/>
                <w:kern w:val="0"/>
                <w:szCs w:val="21"/>
                <w:highlight w:val="none"/>
                <w:lang w:val="en-US" w:eastAsia="zh-CN"/>
              </w:rPr>
            </w:pPr>
            <w:bookmarkStart w:id="127" w:name="_Hlt227984024"/>
            <w:bookmarkEnd w:id="127"/>
            <w:r>
              <w:rPr>
                <w:rFonts w:hint="eastAsia" w:ascii="宋体" w:hAnsi="宋体" w:cs="宋体"/>
                <w:color w:val="auto"/>
                <w:kern w:val="0"/>
                <w:szCs w:val="21"/>
                <w:highlight w:val="none"/>
                <w:lang w:val="en-US" w:eastAsia="zh-CN"/>
              </w:rPr>
              <w:t>14</w:t>
            </w:r>
          </w:p>
        </w:tc>
        <w:tc>
          <w:tcPr>
            <w:tcW w:w="2106" w:type="dxa"/>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8"/>
              <w:shd w:val="clear"/>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106" w:type="dxa"/>
            <w:tcBorders>
              <w:bottom w:val="single" w:color="auto" w:sz="4" w:space="0"/>
            </w:tcBorders>
            <w:vAlign w:val="center"/>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清单的填写方式</w:t>
            </w:r>
          </w:p>
        </w:tc>
        <w:tc>
          <w:tcPr>
            <w:tcW w:w="7104" w:type="dxa"/>
            <w:tcBorders>
              <w:bottom w:val="single" w:color="auto" w:sz="4" w:space="0"/>
            </w:tcBorders>
          </w:tcPr>
          <w:p>
            <w:pPr>
              <w:shd w:val="clear"/>
              <w:spacing w:line="400" w:lineRule="exact"/>
              <w:ind w:firstLine="420" w:firstLineChars="200"/>
              <w:jc w:val="left"/>
              <w:rPr>
                <w:rFonts w:hint="eastAsia"/>
                <w:color w:val="auto"/>
                <w:highlight w:val="none"/>
                <w:lang w:val="en-US" w:eastAsia="zh-CN"/>
              </w:rPr>
            </w:pPr>
            <w:r>
              <w:rPr>
                <w:rFonts w:hint="eastAsia"/>
                <w:color w:val="auto"/>
                <w:highlight w:val="none"/>
              </w:rPr>
              <w:t>利润分成按百分比进行填报</w:t>
            </w:r>
            <w:r>
              <w:rPr>
                <w:rFonts w:hint="eastAsia"/>
                <w:color w:val="auto"/>
                <w:highlight w:val="none"/>
                <w:lang w:eastAsia="zh-CN"/>
              </w:rPr>
              <w:t>，</w:t>
            </w:r>
            <w:r>
              <w:rPr>
                <w:rFonts w:hint="eastAsia"/>
                <w:color w:val="auto"/>
                <w:highlight w:val="none"/>
              </w:rPr>
              <w:t>如：</w:t>
            </w:r>
            <w:r>
              <w:rPr>
                <w:rFonts w:hint="default"/>
                <w:color w:val="auto"/>
                <w:highlight w:val="none"/>
                <w:u w:val="single"/>
              </w:rPr>
              <w:t>采购人利润分成比例为7</w:t>
            </w:r>
            <w:r>
              <w:rPr>
                <w:rFonts w:hint="default" w:ascii="Times New Roman" w:hAnsi="Times New Roman" w:cs="Times New Roman"/>
                <w:color w:val="auto"/>
                <w:highlight w:val="none"/>
                <w:u w:val="single"/>
                <w:lang w:eastAsia="zh-CN"/>
              </w:rPr>
              <w:t>0</w:t>
            </w:r>
            <w:r>
              <w:rPr>
                <w:rFonts w:hint="default"/>
                <w:color w:val="auto"/>
                <w:highlight w:val="none"/>
                <w:u w:val="single"/>
              </w:rPr>
              <w:t>%，报价人利润分成比例为</w:t>
            </w:r>
            <w:r>
              <w:rPr>
                <w:rFonts w:hint="default" w:ascii="Times New Roman" w:hAnsi="Times New Roman" w:cs="Times New Roman"/>
                <w:color w:val="auto"/>
                <w:highlight w:val="none"/>
                <w:u w:val="single"/>
                <w:lang w:eastAsia="zh-CN"/>
              </w:rPr>
              <w:t>3</w:t>
            </w:r>
            <w:r>
              <w:rPr>
                <w:rFonts w:hint="default" w:ascii="Times New Roman" w:hAnsi="Times New Roman" w:cs="Times New Roman"/>
                <w:color w:val="auto"/>
                <w:highlight w:val="none"/>
                <w:u w:val="single"/>
                <w:lang w:val="en-US" w:eastAsia="zh-CN"/>
              </w:rPr>
              <w:t>0</w:t>
            </w:r>
            <w:r>
              <w:rPr>
                <w:rFonts w:hint="default"/>
                <w:color w:val="auto"/>
                <w:highlight w:val="none"/>
                <w:u w:val="single"/>
              </w:rPr>
              <w:t>%</w:t>
            </w:r>
            <w:r>
              <w:rPr>
                <w:rFonts w:hint="eastAsia"/>
                <w:color w:val="auto"/>
                <w:highlight w:val="none"/>
              </w:rPr>
              <w:t>。报价人按照采购人提供的</w:t>
            </w:r>
            <w:r>
              <w:rPr>
                <w:rFonts w:hint="eastAsia"/>
                <w:color w:val="auto"/>
                <w:highlight w:val="none"/>
                <w:lang w:val="en-US" w:eastAsia="zh-CN"/>
              </w:rPr>
              <w:t>报价</w:t>
            </w:r>
            <w:r>
              <w:rPr>
                <w:rFonts w:hint="eastAsia"/>
                <w:color w:val="auto"/>
                <w:highlight w:val="none"/>
              </w:rPr>
              <w:t>清单填写填报利润分成比例</w:t>
            </w:r>
            <w:r>
              <w:rPr>
                <w:rFonts w:hint="eastAsia"/>
                <w:color w:val="auto"/>
                <w:highlight w:val="none"/>
                <w:lang w:val="en-US" w:eastAsia="zh-CN"/>
              </w:rPr>
              <w:t>。</w:t>
            </w:r>
          </w:p>
          <w:p>
            <w:pPr>
              <w:shd w:val="clear"/>
              <w:spacing w:line="400" w:lineRule="exact"/>
              <w:ind w:firstLine="420" w:firstLineChars="200"/>
              <w:rPr>
                <w:rFonts w:hint="eastAsia"/>
                <w:color w:val="auto"/>
                <w:highlight w:val="none"/>
              </w:rPr>
            </w:pPr>
            <w:r>
              <w:rPr>
                <w:rFonts w:hint="eastAsia"/>
                <w:color w:val="auto"/>
                <w:highlight w:val="none"/>
              </w:rPr>
              <w:t>本项目</w:t>
            </w:r>
            <w:r>
              <w:rPr>
                <w:rFonts w:hint="eastAsia"/>
                <w:color w:val="auto"/>
                <w:highlight w:val="none"/>
                <w:lang w:val="en-US" w:eastAsia="zh-CN"/>
              </w:rPr>
              <w:t>报价</w:t>
            </w:r>
            <w:r>
              <w:rPr>
                <w:rFonts w:hint="eastAsia"/>
                <w:color w:val="auto"/>
                <w:highlight w:val="none"/>
              </w:rPr>
              <w:t>清单及说明随比选文件一并发布，详见</w:t>
            </w:r>
            <w:r>
              <w:rPr>
                <w:rFonts w:hint="eastAsia"/>
                <w:color w:val="auto"/>
                <w:highlight w:val="none"/>
                <w:lang w:val="en-US" w:eastAsia="zh-CN"/>
              </w:rPr>
              <w:t>后文</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2106" w:type="dxa"/>
            <w:tcBorders>
              <w:bottom w:val="single" w:color="auto" w:sz="4" w:space="0"/>
            </w:tcBorders>
            <w:vAlign w:val="center"/>
          </w:tcPr>
          <w:p>
            <w:pPr>
              <w:shd w:val="clea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最高投标限利润分成比例</w:t>
            </w:r>
          </w:p>
        </w:tc>
        <w:tc>
          <w:tcPr>
            <w:tcW w:w="7104" w:type="dxa"/>
            <w:tcBorders>
              <w:bottom w:val="single" w:color="auto" w:sz="4" w:space="0"/>
            </w:tcBorders>
          </w:tcPr>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报价人只能选择以下</w:t>
            </w:r>
            <w:r>
              <w:rPr>
                <w:rFonts w:hint="eastAsia" w:ascii="宋体" w:hAnsi="宋体"/>
                <w:b/>
                <w:bCs/>
                <w:color w:val="auto"/>
                <w:szCs w:val="21"/>
                <w:highlight w:val="none"/>
                <w:lang w:val="en-US" w:eastAsia="zh-CN"/>
              </w:rPr>
              <w:t>五</w:t>
            </w:r>
            <w:r>
              <w:rPr>
                <w:rFonts w:hint="eastAsia" w:ascii="宋体" w:hAnsi="宋体"/>
                <w:b/>
                <w:bCs/>
                <w:color w:val="auto"/>
                <w:szCs w:val="21"/>
                <w:highlight w:val="none"/>
              </w:rPr>
              <w:t>档中选择一档进行填报：</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（1）采购人利润分成比例为85%，报价人利润分成比例为15%；</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（2）采购人利润分成比例为80%，报价人利润分成比例为20%；</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（3）采购人利润分成比例为75%，报价人利润分成比例为25%；</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（4）采购人利润分成比例为70%，报价人利润分成比例为30%；</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（5）采购人利润分成比例为65%，报价人利润分成比例为35%；</w:t>
            </w:r>
          </w:p>
          <w:p>
            <w:pPr>
              <w:shd w:val="clear"/>
              <w:spacing w:line="4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（6）采购人利润分成比例为60%，报价人利润分成比例为40%；</w:t>
            </w:r>
          </w:p>
          <w:p>
            <w:pPr>
              <w:shd w:val="clear"/>
              <w:spacing w:line="400" w:lineRule="exact"/>
              <w:ind w:firstLine="422" w:firstLineChars="200"/>
              <w:rPr>
                <w:rFonts w:hint="eastAsia" w:ascii="宋体" w:hAnsi="宋体" w:cs="宋体"/>
                <w:b/>
                <w:bCs/>
                <w:color w:val="auto"/>
                <w:kern w:val="0"/>
                <w:szCs w:val="21"/>
                <w:highlight w:val="none"/>
              </w:rPr>
            </w:pPr>
            <w:r>
              <w:rPr>
                <w:rFonts w:hint="eastAsia" w:ascii="宋体" w:hAnsi="宋体"/>
                <w:b/>
                <w:bCs/>
                <w:color w:val="auto"/>
                <w:szCs w:val="21"/>
                <w:highlight w:val="none"/>
              </w:rPr>
              <w:t>如报价人对采购人的利润分成比例低于最低比例</w:t>
            </w:r>
            <w:r>
              <w:rPr>
                <w:rFonts w:hint="eastAsia" w:ascii="宋体" w:hAnsi="宋体"/>
                <w:b/>
                <w:bCs/>
                <w:color w:val="auto"/>
                <w:szCs w:val="21"/>
                <w:highlight w:val="none"/>
                <w:lang w:eastAsia="zh-CN"/>
              </w:rPr>
              <w:t>5</w:t>
            </w:r>
            <w:r>
              <w:rPr>
                <w:rFonts w:hint="eastAsia" w:ascii="宋体" w:hAnsi="宋体"/>
                <w:b/>
                <w:bCs/>
                <w:color w:val="auto"/>
                <w:szCs w:val="21"/>
                <w:highlight w:val="none"/>
                <w:lang w:val="en-US" w:eastAsia="zh-CN"/>
              </w:rPr>
              <w:t>0</w:t>
            </w:r>
            <w:r>
              <w:rPr>
                <w:rFonts w:hint="eastAsia" w:ascii="宋体" w:hAnsi="宋体"/>
                <w:b/>
                <w:bCs/>
                <w:color w:val="auto"/>
                <w:szCs w:val="21"/>
                <w:highlight w:val="none"/>
              </w:rPr>
              <w:t>%，</w:t>
            </w:r>
            <w:r>
              <w:rPr>
                <w:rFonts w:hint="eastAsia" w:ascii="宋体" w:hAnsi="宋体" w:cs="宋体"/>
                <w:b/>
                <w:color w:val="auto"/>
                <w:szCs w:val="21"/>
                <w:highlight w:val="none"/>
              </w:rPr>
              <w:t>则其竞争性比选响应文件视为重大偏差，竞争性比选响应文件将按否决报价处理</w:t>
            </w:r>
            <w:r>
              <w:rPr>
                <w:rFonts w:hint="eastAsia" w:ascii="宋体" w:hAnsi="宋体" w:cs="宋体"/>
                <w:b/>
                <w:bCs/>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shd w:val="clea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合同支付办法</w:t>
            </w:r>
          </w:p>
        </w:tc>
        <w:tc>
          <w:tcPr>
            <w:tcW w:w="7104" w:type="dxa"/>
            <w:tcBorders>
              <w:bottom w:val="single" w:color="auto" w:sz="4" w:space="0"/>
            </w:tcBorders>
            <w:vAlign w:val="center"/>
          </w:tcPr>
          <w:p>
            <w:pPr>
              <w:shd w:val="clear"/>
              <w:spacing w:line="400" w:lineRule="exact"/>
              <w:ind w:firstLine="420" w:firstLineChars="200"/>
              <w:jc w:val="both"/>
              <w:rPr>
                <w:rFonts w:hint="eastAsia"/>
                <w:color w:val="auto"/>
                <w:highlight w:val="none"/>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hd w:val="clea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shd w:val="clear"/>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违约的处理</w:t>
            </w:r>
          </w:p>
        </w:tc>
        <w:tc>
          <w:tcPr>
            <w:tcW w:w="7104" w:type="dxa"/>
            <w:tcBorders>
              <w:bottom w:val="single" w:color="auto" w:sz="4" w:space="0"/>
            </w:tcBorders>
          </w:tcPr>
          <w:p>
            <w:pPr>
              <w:numPr>
                <w:ilvl w:val="0"/>
                <w:numId w:val="2"/>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乙方在本项目工作开展期间，更换项目经理，甲方按5万元/人进行违约处理。</w:t>
            </w:r>
          </w:p>
          <w:p>
            <w:pPr>
              <w:numPr>
                <w:ilvl w:val="0"/>
                <w:numId w:val="2"/>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乙方分包的项目，不得再行转包或分包，否则将无条件被认为乙方违约，由此引起的一切责任、事故和损失由乙方负责。此外，乙方还应当向甲方支付 1 万元违约金，甲方有权终止或解除合同。</w:t>
            </w:r>
          </w:p>
          <w:p>
            <w:pPr>
              <w:numPr>
                <w:ilvl w:val="0"/>
                <w:numId w:val="2"/>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在项目实施过程中由乙方分包的项目质量经检验达不到验收规范和评定标准，不能保证项目质量，或因乙方分包的项目进度不能满足发包人和甲方制定的进度目标要求，则甲方有权终止合同，由此造成的损失由乙方承担。此外，乙方还应当向甲方支付  1 万元违约金。</w:t>
            </w:r>
          </w:p>
          <w:p>
            <w:pPr>
              <w:numPr>
                <w:ilvl w:val="0"/>
                <w:numId w:val="2"/>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除上一条款外，合同签订后，不经双方协商同意，任何一方不得随意变更或解除。</w:t>
            </w:r>
          </w:p>
          <w:p>
            <w:pPr>
              <w:numPr>
                <w:ilvl w:val="0"/>
                <w:numId w:val="2"/>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因乙方原因，出现下列情况之一的，甲方有权采取认为合理的一切措施进行处理，由此引起的损失由乙方承担。</w:t>
            </w:r>
          </w:p>
          <w:p>
            <w:pPr>
              <w:numPr>
                <w:ilvl w:val="0"/>
                <w:numId w:val="0"/>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5.1乙方的主要人员、研发设备及研发资金不能按时到位的，严重制约了研发项目的开展；</w:t>
            </w:r>
          </w:p>
          <w:p>
            <w:pPr>
              <w:numPr>
                <w:ilvl w:val="0"/>
                <w:numId w:val="0"/>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5.2进度滞后该项目总体进度计划的10％或落到项目管理曲线下线以下的；</w:t>
            </w:r>
          </w:p>
          <w:p>
            <w:pPr>
              <w:numPr>
                <w:ilvl w:val="0"/>
                <w:numId w:val="0"/>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5.3不按研发项目技术规范和标准要求开展的，造成项目研发质量低劣的达不到验收标准的；</w:t>
            </w:r>
          </w:p>
          <w:p>
            <w:pPr>
              <w:numPr>
                <w:ilvl w:val="0"/>
                <w:numId w:val="0"/>
              </w:num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5. 4不遵守甲方的管理，造成项目不能管理无法推进。</w:t>
            </w:r>
          </w:p>
          <w:p>
            <w:pPr>
              <w:shd w:val="clear"/>
              <w:spacing w:line="400" w:lineRule="exact"/>
              <w:ind w:firstLine="420" w:firstLineChars="200"/>
              <w:rPr>
                <w:rFonts w:hint="eastAsia"/>
                <w:color w:val="auto"/>
                <w:highlight w:val="none"/>
                <w:lang w:val="en-US" w:eastAsia="zh-CN"/>
              </w:rPr>
            </w:pPr>
            <w:r>
              <w:rPr>
                <w:rFonts w:hint="eastAsia"/>
                <w:color w:val="auto"/>
                <w:highlight w:val="none"/>
                <w:lang w:val="en-US" w:eastAsia="zh-CN"/>
              </w:rPr>
              <w:t>6.乙方应按签订合同规定的工期及质量要求完成，否则应偿付给甲方10000元/天的逾期违约金，并承担甲方项目部延期完成任务以后后续发生的管理费用。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hd w:val="clea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106" w:type="dxa"/>
          </w:tcPr>
          <w:p>
            <w:pPr>
              <w:shd w:val="clea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shd w:val="clea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推荐的中标候选人数：</w:t>
            </w:r>
            <w:r>
              <w:rPr>
                <w:rFonts w:hint="eastAsia" w:ascii="宋体" w:hAnsi="宋体" w:cs="宋体"/>
                <w:color w:val="auto"/>
                <w:highlight w:val="none"/>
                <w:lang w:val="en-US" w:eastAsia="zh-CN"/>
              </w:rPr>
              <w:t>2</w:t>
            </w:r>
            <w:r>
              <w:rPr>
                <w:rFonts w:hint="eastAsia" w:ascii="宋体" w:hAnsi="宋体" w:cs="宋体"/>
                <w:color w:val="auto"/>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48"/>
              <w:shd w:val="clear"/>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hd w:val="clear"/>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hd w:val="clear"/>
              <w:spacing w:line="400" w:lineRule="exact"/>
              <w:ind w:firstLine="420" w:firstLineChars="200"/>
              <w:jc w:val="both"/>
              <w:rPr>
                <w:rFonts w:hint="default" w:hAnsi="宋体" w:cs="宋体"/>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hd w:val="clear"/>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hd w:val="clear"/>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hd w:val="clear"/>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8"/>
              <w:shd w:val="clear"/>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重庆市南岸区四公里内环入口重庆首讯科技股份有限公司</w:t>
            </w:r>
          </w:p>
          <w:p>
            <w:pPr>
              <w:pStyle w:val="148"/>
              <w:shd w:val="clear"/>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hd w:val="clear"/>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148"/>
              <w:shd w:val="clear"/>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8"/>
              <w:shd w:val="clear"/>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1.报价截止时间和开标时间：202</w:t>
            </w:r>
            <w:r>
              <w:rPr>
                <w:rFonts w:hAnsi="宋体"/>
                <w:color w:val="auto"/>
                <w:kern w:val="2"/>
                <w:sz w:val="21"/>
                <w:szCs w:val="21"/>
                <w:highlight w:val="none"/>
              </w:rPr>
              <w:t>2</w:t>
            </w:r>
            <w:r>
              <w:rPr>
                <w:rFonts w:hint="eastAsia" w:hAnsi="宋体"/>
                <w:color w:val="auto"/>
                <w:kern w:val="2"/>
                <w:sz w:val="21"/>
                <w:szCs w:val="21"/>
                <w:highlight w:val="none"/>
              </w:rPr>
              <w:t>年</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9</w:t>
            </w:r>
            <w:r>
              <w:rPr>
                <w:rFonts w:hint="eastAsia" w:hAnsi="宋体"/>
                <w:color w:val="auto"/>
                <w:kern w:val="2"/>
                <w:sz w:val="21"/>
                <w:szCs w:val="21"/>
                <w:highlight w:val="none"/>
              </w:rPr>
              <w:t>日下午15时 00分（北京时间）。</w:t>
            </w:r>
          </w:p>
          <w:p>
            <w:pPr>
              <w:pStyle w:val="148"/>
              <w:shd w:val="clear"/>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w:t>
            </w:r>
            <w:r>
              <w:rPr>
                <w:rFonts w:hint="eastAsia"/>
                <w:highlight w:val="none"/>
              </w:rPr>
              <w:t xml:space="preserve"> </w:t>
            </w:r>
            <w:r>
              <w:rPr>
                <w:rFonts w:hint="eastAsia" w:hAnsi="宋体"/>
                <w:color w:val="auto"/>
                <w:kern w:val="2"/>
                <w:sz w:val="21"/>
                <w:szCs w:val="21"/>
                <w:highlight w:val="none"/>
              </w:rPr>
              <w:t>报价的递交：重庆市南岸区四公里内环入口200米处重庆首讯科技大楼一楼。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hd w:val="clear"/>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23</w:t>
            </w:r>
          </w:p>
        </w:tc>
        <w:tc>
          <w:tcPr>
            <w:tcW w:w="2106" w:type="dxa"/>
            <w:vAlign w:val="center"/>
          </w:tcPr>
          <w:p>
            <w:pPr>
              <w:pStyle w:val="148"/>
              <w:shd w:val="clear"/>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8"/>
              <w:shd w:val="clear"/>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8"/>
              <w:shd w:val="clear"/>
              <w:spacing w:line="400" w:lineRule="exact"/>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hd w:val="clear"/>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9210" w:type="dxa"/>
            <w:gridSpan w:val="2"/>
            <w:vAlign w:val="center"/>
          </w:tcPr>
          <w:p>
            <w:pPr>
              <w:pStyle w:val="148"/>
              <w:shd w:val="clear"/>
              <w:spacing w:line="400" w:lineRule="exact"/>
              <w:ind w:firstLine="482" w:firstLineChars="200"/>
              <w:jc w:val="center"/>
              <w:rPr>
                <w:rFonts w:hint="eastAsia"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hd w:val="clear"/>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24</w:t>
            </w:r>
            <w:r>
              <w:rPr>
                <w:rFonts w:hint="eastAsia" w:hAnsi="宋体"/>
                <w:color w:val="auto"/>
                <w:kern w:val="2"/>
                <w:sz w:val="21"/>
                <w:szCs w:val="21"/>
                <w:highlight w:val="none"/>
              </w:rPr>
              <w:t>.1</w:t>
            </w:r>
          </w:p>
        </w:tc>
        <w:tc>
          <w:tcPr>
            <w:tcW w:w="9210" w:type="dxa"/>
            <w:gridSpan w:val="2"/>
            <w:vAlign w:val="center"/>
          </w:tcPr>
          <w:p>
            <w:pPr>
              <w:pStyle w:val="148"/>
              <w:shd w:val="clear"/>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w:t>
            </w:r>
            <w:r>
              <w:rPr>
                <w:rFonts w:hint="eastAsia" w:hAnsi="宋体"/>
                <w:color w:val="auto"/>
                <w:sz w:val="21"/>
                <w:szCs w:val="21"/>
                <w:highlight w:val="none"/>
                <w:lang w:val="en-US" w:eastAsia="zh-CN"/>
              </w:rPr>
              <w:t>比选</w:t>
            </w:r>
            <w:r>
              <w:rPr>
                <w:rFonts w:hint="eastAsia" w:hAnsi="宋体"/>
                <w:color w:val="auto"/>
                <w:sz w:val="21"/>
                <w:szCs w:val="21"/>
                <w:highlight w:val="none"/>
              </w:rPr>
              <w:t>后</w:t>
            </w:r>
            <w:r>
              <w:rPr>
                <w:rFonts w:hint="eastAsia" w:hAnsi="宋体"/>
                <w:color w:val="auto"/>
                <w:sz w:val="21"/>
                <w:szCs w:val="21"/>
                <w:highlight w:val="none"/>
                <w:lang w:eastAsia="zh-CN"/>
              </w:rPr>
              <w:t>报价人</w:t>
            </w:r>
            <w:r>
              <w:rPr>
                <w:rFonts w:hint="eastAsia" w:hAnsi="宋体"/>
                <w:color w:val="auto"/>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hd w:val="clear"/>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24.2</w:t>
            </w:r>
          </w:p>
        </w:tc>
        <w:tc>
          <w:tcPr>
            <w:tcW w:w="9210" w:type="dxa"/>
            <w:gridSpan w:val="2"/>
            <w:vAlign w:val="center"/>
          </w:tcPr>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中标候选人公示</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u w:val="single"/>
                <w:lang w:val="en-US" w:eastAsia="zh-CN"/>
              </w:rPr>
              <w:t>及</w:t>
            </w:r>
            <w:r>
              <w:rPr>
                <w:rFonts w:hint="eastAsia" w:hAnsi="宋体"/>
                <w:color w:val="auto"/>
                <w:sz w:val="21"/>
                <w:szCs w:val="21"/>
                <w:highlight w:val="none"/>
                <w:u w:val="single"/>
                <w:lang w:eastAsia="zh-CN"/>
              </w:rPr>
              <w:t>中国招标投标公共服务平台</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hd w:val="clear"/>
              <w:spacing w:line="400" w:lineRule="exact"/>
              <w:jc w:val="center"/>
              <w:rPr>
                <w:rFonts w:hint="default" w:hAnsi="宋体"/>
                <w:color w:val="auto"/>
                <w:kern w:val="2"/>
                <w:sz w:val="21"/>
                <w:szCs w:val="21"/>
                <w:highlight w:val="none"/>
                <w:lang w:val="en-US" w:eastAsia="zh-CN"/>
              </w:rPr>
            </w:pPr>
            <w:bookmarkStart w:id="128" w:name="_Toc144974554"/>
            <w:bookmarkStart w:id="129" w:name="_Toc247085745"/>
            <w:bookmarkStart w:id="130" w:name="_Toc246996973"/>
            <w:bookmarkStart w:id="131" w:name="_Toc152045587"/>
            <w:bookmarkStart w:id="132" w:name="_Toc507319957"/>
            <w:bookmarkStart w:id="133" w:name="_Toc246996230"/>
            <w:bookmarkStart w:id="134" w:name="_Toc179632605"/>
            <w:bookmarkStart w:id="135" w:name="_Toc2000406"/>
            <w:bookmarkStart w:id="136" w:name="_Toc152042364"/>
            <w:r>
              <w:rPr>
                <w:rFonts w:hint="eastAsia" w:hAnsi="宋体"/>
                <w:color w:val="auto"/>
                <w:kern w:val="2"/>
                <w:sz w:val="21"/>
                <w:szCs w:val="21"/>
                <w:highlight w:val="none"/>
                <w:lang w:val="en-US" w:eastAsia="zh-CN"/>
              </w:rPr>
              <w:t>24.3</w:t>
            </w:r>
          </w:p>
        </w:tc>
        <w:tc>
          <w:tcPr>
            <w:tcW w:w="9210" w:type="dxa"/>
            <w:gridSpan w:val="2"/>
            <w:vAlign w:val="center"/>
          </w:tcPr>
          <w:p>
            <w:pPr>
              <w:pStyle w:val="148"/>
              <w:shd w:val="clear"/>
              <w:spacing w:line="400" w:lineRule="exact"/>
              <w:ind w:firstLine="422" w:firstLineChars="200"/>
              <w:rPr>
                <w:rFonts w:hint="eastAsia" w:hAnsi="宋体"/>
                <w:b/>
                <w:bCs/>
                <w:color w:val="auto"/>
                <w:sz w:val="21"/>
                <w:szCs w:val="21"/>
                <w:highlight w:val="none"/>
              </w:rPr>
            </w:pPr>
            <w:r>
              <w:rPr>
                <w:rFonts w:hint="eastAsia" w:hAnsi="宋体"/>
                <w:b/>
                <w:bCs/>
                <w:color w:val="auto"/>
                <w:sz w:val="21"/>
                <w:szCs w:val="21"/>
                <w:highlight w:val="none"/>
              </w:rPr>
              <w:t>费用成本投入与分成</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1</w:t>
            </w:r>
            <w:r>
              <w:rPr>
                <w:rFonts w:hint="eastAsia" w:hAnsi="宋体"/>
                <w:color w:val="auto"/>
                <w:sz w:val="21"/>
                <w:szCs w:val="21"/>
                <w:highlight w:val="none"/>
                <w:lang w:eastAsia="zh-CN"/>
              </w:rPr>
              <w:t>）</w:t>
            </w:r>
            <w:r>
              <w:rPr>
                <w:rFonts w:hint="eastAsia" w:hAnsi="宋体"/>
                <w:color w:val="auto"/>
                <w:sz w:val="21"/>
                <w:szCs w:val="21"/>
                <w:highlight w:val="none"/>
              </w:rPr>
              <w:t>资金投入</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采购人自行承担成本包括：测试场地的提供、测试环境的搭建</w:t>
            </w:r>
            <w:r>
              <w:rPr>
                <w:rFonts w:hint="eastAsia" w:ascii="宋体" w:hAnsi="宋体" w:cs="宋体"/>
                <w:sz w:val="21"/>
                <w:szCs w:val="21"/>
                <w:highlight w:val="none"/>
                <w:lang w:eastAsia="zh-CN"/>
              </w:rPr>
              <w:t>、</w:t>
            </w:r>
            <w:r>
              <w:rPr>
                <w:rFonts w:hint="eastAsia" w:ascii="宋体" w:hAnsi="宋体" w:cs="宋体"/>
                <w:color w:val="auto"/>
                <w:sz w:val="21"/>
                <w:szCs w:val="21"/>
                <w:highlight w:val="none"/>
              </w:rPr>
              <w:t>测试过程的项目集成成本</w:t>
            </w:r>
            <w:r>
              <w:rPr>
                <w:rFonts w:hint="eastAsia" w:ascii="宋体" w:hAnsi="宋体" w:eastAsia="宋体" w:cs="宋体"/>
                <w:sz w:val="21"/>
                <w:szCs w:val="21"/>
                <w:highlight w:val="none"/>
              </w:rPr>
              <w:t>、以采购人名义取得交通运输部相关检测单位的产品检测报告的送检费用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以采购人名义</w:t>
            </w:r>
            <w:r>
              <w:rPr>
                <w:rFonts w:hint="eastAsia" w:ascii="宋体" w:hAnsi="宋体" w:eastAsia="宋体" w:cs="宋体"/>
                <w:sz w:val="21"/>
                <w:szCs w:val="21"/>
                <w:highlight w:val="none"/>
              </w:rPr>
              <w:t>取得产品软件著作权、产品专利或论文所需申报费用</w:t>
            </w:r>
            <w:r>
              <w:rPr>
                <w:rFonts w:hint="eastAsia" w:ascii="宋体" w:hAnsi="宋体" w:eastAsia="宋体" w:cs="宋体"/>
                <w:sz w:val="21"/>
                <w:szCs w:val="21"/>
                <w:highlight w:val="none"/>
              </w:rPr>
              <w:t>等</w:t>
            </w:r>
            <w:r>
              <w:rPr>
                <w:rFonts w:hint="eastAsia" w:hAnsi="宋体"/>
                <w:color w:val="auto"/>
                <w:sz w:val="21"/>
                <w:szCs w:val="21"/>
                <w:highlight w:val="none"/>
              </w:rPr>
              <w:t>。</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报价人</w:t>
            </w:r>
            <w:r>
              <w:rPr>
                <w:rFonts w:hint="eastAsia" w:hAnsi="宋体"/>
                <w:color w:val="auto"/>
                <w:sz w:val="21"/>
                <w:szCs w:val="21"/>
                <w:highlight w:val="none"/>
                <w:lang w:val="en-US" w:eastAsia="zh-CN"/>
              </w:rPr>
              <w:t>自行</w:t>
            </w:r>
            <w:r>
              <w:rPr>
                <w:rFonts w:hint="eastAsia" w:hAnsi="宋体"/>
                <w:color w:val="auto"/>
                <w:sz w:val="21"/>
                <w:szCs w:val="21"/>
                <w:highlight w:val="none"/>
              </w:rPr>
              <w:t>承担费用包括：测试过程中产生的交通措施组织费用、满足采购人列明要求的设备的研发、生产、运输、装配，为保证设备研发、制造、试用及完善所需的一切费用</w:t>
            </w:r>
            <w:r>
              <w:rPr>
                <w:rFonts w:hint="eastAsia" w:hAnsi="宋体"/>
                <w:color w:val="auto"/>
                <w:sz w:val="21"/>
                <w:szCs w:val="21"/>
                <w:highlight w:val="none"/>
                <w:lang w:val="en-US" w:eastAsia="zh-CN"/>
              </w:rPr>
              <w:t>等</w:t>
            </w:r>
            <w:r>
              <w:rPr>
                <w:rFonts w:hint="eastAsia" w:hAnsi="宋体"/>
                <w:color w:val="auto"/>
                <w:sz w:val="21"/>
                <w:szCs w:val="21"/>
                <w:highlight w:val="none"/>
              </w:rPr>
              <w:t>。</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注：双方投入的研发的人员成本、研发与办公成本、差旅等成本，由双方各自承担。</w:t>
            </w:r>
          </w:p>
          <w:p>
            <w:pPr>
              <w:pStyle w:val="2"/>
              <w:shd w:val="clear"/>
              <w:spacing w:line="400" w:lineRule="exact"/>
              <w:ind w:left="0" w:leftChars="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以采购人名义取得交通运输部相关检测单位的产品检测报告的送检费用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由报价人预先支付。</w:t>
            </w:r>
          </w:p>
          <w:p>
            <w:pPr>
              <w:pStyle w:val="148"/>
              <w:shd w:val="clear"/>
              <w:spacing w:line="400" w:lineRule="exact"/>
              <w:ind w:firstLine="420" w:firstLineChars="200"/>
              <w:rPr>
                <w:rFonts w:hint="eastAsia" w:hAnsi="宋体"/>
                <w:color w:val="auto"/>
                <w:sz w:val="21"/>
                <w:szCs w:val="21"/>
                <w:highlight w:val="none"/>
              </w:rPr>
            </w:pPr>
            <w:r>
              <w:rPr>
                <w:rFonts w:hint="eastAsia" w:ascii="宋体" w:hAnsi="宋体" w:cs="宋体"/>
                <w:sz w:val="21"/>
                <w:szCs w:val="21"/>
                <w:highlight w:val="none"/>
                <w:lang w:val="en-US" w:eastAsia="zh-CN"/>
              </w:rPr>
              <w:t>3、双方进行第一次产品销售利润分成时，采购人向报价人结算报价人预先支付费用</w:t>
            </w:r>
            <w:r>
              <w:rPr>
                <w:rFonts w:hint="eastAsia" w:hAnsi="宋体" w:cs="宋体"/>
                <w:sz w:val="21"/>
                <w:szCs w:val="21"/>
                <w:highlight w:val="none"/>
                <w:lang w:val="en-US" w:eastAsia="zh-CN"/>
              </w:rPr>
              <w:t>。</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2</w:t>
            </w:r>
            <w:r>
              <w:rPr>
                <w:rFonts w:hint="eastAsia" w:hAnsi="宋体"/>
                <w:color w:val="auto"/>
                <w:sz w:val="21"/>
                <w:szCs w:val="21"/>
                <w:highlight w:val="none"/>
                <w:lang w:eastAsia="zh-CN"/>
              </w:rPr>
              <w:t>）</w:t>
            </w:r>
            <w:r>
              <w:rPr>
                <w:rFonts w:hint="eastAsia" w:hAnsi="宋体"/>
                <w:color w:val="auto"/>
                <w:sz w:val="21"/>
                <w:szCs w:val="21"/>
                <w:highlight w:val="none"/>
              </w:rPr>
              <w:t>产品销售利润分成比例</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双方分成利润=（产品销售指导价-成本）*销售数量。</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“双方分成利润”的20%由推广方获得，剩余80%将按照报价人在比选函中所报分成比例进行分配。</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如推广方的实际销售价格与产品销售指导价有差异，造成的额外收益(损失)由推广方获得(承担)。</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“产品销售指导价”为采购人</w:t>
            </w:r>
            <w:r>
              <w:rPr>
                <w:rFonts w:hint="eastAsia" w:hAnsi="宋体"/>
                <w:color w:val="auto"/>
                <w:sz w:val="21"/>
                <w:szCs w:val="21"/>
                <w:highlight w:val="none"/>
                <w:lang w:val="en-US" w:eastAsia="zh-CN"/>
              </w:rPr>
              <w:t>经过充分调查研究市场同类产品后，与中标候选人经过谈判共同确定的</w:t>
            </w:r>
            <w:r>
              <w:rPr>
                <w:rFonts w:hint="eastAsia" w:hAnsi="宋体"/>
                <w:color w:val="auto"/>
                <w:sz w:val="21"/>
                <w:szCs w:val="21"/>
                <w:highlight w:val="none"/>
              </w:rPr>
              <w:t>产品销售指导单价。</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只有采购人和中标候选人共同确定并认同“产品指导销售价”后，双方才正式签订合同。</w:t>
            </w:r>
            <w:r>
              <w:rPr>
                <w:rFonts w:hint="eastAsia" w:hAnsi="宋体"/>
                <w:b/>
                <w:bCs/>
                <w:color w:val="auto"/>
                <w:sz w:val="21"/>
                <w:szCs w:val="21"/>
                <w:highlight w:val="none"/>
                <w:lang w:val="en-US" w:eastAsia="zh-CN"/>
              </w:rPr>
              <w:t>若双方未能对“产品指导销售价”达成一致，则采购人有权取消本次竞争性比选项目。</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“成本”</w:t>
            </w:r>
            <w:r>
              <w:rPr>
                <w:rFonts w:hint="eastAsia" w:hAnsi="宋体"/>
                <w:color w:val="auto"/>
                <w:sz w:val="21"/>
                <w:szCs w:val="21"/>
                <w:highlight w:val="none"/>
                <w:lang w:val="en-US" w:eastAsia="zh-CN"/>
              </w:rPr>
              <w:t>是指与</w:t>
            </w:r>
            <w:r>
              <w:rPr>
                <w:rFonts w:hint="eastAsia" w:hAnsi="宋体"/>
                <w:color w:val="auto"/>
                <w:sz w:val="21"/>
                <w:szCs w:val="21"/>
                <w:highlight w:val="none"/>
              </w:rPr>
              <w:t>产品</w:t>
            </w:r>
            <w:r>
              <w:rPr>
                <w:rFonts w:hint="eastAsia" w:hAnsi="宋体"/>
                <w:color w:val="auto"/>
                <w:sz w:val="21"/>
                <w:szCs w:val="21"/>
                <w:highlight w:val="none"/>
                <w:lang w:val="en-US" w:eastAsia="zh-CN"/>
              </w:rPr>
              <w:t>相关的</w:t>
            </w:r>
            <w:r>
              <w:rPr>
                <w:rFonts w:hint="eastAsia" w:hAnsi="宋体"/>
                <w:color w:val="auto"/>
                <w:sz w:val="21"/>
                <w:szCs w:val="21"/>
                <w:highlight w:val="none"/>
              </w:rPr>
              <w:t>试验与生产加工费、采购成本、代工费、运输、检验等费用。其中采购成本是指由市场推广单位按自己的采购管理办法或双方共同组建采购组执行采购产生的成本。</w:t>
            </w:r>
          </w:p>
        </w:tc>
      </w:tr>
      <w:bookmarkEnd w:id="126"/>
    </w:tbl>
    <w:p>
      <w:pPr>
        <w:shd w:val="clear"/>
        <w:rPr>
          <w:rFonts w:hint="eastAsia"/>
          <w:color w:val="auto"/>
          <w:highlight w:val="none"/>
        </w:rPr>
      </w:pPr>
      <w:r>
        <w:rPr>
          <w:rFonts w:hint="eastAsia"/>
          <w:color w:val="auto"/>
          <w:highlight w:val="none"/>
        </w:rPr>
        <w:br w:type="page"/>
      </w:r>
    </w:p>
    <w:p>
      <w:pPr>
        <w:pStyle w:val="4"/>
        <w:shd w:val="clear"/>
        <w:spacing w:before="0" w:after="0" w:line="360" w:lineRule="auto"/>
        <w:jc w:val="center"/>
        <w:rPr>
          <w:rFonts w:hint="eastAsia" w:ascii="宋体" w:hAnsi="宋体" w:cs="宋体"/>
          <w:color w:val="auto"/>
          <w:highlight w:val="none"/>
        </w:rPr>
      </w:pPr>
      <w:bookmarkStart w:id="137" w:name="_Toc7273"/>
      <w:r>
        <w:rPr>
          <w:rFonts w:hint="eastAsia" w:ascii="宋体" w:hAnsi="宋体" w:cs="宋体"/>
          <w:color w:val="auto"/>
          <w:highlight w:val="none"/>
        </w:rPr>
        <w:t>第三章 评标办法（</w:t>
      </w:r>
      <w:r>
        <w:rPr>
          <w:rFonts w:hint="eastAsia" w:ascii="宋体" w:hAnsi="宋体" w:cs="宋体"/>
          <w:color w:val="auto"/>
          <w:highlight w:val="none"/>
          <w:lang w:val="en-US" w:eastAsia="zh-CN"/>
        </w:rPr>
        <w:t>综合评估法</w:t>
      </w:r>
      <w:r>
        <w:rPr>
          <w:rFonts w:hint="eastAsia" w:ascii="宋体" w:hAnsi="宋体" w:cs="宋体"/>
          <w:color w:val="auto"/>
          <w:highlight w:val="none"/>
        </w:rPr>
        <w:t>）</w:t>
      </w:r>
      <w:bookmarkEnd w:id="128"/>
      <w:bookmarkEnd w:id="129"/>
      <w:bookmarkEnd w:id="130"/>
      <w:bookmarkEnd w:id="131"/>
      <w:bookmarkEnd w:id="132"/>
      <w:bookmarkEnd w:id="133"/>
      <w:bookmarkEnd w:id="134"/>
      <w:bookmarkEnd w:id="135"/>
      <w:bookmarkEnd w:id="136"/>
      <w:bookmarkEnd w:id="137"/>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hd w:val="clear"/>
              <w:spacing w:line="400" w:lineRule="exact"/>
              <w:jc w:val="center"/>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shd w:val="clear"/>
              <w:spacing w:line="400" w:lineRule="exact"/>
              <w:jc w:val="center"/>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1</w:t>
            </w:r>
          </w:p>
        </w:tc>
        <w:tc>
          <w:tcPr>
            <w:tcW w:w="1124" w:type="dxa"/>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shd w:val="clear"/>
              <w:spacing w:line="360" w:lineRule="auto"/>
              <w:rPr>
                <w:color w:val="auto"/>
                <w:highlight w:val="none"/>
              </w:rPr>
            </w:pPr>
            <w:r>
              <w:rPr>
                <w:color w:val="auto"/>
                <w:highlight w:val="none"/>
              </w:rPr>
              <w:t>如出现</w:t>
            </w:r>
            <w:r>
              <w:rPr>
                <w:rFonts w:hint="eastAsia" w:ascii="宋体" w:hAnsi="宋体" w:eastAsia="宋体" w:cs="宋体"/>
                <w:color w:val="auto"/>
                <w:kern w:val="0"/>
                <w:sz w:val="21"/>
                <w:szCs w:val="21"/>
                <w:highlight w:val="none"/>
              </w:rPr>
              <w:t>综合评分相等时，</w:t>
            </w:r>
            <w:r>
              <w:rPr>
                <w:color w:val="auto"/>
                <w:highlight w:val="none"/>
              </w:rPr>
              <w:t>评审小组按以下原则确定第一中标候选人：</w:t>
            </w:r>
          </w:p>
          <w:p>
            <w:pPr>
              <w:shd w:val="clear"/>
              <w:spacing w:line="360" w:lineRule="auto"/>
              <w:ind w:firstLine="210" w:firstLineChars="100"/>
              <w:rPr>
                <w:color w:val="auto"/>
                <w:highlight w:val="none"/>
              </w:rPr>
            </w:pPr>
            <w:r>
              <w:rPr>
                <w:rFonts w:hint="eastAsia" w:ascii="宋体" w:hAnsi="宋体" w:eastAsia="宋体" w:cs="宋体"/>
                <w:color w:val="auto"/>
                <w:kern w:val="0"/>
                <w:sz w:val="21"/>
                <w:szCs w:val="21"/>
                <w:highlight w:val="none"/>
              </w:rPr>
              <w:t>以</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技术方案得分高</w:t>
            </w:r>
            <w:r>
              <w:rPr>
                <w:rFonts w:hint="eastAsia" w:ascii="宋体" w:hAnsi="宋体" w:eastAsia="宋体" w:cs="宋体"/>
                <w:color w:val="auto"/>
                <w:kern w:val="0"/>
                <w:sz w:val="21"/>
                <w:szCs w:val="21"/>
                <w:highlight w:val="none"/>
              </w:rPr>
              <w:t>优先</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hd w:val="clear"/>
              <w:spacing w:line="400" w:lineRule="exact"/>
              <w:jc w:val="center"/>
              <w:rPr>
                <w:rFonts w:hint="eastAsia" w:eastAsia="宋体"/>
                <w:color w:val="auto"/>
                <w:highlight w:val="none"/>
                <w:lang w:eastAsia="zh-CN"/>
              </w:rPr>
            </w:pPr>
            <w:r>
              <w:rPr>
                <w:rFonts w:hint="eastAsia"/>
                <w:color w:val="auto"/>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color w:val="auto"/>
                <w:highlight w:val="none"/>
              </w:rPr>
              <w:t>竞争性</w:t>
            </w:r>
            <w:r>
              <w:rPr>
                <w:color w:val="auto"/>
                <w:highlight w:val="none"/>
              </w:rPr>
              <w:t>比选响应文件格式</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w:t>
            </w:r>
            <w:r>
              <w:rPr>
                <w:rFonts w:hint="eastAsia"/>
                <w:color w:val="auto"/>
                <w:highlight w:val="none"/>
                <w:lang w:val="en-US" w:eastAsia="zh-CN"/>
              </w:rPr>
              <w:t>八</w:t>
            </w:r>
            <w:r>
              <w:rPr>
                <w:color w:val="auto"/>
                <w:highlight w:val="none"/>
              </w:rPr>
              <w:t>章“</w:t>
            </w:r>
            <w:r>
              <w:rPr>
                <w:rFonts w:hint="eastAsia"/>
                <w:color w:val="auto"/>
                <w:highlight w:val="none"/>
              </w:rPr>
              <w:t>竞争性</w:t>
            </w:r>
            <w:r>
              <w:rPr>
                <w:color w:val="auto"/>
                <w:highlight w:val="none"/>
              </w:rPr>
              <w:t>比选响应文件格式”的要求，字迹</w:t>
            </w:r>
            <w:r>
              <w:rPr>
                <w:rFonts w:hint="eastAsia"/>
                <w:color w:val="auto"/>
                <w:highlight w:val="none"/>
                <w:lang w:val="en-US" w:eastAsia="zh-CN"/>
              </w:rPr>
              <w:t>及相关证件扫描件</w:t>
            </w:r>
            <w:r>
              <w:rPr>
                <w:color w:val="auto"/>
                <w:highlight w:val="none"/>
              </w:rPr>
              <w:t>清晰可辨。</w:t>
            </w:r>
          </w:p>
          <w:p>
            <w:pPr>
              <w:shd w:val="clear"/>
              <w:spacing w:line="400" w:lineRule="exact"/>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shd w:val="clear"/>
              <w:spacing w:line="400" w:lineRule="exact"/>
              <w:rPr>
                <w:rFonts w:hint="eastAsia" w:eastAsia="宋体"/>
                <w:color w:val="auto"/>
                <w:highlight w:val="none"/>
                <w:lang w:eastAsia="zh-CN"/>
              </w:rPr>
            </w:pPr>
            <w:r>
              <w:rPr>
                <w:color w:val="auto"/>
                <w:highlight w:val="none"/>
              </w:rPr>
              <w:t>2.</w:t>
            </w:r>
            <w:r>
              <w:rPr>
                <w:rFonts w:hint="eastAsia"/>
                <w:color w:val="auto"/>
                <w:highlight w:val="none"/>
              </w:rPr>
              <w:t>竞争性</w:t>
            </w:r>
            <w:r>
              <w:rPr>
                <w:color w:val="auto"/>
                <w:highlight w:val="none"/>
              </w:rPr>
              <w:t>比选响应文件附表齐全完整，内容均按规定填写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rFonts w:hint="eastAsia" w:eastAsia="宋体"/>
                <w:color w:val="auto"/>
                <w:highlight w:val="none"/>
                <w:lang w:eastAsia="zh-CN"/>
              </w:rPr>
            </w:pPr>
            <w:r>
              <w:rPr>
                <w:color w:val="auto"/>
                <w:highlight w:val="none"/>
              </w:rPr>
              <w:t>已标价</w:t>
            </w:r>
            <w:r>
              <w:rPr>
                <w:rFonts w:hint="eastAsia"/>
                <w:color w:val="auto"/>
                <w:highlight w:val="none"/>
                <w:lang w:eastAsia="zh-CN"/>
              </w:rPr>
              <w:t>报价清单</w:t>
            </w:r>
          </w:p>
        </w:tc>
        <w:tc>
          <w:tcPr>
            <w:tcW w:w="5004" w:type="dxa"/>
            <w:tcBorders>
              <w:top w:val="single" w:color="auto" w:sz="4" w:space="0"/>
              <w:left w:val="single" w:color="auto" w:sz="4" w:space="0"/>
              <w:bottom w:val="single" w:color="auto" w:sz="4" w:space="0"/>
            </w:tcBorders>
            <w:vAlign w:val="center"/>
          </w:tcPr>
          <w:p>
            <w:pPr>
              <w:shd w:val="clear"/>
              <w:spacing w:line="440" w:lineRule="exact"/>
              <w:rPr>
                <w:rFonts w:hint="eastAsia"/>
                <w:color w:val="auto"/>
                <w:highlight w:val="none"/>
              </w:rPr>
            </w:pPr>
            <w:r>
              <w:rPr>
                <w:color w:val="auto"/>
                <w:highlight w:val="none"/>
              </w:rPr>
              <w:t>符合第五章“</w:t>
            </w:r>
            <w:r>
              <w:rPr>
                <w:rFonts w:hint="eastAsia"/>
                <w:color w:val="auto"/>
                <w:highlight w:val="none"/>
                <w:lang w:eastAsia="zh-CN"/>
              </w:rPr>
              <w:t>报价清单</w:t>
            </w:r>
            <w:r>
              <w:rPr>
                <w:color w:val="auto"/>
                <w:highlight w:val="none"/>
              </w:rPr>
              <w:t>”给出的范围及数量</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40" w:lineRule="exact"/>
              <w:jc w:val="center"/>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shd w:val="clear"/>
              <w:spacing w:line="440" w:lineRule="exact"/>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hd w:val="clea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hd w:val="clear"/>
              <w:spacing w:line="400" w:lineRule="exact"/>
              <w:rPr>
                <w:rFonts w:hint="eastAsia" w:eastAsia="宋体"/>
                <w:color w:val="auto"/>
                <w:highlight w:val="none"/>
                <w:lang w:eastAsia="zh-CN"/>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hd w:val="clea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其它材料</w:t>
            </w:r>
          </w:p>
        </w:tc>
        <w:tc>
          <w:tcPr>
            <w:tcW w:w="5004" w:type="dxa"/>
            <w:tcBorders>
              <w:top w:val="single" w:color="auto" w:sz="4" w:space="0"/>
              <w:left w:val="single" w:color="auto" w:sz="4" w:space="0"/>
            </w:tcBorders>
            <w:vAlign w:val="center"/>
          </w:tcPr>
          <w:p>
            <w:pPr>
              <w:shd w:val="clear"/>
              <w:spacing w:line="400" w:lineRule="exact"/>
              <w:rPr>
                <w:color w:val="auto"/>
                <w:highlight w:val="none"/>
              </w:rPr>
            </w:pPr>
            <w:r>
              <w:rPr>
                <w:color w:val="auto"/>
                <w:highlight w:val="none"/>
              </w:rPr>
              <w:t>与</w:t>
            </w:r>
            <w:r>
              <w:rPr>
                <w:rFonts w:hint="eastAsia"/>
                <w:color w:val="auto"/>
                <w:highlight w:val="none"/>
              </w:rPr>
              <w:t>采购人</w:t>
            </w:r>
            <w:r>
              <w:rPr>
                <w:color w:val="auto"/>
                <w:highlight w:val="none"/>
              </w:rPr>
              <w:t>存在利害关系可能影响</w:t>
            </w:r>
            <w:r>
              <w:rPr>
                <w:rFonts w:hint="eastAsia"/>
                <w:color w:val="auto"/>
                <w:highlight w:val="none"/>
              </w:rPr>
              <w:t>比选</w:t>
            </w:r>
            <w:r>
              <w:rPr>
                <w:color w:val="auto"/>
                <w:highlight w:val="none"/>
              </w:rPr>
              <w:t>公正性的法人、其他组织或者个人，不得参加</w:t>
            </w:r>
            <w:r>
              <w:rPr>
                <w:rFonts w:hint="eastAsia"/>
                <w:color w:val="auto"/>
                <w:highlight w:val="none"/>
              </w:rPr>
              <w:t>报价</w:t>
            </w:r>
            <w:r>
              <w:rPr>
                <w:color w:val="auto"/>
                <w:highlight w:val="none"/>
              </w:rPr>
              <w:t>；单位负责人为同一人或者存在控股、管理关系的不同单位，不得同时参加</w:t>
            </w:r>
            <w:r>
              <w:rPr>
                <w:rFonts w:hint="eastAsia"/>
                <w:color w:val="auto"/>
                <w:highlight w:val="none"/>
              </w:rPr>
              <w:t>报价</w:t>
            </w:r>
            <w:r>
              <w:rPr>
                <w:color w:val="auto"/>
                <w:highlight w:val="none"/>
              </w:rPr>
              <w:t>，否则相关</w:t>
            </w:r>
            <w:r>
              <w:rPr>
                <w:rFonts w:hint="eastAsia"/>
                <w:color w:val="auto"/>
                <w:highlight w:val="none"/>
              </w:rPr>
              <w:t>报价</w:t>
            </w:r>
            <w:r>
              <w:rPr>
                <w:color w:val="auto"/>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hd w:val="clear"/>
              <w:spacing w:line="400" w:lineRule="exact"/>
              <w:jc w:val="center"/>
              <w:rPr>
                <w:rFonts w:hint="eastAsia" w:eastAsia="宋体"/>
                <w:color w:val="auto"/>
                <w:highlight w:val="none"/>
                <w:lang w:eastAsia="zh-CN"/>
              </w:rPr>
            </w:pPr>
            <w:r>
              <w:rPr>
                <w:rFonts w:hint="eastAsia"/>
                <w:color w:val="auto"/>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营业执照</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资质要求</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ascii="宋体" w:hAnsi="宋体" w:cs="宋体"/>
                <w:color w:val="auto"/>
                <w:szCs w:val="21"/>
                <w:highlight w:val="none"/>
                <w:lang w:val="en-US" w:eastAsia="zh-CN"/>
              </w:rPr>
              <w:t>项目主要管理人员</w:t>
            </w:r>
            <w:r>
              <w:rPr>
                <w:color w:val="auto"/>
                <w:highlight w:val="none"/>
              </w:rPr>
              <w:t>最低要求</w:t>
            </w:r>
          </w:p>
        </w:tc>
        <w:tc>
          <w:tcPr>
            <w:tcW w:w="5004" w:type="dxa"/>
            <w:tcBorders>
              <w:top w:val="single" w:color="auto" w:sz="4" w:space="0"/>
              <w:left w:val="single" w:color="auto" w:sz="4" w:space="0"/>
              <w:bottom w:val="single" w:color="auto" w:sz="4" w:space="0"/>
            </w:tcBorders>
            <w:vAlign w:val="center"/>
          </w:tcPr>
          <w:p>
            <w:pPr>
              <w:shd w:val="clea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ascii="宋体" w:hAnsi="宋体" w:cs="宋体"/>
                <w:color w:val="auto"/>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hd w:val="clea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kern w:val="1"/>
                <w:highlight w:val="none"/>
              </w:rPr>
            </w:pPr>
            <w:r>
              <w:rPr>
                <w:color w:val="auto"/>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hd w:val="clea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hd w:val="clear"/>
              <w:spacing w:line="400" w:lineRule="exact"/>
              <w:jc w:val="center"/>
              <w:rPr>
                <w:rFonts w:hint="eastAsia" w:eastAsia="宋体"/>
                <w:color w:val="auto"/>
                <w:highlight w:val="none"/>
                <w:lang w:eastAsia="zh-CN"/>
              </w:rPr>
            </w:pPr>
            <w:r>
              <w:rPr>
                <w:rFonts w:hint="eastAsia"/>
                <w:color w:val="auto"/>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投标内容</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hd w:val="clea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w:t>
            </w:r>
            <w:r>
              <w:rPr>
                <w:rFonts w:hint="eastAsia"/>
                <w:color w:val="auto"/>
                <w:highlight w:val="none"/>
              </w:rPr>
              <w:t>利润分成比例</w:t>
            </w:r>
            <w:r>
              <w:rPr>
                <w:color w:val="auto"/>
                <w:highlight w:val="none"/>
              </w:rPr>
              <w:t>，但也不得低于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工期</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质量标准</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color w:val="auto"/>
                <w:highlight w:val="none"/>
              </w:rPr>
              <w:t>安全目标</w:t>
            </w:r>
          </w:p>
        </w:tc>
        <w:tc>
          <w:tcPr>
            <w:tcW w:w="5004" w:type="dxa"/>
            <w:tcBorders>
              <w:top w:val="single" w:color="auto" w:sz="4" w:space="0"/>
              <w:left w:val="single" w:color="auto" w:sz="4" w:space="0"/>
              <w:bottom w:val="single" w:color="auto" w:sz="4" w:space="0"/>
            </w:tcBorders>
            <w:vAlign w:val="center"/>
          </w:tcPr>
          <w:p>
            <w:pPr>
              <w:shd w:val="clea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eastAsia" w:eastAsia="宋体"/>
                <w:color w:val="auto"/>
                <w:highlight w:val="none"/>
                <w:lang w:eastAsia="zh-CN"/>
              </w:rPr>
            </w:pPr>
            <w:r>
              <w:rPr>
                <w:rFonts w:hint="eastAsia"/>
                <w:color w:val="auto"/>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spacing w:line="400" w:lineRule="exact"/>
              <w:jc w:val="center"/>
              <w:rPr>
                <w:color w:val="auto"/>
                <w:highlight w:val="none"/>
              </w:rPr>
            </w:pPr>
            <w:r>
              <w:rPr>
                <w:rFonts w:hint="eastAsia" w:ascii="宋体" w:hAnsi="宋体" w:eastAsia="宋体" w:cs="宋体"/>
                <w:color w:val="auto"/>
                <w:kern w:val="0"/>
                <w:sz w:val="21"/>
                <w:szCs w:val="21"/>
                <w:highlight w:val="none"/>
              </w:rPr>
              <w:t>分值构成</w:t>
            </w:r>
          </w:p>
        </w:tc>
        <w:tc>
          <w:tcPr>
            <w:tcW w:w="2117"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shd w:val="clea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（总分100分）</w:t>
            </w:r>
          </w:p>
        </w:tc>
        <w:tc>
          <w:tcPr>
            <w:tcW w:w="5004" w:type="dxa"/>
            <w:tcBorders>
              <w:top w:val="single" w:color="auto" w:sz="4" w:space="0"/>
              <w:left w:val="single" w:color="auto" w:sz="4" w:space="0"/>
              <w:bottom w:val="single" w:color="auto" w:sz="4" w:space="0"/>
            </w:tcBorders>
            <w:vAlign w:val="top"/>
          </w:tcPr>
          <w:p>
            <w:pPr>
              <w:numPr>
                <w:ilvl w:val="0"/>
                <w:numId w:val="0"/>
              </w:numPr>
              <w:shd w:val="clea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报价部分</w:t>
            </w:r>
            <w:r>
              <w:rPr>
                <w:rFonts w:hint="eastAsia" w:ascii="宋体" w:hAnsi="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numPr>
                <w:ilvl w:val="0"/>
                <w:numId w:val="0"/>
              </w:numPr>
              <w:shd w:val="clea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 w:val="21"/>
                <w:szCs w:val="21"/>
                <w:highlight w:val="none"/>
                <w:lang w:val="en-US" w:eastAsia="zh-CN"/>
              </w:rPr>
              <w:t>2.技术部分B：20分；</w:t>
            </w:r>
          </w:p>
          <w:p>
            <w:pPr>
              <w:numPr>
                <w:ilvl w:val="0"/>
                <w:numId w:val="0"/>
              </w:numPr>
              <w:shd w:val="clea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 w:val="21"/>
                <w:szCs w:val="21"/>
                <w:highlight w:val="none"/>
                <w:lang w:val="en-US" w:eastAsia="zh-CN"/>
              </w:rPr>
              <w:t>3.商务部分C：30分；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default"/>
                <w:color w:val="auto"/>
                <w:highlight w:val="none"/>
                <w:lang w:val="en-US" w:eastAsia="zh-CN"/>
              </w:rPr>
            </w:pPr>
            <w:r>
              <w:rPr>
                <w:rFonts w:hint="eastAsia"/>
                <w:color w:val="auto"/>
                <w:highlight w:val="none"/>
                <w:lang w:val="en-US" w:eastAsia="zh-CN"/>
              </w:rPr>
              <w:t>6</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lang w:val="en-US" w:eastAsia="zh-CN"/>
              </w:rPr>
              <w:t>.报价部分评分标准</w:t>
            </w:r>
          </w:p>
        </w:tc>
        <w:tc>
          <w:tcPr>
            <w:tcW w:w="2117"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lang w:val="en-US" w:eastAsia="zh-CN"/>
              </w:rPr>
              <w:t>利润分成比例报价（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val="en-US" w:eastAsia="zh-CN"/>
              </w:rPr>
              <w:t>）</w:t>
            </w:r>
          </w:p>
        </w:tc>
        <w:tc>
          <w:tcPr>
            <w:tcW w:w="5004" w:type="dxa"/>
            <w:tcBorders>
              <w:top w:val="single" w:color="auto" w:sz="4" w:space="0"/>
              <w:left w:val="single" w:color="auto" w:sz="4" w:space="0"/>
              <w:bottom w:val="single" w:color="auto" w:sz="4" w:space="0"/>
            </w:tcBorders>
            <w:vAlign w:val="center"/>
          </w:tcPr>
          <w:p>
            <w:pPr>
              <w:numPr>
                <w:ilvl w:val="0"/>
                <w:numId w:val="0"/>
              </w:numPr>
              <w:shd w:val="clea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（1）采购人利润分成比例为85%，报价人利润分成比例为15%</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得50分</w:t>
            </w:r>
            <w:r>
              <w:rPr>
                <w:rFonts w:hint="eastAsia" w:ascii="宋体" w:hAnsi="宋体"/>
                <w:b w:val="0"/>
                <w:bCs w:val="0"/>
                <w:color w:val="auto"/>
                <w:szCs w:val="21"/>
                <w:highlight w:val="none"/>
              </w:rPr>
              <w:t>；</w:t>
            </w:r>
          </w:p>
          <w:p>
            <w:pPr>
              <w:numPr>
                <w:ilvl w:val="0"/>
                <w:numId w:val="0"/>
              </w:numPr>
              <w:shd w:val="clea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（2）采购人利润分成比例为80%，报价人利润分成比例为20%</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得48分</w:t>
            </w:r>
            <w:r>
              <w:rPr>
                <w:rFonts w:hint="eastAsia" w:ascii="宋体" w:hAnsi="宋体"/>
                <w:b w:val="0"/>
                <w:bCs w:val="0"/>
                <w:color w:val="auto"/>
                <w:szCs w:val="21"/>
                <w:highlight w:val="none"/>
              </w:rPr>
              <w:t>；</w:t>
            </w:r>
          </w:p>
          <w:p>
            <w:pPr>
              <w:numPr>
                <w:ilvl w:val="0"/>
                <w:numId w:val="0"/>
              </w:numPr>
              <w:shd w:val="clea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（3）采购人利润分成比例为75%，报价人利润分成比例为25%</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得46分</w:t>
            </w:r>
            <w:r>
              <w:rPr>
                <w:rFonts w:hint="eastAsia" w:ascii="宋体" w:hAnsi="宋体"/>
                <w:b w:val="0"/>
                <w:bCs w:val="0"/>
                <w:color w:val="auto"/>
                <w:szCs w:val="21"/>
                <w:highlight w:val="none"/>
              </w:rPr>
              <w:t>；</w:t>
            </w:r>
          </w:p>
          <w:p>
            <w:pPr>
              <w:numPr>
                <w:ilvl w:val="0"/>
                <w:numId w:val="0"/>
              </w:numPr>
              <w:shd w:val="clea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（4）采购人利润分成比例为70%，报价人利润分成比例为30%</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得44分</w:t>
            </w:r>
            <w:r>
              <w:rPr>
                <w:rFonts w:hint="eastAsia" w:ascii="宋体" w:hAnsi="宋体"/>
                <w:b w:val="0"/>
                <w:bCs w:val="0"/>
                <w:color w:val="auto"/>
                <w:szCs w:val="21"/>
                <w:highlight w:val="none"/>
              </w:rPr>
              <w:t>；</w:t>
            </w:r>
          </w:p>
          <w:p>
            <w:pPr>
              <w:numPr>
                <w:ilvl w:val="0"/>
                <w:numId w:val="0"/>
              </w:numPr>
              <w:shd w:val="clear"/>
              <w:spacing w:line="400" w:lineRule="exact"/>
              <w:ind w:firstLine="420" w:firstLineChars="200"/>
              <w:rPr>
                <w:rFonts w:hint="eastAsia" w:ascii="宋体" w:hAnsi="宋体"/>
                <w:b w:val="0"/>
                <w:bCs w:val="0"/>
                <w:color w:val="auto"/>
                <w:szCs w:val="21"/>
                <w:highlight w:val="none"/>
              </w:rPr>
            </w:pPr>
            <w:r>
              <w:rPr>
                <w:rFonts w:hint="eastAsia" w:ascii="宋体" w:hAnsi="宋体"/>
                <w:b w:val="0"/>
                <w:bCs w:val="0"/>
                <w:color w:val="auto"/>
                <w:szCs w:val="21"/>
                <w:highlight w:val="none"/>
              </w:rPr>
              <w:t>（5）采购人利润分成比例为65%，报价人利润分成比例为35%</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得42分</w:t>
            </w:r>
            <w:r>
              <w:rPr>
                <w:rFonts w:hint="eastAsia" w:ascii="宋体" w:hAnsi="宋体"/>
                <w:b w:val="0"/>
                <w:bCs w:val="0"/>
                <w:color w:val="auto"/>
                <w:szCs w:val="21"/>
                <w:highlight w:val="none"/>
              </w:rPr>
              <w:t>；</w:t>
            </w:r>
          </w:p>
          <w:p>
            <w:pPr>
              <w:numPr>
                <w:ilvl w:val="-1"/>
                <w:numId w:val="0"/>
              </w:numPr>
              <w:shd w:val="clear"/>
              <w:autoSpaceDE/>
              <w:autoSpaceDN/>
              <w:adjustRightInd/>
              <w:spacing w:line="400" w:lineRule="exact"/>
              <w:ind w:left="0" w:leftChars="0" w:firstLine="420" w:firstLineChars="200"/>
              <w:rPr>
                <w:color w:val="auto"/>
                <w:highlight w:val="none"/>
              </w:rPr>
            </w:pPr>
            <w:r>
              <w:rPr>
                <w:rFonts w:hint="eastAsia" w:ascii="宋体" w:hAnsi="宋体"/>
                <w:b w:val="0"/>
                <w:bCs w:val="0"/>
                <w:color w:val="auto"/>
                <w:szCs w:val="21"/>
                <w:highlight w:val="none"/>
              </w:rPr>
              <w:t>（6）采购人利润分成比例为60%，报价人利润分成比例为40%</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lang w:val="en-US" w:eastAsia="zh-CN"/>
              </w:rPr>
              <w:t>得40分</w:t>
            </w:r>
            <w:r>
              <w:rPr>
                <w:rFonts w:hint="eastAsia" w:ascii="宋体" w:hAnsi="宋体"/>
                <w:b w:val="0"/>
                <w:bCs w:val="0"/>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default"/>
                <w:color w:val="auto"/>
                <w:highlight w:val="none"/>
                <w:lang w:val="en-US" w:eastAsia="zh-CN"/>
              </w:rPr>
            </w:pPr>
            <w:r>
              <w:rPr>
                <w:rFonts w:hint="eastAsia"/>
                <w:color w:val="auto"/>
                <w:highlight w:val="none"/>
                <w:lang w:val="en-US" w:eastAsia="zh-CN"/>
              </w:rPr>
              <w:t>7</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eastAsia="zh-CN"/>
              </w:rPr>
              <w:t>B</w:t>
            </w:r>
            <w:r>
              <w:rPr>
                <w:rFonts w:hint="eastAsia" w:ascii="宋体" w:hAnsi="宋体" w:eastAsia="宋体" w:cs="宋体"/>
                <w:color w:val="auto"/>
                <w:kern w:val="0"/>
                <w:sz w:val="21"/>
                <w:szCs w:val="21"/>
                <w:highlight w:val="none"/>
              </w:rPr>
              <w:t>.技术部分评分标准</w:t>
            </w:r>
          </w:p>
        </w:tc>
        <w:tc>
          <w:tcPr>
            <w:tcW w:w="2117"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技术</w:t>
            </w:r>
            <w:r>
              <w:rPr>
                <w:rFonts w:hint="eastAsia" w:ascii="宋体" w:hAnsi="宋体" w:cs="宋体"/>
                <w:color w:val="auto"/>
                <w:kern w:val="0"/>
                <w:sz w:val="21"/>
                <w:szCs w:val="21"/>
                <w:highlight w:val="none"/>
                <w:lang w:val="en-US" w:eastAsia="zh-CN"/>
              </w:rPr>
              <w:t>部分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w:t>
            </w:r>
          </w:p>
        </w:tc>
        <w:tc>
          <w:tcPr>
            <w:tcW w:w="5004"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1.报价人提供的研发方案符合要求、全面合理，优秀得</w:t>
            </w:r>
            <w:r>
              <w:rPr>
                <w:rFonts w:hint="eastAsia" w:ascii="宋体" w:hAnsi="宋体" w:cs="宋体"/>
                <w:color w:val="auto"/>
                <w:kern w:val="2"/>
                <w:sz w:val="21"/>
                <w:szCs w:val="21"/>
                <w:highlight w:val="none"/>
                <w:lang w:val="en-US" w:eastAsia="zh-CN"/>
              </w:rPr>
              <w:t>4-3</w:t>
            </w:r>
            <w:r>
              <w:rPr>
                <w:rFonts w:hint="eastAsia" w:ascii="宋体" w:hAnsi="宋体" w:eastAsia="宋体" w:cs="宋体"/>
                <w:color w:val="auto"/>
                <w:kern w:val="2"/>
                <w:sz w:val="21"/>
                <w:szCs w:val="21"/>
                <w:highlight w:val="none"/>
                <w:lang w:val="en-US" w:eastAsia="zh-CN"/>
              </w:rPr>
              <w:t>分，一般得</w:t>
            </w:r>
            <w:r>
              <w:rPr>
                <w:rFonts w:hint="eastAsia" w:ascii="宋体" w:hAnsi="宋体" w:cs="宋体"/>
                <w:color w:val="auto"/>
                <w:kern w:val="2"/>
                <w:sz w:val="21"/>
                <w:szCs w:val="21"/>
                <w:highlight w:val="none"/>
                <w:lang w:val="en-US" w:eastAsia="zh-CN"/>
              </w:rPr>
              <w:t>2.5-2</w:t>
            </w:r>
            <w:r>
              <w:rPr>
                <w:rFonts w:hint="eastAsia" w:ascii="宋体" w:hAnsi="宋体" w:eastAsia="宋体" w:cs="宋体"/>
                <w:color w:val="auto"/>
                <w:kern w:val="2"/>
                <w:sz w:val="21"/>
                <w:szCs w:val="21"/>
                <w:highlight w:val="none"/>
                <w:lang w:val="en-US" w:eastAsia="zh-CN"/>
              </w:rPr>
              <w:t>分，较差得</w:t>
            </w:r>
            <w:r>
              <w:rPr>
                <w:rFonts w:hint="eastAsia" w:ascii="宋体" w:hAnsi="宋体" w:cs="宋体"/>
                <w:color w:val="auto"/>
                <w:kern w:val="2"/>
                <w:sz w:val="21"/>
                <w:szCs w:val="21"/>
                <w:highlight w:val="none"/>
                <w:lang w:val="en-US" w:eastAsia="zh-CN"/>
              </w:rPr>
              <w:t>1.5-1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,满分为4分</w:t>
            </w:r>
            <w:r>
              <w:rPr>
                <w:rFonts w:hint="eastAsia" w:ascii="宋体" w:hAnsi="宋体" w:eastAsia="宋体" w:cs="宋体"/>
                <w:color w:val="auto"/>
                <w:kern w:val="2"/>
                <w:sz w:val="21"/>
                <w:szCs w:val="21"/>
                <w:highlight w:val="none"/>
                <w:lang w:val="en-US" w:eastAsia="zh-CN"/>
              </w:rPr>
              <w:t>。</w:t>
            </w:r>
          </w:p>
          <w:p>
            <w:pPr>
              <w:shd w:val="clea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2.报价人提供的系统技术服务方案符合要求、扩展性强、条理性好、并有较合理的配图说明，优秀得</w:t>
            </w:r>
            <w:r>
              <w:rPr>
                <w:rFonts w:hint="eastAsia" w:ascii="宋体" w:hAnsi="宋体" w:cs="宋体"/>
                <w:color w:val="auto"/>
                <w:kern w:val="2"/>
                <w:sz w:val="21"/>
                <w:szCs w:val="21"/>
                <w:highlight w:val="none"/>
                <w:lang w:val="en-US" w:eastAsia="zh-CN"/>
              </w:rPr>
              <w:t>4-3</w:t>
            </w:r>
            <w:r>
              <w:rPr>
                <w:rFonts w:hint="eastAsia" w:ascii="宋体" w:hAnsi="宋体" w:eastAsia="宋体" w:cs="宋体"/>
                <w:color w:val="auto"/>
                <w:kern w:val="2"/>
                <w:sz w:val="21"/>
                <w:szCs w:val="21"/>
                <w:highlight w:val="none"/>
                <w:lang w:val="en-US" w:eastAsia="zh-CN"/>
              </w:rPr>
              <w:t>分，一般得</w:t>
            </w:r>
            <w:r>
              <w:rPr>
                <w:rFonts w:hint="eastAsia" w:ascii="宋体" w:hAnsi="宋体" w:cs="宋体"/>
                <w:color w:val="auto"/>
                <w:kern w:val="2"/>
                <w:sz w:val="21"/>
                <w:szCs w:val="21"/>
                <w:highlight w:val="none"/>
                <w:lang w:val="en-US" w:eastAsia="zh-CN"/>
              </w:rPr>
              <w:t>2.5-2</w:t>
            </w:r>
            <w:r>
              <w:rPr>
                <w:rFonts w:hint="eastAsia" w:ascii="宋体" w:hAnsi="宋体" w:eastAsia="宋体" w:cs="宋体"/>
                <w:color w:val="auto"/>
                <w:kern w:val="2"/>
                <w:sz w:val="21"/>
                <w:szCs w:val="21"/>
                <w:highlight w:val="none"/>
                <w:lang w:val="en-US" w:eastAsia="zh-CN"/>
              </w:rPr>
              <w:t>分，较差得</w:t>
            </w:r>
            <w:r>
              <w:rPr>
                <w:rFonts w:hint="eastAsia" w:ascii="宋体" w:hAnsi="宋体" w:cs="宋体"/>
                <w:color w:val="auto"/>
                <w:kern w:val="2"/>
                <w:sz w:val="21"/>
                <w:szCs w:val="21"/>
                <w:highlight w:val="none"/>
                <w:lang w:val="en-US" w:eastAsia="zh-CN"/>
              </w:rPr>
              <w:t>1.5-1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,满分为4分</w:t>
            </w:r>
            <w:r>
              <w:rPr>
                <w:rFonts w:hint="eastAsia" w:ascii="宋体" w:hAnsi="宋体" w:eastAsia="宋体" w:cs="宋体"/>
                <w:color w:val="auto"/>
                <w:kern w:val="2"/>
                <w:sz w:val="21"/>
                <w:szCs w:val="21"/>
                <w:highlight w:val="none"/>
                <w:lang w:val="en-US" w:eastAsia="zh-CN"/>
              </w:rPr>
              <w:t>。</w:t>
            </w:r>
          </w:p>
          <w:p>
            <w:pPr>
              <w:shd w:val="clea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3.报价人提供的状态监控、路网管理、设备管理开发方案功能完善，针对性强，并有较合理的配图说明，优秀得</w:t>
            </w:r>
            <w:r>
              <w:rPr>
                <w:rFonts w:hint="eastAsia" w:ascii="宋体" w:hAnsi="宋体" w:cs="宋体"/>
                <w:color w:val="auto"/>
                <w:kern w:val="2"/>
                <w:sz w:val="21"/>
                <w:szCs w:val="21"/>
                <w:highlight w:val="none"/>
                <w:lang w:val="en-US" w:eastAsia="zh-CN"/>
              </w:rPr>
              <w:t>4-3</w:t>
            </w:r>
            <w:r>
              <w:rPr>
                <w:rFonts w:hint="eastAsia" w:ascii="宋体" w:hAnsi="宋体" w:eastAsia="宋体" w:cs="宋体"/>
                <w:color w:val="auto"/>
                <w:kern w:val="2"/>
                <w:sz w:val="21"/>
                <w:szCs w:val="21"/>
                <w:highlight w:val="none"/>
                <w:lang w:val="en-US" w:eastAsia="zh-CN"/>
              </w:rPr>
              <w:t>分，一般得</w:t>
            </w:r>
            <w:r>
              <w:rPr>
                <w:rFonts w:hint="eastAsia" w:ascii="宋体" w:hAnsi="宋体" w:cs="宋体"/>
                <w:color w:val="auto"/>
                <w:kern w:val="2"/>
                <w:sz w:val="21"/>
                <w:szCs w:val="21"/>
                <w:highlight w:val="none"/>
                <w:lang w:val="en-US" w:eastAsia="zh-CN"/>
              </w:rPr>
              <w:t>2.5-2</w:t>
            </w:r>
            <w:r>
              <w:rPr>
                <w:rFonts w:hint="eastAsia" w:ascii="宋体" w:hAnsi="宋体" w:eastAsia="宋体" w:cs="宋体"/>
                <w:color w:val="auto"/>
                <w:kern w:val="2"/>
                <w:sz w:val="21"/>
                <w:szCs w:val="21"/>
                <w:highlight w:val="none"/>
                <w:lang w:val="en-US" w:eastAsia="zh-CN"/>
              </w:rPr>
              <w:t>分，较差得</w:t>
            </w:r>
            <w:r>
              <w:rPr>
                <w:rFonts w:hint="eastAsia" w:ascii="宋体" w:hAnsi="宋体" w:cs="宋体"/>
                <w:color w:val="auto"/>
                <w:kern w:val="2"/>
                <w:sz w:val="21"/>
                <w:szCs w:val="21"/>
                <w:highlight w:val="none"/>
                <w:lang w:val="en-US" w:eastAsia="zh-CN"/>
              </w:rPr>
              <w:t>1.5-1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,满分为4分</w:t>
            </w:r>
            <w:r>
              <w:rPr>
                <w:rFonts w:hint="eastAsia" w:ascii="宋体" w:hAnsi="宋体" w:eastAsia="宋体" w:cs="宋体"/>
                <w:color w:val="auto"/>
                <w:kern w:val="2"/>
                <w:sz w:val="21"/>
                <w:szCs w:val="21"/>
                <w:highlight w:val="none"/>
                <w:lang w:val="en-US" w:eastAsia="zh-CN"/>
              </w:rPr>
              <w:t>。</w:t>
            </w:r>
          </w:p>
          <w:p>
            <w:pPr>
              <w:shd w:val="clea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4.报价人提供的运维管理、统计分析、工单操作开发方案功能完善，针对性强，并有较合理的配图说明，优秀得</w:t>
            </w:r>
            <w:r>
              <w:rPr>
                <w:rFonts w:hint="eastAsia" w:ascii="宋体" w:hAnsi="宋体" w:cs="宋体"/>
                <w:color w:val="auto"/>
                <w:kern w:val="2"/>
                <w:sz w:val="21"/>
                <w:szCs w:val="21"/>
                <w:highlight w:val="none"/>
                <w:lang w:val="en-US" w:eastAsia="zh-CN"/>
              </w:rPr>
              <w:t>4-3</w:t>
            </w:r>
            <w:r>
              <w:rPr>
                <w:rFonts w:hint="eastAsia" w:ascii="宋体" w:hAnsi="宋体" w:eastAsia="宋体" w:cs="宋体"/>
                <w:color w:val="auto"/>
                <w:kern w:val="2"/>
                <w:sz w:val="21"/>
                <w:szCs w:val="21"/>
                <w:highlight w:val="none"/>
                <w:lang w:val="en-US" w:eastAsia="zh-CN"/>
              </w:rPr>
              <w:t>分，一般得</w:t>
            </w:r>
            <w:r>
              <w:rPr>
                <w:rFonts w:hint="eastAsia" w:ascii="宋体" w:hAnsi="宋体" w:cs="宋体"/>
                <w:color w:val="auto"/>
                <w:kern w:val="2"/>
                <w:sz w:val="21"/>
                <w:szCs w:val="21"/>
                <w:highlight w:val="none"/>
                <w:lang w:val="en-US" w:eastAsia="zh-CN"/>
              </w:rPr>
              <w:t>2.5-2</w:t>
            </w:r>
            <w:r>
              <w:rPr>
                <w:rFonts w:hint="eastAsia" w:ascii="宋体" w:hAnsi="宋体" w:eastAsia="宋体" w:cs="宋体"/>
                <w:color w:val="auto"/>
                <w:kern w:val="2"/>
                <w:sz w:val="21"/>
                <w:szCs w:val="21"/>
                <w:highlight w:val="none"/>
                <w:lang w:val="en-US" w:eastAsia="zh-CN"/>
              </w:rPr>
              <w:t>分，较差得</w:t>
            </w:r>
            <w:r>
              <w:rPr>
                <w:rFonts w:hint="eastAsia" w:ascii="宋体" w:hAnsi="宋体" w:cs="宋体"/>
                <w:color w:val="auto"/>
                <w:kern w:val="2"/>
                <w:sz w:val="21"/>
                <w:szCs w:val="21"/>
                <w:highlight w:val="none"/>
                <w:lang w:val="en-US" w:eastAsia="zh-CN"/>
              </w:rPr>
              <w:t>1.5-1</w:t>
            </w:r>
            <w:r>
              <w:rPr>
                <w:rFonts w:hint="eastAsia" w:ascii="宋体" w:hAnsi="宋体" w:eastAsia="宋体" w:cs="宋体"/>
                <w:color w:val="auto"/>
                <w:kern w:val="2"/>
                <w:sz w:val="21"/>
                <w:szCs w:val="21"/>
                <w:highlight w:val="none"/>
                <w:lang w:val="en-US" w:eastAsia="zh-CN"/>
              </w:rPr>
              <w:t>分</w:t>
            </w:r>
            <w:r>
              <w:rPr>
                <w:rFonts w:hint="eastAsia" w:ascii="宋体" w:hAnsi="宋体" w:cs="宋体"/>
                <w:color w:val="auto"/>
                <w:kern w:val="2"/>
                <w:sz w:val="21"/>
                <w:szCs w:val="21"/>
                <w:highlight w:val="none"/>
                <w:lang w:val="en-US" w:eastAsia="zh-CN"/>
              </w:rPr>
              <w:t>,满分为4分</w:t>
            </w:r>
            <w:r>
              <w:rPr>
                <w:rFonts w:hint="eastAsia" w:ascii="宋体" w:hAnsi="宋体" w:eastAsia="宋体" w:cs="宋体"/>
                <w:color w:val="auto"/>
                <w:kern w:val="2"/>
                <w:sz w:val="21"/>
                <w:szCs w:val="21"/>
                <w:highlight w:val="none"/>
                <w:lang w:val="en-US" w:eastAsia="zh-CN"/>
              </w:rPr>
              <w:t>。</w:t>
            </w:r>
          </w:p>
          <w:p>
            <w:pPr>
              <w:shd w:val="clear"/>
              <w:autoSpaceDE w:val="0"/>
              <w:autoSpaceDN w:val="0"/>
              <w:adjustRightInd w:val="0"/>
              <w:spacing w:line="320" w:lineRule="exact"/>
              <w:ind w:firstLine="420" w:firstLineChars="200"/>
              <w:jc w:val="left"/>
              <w:rPr>
                <w:color w:val="auto"/>
                <w:highlight w:val="none"/>
              </w:rPr>
            </w:pPr>
            <w:r>
              <w:rPr>
                <w:rFonts w:hint="eastAsia" w:ascii="宋体" w:hAnsi="宋体" w:eastAsia="宋体" w:cs="宋体"/>
                <w:color w:val="auto"/>
                <w:kern w:val="2"/>
                <w:sz w:val="21"/>
                <w:szCs w:val="21"/>
                <w:highlight w:val="none"/>
                <w:lang w:val="en-US" w:eastAsia="zh-CN"/>
              </w:rPr>
              <w:t>5.报价人承诺</w:t>
            </w:r>
            <w:r>
              <w:rPr>
                <w:rFonts w:hint="eastAsia" w:ascii="宋体" w:hAnsi="宋体" w:cs="宋体"/>
                <w:color w:val="auto"/>
                <w:kern w:val="2"/>
                <w:sz w:val="21"/>
                <w:szCs w:val="21"/>
                <w:highlight w:val="none"/>
                <w:lang w:val="en-US" w:eastAsia="zh-CN"/>
              </w:rPr>
              <w:t>协助采购人</w:t>
            </w:r>
            <w:r>
              <w:rPr>
                <w:rFonts w:hint="eastAsia" w:ascii="宋体" w:hAnsi="宋体" w:eastAsia="宋体" w:cs="宋体"/>
                <w:color w:val="auto"/>
                <w:kern w:val="2"/>
                <w:sz w:val="21"/>
                <w:szCs w:val="21"/>
                <w:highlight w:val="none"/>
                <w:lang w:val="en-US" w:eastAsia="zh-CN"/>
              </w:rPr>
              <w:t>获得的项目相关</w:t>
            </w:r>
            <w:r>
              <w:rPr>
                <w:rFonts w:hint="eastAsia" w:ascii="宋体" w:hAnsi="宋体" w:cs="宋体"/>
                <w:color w:val="auto"/>
                <w:kern w:val="2"/>
                <w:sz w:val="21"/>
                <w:szCs w:val="21"/>
                <w:highlight w:val="none"/>
                <w:lang w:val="en-US" w:eastAsia="zh-CN"/>
              </w:rPr>
              <w:t>专利和</w:t>
            </w:r>
            <w:r>
              <w:rPr>
                <w:rFonts w:hint="eastAsia" w:ascii="宋体" w:hAnsi="宋体" w:eastAsia="宋体" w:cs="宋体"/>
                <w:color w:val="auto"/>
                <w:kern w:val="2"/>
                <w:sz w:val="21"/>
                <w:szCs w:val="21"/>
                <w:highlight w:val="none"/>
                <w:lang w:val="en-US" w:eastAsia="zh-CN"/>
              </w:rPr>
              <w:t>软件著作权数量达到</w:t>
            </w:r>
            <w:r>
              <w:rPr>
                <w:rFonts w:hint="eastAsia" w:ascii="宋体" w:hAnsi="宋体" w:cs="宋体"/>
                <w:color w:val="auto"/>
                <w:kern w:val="2"/>
                <w:sz w:val="21"/>
                <w:szCs w:val="21"/>
                <w:highlight w:val="none"/>
                <w:lang w:val="en-US" w:eastAsia="zh-CN"/>
              </w:rPr>
              <w:t>比选文件中的成果交付</w:t>
            </w:r>
            <w:r>
              <w:rPr>
                <w:rFonts w:hint="eastAsia" w:ascii="宋体" w:hAnsi="宋体" w:eastAsia="宋体" w:cs="宋体"/>
                <w:color w:val="auto"/>
                <w:kern w:val="2"/>
                <w:sz w:val="21"/>
                <w:szCs w:val="21"/>
                <w:highlight w:val="none"/>
                <w:lang w:val="en-US" w:eastAsia="zh-CN"/>
              </w:rPr>
              <w:t>基本要求，得基本分</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分，每</w:t>
            </w:r>
            <w:r>
              <w:rPr>
                <w:rFonts w:hint="eastAsia" w:ascii="宋体" w:hAnsi="宋体" w:cs="宋体"/>
                <w:color w:val="auto"/>
                <w:kern w:val="2"/>
                <w:sz w:val="21"/>
                <w:szCs w:val="21"/>
                <w:highlight w:val="none"/>
                <w:lang w:val="en-US" w:eastAsia="zh-CN"/>
              </w:rPr>
              <w:t>增加</w:t>
            </w:r>
            <w:r>
              <w:rPr>
                <w:rFonts w:hint="eastAsia" w:ascii="宋体" w:hAnsi="宋体" w:eastAsia="宋体" w:cs="宋体"/>
                <w:color w:val="auto"/>
                <w:kern w:val="2"/>
                <w:sz w:val="21"/>
                <w:szCs w:val="21"/>
                <w:highlight w:val="none"/>
                <w:lang w:val="en-US" w:eastAsia="zh-CN"/>
              </w:rPr>
              <w:t>一项，加1分，满分为</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0" w:hRule="atLeas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default"/>
                <w:color w:val="auto"/>
                <w:highlight w:val="none"/>
                <w:lang w:val="en-US" w:eastAsia="zh-CN"/>
              </w:rPr>
            </w:pPr>
            <w:r>
              <w:rPr>
                <w:rFonts w:hint="eastAsia"/>
                <w:color w:val="auto"/>
                <w:highlight w:val="none"/>
                <w:lang w:val="en-US" w:eastAsia="zh-CN"/>
              </w:rPr>
              <w:t>8</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eastAsia="zh-CN"/>
              </w:rPr>
              <w:t>C</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评分标准</w:t>
            </w:r>
          </w:p>
        </w:tc>
        <w:tc>
          <w:tcPr>
            <w:tcW w:w="2117"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5004" w:type="dxa"/>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ind w:firstLine="420" w:firstLineChars="200"/>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1.报价人同时获得</w:t>
            </w:r>
            <w:r>
              <w:rPr>
                <w:rFonts w:hint="eastAsia" w:ascii="宋体" w:hAnsi="宋体" w:cs="宋体"/>
                <w:b/>
                <w:bCs/>
                <w:color w:val="auto"/>
                <w:szCs w:val="21"/>
                <w:highlight w:val="none"/>
              </w:rPr>
              <w:t>ISO9001</w:t>
            </w:r>
            <w:r>
              <w:rPr>
                <w:rFonts w:hint="eastAsia" w:ascii="宋体" w:hAnsi="宋体" w:cs="宋体"/>
                <w:b/>
                <w:bCs/>
                <w:color w:val="auto"/>
                <w:kern w:val="2"/>
                <w:sz w:val="21"/>
                <w:szCs w:val="21"/>
                <w:highlight w:val="none"/>
                <w:lang w:val="en-US" w:eastAsia="zh-CN"/>
              </w:rPr>
              <w:t>质量管理体系认证</w:t>
            </w:r>
            <w:r>
              <w:rPr>
                <w:rFonts w:hint="eastAsia" w:ascii="宋体" w:hAnsi="宋体" w:cs="宋体"/>
                <w:color w:val="auto"/>
                <w:kern w:val="2"/>
                <w:sz w:val="21"/>
                <w:szCs w:val="21"/>
                <w:highlight w:val="none"/>
                <w:lang w:val="en-US" w:eastAsia="zh-CN"/>
              </w:rPr>
              <w:t>、</w:t>
            </w:r>
            <w:r>
              <w:rPr>
                <w:rFonts w:hint="eastAsia" w:ascii="宋体" w:hAnsi="宋体" w:cs="宋体"/>
                <w:b/>
                <w:bCs/>
                <w:color w:val="auto"/>
                <w:szCs w:val="21"/>
                <w:highlight w:val="none"/>
              </w:rPr>
              <w:t>ISO45001</w:t>
            </w:r>
            <w:r>
              <w:rPr>
                <w:rFonts w:hint="eastAsia" w:ascii="宋体" w:hAnsi="宋体" w:cs="宋体"/>
                <w:b/>
                <w:bCs/>
                <w:color w:val="auto"/>
                <w:kern w:val="2"/>
                <w:sz w:val="21"/>
                <w:szCs w:val="21"/>
                <w:highlight w:val="none"/>
                <w:lang w:val="en-US" w:eastAsia="zh-CN"/>
              </w:rPr>
              <w:t>职业健康安全管理体系认证</w:t>
            </w:r>
            <w:r>
              <w:rPr>
                <w:rFonts w:hint="eastAsia" w:ascii="宋体" w:hAnsi="宋体" w:cs="宋体"/>
                <w:color w:val="auto"/>
                <w:kern w:val="2"/>
                <w:sz w:val="21"/>
                <w:szCs w:val="21"/>
                <w:highlight w:val="none"/>
                <w:lang w:val="en-US" w:eastAsia="zh-CN"/>
              </w:rPr>
              <w:t>、</w:t>
            </w:r>
            <w:r>
              <w:rPr>
                <w:rFonts w:hint="eastAsia" w:ascii="宋体" w:hAnsi="宋体" w:cs="宋体"/>
                <w:b/>
                <w:bCs/>
                <w:color w:val="auto"/>
                <w:szCs w:val="21"/>
                <w:highlight w:val="none"/>
              </w:rPr>
              <w:t>ISO14001</w:t>
            </w:r>
            <w:r>
              <w:rPr>
                <w:rFonts w:hint="eastAsia" w:ascii="宋体" w:hAnsi="宋体" w:cs="宋体"/>
                <w:b/>
                <w:bCs/>
                <w:color w:val="auto"/>
                <w:kern w:val="2"/>
                <w:sz w:val="21"/>
                <w:szCs w:val="21"/>
                <w:highlight w:val="none"/>
                <w:lang w:val="en-US" w:eastAsia="zh-CN"/>
              </w:rPr>
              <w:t>环境管理体系认证及信息安全管理体系认证</w:t>
            </w:r>
            <w:r>
              <w:rPr>
                <w:rFonts w:hint="eastAsia" w:ascii="宋体" w:hAnsi="宋体" w:cs="宋体"/>
                <w:color w:val="auto"/>
                <w:kern w:val="2"/>
                <w:sz w:val="21"/>
                <w:szCs w:val="21"/>
                <w:highlight w:val="none"/>
                <w:lang w:val="en-US" w:eastAsia="zh-CN"/>
              </w:rPr>
              <w:t>并处于有效期内的得8分，获得其中两项的得5分，获得其中一项的得3分，否则不得分（以国家认监委CNCA官网查询为准，需附相关网站截图并加盖报价人单位鲜公章）。满分为8分。</w:t>
            </w:r>
          </w:p>
          <w:p>
            <w:pPr>
              <w:shd w:val="clear"/>
              <w:autoSpaceDE w:val="0"/>
              <w:autoSpaceDN w:val="0"/>
              <w:adjustRightInd w:val="0"/>
              <w:spacing w:line="320" w:lineRule="exact"/>
              <w:ind w:firstLine="420" w:firstLineChars="200"/>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2.报价人具备有效的CMMI3级或以上认证证书，得6分（需提供CMMI认证证书），否则不得分。满分为6分。</w:t>
            </w:r>
          </w:p>
          <w:p>
            <w:pPr>
              <w:shd w:val="clear"/>
              <w:autoSpaceDE w:val="0"/>
              <w:autoSpaceDN w:val="0"/>
              <w:adjustRightInd w:val="0"/>
              <w:spacing w:line="320" w:lineRule="exact"/>
              <w:ind w:firstLine="420" w:firstLineChars="200"/>
              <w:jc w:val="left"/>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3.报价人每有1项交通行业相关专利或软著（需提供专利或软著证书复印件并加盖报价人单位鲜公章）的得1分，最高得6分，否则不得分。满分为6分。</w:t>
            </w:r>
          </w:p>
          <w:p>
            <w:pPr>
              <w:shd w:val="clea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2"/>
                <w:sz w:val="21"/>
                <w:szCs w:val="21"/>
                <w:highlight w:val="none"/>
                <w:lang w:val="en-US" w:eastAsia="zh-CN"/>
              </w:rPr>
              <w:t>4.报价人自2020年1月1日至投标截止日，每有交通行业软件平台独立或合作研发业绩（以合同签订时间为准）的得2分，最高得10分。满分为10分。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autoSpaceDE w:val="0"/>
              <w:autoSpaceDN w:val="0"/>
              <w:adjustRightIn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w:t>
            </w:r>
          </w:p>
          <w:p>
            <w:pPr>
              <w:shd w:val="clea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程序</w:t>
            </w:r>
          </w:p>
        </w:tc>
        <w:tc>
          <w:tcPr>
            <w:tcW w:w="7121" w:type="dxa"/>
            <w:gridSpan w:val="2"/>
            <w:tcBorders>
              <w:top w:val="single" w:color="auto" w:sz="4" w:space="0"/>
              <w:left w:val="single" w:color="auto" w:sz="4" w:space="0"/>
              <w:bottom w:val="single" w:color="auto" w:sz="4" w:space="0"/>
            </w:tcBorders>
            <w:vAlign w:val="center"/>
          </w:tcPr>
          <w:p>
            <w:pPr>
              <w:shd w:val="clea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1.初步评审前，按规定对所有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递交的竞争性比选响应文件进行初步评审（形式、资格、响应评审）。</w:t>
            </w:r>
          </w:p>
          <w:p>
            <w:pPr>
              <w:shd w:val="clea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2.初步评审合格的才进行详细评审。</w:t>
            </w:r>
          </w:p>
          <w:p>
            <w:pPr>
              <w:shd w:val="clea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3.根据综合得分由高至低进行排序，</w:t>
            </w:r>
            <w:r>
              <w:rPr>
                <w:rFonts w:hint="eastAsia" w:ascii="宋体" w:hAnsi="宋体" w:cs="宋体"/>
                <w:color w:val="auto"/>
                <w:kern w:val="0"/>
                <w:szCs w:val="21"/>
                <w:highlight w:val="none"/>
              </w:rPr>
              <w:t>推荐2名中标候选人</w:t>
            </w:r>
            <w:r>
              <w:rPr>
                <w:rFonts w:hint="eastAsia" w:ascii="宋体" w:hAnsi="宋体" w:eastAsia="宋体" w:cs="宋体"/>
                <w:color w:val="auto"/>
                <w:kern w:val="0"/>
                <w:sz w:val="21"/>
                <w:szCs w:val="21"/>
                <w:highlight w:val="none"/>
              </w:rPr>
              <w:t>。</w:t>
            </w:r>
          </w:p>
          <w:p>
            <w:pPr>
              <w:autoSpaceDE w:val="0"/>
              <w:autoSpaceDN w:val="0"/>
              <w:adjustRightInd w:val="0"/>
              <w:spacing w:line="320" w:lineRule="exact"/>
              <w:ind w:firstLine="420" w:firstLineChars="200"/>
              <w:jc w:val="left"/>
              <w:rPr>
                <w:rFonts w:hint="eastAsia" w:ascii="宋体" w:hAnsi="宋体" w:cs="宋体"/>
                <w:kern w:val="0"/>
                <w:szCs w:val="21"/>
              </w:rPr>
            </w:pPr>
            <w:r>
              <w:rPr>
                <w:rFonts w:hint="eastAsia" w:ascii="宋体" w:hAnsi="宋体" w:cs="宋体"/>
                <w:kern w:val="0"/>
                <w:szCs w:val="21"/>
              </w:rPr>
              <w:t>4.</w:t>
            </w:r>
            <w:r>
              <w:rPr>
                <w:rFonts w:hint="eastAsia"/>
              </w:rPr>
              <w:t xml:space="preserve"> </w:t>
            </w:r>
            <w:r>
              <w:rPr>
                <w:rFonts w:hint="eastAsia" w:ascii="宋体" w:hAnsi="宋体" w:cs="宋体"/>
                <w:kern w:val="0"/>
                <w:szCs w:val="21"/>
              </w:rPr>
              <w:t>技术部分的最终得分为评标委员会的有效评分的算术平均值（当评委为5人以上（不含5人）时，技术标得分则为去掉一个最高分和一个最低分后各评标委员会成员打分的平均值）。</w:t>
            </w:r>
          </w:p>
          <w:p>
            <w:pPr>
              <w:shd w:val="clear"/>
              <w:autoSpaceDE w:val="0"/>
              <w:autoSpaceDN w:val="0"/>
              <w:adjustRightInd w:val="0"/>
              <w:spacing w:line="320" w:lineRule="exact"/>
              <w:ind w:firstLine="420" w:firstLineChars="200"/>
              <w:jc w:val="left"/>
              <w:rPr>
                <w:color w:val="auto"/>
                <w:highlight w:val="none"/>
              </w:rPr>
            </w:pPr>
            <w:r>
              <w:rPr>
                <w:rFonts w:hint="eastAsia" w:ascii="宋体" w:hAnsi="宋体" w:cs="宋体"/>
                <w:kern w:val="0"/>
                <w:szCs w:val="21"/>
                <w:lang w:val="en-US" w:eastAsia="zh-CN"/>
              </w:rPr>
              <w:t>5.</w:t>
            </w:r>
            <w:r>
              <w:rPr>
                <w:rFonts w:hint="eastAsia" w:ascii="宋体" w:hAnsi="宋体" w:eastAsia="宋体" w:cs="宋体"/>
                <w:color w:val="auto"/>
                <w:kern w:val="0"/>
                <w:sz w:val="21"/>
                <w:szCs w:val="21"/>
                <w:highlight w:val="none"/>
              </w:rPr>
              <w:t>如经过对所有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的竞争性比选响应文件进行评审，有效</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不足三个使得</w:t>
            </w:r>
            <w:r>
              <w:rPr>
                <w:rFonts w:hint="eastAsia" w:ascii="宋体" w:hAnsi="宋体" w:eastAsia="宋体" w:cs="宋体"/>
                <w:color w:val="auto"/>
                <w:kern w:val="0"/>
                <w:sz w:val="21"/>
                <w:szCs w:val="21"/>
                <w:highlight w:val="none"/>
                <w:lang w:val="en-US" w:eastAsia="zh-CN"/>
              </w:rPr>
              <w:t>比选</w:t>
            </w:r>
            <w:bookmarkStart w:id="303" w:name="_GoBack"/>
            <w:bookmarkEnd w:id="303"/>
            <w:r>
              <w:rPr>
                <w:rFonts w:hint="eastAsia" w:ascii="宋体" w:hAnsi="宋体" w:eastAsia="宋体" w:cs="宋体"/>
                <w:color w:val="auto"/>
                <w:kern w:val="0"/>
                <w:sz w:val="21"/>
                <w:szCs w:val="21"/>
                <w:highlight w:val="none"/>
              </w:rPr>
              <w:t>明显缺乏竞争的，评标委员会可以否决全部</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。如果评标委员会裁定仍具有竞争性，则按照规定程序进行评审，推荐</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hd w:val="clear"/>
              <w:spacing w:line="400" w:lineRule="exact"/>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1124" w:type="dxa"/>
            <w:tcBorders>
              <w:top w:val="single" w:color="auto" w:sz="4" w:space="0"/>
              <w:left w:val="single" w:color="auto" w:sz="4" w:space="0"/>
              <w:bottom w:val="single" w:color="auto" w:sz="4" w:space="0"/>
              <w:right w:val="single" w:color="auto" w:sz="4" w:space="0"/>
            </w:tcBorders>
            <w:vAlign w:val="center"/>
          </w:tcPr>
          <w:p>
            <w:pPr>
              <w:shd w:val="clear"/>
              <w:spacing w:line="441" w:lineRule="exact"/>
              <w:jc w:val="center"/>
              <w:rPr>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w:t>
            </w:r>
          </w:p>
        </w:tc>
        <w:tc>
          <w:tcPr>
            <w:tcW w:w="7121" w:type="dxa"/>
            <w:gridSpan w:val="2"/>
            <w:tcBorders>
              <w:top w:val="single" w:color="auto" w:sz="4" w:space="0"/>
              <w:left w:val="single" w:color="auto" w:sz="4" w:space="0"/>
              <w:bottom w:val="single" w:color="auto" w:sz="4" w:space="0"/>
            </w:tcBorders>
            <w:vAlign w:val="center"/>
          </w:tcPr>
          <w:p>
            <w:pPr>
              <w:shd w:val="clear"/>
              <w:ind w:firstLine="420" w:firstLineChars="0"/>
              <w:jc w:val="center"/>
              <w:rPr>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得分=A+B</w:t>
            </w:r>
            <w:r>
              <w:rPr>
                <w:rFonts w:hint="eastAsia" w:ascii="宋体" w:hAnsi="宋体" w:eastAsia="宋体" w:cs="宋体"/>
                <w:color w:val="auto"/>
                <w:sz w:val="21"/>
                <w:szCs w:val="21"/>
                <w:highlight w:val="none"/>
                <w:lang w:val="en-US" w:eastAsia="zh-CN"/>
              </w:rPr>
              <w:t>+C</w:t>
            </w:r>
          </w:p>
        </w:tc>
      </w:tr>
    </w:tbl>
    <w:p>
      <w:pPr>
        <w:shd w:val="clear"/>
        <w:rPr>
          <w:rFonts w:hint="eastAsia" w:ascii="宋体" w:hAnsi="宋体" w:cs="宋体"/>
          <w:color w:val="auto"/>
          <w:highlight w:val="none"/>
        </w:rPr>
      </w:pPr>
    </w:p>
    <w:p>
      <w:pPr>
        <w:pStyle w:val="29"/>
        <w:numPr>
          <w:ilvl w:val="0"/>
          <w:numId w:val="0"/>
        </w:numPr>
        <w:shd w:val="clear"/>
        <w:jc w:val="center"/>
        <w:outlineLvl w:val="0"/>
        <w:rPr>
          <w:rFonts w:hint="default"/>
          <w:color w:val="auto"/>
          <w:highlight w:val="none"/>
          <w:lang w:val="en-US" w:eastAsia="zh-CN"/>
        </w:rPr>
      </w:pPr>
      <w:r>
        <w:rPr>
          <w:rFonts w:hint="eastAsia"/>
          <w:color w:val="auto"/>
          <w:highlight w:val="none"/>
        </w:rPr>
        <w:br w:type="page"/>
      </w:r>
      <w:bookmarkStart w:id="138" w:name="_Toc6879"/>
      <w:r>
        <w:rPr>
          <w:rStyle w:val="81"/>
          <w:rFonts w:hint="eastAsia"/>
          <w:b/>
          <w:bCs/>
          <w:color w:val="auto"/>
          <w:highlight w:val="none"/>
          <w:lang w:val="en-US" w:eastAsia="zh-CN"/>
        </w:rPr>
        <w:t>第四章 报价说明</w:t>
      </w:r>
      <w:bookmarkEnd w:id="138"/>
    </w:p>
    <w:p>
      <w:pPr>
        <w:pStyle w:val="29"/>
        <w:keepNext w:val="0"/>
        <w:keepLines w:val="0"/>
        <w:pageBreakBefore w:val="0"/>
        <w:widowControl w:val="0"/>
        <w:shd w:val="clea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应与</w:t>
      </w:r>
      <w:r>
        <w:rPr>
          <w:rFonts w:hint="eastAsia" w:ascii="宋体" w:hAnsi="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lang w:val="en-US" w:eastAsia="zh-CN"/>
        </w:rPr>
        <w:t>竞争性比选文件、技术标准和要求等文件结合起来查阅与理解。</w:t>
      </w:r>
    </w:p>
    <w:p>
      <w:pPr>
        <w:pStyle w:val="29"/>
        <w:keepNext w:val="0"/>
        <w:keepLines w:val="0"/>
        <w:pageBreakBefore w:val="0"/>
        <w:widowControl w:val="0"/>
        <w:shd w:val="clea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、对作业和材料</w:t>
      </w:r>
      <w:r>
        <w:rPr>
          <w:rFonts w:hint="eastAsia" w:ascii="宋体" w:hAnsi="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lang w:val="en-US" w:eastAsia="zh-CN"/>
        </w:rPr>
        <w:t>的技术标准和要求及一般说明或规定，未重复写入</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内，在给</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各细目报价前，应参阅</w:t>
      </w:r>
      <w:r>
        <w:rPr>
          <w:rFonts w:hint="eastAsia" w:ascii="宋体" w:hAnsi="宋体" w:cs="宋体"/>
          <w:b w:val="0"/>
          <w:bCs w:val="0"/>
          <w:color w:val="auto"/>
          <w:sz w:val="21"/>
          <w:szCs w:val="21"/>
          <w:highlight w:val="none"/>
          <w:lang w:val="en-US" w:eastAsia="zh-CN"/>
        </w:rPr>
        <w:t>并满足</w:t>
      </w:r>
      <w:r>
        <w:rPr>
          <w:rFonts w:hint="eastAsia" w:ascii="宋体" w:hAnsi="宋体" w:eastAsia="宋体" w:cs="宋体"/>
          <w:b w:val="0"/>
          <w:bCs w:val="0"/>
          <w:color w:val="auto"/>
          <w:sz w:val="21"/>
          <w:szCs w:val="21"/>
          <w:highlight w:val="none"/>
          <w:lang w:val="en-US" w:eastAsia="zh-CN"/>
        </w:rPr>
        <w:t>设计文件及竞争性比选文件中技术标准和要求的有关部分</w:t>
      </w:r>
      <w:r>
        <w:rPr>
          <w:rFonts w:hint="eastAsia" w:ascii="宋体" w:hAnsi="宋体" w:cs="宋体"/>
          <w:b w:val="0"/>
          <w:bCs w:val="0"/>
          <w:color w:val="auto"/>
          <w:sz w:val="21"/>
          <w:szCs w:val="21"/>
          <w:highlight w:val="none"/>
          <w:lang w:val="en-US" w:eastAsia="zh-CN"/>
        </w:rPr>
        <w:t>，如不满足相关</w:t>
      </w:r>
      <w:r>
        <w:rPr>
          <w:rFonts w:hint="eastAsia" w:ascii="宋体" w:hAnsi="宋体" w:eastAsia="宋体" w:cs="宋体"/>
          <w:b w:val="0"/>
          <w:bCs w:val="0"/>
          <w:color w:val="auto"/>
          <w:sz w:val="21"/>
          <w:szCs w:val="21"/>
          <w:highlight w:val="none"/>
          <w:lang w:val="en-US" w:eastAsia="zh-CN"/>
        </w:rPr>
        <w:t>技术标准和要求</w:t>
      </w:r>
      <w:r>
        <w:rPr>
          <w:rFonts w:hint="eastAsia" w:ascii="宋体" w:hAnsi="宋体" w:cs="宋体"/>
          <w:b w:val="0"/>
          <w:bCs w:val="0"/>
          <w:color w:val="auto"/>
          <w:sz w:val="21"/>
          <w:szCs w:val="21"/>
          <w:highlight w:val="none"/>
          <w:lang w:val="en-US" w:eastAsia="zh-CN"/>
        </w:rPr>
        <w:t>，由此对采购人造成的一切损失由报价人承担</w:t>
      </w:r>
      <w:r>
        <w:rPr>
          <w:rFonts w:hint="eastAsia" w:ascii="宋体" w:hAnsi="宋体" w:eastAsia="宋体" w:cs="宋体"/>
          <w:b w:val="0"/>
          <w:bCs w:val="0"/>
          <w:color w:val="auto"/>
          <w:sz w:val="21"/>
          <w:szCs w:val="21"/>
          <w:highlight w:val="none"/>
          <w:lang w:val="en-US" w:eastAsia="zh-CN"/>
        </w:rPr>
        <w:t>。</w:t>
      </w:r>
    </w:p>
    <w:p>
      <w:pPr>
        <w:pStyle w:val="29"/>
        <w:keepNext w:val="0"/>
        <w:keepLines w:val="0"/>
        <w:pageBreakBefore w:val="0"/>
        <w:widowControl w:val="0"/>
        <w:shd w:val="clea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、对于符合要求的竞争性比选响应文件，在签订合同协议书前，如发现</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color w:val="auto"/>
          <w:sz w:val="21"/>
          <w:szCs w:val="21"/>
          <w:highlight w:val="none"/>
          <w:lang w:val="en-US" w:eastAsia="zh-CN"/>
        </w:rPr>
        <w:t>报价做废标处理</w:t>
      </w:r>
      <w:r>
        <w:rPr>
          <w:rFonts w:hint="eastAsia" w:ascii="宋体" w:hAnsi="宋体" w:eastAsia="宋体" w:cs="宋体"/>
          <w:b w:val="0"/>
          <w:bCs w:val="0"/>
          <w:color w:val="auto"/>
          <w:sz w:val="21"/>
          <w:szCs w:val="21"/>
          <w:highlight w:val="none"/>
          <w:lang w:val="en-US" w:eastAsia="zh-CN"/>
        </w:rPr>
        <w:t>。</w:t>
      </w:r>
    </w:p>
    <w:p>
      <w:pPr>
        <w:pStyle w:val="29"/>
        <w:keepNext w:val="0"/>
        <w:keepLines w:val="0"/>
        <w:pageBreakBefore w:val="0"/>
        <w:widowControl w:val="0"/>
        <w:shd w:val="clear"/>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中的任何内容不得随意删除或涂改，若有误，在有效时间内书面向采购人提出，以“补遗”资料为准。</w:t>
      </w:r>
    </w:p>
    <w:p>
      <w:pPr>
        <w:shd w:val="clear"/>
        <w:rPr>
          <w:rFonts w:hint="eastAsia"/>
          <w:color w:val="auto"/>
          <w:highlight w:val="none"/>
          <w:lang w:val="en-US" w:eastAsia="zh-CN"/>
        </w:rPr>
      </w:pPr>
      <w:r>
        <w:rPr>
          <w:rFonts w:hint="eastAsia"/>
          <w:color w:val="auto"/>
          <w:highlight w:val="none"/>
          <w:lang w:val="en-US" w:eastAsia="zh-CN"/>
        </w:rPr>
        <w:br w:type="page"/>
      </w:r>
    </w:p>
    <w:p>
      <w:pPr>
        <w:pStyle w:val="4"/>
        <w:shd w:val="clear"/>
        <w:spacing w:before="0" w:after="0" w:line="360" w:lineRule="auto"/>
        <w:jc w:val="center"/>
        <w:rPr>
          <w:rFonts w:hint="eastAsia" w:ascii="宋体" w:hAnsi="宋体" w:eastAsia="宋体" w:cs="宋体"/>
          <w:color w:val="auto"/>
          <w:highlight w:val="none"/>
          <w:lang w:eastAsia="zh-CN"/>
        </w:rPr>
      </w:pPr>
      <w:bookmarkStart w:id="139" w:name="_Toc247085855"/>
      <w:bookmarkStart w:id="140" w:name="_Toc152045772"/>
      <w:bookmarkStart w:id="141" w:name="_Toc2000409"/>
      <w:bookmarkStart w:id="142" w:name="_Toc246996340"/>
      <w:bookmarkStart w:id="143" w:name="_Toc246997083"/>
      <w:bookmarkStart w:id="144" w:name="_Toc179632789"/>
      <w:bookmarkStart w:id="145" w:name="_Toc514858705"/>
      <w:bookmarkStart w:id="146" w:name="_Toc152042554"/>
      <w:bookmarkStart w:id="147" w:name="_Toc144974834"/>
      <w:bookmarkStart w:id="148" w:name="_Toc4638"/>
      <w:bookmarkStart w:id="149" w:name="_Toc179632806"/>
      <w:bookmarkStart w:id="150" w:name="_Toc247085872"/>
      <w:bookmarkStart w:id="151" w:name="_Toc144974855"/>
      <w:bookmarkStart w:id="152" w:name="_Toc152042575"/>
      <w:bookmarkStart w:id="153" w:name="_Toc246996354"/>
      <w:bookmarkStart w:id="154" w:name="_Toc246997097"/>
      <w:bookmarkStart w:id="155" w:name="_Toc152045786"/>
      <w:r>
        <w:rPr>
          <w:rFonts w:hint="eastAsia" w:ascii="宋体" w:hAnsi="宋体" w:cs="宋体"/>
          <w:color w:val="auto"/>
          <w:highlight w:val="none"/>
        </w:rPr>
        <w:t xml:space="preserve">第五章 </w:t>
      </w:r>
      <w:bookmarkEnd w:id="139"/>
      <w:bookmarkEnd w:id="140"/>
      <w:bookmarkEnd w:id="141"/>
      <w:bookmarkEnd w:id="142"/>
      <w:bookmarkEnd w:id="143"/>
      <w:bookmarkEnd w:id="144"/>
      <w:bookmarkEnd w:id="145"/>
      <w:bookmarkEnd w:id="146"/>
      <w:bookmarkEnd w:id="147"/>
      <w:r>
        <w:rPr>
          <w:rFonts w:hint="eastAsia" w:ascii="宋体" w:hAnsi="宋体" w:cs="宋体"/>
          <w:color w:val="auto"/>
          <w:highlight w:val="none"/>
          <w:lang w:eastAsia="zh-CN"/>
        </w:rPr>
        <w:t>报价清单</w:t>
      </w:r>
      <w:bookmarkEnd w:id="148"/>
    </w:p>
    <w:p>
      <w:pPr>
        <w:shd w:val="clear"/>
        <w:ind w:firstLine="420"/>
        <w:jc w:val="left"/>
        <w:rPr>
          <w:rFonts w:hint="eastAsia" w:ascii="宋体" w:hAnsi="宋体" w:cs="宋体"/>
          <w:b/>
          <w:color w:val="auto"/>
          <w:highlight w:val="none"/>
        </w:rPr>
      </w:pPr>
      <w:bookmarkStart w:id="156" w:name="_Toc144974851"/>
      <w:bookmarkStart w:id="157" w:name="_Toc246997093"/>
      <w:bookmarkStart w:id="158" w:name="_Toc247085866"/>
      <w:bookmarkStart w:id="159" w:name="_Toc152045782"/>
      <w:bookmarkStart w:id="160" w:name="_Toc247096438"/>
      <w:bookmarkStart w:id="161" w:name="_Toc179632800"/>
      <w:bookmarkStart w:id="162" w:name="_Toc152042571"/>
      <w:bookmarkStart w:id="163" w:name="_Toc246996350"/>
    </w:p>
    <w:p>
      <w:pPr>
        <w:shd w:val="clear"/>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无</w:t>
      </w:r>
    </w:p>
    <w:p>
      <w:pPr>
        <w:shd w:val="clear"/>
        <w:rPr>
          <w:rFonts w:hint="eastAsia"/>
          <w:color w:val="auto"/>
          <w:highlight w:val="none"/>
        </w:rPr>
      </w:pPr>
      <w:r>
        <w:rPr>
          <w:rFonts w:hint="eastAsia" w:ascii="宋体" w:hAnsi="宋体" w:cs="宋体"/>
          <w:b/>
          <w:color w:val="auto"/>
          <w:highlight w:val="none"/>
        </w:rPr>
        <w:br w:type="page"/>
      </w:r>
    </w:p>
    <w:p>
      <w:pPr>
        <w:pStyle w:val="4"/>
        <w:shd w:val="clear"/>
        <w:spacing w:before="0" w:after="0" w:line="360" w:lineRule="auto"/>
        <w:jc w:val="center"/>
        <w:rPr>
          <w:rFonts w:hint="eastAsia" w:ascii="宋体" w:hAnsi="宋体" w:cs="宋体"/>
          <w:color w:val="auto"/>
          <w:highlight w:val="none"/>
        </w:rPr>
      </w:pPr>
      <w:bookmarkStart w:id="164" w:name="_Toc513633963"/>
      <w:bookmarkStart w:id="165" w:name="_Toc28333"/>
      <w:bookmarkStart w:id="166" w:name="_Toc514858706"/>
      <w:bookmarkStart w:id="167" w:name="_Toc503951042"/>
      <w:bookmarkStart w:id="168" w:name="_Toc2000410"/>
      <w:bookmarkStart w:id="169" w:name="_Toc447827048"/>
      <w:r>
        <w:rPr>
          <w:rFonts w:hint="eastAsia" w:ascii="宋体" w:hAnsi="宋体" w:cs="宋体"/>
          <w:color w:val="auto"/>
          <w:highlight w:val="none"/>
        </w:rPr>
        <w:t>第六章  图  纸</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shd w:val="clear"/>
        <w:jc w:val="center"/>
        <w:rPr>
          <w:rFonts w:hint="eastAsia" w:ascii="宋体" w:hAnsi="宋体" w:cs="宋体"/>
          <w:b/>
          <w:color w:val="auto"/>
          <w:highlight w:val="none"/>
        </w:rPr>
      </w:pPr>
      <w:r>
        <w:rPr>
          <w:rFonts w:hint="eastAsia" w:ascii="宋体" w:hAnsi="宋体" w:cs="宋体"/>
          <w:b/>
          <w:color w:val="auto"/>
          <w:kern w:val="0"/>
          <w:sz w:val="24"/>
          <w:highlight w:val="none"/>
          <w:lang w:val="en-US" w:eastAsia="zh-CN"/>
        </w:rPr>
        <w:t>无</w:t>
      </w:r>
      <w:r>
        <w:rPr>
          <w:rFonts w:hint="eastAsia" w:ascii="宋体" w:hAnsi="宋体" w:cs="宋体"/>
          <w:b/>
          <w:color w:val="auto"/>
          <w:kern w:val="0"/>
          <w:sz w:val="24"/>
          <w:highlight w:val="none"/>
        </w:rPr>
        <w:t>。</w:t>
      </w:r>
    </w:p>
    <w:p>
      <w:pPr>
        <w:shd w:val="clear"/>
        <w:spacing w:line="400" w:lineRule="exact"/>
        <w:rPr>
          <w:rFonts w:hint="eastAsia" w:ascii="宋体" w:hAnsi="宋体" w:cs="宋体"/>
          <w:color w:val="auto"/>
          <w:highlight w:val="none"/>
        </w:rPr>
      </w:pPr>
      <w:r>
        <w:rPr>
          <w:rFonts w:hint="eastAsia" w:ascii="宋体" w:hAnsi="宋体" w:cs="宋体"/>
          <w:color w:val="auto"/>
          <w:highlight w:val="none"/>
        </w:rPr>
        <w:br w:type="page"/>
      </w:r>
      <w:bookmarkStart w:id="170" w:name="_Toc152045785"/>
      <w:bookmarkStart w:id="171" w:name="_Toc152042574"/>
      <w:bookmarkStart w:id="172" w:name="_Toc144974854"/>
    </w:p>
    <w:p>
      <w:pPr>
        <w:pStyle w:val="4"/>
        <w:shd w:val="clear"/>
        <w:spacing w:before="0" w:after="0" w:line="360" w:lineRule="auto"/>
        <w:jc w:val="center"/>
        <w:rPr>
          <w:rFonts w:hint="eastAsia" w:ascii="宋体" w:hAnsi="宋体" w:cs="宋体"/>
          <w:color w:val="auto"/>
          <w:highlight w:val="none"/>
        </w:rPr>
      </w:pPr>
      <w:bookmarkStart w:id="173" w:name="_Toc247085870"/>
      <w:bookmarkStart w:id="174" w:name="_Toc904"/>
      <w:bookmarkStart w:id="175" w:name="_Toc447827049"/>
      <w:bookmarkStart w:id="176" w:name="_Toc246997096"/>
      <w:bookmarkStart w:id="177" w:name="_Toc513633964"/>
      <w:bookmarkStart w:id="178" w:name="_Toc503951043"/>
      <w:bookmarkStart w:id="179" w:name="_Toc2000411"/>
      <w:bookmarkStart w:id="180" w:name="_Toc246996353"/>
      <w:bookmarkStart w:id="181" w:name="_Toc179632804"/>
      <w:bookmarkStart w:id="182" w:name="_Toc514858707"/>
      <w:r>
        <w:rPr>
          <w:rFonts w:hint="eastAsia" w:ascii="宋体" w:hAnsi="宋体" w:cs="宋体"/>
          <w:color w:val="auto"/>
          <w:highlight w:val="none"/>
        </w:rPr>
        <w:t>第七章  技术标准和工作要求</w:t>
      </w:r>
      <w:bookmarkEnd w:id="170"/>
      <w:bookmarkEnd w:id="171"/>
      <w:bookmarkEnd w:id="172"/>
      <w:bookmarkEnd w:id="173"/>
      <w:bookmarkEnd w:id="174"/>
      <w:bookmarkEnd w:id="175"/>
      <w:bookmarkEnd w:id="176"/>
      <w:bookmarkEnd w:id="177"/>
      <w:bookmarkEnd w:id="178"/>
      <w:bookmarkEnd w:id="179"/>
      <w:bookmarkEnd w:id="180"/>
      <w:bookmarkEnd w:id="181"/>
      <w:bookmarkEnd w:id="182"/>
    </w:p>
    <w:p>
      <w:pPr>
        <w:shd w:val="clear"/>
        <w:rPr>
          <w:rFonts w:hint="eastAsia"/>
          <w:color w:val="auto"/>
          <w:highlight w:val="none"/>
        </w:rPr>
      </w:pPr>
    </w:p>
    <w:bookmarkEnd w:id="149"/>
    <w:bookmarkEnd w:id="150"/>
    <w:bookmarkEnd w:id="151"/>
    <w:bookmarkEnd w:id="152"/>
    <w:bookmarkEnd w:id="153"/>
    <w:bookmarkEnd w:id="154"/>
    <w:bookmarkEnd w:id="155"/>
    <w:p>
      <w:pPr>
        <w:pStyle w:val="5"/>
        <w:shd w:val="clear"/>
        <w:spacing w:before="120" w:after="0" w:line="360" w:lineRule="auto"/>
        <w:rPr>
          <w:rFonts w:hint="eastAsia" w:ascii="宋体" w:hAnsi="宋体" w:eastAsia="宋体" w:cs="宋体"/>
          <w:color w:val="auto"/>
          <w:highlight w:val="none"/>
        </w:rPr>
      </w:pPr>
      <w:bookmarkStart w:id="183" w:name="_Toc29038"/>
      <w:bookmarkStart w:id="184" w:name="_Toc27774"/>
      <w:bookmarkStart w:id="185" w:name="_Toc23249"/>
      <w:bookmarkStart w:id="186" w:name="_Toc12562"/>
      <w:bookmarkStart w:id="187" w:name="_Toc2000412"/>
      <w:bookmarkStart w:id="188" w:name="_Toc514858708"/>
      <w:bookmarkStart w:id="189" w:name="_Toc514430114"/>
      <w:bookmarkStart w:id="190" w:name="_Toc152045787"/>
      <w:bookmarkStart w:id="191" w:name="_Toc507320039"/>
      <w:bookmarkStart w:id="192" w:name="_Toc246997098"/>
      <w:bookmarkStart w:id="193" w:name="_Toc144974856"/>
      <w:bookmarkStart w:id="194" w:name="_Toc152042576"/>
      <w:bookmarkStart w:id="195" w:name="_Toc247085873"/>
      <w:bookmarkStart w:id="196" w:name="_Toc246996355"/>
      <w:bookmarkStart w:id="197" w:name="_Toc179632807"/>
      <w:r>
        <w:rPr>
          <w:rFonts w:hint="eastAsia" w:ascii="宋体" w:hAnsi="宋体" w:eastAsia="宋体" w:cs="宋体"/>
          <w:color w:val="auto"/>
          <w:highlight w:val="none"/>
          <w:lang w:val="en-US" w:eastAsia="zh-CN"/>
        </w:rPr>
        <w:t xml:space="preserve">1. </w:t>
      </w:r>
      <w:r>
        <w:rPr>
          <w:rFonts w:hint="eastAsia" w:ascii="宋体" w:hAnsi="宋体" w:eastAsia="宋体" w:cs="宋体"/>
          <w:color w:val="auto"/>
          <w:highlight w:val="none"/>
        </w:rPr>
        <w:t>研发工作内容</w:t>
      </w:r>
      <w:bookmarkEnd w:id="183"/>
      <w:bookmarkEnd w:id="184"/>
      <w:bookmarkEnd w:id="185"/>
      <w:bookmarkEnd w:id="186"/>
    </w:p>
    <w:p>
      <w:pPr>
        <w:pStyle w:val="2"/>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通过前端</w:t>
      </w:r>
      <w:r>
        <w:rPr>
          <w:rFonts w:hint="eastAsia" w:ascii="宋体" w:hAnsi="宋体" w:eastAsia="宋体" w:cs="宋体"/>
          <w:color w:val="auto"/>
          <w:sz w:val="21"/>
          <w:szCs w:val="21"/>
          <w:highlight w:val="none"/>
          <w:lang w:eastAsia="zh-CN"/>
        </w:rPr>
        <w:t>终端监控智能维护箱</w:t>
      </w:r>
      <w:r>
        <w:rPr>
          <w:rFonts w:hint="eastAsia" w:ascii="宋体" w:hAnsi="宋体" w:eastAsia="宋体" w:cs="宋体"/>
          <w:color w:val="auto"/>
          <w:sz w:val="21"/>
          <w:szCs w:val="21"/>
          <w:highlight w:val="none"/>
        </w:rPr>
        <w:t>和后端管控平台，前后结合实现接入设备的远程管理、实时监测、智能管理，达到“无人值守、智慧运维”的目标。实现“可视、可测、可控、可服务”的高速公路运行监测体系。</w:t>
      </w:r>
    </w:p>
    <w:p>
      <w:pPr>
        <w:pStyle w:val="2"/>
        <w:keepNext w:val="0"/>
        <w:keepLines w:val="0"/>
        <w:pageBreakBefore w:val="0"/>
        <w:widowControl w:val="0"/>
        <w:shd w:val="clear"/>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前端设备</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（1）根据高速公路环境下机电设备的运行要求，进行</w:t>
      </w:r>
      <w:r>
        <w:rPr>
          <w:rFonts w:hint="eastAsia" w:ascii="宋体" w:hAnsi="宋体" w:eastAsia="宋体" w:cs="宋体"/>
          <w:color w:val="auto"/>
          <w:sz w:val="21"/>
          <w:szCs w:val="21"/>
          <w:highlight w:val="none"/>
          <w:lang w:eastAsia="zh-CN"/>
        </w:rPr>
        <w:t>终端监控智能维护箱</w:t>
      </w:r>
      <w:r>
        <w:rPr>
          <w:rFonts w:hint="eastAsia" w:ascii="宋体" w:hAnsi="宋体" w:eastAsia="宋体" w:cs="宋体"/>
          <w:color w:val="auto"/>
          <w:sz w:val="21"/>
          <w:szCs w:val="21"/>
          <w:highlight w:val="none"/>
        </w:rPr>
        <w:t>研发。</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（2）具有接入设备的电能分配、安全防护功能，还应具有</w:t>
      </w:r>
      <w:r>
        <w:rPr>
          <w:rFonts w:hint="eastAsia" w:ascii="宋体" w:hAnsi="宋体" w:eastAsia="宋体" w:cs="宋体"/>
          <w:color w:val="auto"/>
          <w:sz w:val="21"/>
          <w:szCs w:val="21"/>
          <w:highlight w:val="none"/>
          <w:lang w:val="en-US" w:eastAsia="zh-CN"/>
        </w:rPr>
        <w:t>接入</w:t>
      </w:r>
      <w:r>
        <w:rPr>
          <w:rFonts w:hint="eastAsia" w:ascii="宋体" w:hAnsi="宋体" w:eastAsia="宋体" w:cs="宋体"/>
          <w:color w:val="auto"/>
          <w:sz w:val="21"/>
          <w:szCs w:val="21"/>
          <w:highlight w:val="none"/>
        </w:rPr>
        <w:t>设备运行数据采集储存、能耗监测、安全监控、故障定位及自主修复等功能，并通过有线（无线）方式将数据上传至服务器或云端。</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后端管控平台</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（1）根据高速公路智慧运维需求，进行管控系统平台的研发。</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（2）平台将前端设备采集和上传的数据进行标准化处理，并根据运维监管需求进行数据融合分析，形成各类统计报表，以便积累运维知识，掌控运维状态。</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1.3 </w:t>
      </w:r>
      <w:r>
        <w:rPr>
          <w:rFonts w:hint="eastAsia" w:ascii="宋体" w:hAnsi="宋体" w:eastAsia="宋体" w:cs="宋体"/>
          <w:color w:val="auto"/>
          <w:sz w:val="21"/>
          <w:szCs w:val="21"/>
          <w:highlight w:val="none"/>
        </w:rPr>
        <w:t>合作要求</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合作研发过程中，若遇到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关键技术攻关和关键交互节点时，</w:t>
      </w:r>
      <w:r>
        <w:rPr>
          <w:rFonts w:hint="eastAsia" w:ascii="宋体" w:hAnsi="宋体" w:eastAsia="宋体" w:cs="宋体"/>
          <w:color w:val="auto"/>
          <w:sz w:val="21"/>
          <w:szCs w:val="21"/>
          <w:highlight w:val="none"/>
          <w:lang w:val="en-US" w:eastAsia="zh-CN"/>
        </w:rPr>
        <w:t>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提出明确要求的情况下，</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人应在接到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通知后2天内，派遣技术人员到本项目指定现场办公点与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派遣的</w:t>
      </w:r>
      <w:r>
        <w:rPr>
          <w:rFonts w:hint="eastAsia" w:ascii="宋体" w:hAnsi="宋体" w:eastAsia="宋体" w:cs="宋体"/>
          <w:color w:val="auto"/>
          <w:sz w:val="21"/>
          <w:szCs w:val="21"/>
          <w:highlight w:val="none"/>
        </w:rPr>
        <w:t>技术人员进行现场联合办公。</w:t>
      </w:r>
    </w:p>
    <w:p>
      <w:pPr>
        <w:pStyle w:val="5"/>
        <w:shd w:val="clear"/>
        <w:spacing w:before="120" w:after="0" w:line="360" w:lineRule="auto"/>
        <w:rPr>
          <w:rFonts w:hint="eastAsia" w:ascii="宋体" w:hAnsi="宋体" w:eastAsia="宋体" w:cs="宋体"/>
          <w:color w:val="auto"/>
          <w:highlight w:val="none"/>
          <w:lang w:val="en-US" w:eastAsia="zh-CN"/>
        </w:rPr>
      </w:pPr>
      <w:bookmarkStart w:id="198" w:name="_Toc24853"/>
      <w:bookmarkStart w:id="199" w:name="_Toc13715"/>
      <w:bookmarkStart w:id="200" w:name="_Toc1851"/>
      <w:bookmarkStart w:id="201" w:name="_Toc30436"/>
      <w:r>
        <w:rPr>
          <w:rFonts w:hint="eastAsia" w:ascii="宋体" w:hAnsi="宋体" w:eastAsia="宋体" w:cs="宋体"/>
          <w:color w:val="auto"/>
          <w:highlight w:val="none"/>
          <w:lang w:val="en-US" w:eastAsia="zh-CN"/>
        </w:rPr>
        <w:t>2. 研发标的物</w:t>
      </w:r>
      <w:bookmarkEnd w:id="198"/>
      <w:bookmarkEnd w:id="199"/>
      <w:bookmarkEnd w:id="200"/>
      <w:bookmarkEnd w:id="201"/>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终端监控智能维护箱</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（1）协议网关支持多种设备接入，支持WIFI/4G/光纤通讯、远程WEB操作，使用主流开源操作系统（如Android），支持TF卡、外扩USB接口硬盘储存设备。</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指标需求应具有压铸铝外壳、LCD显示屏、开关设备、温湿度传感器、门禁、定位模块、抓拍相机、电子锁、保护电器等基本构件，并配备其它辅助电器元件，所有元件和技术参数需符合国家标准GB7251设计要求。</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（3）技术参数标准</w:t>
      </w:r>
      <w:r>
        <w:rPr>
          <w:rFonts w:hint="eastAsia" w:ascii="宋体" w:hAnsi="宋体" w:cs="宋体"/>
          <w:color w:val="auto"/>
          <w:sz w:val="21"/>
          <w:szCs w:val="21"/>
          <w:highlight w:val="none"/>
          <w:lang w:eastAsia="zh-CN"/>
        </w:rPr>
        <w:t>：</w:t>
      </w:r>
    </w:p>
    <w:p>
      <w:pPr>
        <w:pStyle w:val="2"/>
        <w:shd w:val="clear"/>
        <w:rPr>
          <w:rFonts w:hint="eastAsia"/>
          <w:color w:val="auto"/>
          <w:highlight w:val="none"/>
          <w:lang w:eastAsia="zh-CN"/>
        </w:rPr>
      </w:pPr>
    </w:p>
    <w:tbl>
      <w:tblPr>
        <w:tblStyle w:val="42"/>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2158"/>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2" w:type="dxa"/>
            <w:vAlign w:val="center"/>
          </w:tcPr>
          <w:p>
            <w:pPr>
              <w:widowControl/>
              <w:shd w:val="clear"/>
              <w:spacing w:line="4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编号</w:t>
            </w:r>
          </w:p>
        </w:tc>
        <w:tc>
          <w:tcPr>
            <w:tcW w:w="2158" w:type="dxa"/>
            <w:vAlign w:val="center"/>
          </w:tcPr>
          <w:p>
            <w:pPr>
              <w:widowControl/>
              <w:shd w:val="clear"/>
              <w:spacing w:line="4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技术参数</w:t>
            </w:r>
          </w:p>
        </w:tc>
        <w:tc>
          <w:tcPr>
            <w:tcW w:w="5256" w:type="dxa"/>
            <w:vAlign w:val="center"/>
          </w:tcPr>
          <w:p>
            <w:pPr>
              <w:widowControl/>
              <w:shd w:val="clear"/>
              <w:spacing w:line="440" w:lineRule="exact"/>
              <w:jc w:val="center"/>
              <w:textAlignment w:val="center"/>
              <w:rPr>
                <w:rFonts w:hint="eastAsia" w:ascii="宋体" w:hAnsi="宋体" w:cs="宋体"/>
                <w:b/>
                <w:bCs/>
                <w:color w:val="auto"/>
                <w:sz w:val="21"/>
                <w:szCs w:val="21"/>
                <w:highlight w:val="none"/>
              </w:rPr>
            </w:pPr>
            <w:r>
              <w:rPr>
                <w:rFonts w:hint="eastAsia" w:ascii="宋体" w:hAnsi="宋体" w:cs="宋体"/>
                <w:b/>
                <w:bCs/>
                <w:color w:val="auto"/>
                <w:kern w:val="0"/>
                <w:sz w:val="21"/>
                <w:szCs w:val="21"/>
                <w:highlight w:val="none"/>
                <w:lang w:bidi="ar"/>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1</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电源适应性</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ascii="Times New Roman" w:hAnsi="Times New Roman"/>
                <w:color w:val="auto"/>
                <w:kern w:val="0"/>
                <w:sz w:val="18"/>
                <w:szCs w:val="18"/>
                <w:highlight w:val="none"/>
                <w:lang w:bidi="ar"/>
              </w:rPr>
              <w:t>在</w:t>
            </w:r>
            <w:r>
              <w:rPr>
                <w:rFonts w:hint="eastAsia" w:ascii="Times New Roman" w:hAnsi="Times New Roman"/>
                <w:color w:val="auto"/>
                <w:kern w:val="0"/>
                <w:sz w:val="18"/>
                <w:szCs w:val="18"/>
                <w:highlight w:val="none"/>
                <w:lang w:bidi="ar"/>
              </w:rPr>
              <w:t>电压交流</w:t>
            </w:r>
            <w:r>
              <w:rPr>
                <w:rFonts w:ascii="Times New Roman" w:hAnsi="Times New Roman"/>
                <w:color w:val="auto"/>
                <w:kern w:val="0"/>
                <w:sz w:val="18"/>
                <w:szCs w:val="18"/>
                <w:highlight w:val="none"/>
                <w:lang w:bidi="ar"/>
              </w:rPr>
              <w:t>220×（1±15%）V</w:t>
            </w:r>
            <w:r>
              <w:rPr>
                <w:rFonts w:hint="eastAsia" w:ascii="Times New Roman" w:hAnsi="Times New Roman"/>
                <w:color w:val="auto"/>
                <w:kern w:val="0"/>
                <w:sz w:val="18"/>
                <w:szCs w:val="18"/>
                <w:highlight w:val="none"/>
                <w:lang w:bidi="ar"/>
              </w:rPr>
              <w:t>和</w:t>
            </w:r>
            <w:r>
              <w:rPr>
                <w:rFonts w:ascii="Times New Roman" w:hAnsi="Times New Roman"/>
                <w:color w:val="auto"/>
                <w:kern w:val="0"/>
                <w:sz w:val="18"/>
                <w:szCs w:val="18"/>
                <w:highlight w:val="none"/>
                <w:lang w:bidi="ar"/>
              </w:rPr>
              <w:t>电压交流220V恒定，频率50×（1±4%）Hz</w:t>
            </w:r>
            <w:r>
              <w:rPr>
                <w:rFonts w:hint="eastAsia" w:ascii="Times New Roman" w:hAnsi="Times New Roman"/>
                <w:color w:val="auto"/>
                <w:kern w:val="0"/>
                <w:sz w:val="18"/>
                <w:szCs w:val="18"/>
                <w:highlight w:val="none"/>
                <w:lang w:bidi="ar"/>
              </w:rPr>
              <w:t>条件下，产品应可靠工作</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2</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操作系统/显示屏</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Android7.</w:t>
            </w:r>
            <w:r>
              <w:rPr>
                <w:rFonts w:ascii="Times New Roman" w:hAnsi="Times New Roman"/>
                <w:color w:val="auto"/>
                <w:kern w:val="0"/>
                <w:sz w:val="18"/>
                <w:szCs w:val="18"/>
                <w:highlight w:val="none"/>
                <w:lang w:bidi="ar"/>
              </w:rPr>
              <w:t>0</w:t>
            </w:r>
            <w:r>
              <w:rPr>
                <w:rFonts w:hint="eastAsia" w:ascii="Times New Roman" w:hAnsi="Times New Roman"/>
                <w:color w:val="auto"/>
                <w:kern w:val="0"/>
                <w:sz w:val="18"/>
                <w:szCs w:val="18"/>
                <w:highlight w:val="none"/>
                <w:lang w:bidi="ar"/>
              </w:rPr>
              <w:t>及以上版本，彩色显示屏</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3</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浪涌防护</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标称20KA，最大放电电流40KA电源防雷器</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4</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输入开关</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智慧空开，支持远程开合功能，具备短路、漏电、过流、过载、过温、打火（接触不良、绝缘层破损等）、过压、欠压等保护功能</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ascii="Times New Roman" w:hAnsi="Times New Roman"/>
                <w:color w:val="auto"/>
                <w:kern w:val="0"/>
                <w:sz w:val="18"/>
                <w:szCs w:val="18"/>
                <w:highlight w:val="none"/>
                <w:lang w:bidi="ar"/>
              </w:rPr>
              <w:t>5</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箱体材质/内部结构</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压铸铝合金/插卡式模块结构</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6</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设备接口</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val="en-US" w:eastAsia="zh-CN" w:bidi="ar"/>
              </w:rPr>
            </w:pPr>
            <w:r>
              <w:rPr>
                <w:rFonts w:hint="eastAsia"/>
                <w:color w:val="auto"/>
                <w:kern w:val="0"/>
                <w:sz w:val="18"/>
                <w:szCs w:val="18"/>
                <w:highlight w:val="none"/>
                <w:lang w:val="en-US" w:eastAsia="zh-CN" w:bidi="ar"/>
              </w:rPr>
              <w:t>至少：</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1路AC220V 4A输出</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2路DC12V 2A输出</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1路AC24V 3A输出</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1路AC24V 5A输出</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1路AC220V 输出检修插座</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1个RS232通信接口</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1个RS485通信接口</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2个DI</w:t>
            </w:r>
            <w:r>
              <w:rPr>
                <w:rFonts w:hint="eastAsia"/>
                <w:color w:val="auto"/>
                <w:kern w:val="0"/>
                <w:sz w:val="18"/>
                <w:szCs w:val="18"/>
                <w:highlight w:val="none"/>
                <w:lang w:eastAsia="zh-CN" w:bidi="ar"/>
              </w:rPr>
              <w:t>，</w:t>
            </w:r>
            <w:r>
              <w:rPr>
                <w:rFonts w:hint="eastAsia" w:ascii="Times New Roman" w:hAnsi="Times New Roman"/>
                <w:color w:val="auto"/>
                <w:kern w:val="0"/>
                <w:sz w:val="18"/>
                <w:szCs w:val="18"/>
                <w:highlight w:val="none"/>
                <w:lang w:bidi="ar"/>
              </w:rPr>
              <w:t>2个DO</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1个MIC 3.5mm接口，1个TF卡接口，1个SIM卡接口，1个USB接口</w:t>
            </w:r>
          </w:p>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8个10/100M RJ45电口</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7</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应急供电功能</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应急供电时间≥</w:t>
            </w:r>
            <w:r>
              <w:rPr>
                <w:rFonts w:ascii="Times New Roman" w:hAnsi="Times New Roman"/>
                <w:color w:val="auto"/>
                <w:kern w:val="0"/>
                <w:sz w:val="18"/>
                <w:szCs w:val="18"/>
                <w:highlight w:val="none"/>
                <w:lang w:bidi="ar"/>
              </w:rPr>
              <w:t>10</w:t>
            </w:r>
            <w:r>
              <w:rPr>
                <w:rFonts w:hint="eastAsia" w:ascii="Times New Roman" w:hAnsi="Times New Roman"/>
                <w:color w:val="auto"/>
                <w:kern w:val="0"/>
                <w:sz w:val="18"/>
                <w:szCs w:val="18"/>
                <w:highlight w:val="none"/>
                <w:lang w:bidi="ar"/>
              </w:rPr>
              <w:t>s，支持断电续航，将其异常信息传回平台；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8</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sz w:val="18"/>
                <w:szCs w:val="18"/>
                <w:highlight w:val="none"/>
              </w:rPr>
            </w:pPr>
            <w:r>
              <w:rPr>
                <w:rFonts w:hint="eastAsia" w:ascii="Times New Roman" w:hAnsi="Times New Roman"/>
                <w:color w:val="auto"/>
                <w:kern w:val="0"/>
                <w:sz w:val="18"/>
                <w:szCs w:val="18"/>
                <w:highlight w:val="none"/>
                <w:lang w:bidi="ar"/>
              </w:rPr>
              <w:t>北斗定位</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sz w:val="18"/>
                <w:szCs w:val="18"/>
                <w:highlight w:val="none"/>
                <w:lang w:eastAsia="zh-CN"/>
              </w:rPr>
            </w:pPr>
            <w:r>
              <w:rPr>
                <w:rFonts w:hint="eastAsia" w:ascii="Times New Roman" w:hAnsi="Times New Roman"/>
                <w:color w:val="auto"/>
                <w:kern w:val="0"/>
                <w:sz w:val="18"/>
                <w:szCs w:val="18"/>
                <w:highlight w:val="none"/>
                <w:lang w:bidi="ar"/>
              </w:rPr>
              <w:t>提供北斗定位信息</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9</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电子门锁</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提供电子门锁，支持远程控制开锁；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0</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人脸检测</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hint="eastAsia" w:ascii="Times New Roman" w:hAnsi="Times New Roman"/>
                <w:color w:val="auto"/>
                <w:kern w:val="0"/>
                <w:sz w:val="18"/>
                <w:szCs w:val="18"/>
                <w:highlight w:val="none"/>
                <w:lang w:bidi="ar"/>
              </w:rPr>
              <w:t>传感器1/2.8英寸CMOS，200万像素，最大分辨率</w:t>
            </w:r>
            <w:r>
              <w:rPr>
                <w:rFonts w:ascii="Times New Roman" w:hAnsi="Times New Roman"/>
                <w:color w:val="auto"/>
                <w:kern w:val="0"/>
                <w:sz w:val="18"/>
                <w:szCs w:val="18"/>
                <w:highlight w:val="none"/>
                <w:lang w:bidi="ar"/>
              </w:rPr>
              <w:t>1920×1080</w:t>
            </w:r>
            <w:r>
              <w:rPr>
                <w:rFonts w:hint="eastAsia" w:ascii="Times New Roman" w:hAnsi="Times New Roman"/>
                <w:color w:val="auto"/>
                <w:kern w:val="0"/>
                <w:sz w:val="18"/>
                <w:szCs w:val="18"/>
                <w:highlight w:val="none"/>
                <w:lang w:bidi="ar"/>
              </w:rPr>
              <w:t>，视频压缩标准H.265；H.264；H.264B；H.264H；MJPEG，智能编码H.264：支持 H.265：支持；支持检测到箱门打开后自动进行2min录像及1张人脸抓拍</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1</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L</w:t>
            </w:r>
            <w:r>
              <w:rPr>
                <w:rFonts w:ascii="Times New Roman" w:hAnsi="Times New Roman"/>
                <w:color w:val="auto"/>
                <w:kern w:val="0"/>
                <w:sz w:val="18"/>
                <w:szCs w:val="18"/>
                <w:highlight w:val="none"/>
                <w:lang w:bidi="ar"/>
              </w:rPr>
              <w:t>ED</w:t>
            </w:r>
            <w:r>
              <w:rPr>
                <w:rFonts w:hint="eastAsia" w:ascii="Times New Roman" w:hAnsi="Times New Roman"/>
                <w:color w:val="auto"/>
                <w:kern w:val="0"/>
                <w:sz w:val="18"/>
                <w:szCs w:val="18"/>
                <w:highlight w:val="none"/>
                <w:lang w:bidi="ar"/>
              </w:rPr>
              <w:t>照明及电压监测与计量</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hint="eastAsia" w:ascii="Times New Roman" w:hAnsi="Times New Roman"/>
                <w:color w:val="auto"/>
                <w:kern w:val="0"/>
                <w:sz w:val="18"/>
                <w:szCs w:val="18"/>
                <w:highlight w:val="none"/>
                <w:lang w:bidi="ar"/>
              </w:rPr>
              <w:t>支持开箱后自动照明，箱关闭后自动熄灭，便于夜晚检修及维护。支持对市电电压</w:t>
            </w:r>
            <w:r>
              <w:rPr>
                <w:rFonts w:hint="eastAsia"/>
                <w:color w:val="auto"/>
                <w:kern w:val="0"/>
                <w:sz w:val="18"/>
                <w:szCs w:val="18"/>
                <w:highlight w:val="none"/>
                <w:lang w:eastAsia="zh-CN" w:bidi="ar"/>
              </w:rPr>
              <w:t>、</w:t>
            </w:r>
            <w:r>
              <w:rPr>
                <w:rFonts w:hint="eastAsia" w:ascii="Times New Roman" w:hAnsi="Times New Roman"/>
                <w:color w:val="auto"/>
                <w:kern w:val="0"/>
                <w:sz w:val="18"/>
                <w:szCs w:val="18"/>
                <w:highlight w:val="none"/>
                <w:lang w:bidi="ar"/>
              </w:rPr>
              <w:t>电能等监测及5路输出供电电压的监测及异常报警</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hint="eastAsia" w:ascii="Times New Roman" w:hAnsi="Times New Roman"/>
                <w:color w:val="auto"/>
                <w:sz w:val="18"/>
                <w:szCs w:val="18"/>
                <w:highlight w:val="none"/>
              </w:rPr>
              <w:t>1</w:t>
            </w:r>
            <w:r>
              <w:rPr>
                <w:rFonts w:ascii="Times New Roman" w:hAnsi="Times New Roman"/>
                <w:color w:val="auto"/>
                <w:sz w:val="18"/>
                <w:szCs w:val="18"/>
                <w:highlight w:val="none"/>
              </w:rPr>
              <w:t>2</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报警事件</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hint="eastAsia" w:ascii="Times New Roman" w:hAnsi="Times New Roman"/>
                <w:color w:val="auto"/>
                <w:kern w:val="0"/>
                <w:sz w:val="18"/>
                <w:szCs w:val="18"/>
                <w:highlight w:val="none"/>
                <w:lang w:bidi="ar"/>
              </w:rPr>
              <w:t>支持断电报警，过压报警，欠压告警，漏电报警，过流报警，4G报警，以太网报警，暴力开箱报警，水浸报警，电源输出告警，过温报警、风扇异常告警，交换机异常、图像质量告警，人脸相机异常告警等</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13</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安全接地</w:t>
            </w:r>
            <w:r>
              <w:rPr>
                <w:rFonts w:ascii="Times New Roman" w:hAnsi="Times New Roman"/>
                <w:color w:val="auto"/>
                <w:kern w:val="0"/>
                <w:sz w:val="18"/>
                <w:szCs w:val="18"/>
                <w:highlight w:val="none"/>
                <w:lang w:bidi="ar"/>
              </w:rPr>
              <w:br w:type="textWrapping"/>
            </w:r>
            <w:r>
              <w:rPr>
                <w:rFonts w:ascii="Times New Roman" w:hAnsi="Times New Roman"/>
                <w:color w:val="auto"/>
                <w:kern w:val="0"/>
                <w:sz w:val="18"/>
                <w:szCs w:val="18"/>
                <w:highlight w:val="none"/>
                <w:lang w:bidi="ar"/>
              </w:rPr>
              <w:t>（</w:t>
            </w:r>
            <w:r>
              <w:rPr>
                <w:rStyle w:val="68"/>
                <w:color w:val="auto"/>
                <w:sz w:val="18"/>
                <w:szCs w:val="18"/>
                <w:highlight w:val="none"/>
                <w:lang w:bidi="ar"/>
              </w:rPr>
              <w:t>Ω</w:t>
            </w:r>
            <w:r>
              <w:rPr>
                <w:rStyle w:val="69"/>
                <w:rFonts w:hint="default" w:ascii="Times New Roman" w:hAnsi="Times New Roman" w:cs="Times New Roman"/>
                <w:color w:val="auto"/>
                <w:sz w:val="18"/>
                <w:szCs w:val="18"/>
                <w:highlight w:val="none"/>
                <w:lang w:bidi="ar"/>
              </w:rPr>
              <w:t>）</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ascii="Times New Roman" w:hAnsi="Times New Roman"/>
                <w:color w:val="auto"/>
                <w:kern w:val="0"/>
                <w:sz w:val="18"/>
                <w:szCs w:val="18"/>
                <w:highlight w:val="none"/>
                <w:lang w:bidi="ar"/>
              </w:rPr>
              <w:t>产品应设安全保护接地端子，接地端子与机壳连接可靠，接地端子与机壳的连接电阻应小于0.1</w:t>
            </w:r>
            <w:r>
              <w:rPr>
                <w:rStyle w:val="68"/>
                <w:color w:val="auto"/>
                <w:sz w:val="18"/>
                <w:szCs w:val="18"/>
                <w:highlight w:val="none"/>
                <w:lang w:bidi="ar"/>
              </w:rPr>
              <w:t>Ω</w:t>
            </w:r>
            <w:r>
              <w:rPr>
                <w:rStyle w:val="68"/>
                <w:rFonts w:hint="eastAsia"/>
                <w:color w:val="auto"/>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14</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绝缘电阻</w:t>
            </w:r>
            <w:r>
              <w:rPr>
                <w:rFonts w:ascii="Times New Roman" w:hAnsi="Times New Roman"/>
                <w:color w:val="auto"/>
                <w:kern w:val="0"/>
                <w:sz w:val="18"/>
                <w:szCs w:val="18"/>
                <w:highlight w:val="none"/>
                <w:lang w:bidi="ar"/>
              </w:rPr>
              <w:br w:type="textWrapping"/>
            </w:r>
            <w:r>
              <w:rPr>
                <w:rStyle w:val="69"/>
                <w:rFonts w:hint="default" w:ascii="Times New Roman" w:hAnsi="Times New Roman" w:cs="Times New Roman"/>
                <w:color w:val="auto"/>
                <w:sz w:val="18"/>
                <w:szCs w:val="18"/>
                <w:highlight w:val="none"/>
                <w:lang w:bidi="ar"/>
              </w:rPr>
              <w:t>（</w:t>
            </w:r>
            <w:r>
              <w:rPr>
                <w:rStyle w:val="68"/>
                <w:color w:val="auto"/>
                <w:sz w:val="18"/>
                <w:szCs w:val="18"/>
                <w:highlight w:val="none"/>
                <w:lang w:bidi="ar"/>
              </w:rPr>
              <w:t>MΩ</w:t>
            </w:r>
            <w:r>
              <w:rPr>
                <w:rStyle w:val="167"/>
                <w:rFonts w:ascii="Times New Roman" w:hAnsi="Times New Roman" w:eastAsia="宋体" w:cs="Times New Roman"/>
                <w:color w:val="auto"/>
                <w:sz w:val="18"/>
                <w:szCs w:val="18"/>
                <w:highlight w:val="none"/>
                <w:lang w:bidi="ar"/>
              </w:rPr>
              <w:t>）</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ascii="Times New Roman" w:hAnsi="Times New Roman"/>
                <w:color w:val="auto"/>
                <w:kern w:val="0"/>
                <w:sz w:val="18"/>
                <w:szCs w:val="18"/>
                <w:highlight w:val="none"/>
                <w:lang w:bidi="ar"/>
              </w:rPr>
              <w:t>产品的电源接线端子与机壳的绝缘电阻应不小于100</w:t>
            </w:r>
            <w:r>
              <w:rPr>
                <w:rStyle w:val="68"/>
                <w:color w:val="auto"/>
                <w:sz w:val="18"/>
                <w:szCs w:val="18"/>
                <w:highlight w:val="none"/>
                <w:lang w:bidi="ar"/>
              </w:rPr>
              <w:t>MΩ</w:t>
            </w:r>
            <w:r>
              <w:rPr>
                <w:rStyle w:val="68"/>
                <w:rFonts w:hint="eastAsia"/>
                <w:color w:val="auto"/>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15</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电气强度</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ascii="Times New Roman" w:hAnsi="Times New Roman"/>
                <w:color w:val="auto"/>
                <w:kern w:val="0"/>
                <w:sz w:val="18"/>
                <w:szCs w:val="18"/>
                <w:highlight w:val="none"/>
                <w:lang w:bidi="ar"/>
              </w:rPr>
              <w:t>在产品的电源接线端子与机壳之间施加频率50Hz、有效值1500V正弦交流电压条件下，历时1min，应无火花、闪络和击穿现象，漏电电流不大于5mA</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16</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hint="eastAsia" w:ascii="Times New Roman" w:hAnsi="Times New Roman"/>
                <w:color w:val="auto"/>
                <w:kern w:val="0"/>
                <w:sz w:val="18"/>
                <w:szCs w:val="18"/>
                <w:highlight w:val="none"/>
                <w:lang w:bidi="ar"/>
              </w:rPr>
              <w:t>耐温度</w:t>
            </w:r>
            <w:r>
              <w:rPr>
                <w:rFonts w:ascii="Times New Roman" w:hAnsi="Times New Roman"/>
                <w:color w:val="auto"/>
                <w:kern w:val="0"/>
                <w:sz w:val="18"/>
                <w:szCs w:val="18"/>
                <w:highlight w:val="none"/>
                <w:lang w:bidi="ar"/>
              </w:rPr>
              <w:t>性能</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ascii="Times New Roman" w:hAnsi="Times New Roman"/>
                <w:color w:val="auto"/>
                <w:kern w:val="0"/>
                <w:sz w:val="18"/>
                <w:szCs w:val="18"/>
                <w:highlight w:val="none"/>
                <w:lang w:bidi="ar"/>
              </w:rPr>
              <w:t>在-40℃</w:t>
            </w:r>
            <w:r>
              <w:rPr>
                <w:rFonts w:hint="eastAsia" w:ascii="Times New Roman" w:hAnsi="Times New Roman"/>
                <w:color w:val="auto"/>
                <w:kern w:val="0"/>
                <w:sz w:val="18"/>
                <w:szCs w:val="18"/>
                <w:highlight w:val="none"/>
                <w:lang w:bidi="ar"/>
              </w:rPr>
              <w:t>—+60</w:t>
            </w:r>
            <w:r>
              <w:rPr>
                <w:rFonts w:ascii="Times New Roman" w:hAnsi="Times New Roman"/>
                <w:color w:val="auto"/>
                <w:kern w:val="0"/>
                <w:sz w:val="18"/>
                <w:szCs w:val="18"/>
                <w:highlight w:val="none"/>
                <w:lang w:bidi="ar"/>
              </w:rPr>
              <w:t>℃</w:t>
            </w:r>
            <w:r>
              <w:rPr>
                <w:rFonts w:hint="eastAsia" w:ascii="Times New Roman" w:hAnsi="Times New Roman"/>
                <w:color w:val="auto"/>
                <w:kern w:val="0"/>
                <w:sz w:val="18"/>
                <w:szCs w:val="18"/>
                <w:highlight w:val="none"/>
                <w:lang w:bidi="ar"/>
              </w:rPr>
              <w:t>的环境</w:t>
            </w:r>
            <w:r>
              <w:rPr>
                <w:rFonts w:ascii="Times New Roman" w:hAnsi="Times New Roman"/>
                <w:color w:val="auto"/>
                <w:kern w:val="0"/>
                <w:sz w:val="18"/>
                <w:szCs w:val="18"/>
                <w:highlight w:val="none"/>
                <w:lang w:bidi="ar"/>
              </w:rPr>
              <w:t>下</w:t>
            </w:r>
            <w:r>
              <w:rPr>
                <w:rFonts w:hint="eastAsia" w:ascii="Times New Roman" w:hAnsi="Times New Roman"/>
                <w:color w:val="auto"/>
                <w:kern w:val="0"/>
                <w:sz w:val="18"/>
                <w:szCs w:val="18"/>
                <w:highlight w:val="none"/>
                <w:lang w:bidi="ar"/>
              </w:rPr>
              <w:t>正常工作</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17</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耐湿热性能</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hint="eastAsia" w:ascii="Times New Roman" w:hAnsi="Times New Roman"/>
                <w:color w:val="auto"/>
                <w:kern w:val="0"/>
                <w:sz w:val="18"/>
                <w:szCs w:val="18"/>
                <w:highlight w:val="none"/>
                <w:lang w:bidi="ar"/>
              </w:rPr>
              <w:t>在</w:t>
            </w:r>
            <w:r>
              <w:rPr>
                <w:rFonts w:ascii="Times New Roman" w:hAnsi="Times New Roman"/>
                <w:color w:val="auto"/>
                <w:kern w:val="0"/>
                <w:sz w:val="18"/>
                <w:szCs w:val="18"/>
                <w:highlight w:val="none"/>
                <w:lang w:bidi="ar"/>
              </w:rPr>
              <w:t>40℃，相对湿度98%±2%</w:t>
            </w:r>
            <w:r>
              <w:rPr>
                <w:rFonts w:hint="eastAsia" w:ascii="Times New Roman" w:hAnsi="Times New Roman"/>
                <w:color w:val="auto"/>
                <w:kern w:val="0"/>
                <w:sz w:val="18"/>
                <w:szCs w:val="18"/>
                <w:highlight w:val="none"/>
                <w:lang w:bidi="ar"/>
              </w:rPr>
              <w:t>的环境下正常工作</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kern w:val="0"/>
                <w:sz w:val="18"/>
                <w:szCs w:val="18"/>
                <w:highlight w:val="none"/>
                <w:lang w:bidi="ar"/>
              </w:rPr>
              <w:t>18</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静电放电抗扰度要求</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ascii="Times New Roman" w:hAnsi="Times New Roman"/>
                <w:color w:val="auto"/>
                <w:kern w:val="0"/>
                <w:sz w:val="18"/>
                <w:szCs w:val="18"/>
                <w:highlight w:val="none"/>
                <w:lang w:bidi="ar"/>
              </w:rPr>
              <w:t>放电点</w:t>
            </w:r>
            <w:r>
              <w:rPr>
                <w:rFonts w:hint="eastAsia" w:ascii="Times New Roman" w:hAnsi="Times New Roman"/>
                <w:color w:val="auto"/>
                <w:kern w:val="0"/>
                <w:sz w:val="18"/>
                <w:szCs w:val="18"/>
                <w:highlight w:val="none"/>
                <w:lang w:bidi="ar"/>
              </w:rPr>
              <w:t>在</w:t>
            </w:r>
            <w:r>
              <w:rPr>
                <w:rFonts w:ascii="Times New Roman" w:hAnsi="Times New Roman"/>
                <w:color w:val="auto"/>
                <w:kern w:val="0"/>
                <w:sz w:val="18"/>
                <w:szCs w:val="18"/>
                <w:highlight w:val="none"/>
                <w:lang w:bidi="ar"/>
              </w:rPr>
              <w:t>4kV</w:t>
            </w:r>
            <w:r>
              <w:rPr>
                <w:rFonts w:hint="eastAsia" w:ascii="Times New Roman" w:hAnsi="Times New Roman"/>
                <w:color w:val="auto"/>
                <w:kern w:val="0"/>
                <w:sz w:val="18"/>
                <w:szCs w:val="18"/>
                <w:highlight w:val="none"/>
                <w:lang w:bidi="ar"/>
              </w:rPr>
              <w:t>电压下接触放电，</w:t>
            </w:r>
            <w:r>
              <w:rPr>
                <w:rFonts w:ascii="Times New Roman" w:hAnsi="Times New Roman"/>
                <w:color w:val="auto"/>
                <w:kern w:val="0"/>
                <w:sz w:val="18"/>
                <w:szCs w:val="18"/>
                <w:highlight w:val="none"/>
                <w:lang w:bidi="ar"/>
              </w:rPr>
              <w:t>产品的各种动作、功能及运行逻辑应正常</w:t>
            </w:r>
            <w:r>
              <w:rPr>
                <w:rFonts w:hint="eastAsia"/>
                <w:color w:val="auto"/>
                <w:kern w:val="0"/>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72"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hint="eastAsia" w:ascii="Times New Roman" w:hAnsi="Times New Roman"/>
                <w:color w:val="auto"/>
                <w:sz w:val="18"/>
                <w:szCs w:val="18"/>
                <w:highlight w:val="none"/>
              </w:rPr>
            </w:pPr>
            <w:r>
              <w:rPr>
                <w:rFonts w:ascii="Times New Roman" w:hAnsi="Times New Roman"/>
                <w:color w:val="auto"/>
                <w:sz w:val="18"/>
                <w:szCs w:val="18"/>
                <w:highlight w:val="none"/>
              </w:rPr>
              <w:t>19</w:t>
            </w:r>
          </w:p>
        </w:tc>
        <w:tc>
          <w:tcPr>
            <w:tcW w:w="2158"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center"/>
              <w:textAlignment w:val="center"/>
              <w:rPr>
                <w:rFonts w:ascii="Times New Roman" w:hAnsi="Times New Roman"/>
                <w:color w:val="auto"/>
                <w:kern w:val="0"/>
                <w:sz w:val="18"/>
                <w:szCs w:val="18"/>
                <w:highlight w:val="none"/>
                <w:lang w:bidi="ar"/>
              </w:rPr>
            </w:pPr>
            <w:r>
              <w:rPr>
                <w:rFonts w:ascii="Times New Roman" w:hAnsi="Times New Roman"/>
                <w:color w:val="auto"/>
                <w:kern w:val="0"/>
                <w:sz w:val="18"/>
                <w:szCs w:val="18"/>
                <w:highlight w:val="none"/>
                <w:lang w:bidi="ar"/>
              </w:rPr>
              <w:t>防护等级</w:t>
            </w:r>
          </w:p>
        </w:tc>
        <w:tc>
          <w:tcPr>
            <w:tcW w:w="5256" w:type="dxa"/>
            <w:vAlign w:val="center"/>
          </w:tcPr>
          <w:p>
            <w:pPr>
              <w:keepNext w:val="0"/>
              <w:keepLines w:val="0"/>
              <w:pageBreakBefore w:val="0"/>
              <w:widowControl/>
              <w:shd w:val="clear"/>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olor w:val="auto"/>
                <w:kern w:val="0"/>
                <w:sz w:val="18"/>
                <w:szCs w:val="18"/>
                <w:highlight w:val="none"/>
                <w:lang w:eastAsia="zh-CN" w:bidi="ar"/>
              </w:rPr>
            </w:pPr>
            <w:r>
              <w:rPr>
                <w:rFonts w:hint="eastAsia" w:ascii="Times New Roman" w:hAnsi="Times New Roman"/>
                <w:color w:val="auto"/>
                <w:kern w:val="0"/>
                <w:sz w:val="18"/>
                <w:szCs w:val="18"/>
                <w:highlight w:val="none"/>
                <w:lang w:bidi="ar"/>
              </w:rPr>
              <w:t>大于</w:t>
            </w:r>
            <w:r>
              <w:rPr>
                <w:rFonts w:ascii="Times New Roman" w:hAnsi="Times New Roman"/>
                <w:color w:val="auto"/>
                <w:kern w:val="0"/>
                <w:sz w:val="18"/>
                <w:szCs w:val="18"/>
                <w:highlight w:val="none"/>
                <w:lang w:bidi="ar"/>
              </w:rPr>
              <w:t>IP55，即设备抗微尘范围和防水程度均</w:t>
            </w:r>
            <w:r>
              <w:rPr>
                <w:rFonts w:hint="eastAsia" w:ascii="Times New Roman" w:hAnsi="Times New Roman"/>
                <w:color w:val="auto"/>
                <w:kern w:val="0"/>
                <w:sz w:val="18"/>
                <w:szCs w:val="18"/>
                <w:highlight w:val="none"/>
                <w:lang w:bidi="ar"/>
              </w:rPr>
              <w:t>大于</w:t>
            </w:r>
            <w:r>
              <w:rPr>
                <w:rFonts w:ascii="Times New Roman" w:hAnsi="Times New Roman"/>
                <w:color w:val="auto"/>
                <w:kern w:val="0"/>
                <w:sz w:val="18"/>
                <w:szCs w:val="18"/>
                <w:highlight w:val="none"/>
                <w:lang w:bidi="ar"/>
              </w:rPr>
              <w:t>5</w:t>
            </w:r>
            <w:r>
              <w:rPr>
                <w:rFonts w:hint="eastAsia"/>
                <w:color w:val="auto"/>
                <w:kern w:val="0"/>
                <w:sz w:val="18"/>
                <w:szCs w:val="18"/>
                <w:highlight w:val="none"/>
                <w:lang w:eastAsia="zh-CN" w:bidi="ar"/>
              </w:rPr>
              <w:t>。</w:t>
            </w:r>
          </w:p>
        </w:tc>
      </w:tr>
    </w:tbl>
    <w:p>
      <w:pPr>
        <w:shd w:val="clear"/>
        <w:rPr>
          <w:rFonts w:hint="eastAsia"/>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后端管控平台</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平台应将接入终端设备管控所需的模块集成在一个系统中，包括但不限于电源管理、通讯管理、环境动力检测、设备监控、故障智能分析等功能模块，并提供二次开发接口，根据实际管控需求开发新的功能模块。</w:t>
      </w:r>
    </w:p>
    <w:p>
      <w:pPr>
        <w:pStyle w:val="5"/>
        <w:shd w:val="clear"/>
        <w:spacing w:before="120" w:after="0" w:line="360" w:lineRule="auto"/>
        <w:rPr>
          <w:rFonts w:hint="eastAsia" w:ascii="宋体" w:hAnsi="宋体" w:eastAsia="宋体" w:cs="宋体"/>
          <w:color w:val="auto"/>
          <w:highlight w:val="none"/>
          <w:lang w:val="en-US" w:eastAsia="zh-CN"/>
        </w:rPr>
      </w:pPr>
      <w:bookmarkStart w:id="202" w:name="_Toc26552"/>
      <w:bookmarkStart w:id="203" w:name="_Toc23280"/>
      <w:bookmarkStart w:id="204" w:name="_Toc28761"/>
      <w:bookmarkStart w:id="205" w:name="_Toc27928"/>
      <w:r>
        <w:rPr>
          <w:rFonts w:hint="eastAsia" w:ascii="宋体" w:hAnsi="宋体" w:eastAsia="宋体" w:cs="宋体"/>
          <w:color w:val="auto"/>
          <w:highlight w:val="none"/>
          <w:lang w:val="en-US" w:eastAsia="zh-CN"/>
        </w:rPr>
        <w:t>3. 合作研发细则</w:t>
      </w:r>
      <w:bookmarkEnd w:id="202"/>
      <w:bookmarkEnd w:id="203"/>
      <w:bookmarkEnd w:id="204"/>
      <w:bookmarkEnd w:id="205"/>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研发工作划分</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主要提出适用于重庆高速公路的</w:t>
      </w:r>
      <w:r>
        <w:rPr>
          <w:rFonts w:hint="eastAsia" w:ascii="宋体" w:hAnsi="宋体" w:eastAsia="宋体" w:cs="宋体"/>
          <w:color w:val="auto"/>
          <w:sz w:val="21"/>
          <w:szCs w:val="21"/>
          <w:highlight w:val="none"/>
          <w:lang w:eastAsia="zh-CN"/>
        </w:rPr>
        <w:t>终端监控智能维护箱</w:t>
      </w:r>
      <w:r>
        <w:rPr>
          <w:rFonts w:hint="eastAsia" w:ascii="宋体" w:hAnsi="宋体" w:eastAsia="宋体" w:cs="宋体"/>
          <w:color w:val="auto"/>
          <w:sz w:val="21"/>
          <w:szCs w:val="21"/>
          <w:highlight w:val="none"/>
        </w:rPr>
        <w:t>及后端管控平台的功能需求、主要应用指标，并提供产品测试阶段所需试验场所等。</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（2）报价人根据</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的需求，提供</w:t>
      </w:r>
      <w:r>
        <w:rPr>
          <w:rFonts w:hint="eastAsia" w:ascii="宋体" w:hAnsi="宋体" w:eastAsia="宋体" w:cs="宋体"/>
          <w:color w:val="auto"/>
          <w:sz w:val="21"/>
          <w:szCs w:val="21"/>
          <w:highlight w:val="none"/>
          <w:lang w:eastAsia="zh-CN"/>
        </w:rPr>
        <w:t>终端监控智能维护箱</w:t>
      </w:r>
      <w:r>
        <w:rPr>
          <w:rFonts w:hint="eastAsia" w:ascii="宋体" w:hAnsi="宋体" w:eastAsia="宋体" w:cs="宋体"/>
          <w:color w:val="auto"/>
          <w:sz w:val="21"/>
          <w:szCs w:val="21"/>
          <w:highlight w:val="none"/>
        </w:rPr>
        <w:t>及后端管控平台的研发技术服务、</w:t>
      </w:r>
      <w:r>
        <w:rPr>
          <w:rFonts w:hint="eastAsia" w:ascii="宋体" w:hAnsi="宋体" w:eastAsia="宋体" w:cs="宋体"/>
          <w:color w:val="auto"/>
          <w:sz w:val="21"/>
          <w:szCs w:val="21"/>
          <w:highlight w:val="none"/>
          <w:lang w:val="en-US" w:eastAsia="zh-CN"/>
        </w:rPr>
        <w:t>测试样机的</w:t>
      </w:r>
      <w:r>
        <w:rPr>
          <w:rFonts w:hint="eastAsia" w:ascii="宋体" w:hAnsi="宋体" w:eastAsia="宋体" w:cs="宋体"/>
          <w:color w:val="auto"/>
          <w:sz w:val="21"/>
          <w:szCs w:val="21"/>
          <w:highlight w:val="none"/>
        </w:rPr>
        <w:t>集成制造、各项测试工作、配合与支持甲方进行各项检测与报告的获取、配合完成各类研发资料的编制等。</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双方根据市场需求进行产品迭代时，</w:t>
      </w:r>
      <w:r>
        <w:rPr>
          <w:rFonts w:hint="eastAsia" w:ascii="宋体" w:hAnsi="宋体" w:eastAsia="宋体" w:cs="宋体"/>
          <w:color w:val="auto"/>
          <w:sz w:val="21"/>
          <w:szCs w:val="21"/>
          <w:highlight w:val="none"/>
        </w:rPr>
        <w:t>报价人</w:t>
      </w:r>
      <w:r>
        <w:rPr>
          <w:rFonts w:hint="eastAsia" w:ascii="宋体" w:hAnsi="宋体" w:eastAsia="宋体" w:cs="宋体"/>
          <w:color w:val="auto"/>
          <w:sz w:val="21"/>
          <w:szCs w:val="21"/>
          <w:highlight w:val="none"/>
          <w:lang w:val="en-US" w:eastAsia="zh-CN"/>
        </w:rPr>
        <w:t>完成后端业务功能开发，采购人完成前端交互开发</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费用成本投入与分成</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资金投入</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采购人自行承担成本包括：测试场地的提供、测试环境的搭建</w:t>
      </w:r>
      <w:r>
        <w:rPr>
          <w:rFonts w:hint="eastAsia" w:ascii="宋体" w:hAnsi="宋体" w:cs="宋体"/>
          <w:sz w:val="21"/>
          <w:szCs w:val="21"/>
          <w:highlight w:val="none"/>
          <w:lang w:eastAsia="zh-CN"/>
        </w:rPr>
        <w:t>、</w:t>
      </w:r>
      <w:r>
        <w:rPr>
          <w:rFonts w:hint="eastAsia" w:ascii="宋体" w:hAnsi="宋体" w:cs="宋体"/>
          <w:color w:val="auto"/>
          <w:sz w:val="21"/>
          <w:szCs w:val="21"/>
          <w:highlight w:val="none"/>
        </w:rPr>
        <w:t>测试过程的项目集成成本</w:t>
      </w:r>
      <w:r>
        <w:rPr>
          <w:rFonts w:hint="eastAsia" w:ascii="宋体" w:hAnsi="宋体" w:eastAsia="宋体" w:cs="宋体"/>
          <w:sz w:val="21"/>
          <w:szCs w:val="21"/>
          <w:highlight w:val="none"/>
        </w:rPr>
        <w:t>、以采购人名义取得交通运输部相关检测单位的产品检测报告的送检费用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以采购人名义</w:t>
      </w:r>
      <w:r>
        <w:rPr>
          <w:rFonts w:hint="eastAsia" w:ascii="宋体" w:hAnsi="宋体" w:eastAsia="宋体" w:cs="宋体"/>
          <w:sz w:val="21"/>
          <w:szCs w:val="21"/>
          <w:highlight w:val="none"/>
        </w:rPr>
        <w:t>取得产品软件著作权、产品专利或论文所需申报费用等</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报价人</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rPr>
        <w:t>承担费用包括：测试过程中产生的交通措施组织费用、满足采购人列明要求的设备的研发、生产、运输、装配，为保证设备研发、制造、试用及完善所需的一切费用等。</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注：双方投入的研发的人员成本、研发与办公成本、差旅等成本，由双方各自承担。</w:t>
      </w:r>
    </w:p>
    <w:p>
      <w:pPr>
        <w:pStyle w:val="2"/>
        <w:shd w:val="clear"/>
        <w:spacing w:line="400" w:lineRule="exact"/>
        <w:ind w:left="0" w:leftChars="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以采购人名义取得交通运输部相关检测单位的产品检测报告的送检费用</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由报价人预先支付。</w:t>
      </w:r>
    </w:p>
    <w:p>
      <w:pPr>
        <w:pStyle w:val="2"/>
        <w:shd w:val="clear"/>
        <w:ind w:left="0" w:leftChars="0" w:firstLineChars="200"/>
        <w:rPr>
          <w:rFonts w:hint="eastAsia"/>
          <w:highlight w:val="none"/>
        </w:rPr>
      </w:pPr>
      <w:r>
        <w:rPr>
          <w:rFonts w:hint="eastAsia" w:ascii="宋体" w:hAnsi="宋体" w:cs="宋体"/>
          <w:sz w:val="21"/>
          <w:szCs w:val="21"/>
          <w:highlight w:val="none"/>
          <w:lang w:val="en-US" w:eastAsia="zh-CN"/>
        </w:rPr>
        <w:t>3、双方进行第一次产品销售利润分成时，采购人向报价人结算报价人预先支付费用。</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产品销售</w:t>
      </w:r>
      <w:r>
        <w:rPr>
          <w:rFonts w:hint="eastAsia" w:ascii="宋体" w:hAnsi="宋体" w:cs="宋体"/>
          <w:color w:val="auto"/>
          <w:sz w:val="21"/>
          <w:szCs w:val="21"/>
          <w:highlight w:val="none"/>
          <w:lang w:val="en-US" w:eastAsia="zh-CN"/>
        </w:rPr>
        <w:t>分成利润</w:t>
      </w:r>
      <w:r>
        <w:rPr>
          <w:rFonts w:hint="eastAsia" w:ascii="宋体" w:hAnsi="宋体" w:eastAsia="宋体" w:cs="宋体"/>
          <w:color w:val="auto"/>
          <w:sz w:val="21"/>
          <w:szCs w:val="21"/>
          <w:highlight w:val="none"/>
        </w:rPr>
        <w:t>比例</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双方分成利润=（产品销售指导价-成本）*销售数量。</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“双方分成利润”的20%由推广方获得，剩余80%将按照报价人在比选函中所报分成比例进行分配。</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如推广方的实际销售价格与产品销售指导价有差异，造成的额外收益(损失)由推广方获得(承担)。</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“产品销售指导价”为采购人</w:t>
      </w:r>
      <w:r>
        <w:rPr>
          <w:rFonts w:hint="eastAsia" w:hAnsi="宋体"/>
          <w:color w:val="auto"/>
          <w:sz w:val="21"/>
          <w:szCs w:val="21"/>
          <w:highlight w:val="none"/>
          <w:lang w:val="en-US" w:eastAsia="zh-CN"/>
        </w:rPr>
        <w:t>经过充分调查研究市场同类产品后，与中标候选人经过谈判共同确定的</w:t>
      </w:r>
      <w:r>
        <w:rPr>
          <w:rFonts w:hint="eastAsia" w:hAnsi="宋体"/>
          <w:color w:val="auto"/>
          <w:sz w:val="21"/>
          <w:szCs w:val="21"/>
          <w:highlight w:val="none"/>
        </w:rPr>
        <w:t>产品销售指导单价。</w:t>
      </w:r>
    </w:p>
    <w:p>
      <w:pPr>
        <w:pStyle w:val="148"/>
        <w:shd w:val="clear"/>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lang w:val="en-US" w:eastAsia="zh-CN"/>
        </w:rPr>
        <w:t>只有采购人和中标候选人共同确定并认同“产品指导销售价”后，双方才正式签订合同。</w:t>
      </w:r>
      <w:r>
        <w:rPr>
          <w:rFonts w:hint="eastAsia" w:hAnsi="宋体"/>
          <w:b/>
          <w:bCs/>
          <w:color w:val="auto"/>
          <w:sz w:val="21"/>
          <w:szCs w:val="21"/>
          <w:highlight w:val="none"/>
          <w:lang w:val="en-US" w:eastAsia="zh-CN"/>
        </w:rPr>
        <w:t>若双方未能对“产品指导销售价”达成一致，则采购人有权取消本次竞争性比选项目。</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bCs/>
          <w:color w:val="auto"/>
          <w:sz w:val="21"/>
          <w:szCs w:val="21"/>
          <w:highlight w:val="none"/>
          <w:lang w:val="en-US" w:eastAsia="zh-CN"/>
        </w:rPr>
      </w:pPr>
      <w:r>
        <w:rPr>
          <w:rFonts w:hint="eastAsia" w:hAnsi="宋体"/>
          <w:color w:val="auto"/>
          <w:sz w:val="21"/>
          <w:szCs w:val="21"/>
          <w:highlight w:val="none"/>
        </w:rPr>
        <w:t>“成本”</w:t>
      </w:r>
      <w:r>
        <w:rPr>
          <w:rFonts w:hint="eastAsia" w:hAnsi="宋体"/>
          <w:color w:val="auto"/>
          <w:sz w:val="21"/>
          <w:szCs w:val="21"/>
          <w:highlight w:val="none"/>
          <w:lang w:val="en-US" w:eastAsia="zh-CN"/>
        </w:rPr>
        <w:t>是指与</w:t>
      </w:r>
      <w:r>
        <w:rPr>
          <w:rFonts w:hint="eastAsia" w:hAnsi="宋体"/>
          <w:color w:val="auto"/>
          <w:sz w:val="21"/>
          <w:szCs w:val="21"/>
          <w:highlight w:val="none"/>
        </w:rPr>
        <w:t>产品</w:t>
      </w:r>
      <w:r>
        <w:rPr>
          <w:rFonts w:hint="eastAsia" w:hAnsi="宋体"/>
          <w:color w:val="auto"/>
          <w:sz w:val="21"/>
          <w:szCs w:val="21"/>
          <w:highlight w:val="none"/>
          <w:lang w:val="en-US" w:eastAsia="zh-CN"/>
        </w:rPr>
        <w:t>相关的</w:t>
      </w:r>
      <w:r>
        <w:rPr>
          <w:rFonts w:hint="eastAsia" w:hAnsi="宋体"/>
          <w:color w:val="auto"/>
          <w:sz w:val="21"/>
          <w:szCs w:val="21"/>
          <w:highlight w:val="none"/>
        </w:rPr>
        <w:t>试验与生产加工费、采购成本、代工费、运输、检验等费用。其中采购成本是指由市场推广单位按自己的采购管理办法或双方共同组建采购组执行采购产生的成本。</w:t>
      </w:r>
    </w:p>
    <w:p>
      <w:pPr>
        <w:pStyle w:val="5"/>
        <w:shd w:val="clear"/>
        <w:spacing w:before="120" w:after="0" w:line="360" w:lineRule="auto"/>
        <w:rPr>
          <w:rFonts w:hint="eastAsia" w:ascii="宋体" w:hAnsi="宋体" w:eastAsia="宋体" w:cs="宋体"/>
          <w:color w:val="auto"/>
          <w:highlight w:val="none"/>
          <w:lang w:val="en-US" w:eastAsia="zh-CN"/>
        </w:rPr>
      </w:pPr>
      <w:bookmarkStart w:id="206" w:name="_Toc30850"/>
      <w:bookmarkStart w:id="207" w:name="_Toc18706"/>
      <w:bookmarkStart w:id="208" w:name="_Toc10628"/>
      <w:bookmarkStart w:id="209" w:name="_Toc29526"/>
      <w:r>
        <w:rPr>
          <w:rFonts w:hint="eastAsia" w:ascii="宋体" w:hAnsi="宋体" w:eastAsia="宋体" w:cs="宋体"/>
          <w:color w:val="auto"/>
          <w:highlight w:val="none"/>
          <w:lang w:val="en-US" w:eastAsia="zh-CN"/>
        </w:rPr>
        <w:t>4. 研发成果归属及推广</w:t>
      </w:r>
      <w:bookmarkEnd w:id="206"/>
      <w:bookmarkEnd w:id="207"/>
      <w:bookmarkEnd w:id="208"/>
      <w:bookmarkEnd w:id="209"/>
    </w:p>
    <w:p>
      <w:pPr>
        <w:pageBreakBefore w:val="0"/>
        <w:widowControl w:val="0"/>
        <w:shd w:val="clea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color w:val="auto"/>
          <w:sz w:val="24"/>
          <w:highlight w:val="none"/>
        </w:rPr>
      </w:pPr>
      <w:r>
        <w:rPr>
          <w:rFonts w:hint="eastAsia" w:ascii="宋体" w:hAnsi="宋体" w:eastAsia="宋体" w:cs="宋体"/>
          <w:color w:val="auto"/>
          <w:sz w:val="21"/>
          <w:szCs w:val="21"/>
          <w:highlight w:val="none"/>
          <w:lang w:val="en-US" w:eastAsia="zh-CN"/>
        </w:rPr>
        <w:t>4.1 研发成果归属</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双方合作研发周期内</w:t>
      </w:r>
      <w:r>
        <w:rPr>
          <w:rFonts w:hint="eastAsia" w:ascii="宋体" w:hAnsi="宋体" w:cs="宋体"/>
          <w:sz w:val="21"/>
          <w:szCs w:val="21"/>
          <w:highlight w:val="none"/>
          <w:lang w:val="en-US" w:eastAsia="zh-CN"/>
        </w:rPr>
        <w:t>由双方共同进行</w:t>
      </w:r>
      <w:r>
        <w:rPr>
          <w:rFonts w:hint="eastAsia" w:ascii="宋体" w:hAnsi="宋体" w:eastAsia="宋体" w:cs="宋体"/>
          <w:color w:val="auto"/>
          <w:sz w:val="21"/>
          <w:szCs w:val="21"/>
          <w:highlight w:val="none"/>
          <w:lang w:val="en-US" w:eastAsia="zh-CN"/>
        </w:rPr>
        <w:t>新增的成果，例如专利、软件著作权、</w:t>
      </w:r>
      <w:r>
        <w:rPr>
          <w:rFonts w:hint="eastAsia" w:ascii="宋体" w:hAnsi="宋体" w:cs="宋体"/>
          <w:color w:val="auto"/>
          <w:sz w:val="21"/>
          <w:szCs w:val="21"/>
          <w:highlight w:val="none"/>
          <w:lang w:val="en-US" w:eastAsia="zh-CN"/>
        </w:rPr>
        <w:t>论文、</w:t>
      </w:r>
      <w:r>
        <w:rPr>
          <w:rFonts w:hint="eastAsia" w:ascii="宋体" w:hAnsi="宋体" w:eastAsia="宋体" w:cs="宋体"/>
          <w:color w:val="auto"/>
          <w:sz w:val="21"/>
          <w:szCs w:val="21"/>
          <w:highlight w:val="none"/>
          <w:lang w:val="en-US" w:eastAsia="zh-CN"/>
        </w:rPr>
        <w:t>高新技术产品等知识产权由双方共有，双方共有比例与报价人自行填报的利润分成比例一致。对知识产权的申报，双方不得在另一方不知情的情况下单方面开展。</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 研发成果推广</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双方共同承担研发成果在全国的应用推广，原则上采购人以在西南地区推广为主，报价方以在全国其它地区推广为主。</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br w:type="page"/>
      </w:r>
      <w:bookmarkEnd w:id="187"/>
      <w:bookmarkEnd w:id="188"/>
      <w:bookmarkEnd w:id="189"/>
      <w:bookmarkStart w:id="210" w:name="_Toc513633965"/>
    </w:p>
    <w:p>
      <w:pPr>
        <w:pStyle w:val="4"/>
        <w:shd w:val="clear"/>
        <w:spacing w:before="0" w:after="0" w:line="360" w:lineRule="auto"/>
        <w:jc w:val="center"/>
        <w:rPr>
          <w:rFonts w:hint="eastAsia" w:ascii="宋体" w:hAnsi="宋体" w:cs="宋体"/>
          <w:color w:val="auto"/>
          <w:highlight w:val="none"/>
        </w:rPr>
      </w:pPr>
      <w:bookmarkStart w:id="211" w:name="_Toc514858709"/>
      <w:bookmarkStart w:id="212" w:name="_Toc15881"/>
      <w:bookmarkStart w:id="213" w:name="_Toc2000413"/>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竞争性比选响应文件格式</w:t>
      </w:r>
      <w:bookmarkEnd w:id="210"/>
      <w:bookmarkEnd w:id="211"/>
      <w:bookmarkEnd w:id="212"/>
      <w:bookmarkEnd w:id="213"/>
    </w:p>
    <w:p>
      <w:pPr>
        <w:shd w:val="clear"/>
        <w:rPr>
          <w:rFonts w:hint="eastAsia"/>
          <w:color w:val="auto"/>
          <w:highlight w:val="none"/>
        </w:rPr>
      </w:pPr>
      <w:r>
        <w:rPr>
          <w:rFonts w:hint="eastAsia" w:ascii="宋体" w:hAnsi="宋体" w:cs="宋体"/>
          <w:color w:val="auto"/>
          <w:highlight w:val="none"/>
        </w:rPr>
        <w:br w:type="page"/>
      </w:r>
    </w:p>
    <w:p>
      <w:pPr>
        <w:shd w:val="clear"/>
        <w:jc w:val="center"/>
        <w:rPr>
          <w:rFonts w:hint="eastAsia" w:ascii="宋体" w:hAnsi="宋体" w:cs="宋体"/>
          <w:color w:val="auto"/>
          <w:sz w:val="52"/>
          <w:szCs w:val="52"/>
          <w:highlight w:val="none"/>
          <w:u w:val="single"/>
        </w:rPr>
      </w:pPr>
      <w:bookmarkStart w:id="214" w:name="_Toc514858710"/>
      <w:bookmarkStart w:id="215" w:name="_Toc503971829"/>
      <w:bookmarkStart w:id="216" w:name="_Toc513646738"/>
      <w:bookmarkStart w:id="217" w:name="_Toc513633967"/>
      <w:bookmarkStart w:id="218" w:name="_Toc503951046"/>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214"/>
      <w:bookmarkEnd w:id="215"/>
      <w:bookmarkEnd w:id="216"/>
      <w:bookmarkEnd w:id="217"/>
      <w:bookmarkEnd w:id="218"/>
      <w:r>
        <w:rPr>
          <w:rFonts w:hint="eastAsia" w:ascii="宋体" w:hAnsi="宋体" w:cs="宋体"/>
          <w:color w:val="auto"/>
          <w:sz w:val="52"/>
          <w:szCs w:val="52"/>
          <w:highlight w:val="none"/>
          <w:u w:val="single"/>
        </w:rPr>
        <w:t xml:space="preserve"> </w:t>
      </w:r>
    </w:p>
    <w:p>
      <w:pPr>
        <w:shd w:val="clear"/>
        <w:rPr>
          <w:rFonts w:hint="eastAsia" w:ascii="宋体" w:hAnsi="宋体" w:cs="宋体"/>
          <w:color w:val="auto"/>
          <w:sz w:val="20"/>
          <w:szCs w:val="20"/>
          <w:highlight w:val="none"/>
        </w:rPr>
      </w:pPr>
    </w:p>
    <w:p>
      <w:pPr>
        <w:shd w:val="clea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shd w:val="clear"/>
        <w:jc w:val="center"/>
        <w:rPr>
          <w:rFonts w:hint="eastAsia"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shd w:val="clear"/>
        <w:jc w:val="center"/>
        <w:rPr>
          <w:rFonts w:hint="eastAsia" w:ascii="宋体" w:hAnsi="宋体" w:cs="宋体"/>
          <w:b/>
          <w:color w:val="auto"/>
          <w:sz w:val="32"/>
          <w:szCs w:val="32"/>
          <w:highlight w:val="none"/>
        </w:rPr>
      </w:pP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shd w:val="clear"/>
        <w:rPr>
          <w:rFonts w:hint="eastAsia" w:ascii="宋体" w:hAnsi="宋体" w:cs="宋体"/>
          <w:color w:val="auto"/>
          <w:sz w:val="28"/>
          <w:szCs w:val="28"/>
          <w:highlight w:val="none"/>
        </w:rPr>
      </w:pPr>
    </w:p>
    <w:p>
      <w:pPr>
        <w:pStyle w:val="29"/>
        <w:shd w:val="clear"/>
        <w:rPr>
          <w:rFonts w:hint="eastAsia"/>
          <w:color w:val="auto"/>
          <w:highlight w:val="none"/>
        </w:rPr>
      </w:pPr>
    </w:p>
    <w:p>
      <w:pPr>
        <w:shd w:val="clear"/>
        <w:rPr>
          <w:rFonts w:hint="eastAsia"/>
          <w:color w:val="auto"/>
          <w:highlight w:val="none"/>
        </w:rPr>
      </w:pPr>
    </w:p>
    <w:p>
      <w:pPr>
        <w:pStyle w:val="29"/>
        <w:shd w:val="clear"/>
        <w:rPr>
          <w:rFonts w:hint="eastAsia"/>
          <w:color w:val="auto"/>
          <w:highlight w:val="none"/>
        </w:rPr>
      </w:pPr>
    </w:p>
    <w:p>
      <w:pPr>
        <w:shd w:val="clear"/>
        <w:rPr>
          <w:rFonts w:hint="eastAsia"/>
          <w:color w:val="auto"/>
          <w:highlight w:val="none"/>
        </w:rPr>
      </w:pPr>
    </w:p>
    <w:p>
      <w:pPr>
        <w:pStyle w:val="29"/>
        <w:shd w:val="clear"/>
        <w:rPr>
          <w:rFonts w:hint="eastAsia"/>
          <w:color w:val="auto"/>
          <w:highlight w:val="none"/>
        </w:rPr>
      </w:pPr>
    </w:p>
    <w:p>
      <w:pPr>
        <w:shd w:val="clea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（盖单位鲜公章）</w:t>
      </w:r>
    </w:p>
    <w:p>
      <w:pPr>
        <w:shd w:val="clear"/>
        <w:ind w:firstLine="1400" w:firstLineChars="500"/>
        <w:jc w:val="both"/>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 xml:space="preserve">                </w:t>
      </w:r>
    </w:p>
    <w:p>
      <w:pPr>
        <w:shd w:val="clea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shd w:val="clea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hd w:val="clear"/>
        <w:rPr>
          <w:rFonts w:hint="eastAsia"/>
          <w:color w:val="auto"/>
          <w:highlight w:val="none"/>
        </w:rPr>
      </w:pPr>
      <w:r>
        <w:rPr>
          <w:rFonts w:hint="eastAsia"/>
          <w:color w:val="auto"/>
          <w:highlight w:val="none"/>
        </w:rPr>
        <w:br w:type="page"/>
      </w:r>
    </w:p>
    <w:p>
      <w:pPr>
        <w:pStyle w:val="5"/>
        <w:shd w:val="clear"/>
        <w:jc w:val="center"/>
        <w:rPr>
          <w:rFonts w:hint="eastAsia" w:ascii="宋体" w:hAnsi="宋体" w:eastAsia="宋体" w:cs="宋体"/>
          <w:color w:val="auto"/>
          <w:highlight w:val="none"/>
        </w:rPr>
      </w:pPr>
      <w:bookmarkStart w:id="219" w:name="_Toc5459"/>
      <w:bookmarkStart w:id="220" w:name="_Toc27055"/>
      <w:bookmarkStart w:id="221" w:name="_Toc1368"/>
      <w:bookmarkStart w:id="222" w:name="_Toc12189"/>
      <w:bookmarkStart w:id="223" w:name="_Toc11329273"/>
      <w:bookmarkStart w:id="224" w:name="_Toc3606"/>
      <w:bookmarkStart w:id="225" w:name="_Toc18761"/>
      <w:bookmarkStart w:id="226" w:name="_Toc28780"/>
      <w:r>
        <w:rPr>
          <w:rFonts w:hint="eastAsia" w:ascii="宋体" w:hAnsi="宋体" w:eastAsia="宋体" w:cs="宋体"/>
          <w:color w:val="auto"/>
          <w:highlight w:val="none"/>
        </w:rPr>
        <w:t>目    录</w:t>
      </w:r>
      <w:bookmarkEnd w:id="190"/>
      <w:bookmarkEnd w:id="191"/>
      <w:bookmarkEnd w:id="192"/>
      <w:bookmarkEnd w:id="193"/>
      <w:bookmarkEnd w:id="194"/>
      <w:bookmarkEnd w:id="195"/>
      <w:bookmarkEnd w:id="196"/>
      <w:bookmarkEnd w:id="197"/>
      <w:bookmarkEnd w:id="219"/>
      <w:bookmarkEnd w:id="220"/>
      <w:bookmarkEnd w:id="221"/>
      <w:bookmarkEnd w:id="222"/>
      <w:bookmarkEnd w:id="223"/>
      <w:bookmarkEnd w:id="224"/>
      <w:bookmarkEnd w:id="225"/>
      <w:bookmarkEnd w:id="226"/>
    </w:p>
    <w:p>
      <w:pPr>
        <w:numPr>
          <w:ilvl w:val="0"/>
          <w:numId w:val="3"/>
        </w:numPr>
        <w:shd w:val="clear"/>
        <w:spacing w:line="40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竞争性响应声明书</w:t>
      </w:r>
    </w:p>
    <w:p>
      <w:pPr>
        <w:numPr>
          <w:ilvl w:val="0"/>
          <w:numId w:val="3"/>
        </w:numPr>
        <w:shd w:val="clear"/>
        <w:spacing w:line="400" w:lineRule="exact"/>
        <w:rPr>
          <w:rFonts w:hint="default" w:ascii="宋体" w:hAnsi="宋体" w:cs="宋体"/>
          <w:color w:val="auto"/>
          <w:highlight w:val="none"/>
          <w:lang w:val="en-US" w:eastAsia="zh-CN"/>
        </w:rPr>
      </w:pPr>
      <w:r>
        <w:rPr>
          <w:rFonts w:hint="default" w:ascii="宋体" w:hAnsi="宋体" w:cs="宋体"/>
          <w:color w:val="auto"/>
          <w:highlight w:val="none"/>
          <w:lang w:val="en-US" w:eastAsia="zh-CN"/>
        </w:rPr>
        <w:t>法定代表人身份证明或法定代表人授权委托书</w:t>
      </w:r>
    </w:p>
    <w:p>
      <w:pPr>
        <w:shd w:val="clear"/>
        <w:spacing w:line="400" w:lineRule="exact"/>
        <w:rPr>
          <w:rFonts w:hint="eastAsia" w:ascii="宋体" w:hAnsi="宋体" w:cs="宋体"/>
          <w:color w:val="auto"/>
          <w:highlight w:val="none"/>
        </w:rPr>
      </w:pPr>
      <w:r>
        <w:rPr>
          <w:rFonts w:hint="eastAsia" w:ascii="宋体" w:hAnsi="宋体" w:cs="宋体"/>
          <w:color w:val="auto"/>
          <w:highlight w:val="none"/>
          <w:lang w:val="en-US" w:eastAsia="zh-CN"/>
        </w:rPr>
        <w:t>三</w:t>
      </w:r>
      <w:r>
        <w:rPr>
          <w:rFonts w:hint="eastAsia" w:ascii="宋体" w:hAnsi="宋体" w:cs="宋体"/>
          <w:color w:val="auto"/>
          <w:highlight w:val="none"/>
        </w:rPr>
        <w:t>、资格审查资料</w:t>
      </w:r>
    </w:p>
    <w:p>
      <w:pPr>
        <w:shd w:val="clea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四</w:t>
      </w:r>
      <w:r>
        <w:rPr>
          <w:rFonts w:hint="eastAsia" w:ascii="宋体" w:hAnsi="宋体" w:cs="宋体"/>
          <w:color w:val="auto"/>
          <w:highlight w:val="none"/>
        </w:rPr>
        <w:t>、</w:t>
      </w:r>
      <w:r>
        <w:rPr>
          <w:rFonts w:hint="eastAsia" w:ascii="宋体" w:hAnsi="宋体" w:cs="宋体"/>
          <w:color w:val="auto"/>
          <w:szCs w:val="21"/>
          <w:highlight w:val="none"/>
        </w:rPr>
        <w:t>产品研发技术方案</w:t>
      </w:r>
    </w:p>
    <w:p>
      <w:pPr>
        <w:shd w:val="clear"/>
        <w:spacing w:line="400" w:lineRule="exact"/>
        <w:rPr>
          <w:rFonts w:hint="eastAsia" w:ascii="宋体" w:hAnsi="宋体" w:cs="宋体"/>
          <w:color w:val="auto"/>
          <w:highlight w:val="none"/>
        </w:rPr>
      </w:pPr>
      <w:r>
        <w:rPr>
          <w:rFonts w:hint="eastAsia" w:ascii="宋体" w:hAnsi="宋体" w:cs="宋体"/>
          <w:color w:val="auto"/>
          <w:szCs w:val="21"/>
          <w:highlight w:val="none"/>
          <w:lang w:val="en-US" w:eastAsia="zh-CN"/>
        </w:rPr>
        <w:t>五、报价人基本信息及</w:t>
      </w:r>
      <w:r>
        <w:rPr>
          <w:rFonts w:hint="eastAsia" w:ascii="宋体" w:hAnsi="宋体" w:cs="宋体"/>
          <w:color w:val="auto"/>
          <w:szCs w:val="21"/>
          <w:highlight w:val="none"/>
        </w:rPr>
        <w:t>其他材料</w:t>
      </w:r>
    </w:p>
    <w:p>
      <w:pPr>
        <w:shd w:val="clear"/>
        <w:spacing w:line="400" w:lineRule="exact"/>
        <w:rPr>
          <w:rFonts w:hint="eastAsia" w:ascii="宋体" w:hAnsi="宋体" w:cs="宋体"/>
          <w:color w:val="auto"/>
          <w:highlight w:val="none"/>
        </w:rPr>
      </w:pPr>
      <w:r>
        <w:rPr>
          <w:rFonts w:ascii="宋体" w:hAnsi="宋体" w:cs="宋体"/>
          <w:color w:val="auto"/>
          <w:highlight w:val="none"/>
        </w:rPr>
        <w:br w:type="page"/>
      </w:r>
    </w:p>
    <w:p>
      <w:pPr>
        <w:pStyle w:val="5"/>
        <w:shd w:val="clear"/>
        <w:spacing w:before="0" w:after="0" w:line="360" w:lineRule="auto"/>
        <w:jc w:val="center"/>
        <w:rPr>
          <w:rFonts w:hint="eastAsia" w:ascii="宋体" w:hAnsi="宋体" w:eastAsia="宋体" w:cs="宋体"/>
          <w:color w:val="auto"/>
          <w:sz w:val="28"/>
          <w:highlight w:val="none"/>
        </w:rPr>
      </w:pPr>
      <w:bookmarkStart w:id="227" w:name="_Toc11329274"/>
      <w:bookmarkStart w:id="228" w:name="_Toc8870"/>
      <w:bookmarkStart w:id="229" w:name="_Toc20552"/>
      <w:bookmarkStart w:id="230" w:name="_Toc25874"/>
      <w:bookmarkStart w:id="231" w:name="_Toc26784"/>
      <w:bookmarkStart w:id="232" w:name="_Toc29547"/>
      <w:bookmarkStart w:id="233" w:name="_Toc5274"/>
      <w:bookmarkStart w:id="234" w:name="_Toc15863"/>
      <w:bookmarkStart w:id="235" w:name="_Toc28490"/>
      <w:bookmarkStart w:id="236" w:name="_Toc503951048"/>
      <w:bookmarkStart w:id="237" w:name="_Toc513633969"/>
      <w:bookmarkStart w:id="238" w:name="_Toc447827053"/>
      <w:r>
        <w:rPr>
          <w:rFonts w:hint="eastAsia" w:ascii="宋体" w:hAnsi="宋体" w:eastAsia="宋体" w:cs="宋体"/>
          <w:color w:val="auto"/>
          <w:sz w:val="28"/>
          <w:highlight w:val="none"/>
        </w:rPr>
        <w:t>一、</w:t>
      </w:r>
      <w:bookmarkEnd w:id="227"/>
      <w:bookmarkEnd w:id="228"/>
      <w:r>
        <w:rPr>
          <w:rFonts w:hint="eastAsia" w:ascii="宋体" w:hAnsi="宋体" w:eastAsia="宋体" w:cs="宋体"/>
          <w:color w:val="auto"/>
          <w:sz w:val="28"/>
          <w:highlight w:val="none"/>
          <w:lang w:eastAsia="zh-CN"/>
        </w:rPr>
        <w:t>竞争比选</w:t>
      </w:r>
      <w:r>
        <w:rPr>
          <w:rFonts w:hint="eastAsia" w:ascii="宋体" w:hAnsi="宋体" w:eastAsia="宋体" w:cs="宋体"/>
          <w:color w:val="auto"/>
          <w:sz w:val="28"/>
          <w:highlight w:val="none"/>
        </w:rPr>
        <w:t>响应声明书</w:t>
      </w:r>
      <w:bookmarkEnd w:id="229"/>
      <w:bookmarkEnd w:id="230"/>
      <w:bookmarkEnd w:id="231"/>
      <w:bookmarkEnd w:id="232"/>
      <w:bookmarkEnd w:id="233"/>
      <w:bookmarkEnd w:id="234"/>
      <w:bookmarkEnd w:id="235"/>
    </w:p>
    <w:p>
      <w:pPr>
        <w:shd w:val="clear"/>
        <w:tabs>
          <w:tab w:val="left" w:pos="900"/>
        </w:tabs>
        <w:spacing w:line="300" w:lineRule="auto"/>
        <w:rPr>
          <w:rFonts w:hint="eastAsia"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lang w:eastAsia="zh-CN"/>
        </w:rPr>
        <w:t>重庆首讯科技股份有限公司</w:t>
      </w:r>
    </w:p>
    <w:p>
      <w:pPr>
        <w:shd w:val="clear"/>
        <w:spacing w:line="700" w:lineRule="atLeast"/>
        <w:ind w:firstLine="480" w:firstLineChars="200"/>
        <w:rPr>
          <w:rFonts w:hint="eastAsia"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val="en-US" w:eastAsia="zh-CN"/>
        </w:rPr>
        <w:t>终端监控智能维护箱合作研发项目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项目及服务的</w:t>
      </w:r>
      <w:r>
        <w:rPr>
          <w:rFonts w:hint="eastAsia" w:ascii="Arial" w:hAnsi="Arial" w:cs="Arial"/>
          <w:color w:val="auto"/>
          <w:sz w:val="24"/>
          <w:highlight w:val="none"/>
          <w:lang w:eastAsia="zh-CN"/>
        </w:rPr>
        <w:t>竞争比选</w:t>
      </w:r>
      <w:r>
        <w:rPr>
          <w:rFonts w:hint="eastAsia" w:ascii="Arial" w:hAnsi="Arial" w:cs="Arial"/>
          <w:color w:val="auto"/>
          <w:sz w:val="24"/>
          <w:highlight w:val="none"/>
        </w:rPr>
        <w:t>邀请，签字代表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w:t>
      </w:r>
      <w:r>
        <w:rPr>
          <w:rFonts w:hint="eastAsia" w:ascii="Arial" w:hAnsi="Arial" w:cs="Arial"/>
          <w:color w:val="auto"/>
          <w:sz w:val="24"/>
          <w:highlight w:val="none"/>
          <w:u w:val="single"/>
          <w:lang w:eastAsia="zh-CN"/>
        </w:rPr>
        <w:t>竞争比选</w:t>
      </w:r>
      <w:r>
        <w:rPr>
          <w:rFonts w:hint="eastAsia" w:ascii="Arial" w:hAnsi="Arial" w:cs="Arial"/>
          <w:color w:val="auto"/>
          <w:sz w:val="24"/>
          <w:highlight w:val="none"/>
          <w:u w:val="single"/>
        </w:rPr>
        <w:t>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文件。</w:t>
      </w:r>
    </w:p>
    <w:p>
      <w:pPr>
        <w:shd w:val="clear"/>
        <w:spacing w:line="700" w:lineRule="atLeast"/>
        <w:ind w:firstLine="480" w:firstLineChars="200"/>
        <w:rPr>
          <w:rFonts w:hint="eastAsia" w:ascii="Arial" w:hAnsi="Arial" w:cs="Arial"/>
          <w:color w:val="auto"/>
          <w:sz w:val="24"/>
          <w:highlight w:val="none"/>
          <w:u w:val="single"/>
          <w:lang w:val="en-US" w:eastAsia="zh-CN"/>
        </w:rPr>
      </w:pPr>
      <w:r>
        <w:rPr>
          <w:rFonts w:hint="eastAsia" w:ascii="Arial" w:hAnsi="Arial" w:cs="Arial"/>
          <w:color w:val="auto"/>
          <w:sz w:val="24"/>
          <w:highlight w:val="none"/>
          <w:u w:val="single"/>
          <w:lang w:val="en-US" w:eastAsia="zh-CN"/>
        </w:rPr>
        <w:t>我方愿以：采购人利润分成比例为    %，我司利润分成比例为    %的利润分成比例按照竞争比选文件的要求，承担本次竞争比选文件要求的合作研发任务。</w:t>
      </w:r>
    </w:p>
    <w:p>
      <w:pPr>
        <w:shd w:val="clea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p>
    <w:p>
      <w:pPr>
        <w:shd w:val="clear"/>
        <w:tabs>
          <w:tab w:val="left" w:pos="540"/>
          <w:tab w:val="left" w:pos="900"/>
        </w:tabs>
        <w:spacing w:line="30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据此函，签字代表宣布同意如下：</w:t>
      </w:r>
    </w:p>
    <w:p>
      <w:pPr>
        <w:shd w:val="clea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响应单位将按</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文件规定履行合同责任和义务。</w:t>
      </w:r>
    </w:p>
    <w:p>
      <w:pPr>
        <w:shd w:val="clear"/>
        <w:tabs>
          <w:tab w:val="left" w:pos="900"/>
        </w:tabs>
        <w:spacing w:line="300" w:lineRule="auto"/>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响应单位已详细审查全部</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文件，包括修改文件（如有的话）以及全部参考资料和相关附件。我们完全理解并同意放弃对这方面有不明及误解的权利。</w:t>
      </w:r>
    </w:p>
    <w:p>
      <w:pPr>
        <w:shd w:val="clea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3、</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响应单位同意提供</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人可能要求的与其</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响应文件有关的一切数据或资料，完全理解</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人不一定要接受最低报价的</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响应或收到的任何</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w:t>
      </w:r>
    </w:p>
    <w:p>
      <w:pPr>
        <w:shd w:val="clea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4、与本</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响应有关的一切正式往来通讯请寄：</w:t>
      </w:r>
    </w:p>
    <w:p>
      <w:pPr>
        <w:shd w:val="clea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pPr>
        <w:shd w:val="clear"/>
        <w:tabs>
          <w:tab w:val="left" w:pos="900"/>
        </w:tabs>
        <w:spacing w:line="300" w:lineRule="auto"/>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pPr>
        <w:shd w:val="clea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shd w:val="clea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shd w:val="clea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w:t>
      </w:r>
      <w:r>
        <w:rPr>
          <w:rFonts w:hint="eastAsia" w:ascii="Arial" w:hAnsi="Arial" w:cs="Arial"/>
          <w:color w:val="auto"/>
          <w:sz w:val="24"/>
          <w:highlight w:val="none"/>
          <w:lang w:val="en-US" w:eastAsia="zh-CN"/>
        </w:rPr>
        <w:t>鲜</w:t>
      </w:r>
      <w:r>
        <w:rPr>
          <w:rFonts w:hint="eastAsia" w:ascii="Arial" w:hAnsi="Arial" w:cs="Arial"/>
          <w:color w:val="auto"/>
          <w:sz w:val="24"/>
          <w:highlight w:val="none"/>
        </w:rPr>
        <w:t>公章）：</w:t>
      </w:r>
      <w:r>
        <w:rPr>
          <w:rFonts w:ascii="Arial" w:hAnsi="Arial" w:cs="Arial"/>
          <w:color w:val="auto"/>
          <w:sz w:val="24"/>
          <w:highlight w:val="none"/>
          <w:u w:val="single"/>
        </w:rPr>
        <w:t xml:space="preserve">                                 </w:t>
      </w:r>
    </w:p>
    <w:p>
      <w:pPr>
        <w:shd w:val="clea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bookmarkStart w:id="239" w:name="_Toc27815"/>
      <w:bookmarkStart w:id="240" w:name="_Toc491883232"/>
    </w:p>
    <w:p>
      <w:pPr>
        <w:shd w:val="clear"/>
        <w:rPr>
          <w:rFonts w:hint="eastAsia" w:ascii="Arial" w:hAnsi="Arial" w:cs="Arial"/>
          <w:color w:val="auto"/>
          <w:sz w:val="24"/>
          <w:highlight w:val="none"/>
        </w:rPr>
      </w:pPr>
      <w:r>
        <w:rPr>
          <w:rFonts w:hint="eastAsia" w:ascii="Arial" w:hAnsi="Arial" w:cs="Arial"/>
          <w:color w:val="auto"/>
          <w:sz w:val="24"/>
          <w:highlight w:val="none"/>
        </w:rPr>
        <w:br w:type="page"/>
      </w:r>
    </w:p>
    <w:p>
      <w:pPr>
        <w:pStyle w:val="5"/>
        <w:shd w:val="clear"/>
        <w:jc w:val="center"/>
        <w:rPr>
          <w:rFonts w:hint="eastAsia" w:ascii="宋体" w:hAnsi="宋体" w:eastAsia="宋体" w:cs="宋体"/>
          <w:color w:val="auto"/>
          <w:sz w:val="28"/>
          <w:szCs w:val="28"/>
          <w:highlight w:val="none"/>
        </w:rPr>
      </w:pPr>
      <w:bookmarkStart w:id="241" w:name="_Toc736"/>
      <w:bookmarkStart w:id="242" w:name="_Toc30192"/>
      <w:bookmarkStart w:id="243" w:name="_Toc3141"/>
      <w:bookmarkStart w:id="244" w:name="_Toc7724"/>
      <w:r>
        <w:rPr>
          <w:rFonts w:hint="eastAsia" w:ascii="宋体" w:hAnsi="宋体" w:eastAsia="宋体" w:cs="宋体"/>
          <w:color w:val="auto"/>
          <w:sz w:val="28"/>
          <w:szCs w:val="28"/>
          <w:highlight w:val="none"/>
        </w:rPr>
        <w:t>二、法定代表人身份证明或法定代表人授权委托书</w:t>
      </w:r>
      <w:bookmarkEnd w:id="239"/>
      <w:bookmarkEnd w:id="241"/>
      <w:bookmarkEnd w:id="242"/>
      <w:bookmarkEnd w:id="243"/>
      <w:bookmarkEnd w:id="244"/>
    </w:p>
    <w:p>
      <w:pPr>
        <w:pStyle w:val="5"/>
        <w:shd w:val="clear"/>
        <w:jc w:val="center"/>
        <w:rPr>
          <w:rFonts w:hint="eastAsia" w:ascii="宋体" w:hAnsi="宋体" w:eastAsia="宋体" w:cs="宋体"/>
          <w:color w:val="auto"/>
          <w:sz w:val="24"/>
          <w:szCs w:val="24"/>
          <w:highlight w:val="none"/>
        </w:rPr>
      </w:pPr>
      <w:bookmarkStart w:id="245" w:name="_Toc19701"/>
      <w:bookmarkStart w:id="246" w:name="_Toc5529"/>
      <w:bookmarkStart w:id="247" w:name="_Toc12240"/>
      <w:bookmarkStart w:id="248" w:name="_Toc14141"/>
      <w:bookmarkStart w:id="249" w:name="_Toc15857"/>
      <w:r>
        <w:rPr>
          <w:rFonts w:hint="eastAsia" w:ascii="宋体" w:hAnsi="宋体" w:eastAsia="宋体" w:cs="宋体"/>
          <w:color w:val="auto"/>
          <w:sz w:val="24"/>
          <w:szCs w:val="24"/>
          <w:highlight w:val="none"/>
        </w:rPr>
        <w:t>（一）法定代表人身份证明</w:t>
      </w:r>
      <w:bookmarkEnd w:id="240"/>
      <w:bookmarkEnd w:id="245"/>
      <w:bookmarkEnd w:id="246"/>
      <w:bookmarkEnd w:id="247"/>
      <w:bookmarkEnd w:id="248"/>
      <w:bookmarkEnd w:id="249"/>
    </w:p>
    <w:p>
      <w:pPr>
        <w:shd w:val="clear"/>
        <w:spacing w:line="440" w:lineRule="exact"/>
        <w:rPr>
          <w:rFonts w:ascii="宋体" w:hAnsi="宋体"/>
          <w:color w:val="auto"/>
          <w:highlight w:val="none"/>
        </w:rPr>
      </w:pPr>
      <w:r>
        <w:rPr>
          <w:rFonts w:hint="eastAsia" w:ascii="宋体" w:hAnsi="宋体"/>
          <w:color w:val="auto"/>
          <w:highlight w:val="none"/>
          <w:lang w:eastAsia="zh-CN"/>
        </w:rPr>
        <w:t>报价人</w:t>
      </w:r>
      <w:r>
        <w:rPr>
          <w:rFonts w:ascii="宋体" w:hAnsi="宋体"/>
          <w:color w:val="auto"/>
          <w:highlight w:val="none"/>
        </w:rPr>
        <w:t>名称：</w:t>
      </w:r>
      <w:r>
        <w:rPr>
          <w:rFonts w:ascii="宋体" w:hAnsi="宋体"/>
          <w:color w:val="auto"/>
          <w:highlight w:val="none"/>
          <w:u w:val="single"/>
        </w:rPr>
        <w:t xml:space="preserve">                        </w:t>
      </w:r>
    </w:p>
    <w:p>
      <w:pPr>
        <w:shd w:val="clear"/>
        <w:spacing w:line="440" w:lineRule="exact"/>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50" w:name="_Toc369531698"/>
      <w:bookmarkStart w:id="251" w:name="_Toc27897"/>
      <w:bookmarkStart w:id="252" w:name="_Toc352691662"/>
      <w:r>
        <w:rPr>
          <w:rFonts w:ascii="宋体" w:hAnsi="宋体"/>
          <w:color w:val="auto"/>
          <w:highlight w:val="none"/>
          <w:u w:val="single"/>
        </w:rPr>
        <w:t xml:space="preserve">        </w:t>
      </w:r>
      <w:r>
        <w:rPr>
          <w:rFonts w:ascii="宋体" w:hAnsi="宋体"/>
          <w:color w:val="auto"/>
          <w:highlight w:val="none"/>
        </w:rPr>
        <w:t>年</w:t>
      </w:r>
      <w:bookmarkEnd w:id="250"/>
      <w:bookmarkEnd w:id="251"/>
      <w:bookmarkEnd w:id="252"/>
      <w:r>
        <w:rPr>
          <w:rFonts w:ascii="宋体" w:hAnsi="宋体"/>
          <w:color w:val="auto"/>
          <w:highlight w:val="none"/>
        </w:rPr>
        <w:t>龄</w:t>
      </w:r>
      <w:bookmarkStart w:id="253" w:name="_Toc247514248"/>
      <w:bookmarkStart w:id="254" w:name="_Toc300835211"/>
      <w:bookmarkStart w:id="255" w:name="_Toc361508754"/>
      <w:bookmarkStart w:id="256" w:name="_Toc352691663"/>
      <w:bookmarkStart w:id="257" w:name="_Toc247527829"/>
      <w:bookmarkStart w:id="258" w:name="_Toc384308377"/>
      <w:bookmarkStart w:id="259" w:name="_Toc369531699"/>
      <w:bookmarkStart w:id="260" w:name="_Toc15573"/>
      <w:bookmarkStart w:id="261" w:name="_Toc152045789"/>
      <w:bookmarkStart w:id="262" w:name="_Toc144974858"/>
      <w:bookmarkStart w:id="263" w:name="_Toc152042578"/>
      <w:r>
        <w:rPr>
          <w:rFonts w:ascii="宋体" w:hAnsi="宋体"/>
          <w:color w:val="auto"/>
          <w:highlight w:val="none"/>
        </w:rPr>
        <w:t>：</w:t>
      </w:r>
      <w:bookmarkEnd w:id="253"/>
      <w:bookmarkEnd w:id="254"/>
      <w:bookmarkEnd w:id="255"/>
      <w:bookmarkEnd w:id="256"/>
      <w:bookmarkEnd w:id="257"/>
      <w:bookmarkEnd w:id="258"/>
      <w:bookmarkEnd w:id="259"/>
      <w:bookmarkEnd w:id="260"/>
      <w:bookmarkEnd w:id="261"/>
      <w:bookmarkEnd w:id="262"/>
      <w:bookmarkEnd w:id="263"/>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hd w:val="clear"/>
        <w:spacing w:line="440" w:lineRule="exact"/>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w:t>
      </w:r>
    </w:p>
    <w:p>
      <w:pPr>
        <w:shd w:val="clear"/>
        <w:spacing w:line="440" w:lineRule="exact"/>
        <w:ind w:firstLine="420" w:firstLineChars="200"/>
        <w:rPr>
          <w:rFonts w:ascii="宋体" w:hAnsi="宋体"/>
          <w:color w:val="auto"/>
          <w:highlight w:val="none"/>
        </w:rPr>
      </w:pPr>
      <w:r>
        <w:rPr>
          <w:rFonts w:ascii="宋体" w:hAnsi="宋体"/>
          <w:color w:val="auto"/>
          <w:highlight w:val="none"/>
        </w:rPr>
        <w:t>特此证明。</w:t>
      </w: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lang w:eastAsia="zh-CN"/>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shd w:val="clear"/>
        <w:spacing w:line="440" w:lineRule="exact"/>
        <w:rPr>
          <w:rFonts w:ascii="宋体" w:hAnsi="宋体"/>
          <w:color w:val="auto"/>
          <w:highlight w:val="none"/>
        </w:rPr>
      </w:pPr>
    </w:p>
    <w:p>
      <w:pPr>
        <w:shd w:val="clea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shd w:val="clear"/>
        <w:rPr>
          <w:rFonts w:ascii="宋体" w:hAnsi="宋体"/>
          <w:color w:val="auto"/>
          <w:highlight w:val="none"/>
        </w:rPr>
      </w:pPr>
    </w:p>
    <w:p>
      <w:pPr>
        <w:shd w:val="clear"/>
        <w:rPr>
          <w:rFonts w:ascii="宋体" w:hAnsi="宋体"/>
          <w:color w:val="auto"/>
          <w:highlight w:val="none"/>
        </w:rPr>
      </w:pPr>
    </w:p>
    <w:p>
      <w:pPr>
        <w:shd w:val="clea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shd w:val="clear"/>
        <w:rPr>
          <w:color w:val="auto"/>
          <w:highlight w:val="none"/>
        </w:rPr>
      </w:pPr>
      <w:r>
        <w:rPr>
          <w:rFonts w:ascii="宋体" w:hAnsi="宋体"/>
          <w:color w:val="auto"/>
          <w:sz w:val="20"/>
          <w:highlight w:val="none"/>
        </w:rPr>
        <w:br w:type="page"/>
      </w:r>
    </w:p>
    <w:p>
      <w:pPr>
        <w:pStyle w:val="5"/>
        <w:shd w:val="clear"/>
        <w:jc w:val="center"/>
        <w:rPr>
          <w:rFonts w:ascii="宋体" w:hAnsi="宋体"/>
          <w:color w:val="auto"/>
          <w:sz w:val="28"/>
          <w:szCs w:val="28"/>
          <w:highlight w:val="none"/>
        </w:rPr>
      </w:pPr>
      <w:bookmarkStart w:id="264" w:name="_Toc491883233"/>
      <w:bookmarkStart w:id="265" w:name="_Toc2523"/>
      <w:bookmarkStart w:id="266" w:name="_Toc23491"/>
      <w:bookmarkStart w:id="267" w:name="_Toc58"/>
      <w:bookmarkStart w:id="268" w:name="_Toc8768"/>
      <w:bookmarkStart w:id="269" w:name="_Toc23815"/>
      <w:r>
        <w:rPr>
          <w:rFonts w:hint="eastAsia" w:ascii="宋体" w:hAnsi="宋体" w:eastAsia="宋体" w:cs="宋体"/>
          <w:color w:val="auto"/>
          <w:sz w:val="24"/>
          <w:szCs w:val="24"/>
          <w:highlight w:val="none"/>
        </w:rPr>
        <w:t>（二）</w:t>
      </w:r>
      <w:bookmarkEnd w:id="264"/>
      <w:r>
        <w:rPr>
          <w:rFonts w:hint="eastAsia" w:ascii="宋体" w:hAnsi="宋体" w:eastAsia="宋体" w:cs="宋体"/>
          <w:color w:val="auto"/>
          <w:sz w:val="24"/>
          <w:szCs w:val="24"/>
          <w:highlight w:val="none"/>
        </w:rPr>
        <w:t>法定代表人授权委托书</w:t>
      </w:r>
      <w:bookmarkEnd w:id="265"/>
      <w:bookmarkEnd w:id="266"/>
      <w:bookmarkEnd w:id="267"/>
      <w:bookmarkEnd w:id="268"/>
      <w:bookmarkEnd w:id="269"/>
    </w:p>
    <w:p>
      <w:pPr>
        <w:shd w:val="clear"/>
        <w:topLinePunct/>
        <w:spacing w:line="440" w:lineRule="exact"/>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lang w:val="en-US" w:eastAsia="zh-CN"/>
        </w:rPr>
        <w:t>比选</w:t>
      </w:r>
      <w:r>
        <w:rPr>
          <w:rFonts w:ascii="宋体" w:hAnsi="宋体"/>
          <w:color w:val="auto"/>
          <w:highlight w:val="none"/>
        </w:rPr>
        <w:t>文件、签订合同和处理有关事宜，其法律后果由我方承担。</w:t>
      </w:r>
    </w:p>
    <w:p>
      <w:pPr>
        <w:shd w:val="clear"/>
        <w:spacing w:line="440" w:lineRule="exact"/>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shd w:val="clear"/>
        <w:spacing w:line="440" w:lineRule="exact"/>
        <w:ind w:firstLine="420" w:firstLineChars="200"/>
        <w:rPr>
          <w:rFonts w:ascii="宋体" w:hAnsi="宋体"/>
          <w:color w:val="auto"/>
          <w:highlight w:val="none"/>
        </w:rPr>
      </w:pPr>
      <w:r>
        <w:rPr>
          <w:rFonts w:ascii="宋体" w:hAnsi="宋体"/>
          <w:color w:val="auto"/>
          <w:highlight w:val="none"/>
        </w:rPr>
        <w:t>代理人无转委托权。</w:t>
      </w:r>
    </w:p>
    <w:p>
      <w:pPr>
        <w:shd w:val="clear"/>
        <w:spacing w:line="440" w:lineRule="exact"/>
        <w:ind w:firstLine="420" w:firstLineChars="200"/>
        <w:rPr>
          <w:rFonts w:ascii="宋体" w:hAnsi="宋体"/>
          <w:color w:val="auto"/>
          <w:highlight w:val="none"/>
        </w:rPr>
      </w:pPr>
    </w:p>
    <w:p>
      <w:pPr>
        <w:shd w:val="clear"/>
        <w:spacing w:line="440" w:lineRule="exact"/>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rPr>
          <w:rFonts w:ascii="宋体" w:hAnsi="宋体"/>
          <w:color w:val="auto"/>
          <w:highlight w:val="none"/>
        </w:rPr>
      </w:pPr>
    </w:p>
    <w:p>
      <w:pPr>
        <w:shd w:val="clear"/>
        <w:spacing w:line="440" w:lineRule="exact"/>
        <w:ind w:firstLine="2692" w:firstLineChars="1282"/>
        <w:rPr>
          <w:rFonts w:ascii="宋体" w:hAnsi="宋体"/>
          <w:color w:val="auto"/>
          <w:highlight w:val="none"/>
        </w:rPr>
      </w:pPr>
      <w:r>
        <w:rPr>
          <w:rFonts w:hint="eastAsia" w:ascii="宋体" w:hAnsi="宋体"/>
          <w:color w:val="auto"/>
          <w:highlight w:val="none"/>
          <w:lang w:eastAsia="zh-CN"/>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shd w:val="clea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r>
        <w:rPr>
          <w:rFonts w:hint="eastAsia" w:ascii="宋体" w:hAnsi="宋体"/>
          <w:color w:val="auto"/>
          <w:highlight w:val="none"/>
        </w:rPr>
        <w:t xml:space="preserve"> </w:t>
      </w:r>
      <w:r>
        <w:rPr>
          <w:rFonts w:ascii="宋体" w:hAnsi="宋体"/>
          <w:color w:val="auto"/>
          <w:highlight w:val="none"/>
        </w:rPr>
        <w:t>）</w:t>
      </w:r>
    </w:p>
    <w:p>
      <w:pPr>
        <w:shd w:val="clea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hd w:val="clea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p>
    <w:p>
      <w:pPr>
        <w:shd w:val="clea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hd w:val="clear"/>
        <w:spacing w:line="440" w:lineRule="exact"/>
        <w:ind w:firstLine="2692" w:firstLineChars="1282"/>
        <w:rPr>
          <w:rFonts w:ascii="宋体" w:hAnsi="宋体"/>
          <w:color w:val="auto"/>
          <w:highlight w:val="none"/>
        </w:rPr>
      </w:pPr>
    </w:p>
    <w:p>
      <w:pPr>
        <w:shd w:val="clea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shd w:val="clear"/>
        <w:rPr>
          <w:rFonts w:ascii="宋体" w:hAnsi="宋体"/>
          <w:color w:val="auto"/>
          <w:highlight w:val="none"/>
        </w:rPr>
      </w:pPr>
    </w:p>
    <w:p>
      <w:pPr>
        <w:shd w:val="clear"/>
        <w:rPr>
          <w:rFonts w:ascii="宋体" w:hAnsi="宋体"/>
          <w:color w:val="auto"/>
          <w:highlight w:val="none"/>
        </w:rPr>
      </w:pPr>
    </w:p>
    <w:p>
      <w:pPr>
        <w:shd w:val="clea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并由其法定代表人和委托代理人签字。</w:t>
      </w:r>
      <w:bookmarkStart w:id="270" w:name="_Toc11329275"/>
      <w:bookmarkStart w:id="271" w:name="_Toc10088"/>
    </w:p>
    <w:p>
      <w:pPr>
        <w:shd w:val="clear"/>
        <w:rPr>
          <w:color w:val="auto"/>
          <w:highlight w:val="none"/>
        </w:rPr>
      </w:pPr>
      <w:r>
        <w:rPr>
          <w:rFonts w:ascii="宋体" w:hAnsi="宋体"/>
          <w:color w:val="auto"/>
          <w:highlight w:val="none"/>
        </w:rPr>
        <w:br w:type="page"/>
      </w:r>
    </w:p>
    <w:bookmarkEnd w:id="236"/>
    <w:bookmarkEnd w:id="237"/>
    <w:bookmarkEnd w:id="238"/>
    <w:bookmarkEnd w:id="270"/>
    <w:bookmarkEnd w:id="271"/>
    <w:p>
      <w:pPr>
        <w:pStyle w:val="5"/>
        <w:shd w:val="clear"/>
        <w:spacing w:before="0" w:after="0" w:line="360" w:lineRule="auto"/>
        <w:jc w:val="center"/>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三</w:t>
      </w:r>
      <w:r>
        <w:rPr>
          <w:rFonts w:hint="eastAsia" w:ascii="宋体" w:hAnsi="宋体" w:eastAsia="宋体" w:cs="宋体"/>
          <w:color w:val="auto"/>
          <w:sz w:val="28"/>
          <w:highlight w:val="none"/>
        </w:rPr>
        <w:t>、</w:t>
      </w:r>
      <w:r>
        <w:rPr>
          <w:rFonts w:hint="eastAsia" w:ascii="宋体" w:hAnsi="宋体" w:eastAsia="宋体" w:cs="宋体"/>
          <w:color w:val="auto"/>
          <w:sz w:val="28"/>
          <w:highlight w:val="none"/>
          <w:lang w:val="en-US" w:eastAsia="zh-CN"/>
        </w:rPr>
        <w:t>资格审查资料</w:t>
      </w:r>
    </w:p>
    <w:p>
      <w:pPr>
        <w:keepNext w:val="0"/>
        <w:keepLines w:val="0"/>
        <w:pageBreakBefore w:val="0"/>
        <w:widowControl w:val="0"/>
        <w:shd w:val="clear"/>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jc w:val="both"/>
        <w:textAlignment w:val="auto"/>
        <w:rPr>
          <w:rFonts w:hint="eastAsia" w:ascii="宋体" w:hAnsi="宋体" w:cs="宋体"/>
          <w:color w:val="auto"/>
          <w:kern w:val="0"/>
          <w:szCs w:val="21"/>
          <w:highlight w:val="none"/>
        </w:rPr>
      </w:pPr>
    </w:p>
    <w:p>
      <w:pPr>
        <w:pStyle w:val="2"/>
        <w:shd w:val="clear"/>
        <w:rPr>
          <w:rFonts w:hint="eastAsia" w:ascii="宋体" w:hAnsi="宋体" w:cs="宋体"/>
          <w:color w:val="auto"/>
          <w:kern w:val="0"/>
          <w:szCs w:val="21"/>
          <w:highlight w:val="none"/>
        </w:rPr>
      </w:pPr>
    </w:p>
    <w:p>
      <w:pPr>
        <w:shd w:val="clea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5"/>
        <w:shd w:val="clear"/>
        <w:spacing w:before="0" w:after="0" w:line="360" w:lineRule="auto"/>
        <w:jc w:val="center"/>
        <w:rPr>
          <w:rFonts w:hint="eastAsia" w:ascii="宋体" w:hAnsi="宋体" w:eastAsia="宋体" w:cs="宋体"/>
          <w:color w:val="auto"/>
          <w:sz w:val="28"/>
          <w:highlight w:val="none"/>
          <w:lang w:eastAsia="zh-CN"/>
        </w:rPr>
      </w:pPr>
      <w:bookmarkStart w:id="272" w:name="_Toc10468"/>
      <w:bookmarkStart w:id="273" w:name="_Toc11961"/>
      <w:bookmarkStart w:id="274" w:name="_Toc6664"/>
      <w:bookmarkStart w:id="275" w:name="_Toc23555"/>
      <w:bookmarkStart w:id="276" w:name="_Toc12910"/>
      <w:bookmarkStart w:id="277" w:name="_Toc513633971"/>
      <w:bookmarkStart w:id="278" w:name="_Toc18757"/>
      <w:bookmarkStart w:id="279" w:name="_Toc32629"/>
      <w:bookmarkStart w:id="280" w:name="_Toc11329278"/>
      <w:bookmarkStart w:id="281" w:name="_Toc503951050"/>
      <w:bookmarkStart w:id="282" w:name="_Toc247085887"/>
      <w:bookmarkStart w:id="283" w:name="_Toc246996369"/>
      <w:bookmarkStart w:id="284" w:name="_Toc246997112"/>
      <w:bookmarkStart w:id="285" w:name="_Toc179632823"/>
      <w:bookmarkStart w:id="286" w:name="_Toc152042592"/>
      <w:bookmarkStart w:id="287" w:name="_Toc152045803"/>
      <w:bookmarkStart w:id="288" w:name="_Toc144974871"/>
      <w:bookmarkStart w:id="289" w:name="_Toc447827058"/>
      <w:r>
        <w:rPr>
          <w:rFonts w:hint="eastAsia" w:ascii="宋体" w:hAnsi="宋体" w:eastAsia="宋体" w:cs="宋体"/>
          <w:color w:val="auto"/>
          <w:sz w:val="28"/>
          <w:highlight w:val="none"/>
          <w:lang w:val="en-US" w:eastAsia="zh-CN"/>
        </w:rPr>
        <w:t>四</w:t>
      </w:r>
      <w:r>
        <w:rPr>
          <w:rFonts w:hint="eastAsia" w:ascii="宋体" w:hAnsi="宋体" w:eastAsia="宋体" w:cs="宋体"/>
          <w:color w:val="auto"/>
          <w:sz w:val="28"/>
          <w:highlight w:val="none"/>
        </w:rPr>
        <w:t>、产品研发技术方案</w:t>
      </w:r>
      <w:bookmarkEnd w:id="272"/>
      <w:bookmarkEnd w:id="273"/>
      <w:bookmarkEnd w:id="274"/>
      <w:bookmarkEnd w:id="275"/>
      <w:bookmarkEnd w:id="276"/>
      <w:bookmarkEnd w:id="277"/>
      <w:bookmarkEnd w:id="278"/>
      <w:bookmarkEnd w:id="279"/>
      <w:bookmarkEnd w:id="280"/>
      <w:bookmarkEnd w:id="281"/>
    </w:p>
    <w:bookmarkEnd w:id="282"/>
    <w:bookmarkEnd w:id="283"/>
    <w:bookmarkEnd w:id="284"/>
    <w:bookmarkEnd w:id="285"/>
    <w:bookmarkEnd w:id="286"/>
    <w:bookmarkEnd w:id="287"/>
    <w:bookmarkEnd w:id="288"/>
    <w:bookmarkEnd w:id="289"/>
    <w:p>
      <w:pPr>
        <w:pStyle w:val="5"/>
        <w:shd w:val="clear"/>
        <w:spacing w:before="0" w:after="0" w:line="360" w:lineRule="auto"/>
        <w:jc w:val="center"/>
        <w:rPr>
          <w:rFonts w:hint="eastAsia" w:ascii="宋体" w:hAnsi="宋体" w:cs="宋体"/>
          <w:color w:val="auto"/>
          <w:sz w:val="28"/>
          <w:highlight w:val="none"/>
        </w:rPr>
      </w:pPr>
      <w:bookmarkStart w:id="290" w:name="_Toc513633973"/>
      <w:bookmarkStart w:id="291" w:name="_Toc11672"/>
      <w:bookmarkStart w:id="292" w:name="_Toc503951055"/>
      <w:bookmarkStart w:id="293" w:name="_Toc11329281"/>
      <w:bookmarkStart w:id="294" w:name="_Toc447827068"/>
      <w:r>
        <w:rPr>
          <w:rFonts w:hint="eastAsia" w:ascii="宋体" w:hAnsi="宋体" w:eastAsia="宋体" w:cs="宋体"/>
          <w:color w:val="auto"/>
          <w:sz w:val="28"/>
          <w:highlight w:val="none"/>
        </w:rPr>
        <w:br w:type="page"/>
      </w:r>
      <w:bookmarkStart w:id="295" w:name="_Toc29559"/>
      <w:bookmarkStart w:id="296" w:name="_Toc11243"/>
      <w:bookmarkStart w:id="297" w:name="_Toc30624"/>
      <w:bookmarkStart w:id="298" w:name="_Toc10085"/>
      <w:bookmarkStart w:id="299" w:name="_Toc19964"/>
      <w:bookmarkStart w:id="300" w:name="_Toc15250"/>
      <w:r>
        <w:rPr>
          <w:rFonts w:hint="eastAsia" w:ascii="宋体" w:hAnsi="宋体" w:eastAsia="宋体" w:cs="宋体"/>
          <w:color w:val="auto"/>
          <w:sz w:val="28"/>
          <w:highlight w:val="none"/>
          <w:lang w:val="en-US" w:eastAsia="zh-CN"/>
        </w:rPr>
        <w:t>五</w:t>
      </w:r>
      <w:r>
        <w:rPr>
          <w:rFonts w:hint="eastAsia" w:ascii="宋体" w:hAnsi="宋体" w:eastAsia="宋体" w:cs="宋体"/>
          <w:color w:val="auto"/>
          <w:sz w:val="28"/>
          <w:highlight w:val="none"/>
        </w:rPr>
        <w:t>、</w:t>
      </w:r>
      <w:bookmarkEnd w:id="290"/>
      <w:bookmarkEnd w:id="291"/>
      <w:bookmarkEnd w:id="292"/>
      <w:bookmarkEnd w:id="293"/>
      <w:bookmarkEnd w:id="294"/>
      <w:bookmarkEnd w:id="295"/>
      <w:bookmarkEnd w:id="296"/>
      <w:r>
        <w:rPr>
          <w:rFonts w:hint="eastAsia" w:ascii="宋体" w:hAnsi="宋体" w:eastAsia="宋体" w:cs="宋体"/>
          <w:color w:val="auto"/>
          <w:sz w:val="28"/>
          <w:highlight w:val="none"/>
        </w:rPr>
        <w:t>报价人基本信息及其他材料</w:t>
      </w:r>
      <w:bookmarkEnd w:id="297"/>
      <w:bookmarkEnd w:id="298"/>
      <w:bookmarkEnd w:id="299"/>
      <w:bookmarkEnd w:id="300"/>
      <w:bookmarkStart w:id="301" w:name="_Toc513633974"/>
      <w:bookmarkStart w:id="302" w:name="_Toc503951058"/>
    </w:p>
    <w:p>
      <w:pPr>
        <w:pStyle w:val="6"/>
        <w:shd w:val="clear"/>
        <w:spacing w:before="0" w:after="0" w:line="360" w:lineRule="auto"/>
        <w:jc w:val="center"/>
        <w:rPr>
          <w:color w:val="auto"/>
          <w:sz w:val="28"/>
          <w:szCs w:val="28"/>
          <w:highlight w:val="none"/>
        </w:rPr>
      </w:pPr>
      <w:r>
        <w:rPr>
          <w:rFonts w:hint="eastAsia"/>
          <w:color w:val="auto"/>
          <w:sz w:val="28"/>
          <w:szCs w:val="28"/>
          <w:highlight w:val="none"/>
          <w:lang w:eastAsia="zh-CN"/>
        </w:rPr>
        <w:t>（</w:t>
      </w:r>
      <w:r>
        <w:rPr>
          <w:rFonts w:hint="eastAsia"/>
          <w:color w:val="auto"/>
          <w:sz w:val="28"/>
          <w:szCs w:val="28"/>
          <w:highlight w:val="none"/>
          <w:lang w:val="en-US" w:eastAsia="zh-CN"/>
        </w:rPr>
        <w:t>一</w:t>
      </w:r>
      <w:r>
        <w:rPr>
          <w:rFonts w:hint="eastAsia"/>
          <w:color w:val="auto"/>
          <w:sz w:val="28"/>
          <w:szCs w:val="28"/>
          <w:highlight w:val="none"/>
          <w:lang w:eastAsia="zh-CN"/>
        </w:rPr>
        <w:t>）</w:t>
      </w:r>
      <w:r>
        <w:rPr>
          <w:rFonts w:hint="eastAsia"/>
          <w:color w:val="auto"/>
          <w:sz w:val="28"/>
          <w:szCs w:val="28"/>
          <w:highlight w:val="none"/>
        </w:rPr>
        <w:t>报价人基本信息表</w:t>
      </w:r>
    </w:p>
    <w:p>
      <w:pPr>
        <w:pStyle w:val="27"/>
        <w:shd w:val="clear"/>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shd w:val="clear"/>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shd w:val="clea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shd w:val="clea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shd w:val="clear"/>
              <w:topLinePunct/>
              <w:spacing w:line="440" w:lineRule="exact"/>
              <w:jc w:val="center"/>
              <w:rPr>
                <w:rFonts w:ascii="宋体" w:hAnsi="宋体" w:cs="宋体"/>
                <w:color w:val="auto"/>
                <w:szCs w:val="21"/>
                <w:highlight w:val="none"/>
              </w:rPr>
            </w:pPr>
          </w:p>
        </w:tc>
      </w:tr>
    </w:tbl>
    <w:p>
      <w:pPr>
        <w:pStyle w:val="5"/>
        <w:shd w:val="clear"/>
        <w:spacing w:before="0" w:after="0" w:line="360" w:lineRule="auto"/>
        <w:jc w:val="center"/>
        <w:rPr>
          <w:rFonts w:hint="eastAsia" w:ascii="宋体" w:hAnsi="宋体" w:eastAsia="宋体" w:cs="宋体"/>
          <w:color w:val="auto"/>
          <w:sz w:val="28"/>
          <w:highlight w:val="none"/>
          <w:lang w:eastAsia="zh-CN"/>
        </w:rPr>
      </w:pPr>
      <w:r>
        <w:rPr>
          <w:rFonts w:hint="eastAsia" w:ascii="宋体" w:hAnsi="宋体" w:cs="宋体"/>
          <w:color w:val="auto"/>
          <w:sz w:val="28"/>
          <w:highlight w:val="none"/>
          <w:lang w:eastAsia="zh-CN"/>
        </w:rPr>
        <w:t>（</w:t>
      </w:r>
      <w:r>
        <w:rPr>
          <w:rFonts w:hint="eastAsia" w:ascii="宋体" w:hAnsi="宋体" w:cs="宋体"/>
          <w:color w:val="auto"/>
          <w:sz w:val="28"/>
          <w:highlight w:val="none"/>
          <w:lang w:val="en-US" w:eastAsia="zh-CN"/>
        </w:rPr>
        <w:t>二</w:t>
      </w:r>
      <w:r>
        <w:rPr>
          <w:rFonts w:hint="eastAsia" w:ascii="宋体" w:hAnsi="宋体" w:cs="宋体"/>
          <w:color w:val="auto"/>
          <w:sz w:val="28"/>
          <w:highlight w:val="none"/>
          <w:lang w:eastAsia="zh-CN"/>
        </w:rPr>
        <w:t>）</w:t>
      </w:r>
      <w:r>
        <w:rPr>
          <w:rFonts w:hint="eastAsia" w:ascii="宋体" w:hAnsi="宋体" w:cs="宋体"/>
          <w:color w:val="auto"/>
          <w:sz w:val="28"/>
          <w:highlight w:val="none"/>
          <w:lang w:val="en-US" w:eastAsia="zh-CN"/>
        </w:rPr>
        <w:t>其他材料</w:t>
      </w:r>
    </w:p>
    <w:p>
      <w:pPr>
        <w:pStyle w:val="29"/>
        <w:shd w:val="clear"/>
        <w:rPr>
          <w:rFonts w:hint="eastAsia"/>
          <w:color w:val="auto"/>
          <w:highlight w:val="none"/>
        </w:rPr>
      </w:pPr>
      <w:r>
        <w:rPr>
          <w:rFonts w:hint="eastAsia" w:ascii="宋体" w:hAnsi="宋体" w:cs="宋体"/>
          <w:color w:val="auto"/>
          <w:sz w:val="28"/>
          <w:highlight w:val="none"/>
        </w:rPr>
        <w:br w:type="page"/>
      </w:r>
      <w:bookmarkEnd w:id="301"/>
      <w:bookmarkEnd w:id="302"/>
    </w:p>
    <w:sectPr>
      <w:footerReference r:id="rId8" w:type="first"/>
      <w:footerReference r:id="rId7"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9701EA48-EC8C-4276-9EDE-4C0B6ECE22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E847E5"/>
    <w:rsid w:val="01FF31C9"/>
    <w:rsid w:val="02195A53"/>
    <w:rsid w:val="026E6155"/>
    <w:rsid w:val="029D41FE"/>
    <w:rsid w:val="02A14C7A"/>
    <w:rsid w:val="02A800C5"/>
    <w:rsid w:val="02C6499B"/>
    <w:rsid w:val="02C91CAA"/>
    <w:rsid w:val="0343188F"/>
    <w:rsid w:val="037D0CD2"/>
    <w:rsid w:val="038B3366"/>
    <w:rsid w:val="03981B5E"/>
    <w:rsid w:val="03996EAD"/>
    <w:rsid w:val="03C43707"/>
    <w:rsid w:val="03F60BFA"/>
    <w:rsid w:val="04023CC8"/>
    <w:rsid w:val="04114FD7"/>
    <w:rsid w:val="04226EB2"/>
    <w:rsid w:val="042674F4"/>
    <w:rsid w:val="042D3C13"/>
    <w:rsid w:val="04557501"/>
    <w:rsid w:val="04722D72"/>
    <w:rsid w:val="047A0BBC"/>
    <w:rsid w:val="047F655D"/>
    <w:rsid w:val="04BE3120"/>
    <w:rsid w:val="04C12ED8"/>
    <w:rsid w:val="04DC5749"/>
    <w:rsid w:val="04E26FED"/>
    <w:rsid w:val="04E41F94"/>
    <w:rsid w:val="04E71358"/>
    <w:rsid w:val="04FD6633"/>
    <w:rsid w:val="052A7682"/>
    <w:rsid w:val="052E2B3B"/>
    <w:rsid w:val="054416D2"/>
    <w:rsid w:val="05507F0F"/>
    <w:rsid w:val="055E6E53"/>
    <w:rsid w:val="05871A0A"/>
    <w:rsid w:val="05A42E7B"/>
    <w:rsid w:val="05A70EA9"/>
    <w:rsid w:val="05CA6079"/>
    <w:rsid w:val="05D55D36"/>
    <w:rsid w:val="060C2525"/>
    <w:rsid w:val="062756FD"/>
    <w:rsid w:val="065F7A31"/>
    <w:rsid w:val="06615ED8"/>
    <w:rsid w:val="067C53E7"/>
    <w:rsid w:val="067D0139"/>
    <w:rsid w:val="067F3525"/>
    <w:rsid w:val="06820F5E"/>
    <w:rsid w:val="069F2AC2"/>
    <w:rsid w:val="06AE2ABA"/>
    <w:rsid w:val="06C75DF5"/>
    <w:rsid w:val="06DD02BB"/>
    <w:rsid w:val="06E71F51"/>
    <w:rsid w:val="06F965AD"/>
    <w:rsid w:val="07050666"/>
    <w:rsid w:val="071C4DB7"/>
    <w:rsid w:val="0735457E"/>
    <w:rsid w:val="07362674"/>
    <w:rsid w:val="073B54B2"/>
    <w:rsid w:val="07537EF9"/>
    <w:rsid w:val="07686B6F"/>
    <w:rsid w:val="07815EE7"/>
    <w:rsid w:val="07BA63F1"/>
    <w:rsid w:val="081748AE"/>
    <w:rsid w:val="08635851"/>
    <w:rsid w:val="0879136E"/>
    <w:rsid w:val="08C2359B"/>
    <w:rsid w:val="08E91129"/>
    <w:rsid w:val="09041814"/>
    <w:rsid w:val="0910197C"/>
    <w:rsid w:val="092D7BDC"/>
    <w:rsid w:val="09332D2B"/>
    <w:rsid w:val="093E2D64"/>
    <w:rsid w:val="09472203"/>
    <w:rsid w:val="098B1DA7"/>
    <w:rsid w:val="09907951"/>
    <w:rsid w:val="099F43E4"/>
    <w:rsid w:val="09A31A61"/>
    <w:rsid w:val="09BA7A85"/>
    <w:rsid w:val="09D31161"/>
    <w:rsid w:val="09D83A6D"/>
    <w:rsid w:val="09DE1094"/>
    <w:rsid w:val="09E2475B"/>
    <w:rsid w:val="0A100F2D"/>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112E71"/>
    <w:rsid w:val="0C1E7DBD"/>
    <w:rsid w:val="0C22464A"/>
    <w:rsid w:val="0C2B72AE"/>
    <w:rsid w:val="0C623EAC"/>
    <w:rsid w:val="0C9241DD"/>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728F3"/>
    <w:rsid w:val="0EFB3F5D"/>
    <w:rsid w:val="0EFE3186"/>
    <w:rsid w:val="0F041CC7"/>
    <w:rsid w:val="0F042317"/>
    <w:rsid w:val="0F1209F8"/>
    <w:rsid w:val="0F4C19DA"/>
    <w:rsid w:val="0F4C7D05"/>
    <w:rsid w:val="0F4F31AF"/>
    <w:rsid w:val="0F5F17BD"/>
    <w:rsid w:val="0F90531D"/>
    <w:rsid w:val="0FAD64B5"/>
    <w:rsid w:val="0FB21FD4"/>
    <w:rsid w:val="0FB8461F"/>
    <w:rsid w:val="0FFF5930"/>
    <w:rsid w:val="10033834"/>
    <w:rsid w:val="105F05EB"/>
    <w:rsid w:val="10634C16"/>
    <w:rsid w:val="10981559"/>
    <w:rsid w:val="10A265EF"/>
    <w:rsid w:val="10DC09D3"/>
    <w:rsid w:val="10EC4A0F"/>
    <w:rsid w:val="11156FC6"/>
    <w:rsid w:val="11485B0D"/>
    <w:rsid w:val="114C7209"/>
    <w:rsid w:val="1154158B"/>
    <w:rsid w:val="117076B2"/>
    <w:rsid w:val="11842025"/>
    <w:rsid w:val="118865E2"/>
    <w:rsid w:val="119E6579"/>
    <w:rsid w:val="11D435DD"/>
    <w:rsid w:val="11DA3C43"/>
    <w:rsid w:val="121360EF"/>
    <w:rsid w:val="1220326C"/>
    <w:rsid w:val="123A67B6"/>
    <w:rsid w:val="123B7AF5"/>
    <w:rsid w:val="125670E6"/>
    <w:rsid w:val="125E1A9C"/>
    <w:rsid w:val="126D6927"/>
    <w:rsid w:val="1276289F"/>
    <w:rsid w:val="1288522D"/>
    <w:rsid w:val="1288550F"/>
    <w:rsid w:val="129D6A95"/>
    <w:rsid w:val="12AF4046"/>
    <w:rsid w:val="12C37784"/>
    <w:rsid w:val="12CE506D"/>
    <w:rsid w:val="12F65490"/>
    <w:rsid w:val="12F73D2A"/>
    <w:rsid w:val="12F9698E"/>
    <w:rsid w:val="130311F1"/>
    <w:rsid w:val="13112273"/>
    <w:rsid w:val="131C7C5D"/>
    <w:rsid w:val="13511DF6"/>
    <w:rsid w:val="138B4634"/>
    <w:rsid w:val="138F1214"/>
    <w:rsid w:val="13BF412F"/>
    <w:rsid w:val="13D101C7"/>
    <w:rsid w:val="1400440E"/>
    <w:rsid w:val="141445CA"/>
    <w:rsid w:val="142669A3"/>
    <w:rsid w:val="143805F9"/>
    <w:rsid w:val="14446C04"/>
    <w:rsid w:val="144729D8"/>
    <w:rsid w:val="147572D6"/>
    <w:rsid w:val="148E78CB"/>
    <w:rsid w:val="149F4D92"/>
    <w:rsid w:val="14A13E6D"/>
    <w:rsid w:val="14AB614D"/>
    <w:rsid w:val="14B96C2B"/>
    <w:rsid w:val="14E911D9"/>
    <w:rsid w:val="14FC7061"/>
    <w:rsid w:val="15436E45"/>
    <w:rsid w:val="15507C7E"/>
    <w:rsid w:val="15664AEF"/>
    <w:rsid w:val="158E23E1"/>
    <w:rsid w:val="159D7EA6"/>
    <w:rsid w:val="159F1BF9"/>
    <w:rsid w:val="15A25A36"/>
    <w:rsid w:val="15B71B1D"/>
    <w:rsid w:val="15E63361"/>
    <w:rsid w:val="160B0227"/>
    <w:rsid w:val="162D644C"/>
    <w:rsid w:val="16532C2E"/>
    <w:rsid w:val="16585909"/>
    <w:rsid w:val="16864176"/>
    <w:rsid w:val="16E04880"/>
    <w:rsid w:val="16F86032"/>
    <w:rsid w:val="17081A7A"/>
    <w:rsid w:val="17147661"/>
    <w:rsid w:val="17292C0C"/>
    <w:rsid w:val="176F50FE"/>
    <w:rsid w:val="17D10049"/>
    <w:rsid w:val="17DD0B49"/>
    <w:rsid w:val="17F1563C"/>
    <w:rsid w:val="17F23C73"/>
    <w:rsid w:val="180F3B80"/>
    <w:rsid w:val="181B1411"/>
    <w:rsid w:val="181C1400"/>
    <w:rsid w:val="18223BBF"/>
    <w:rsid w:val="18310248"/>
    <w:rsid w:val="18406E44"/>
    <w:rsid w:val="185B395E"/>
    <w:rsid w:val="185C1918"/>
    <w:rsid w:val="185F6723"/>
    <w:rsid w:val="1880349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25DA"/>
    <w:rsid w:val="1A704DC9"/>
    <w:rsid w:val="1AEA13C7"/>
    <w:rsid w:val="1AF13750"/>
    <w:rsid w:val="1AF45443"/>
    <w:rsid w:val="1B075A0C"/>
    <w:rsid w:val="1B621C93"/>
    <w:rsid w:val="1B67066F"/>
    <w:rsid w:val="1B7229E4"/>
    <w:rsid w:val="1B7549F6"/>
    <w:rsid w:val="1B7A5EC7"/>
    <w:rsid w:val="1B8E5EC0"/>
    <w:rsid w:val="1BB90E2F"/>
    <w:rsid w:val="1C127CD4"/>
    <w:rsid w:val="1C54737D"/>
    <w:rsid w:val="1C6D5910"/>
    <w:rsid w:val="1C776E36"/>
    <w:rsid w:val="1CB33990"/>
    <w:rsid w:val="1CD326F1"/>
    <w:rsid w:val="1CF6260F"/>
    <w:rsid w:val="1CF83AEA"/>
    <w:rsid w:val="1CF911FC"/>
    <w:rsid w:val="1D291FA4"/>
    <w:rsid w:val="1D6914D5"/>
    <w:rsid w:val="1D7C7A22"/>
    <w:rsid w:val="1D7E09CF"/>
    <w:rsid w:val="1D9F1A69"/>
    <w:rsid w:val="1DA949C5"/>
    <w:rsid w:val="1DB64010"/>
    <w:rsid w:val="1DE41480"/>
    <w:rsid w:val="1DF77DC1"/>
    <w:rsid w:val="1DFE7D4B"/>
    <w:rsid w:val="1E2139B7"/>
    <w:rsid w:val="1E4364C2"/>
    <w:rsid w:val="1E490AF9"/>
    <w:rsid w:val="1E644990"/>
    <w:rsid w:val="1E7A14A8"/>
    <w:rsid w:val="1E7F32B0"/>
    <w:rsid w:val="1EB76C5D"/>
    <w:rsid w:val="1EBA058B"/>
    <w:rsid w:val="1EBB622E"/>
    <w:rsid w:val="1EEA13A6"/>
    <w:rsid w:val="1EFE64E9"/>
    <w:rsid w:val="1F59624F"/>
    <w:rsid w:val="1F6207D0"/>
    <w:rsid w:val="1FD02D82"/>
    <w:rsid w:val="1FE1627D"/>
    <w:rsid w:val="1FEA603B"/>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E1180E"/>
    <w:rsid w:val="20E93F65"/>
    <w:rsid w:val="20EA6084"/>
    <w:rsid w:val="20F01139"/>
    <w:rsid w:val="20F1461D"/>
    <w:rsid w:val="210C684B"/>
    <w:rsid w:val="212B522B"/>
    <w:rsid w:val="21593573"/>
    <w:rsid w:val="21661C41"/>
    <w:rsid w:val="21736537"/>
    <w:rsid w:val="21977807"/>
    <w:rsid w:val="219A6D4B"/>
    <w:rsid w:val="219B0F11"/>
    <w:rsid w:val="21C2735E"/>
    <w:rsid w:val="21E12EE9"/>
    <w:rsid w:val="21E57FA3"/>
    <w:rsid w:val="21FB5A74"/>
    <w:rsid w:val="22334040"/>
    <w:rsid w:val="22614853"/>
    <w:rsid w:val="226827C0"/>
    <w:rsid w:val="227C6EFF"/>
    <w:rsid w:val="22942795"/>
    <w:rsid w:val="22985136"/>
    <w:rsid w:val="22A10D06"/>
    <w:rsid w:val="22B665A5"/>
    <w:rsid w:val="22C63A72"/>
    <w:rsid w:val="22C925E0"/>
    <w:rsid w:val="22E46F4A"/>
    <w:rsid w:val="22F20159"/>
    <w:rsid w:val="23005537"/>
    <w:rsid w:val="23103EFD"/>
    <w:rsid w:val="231C75B9"/>
    <w:rsid w:val="233C2C53"/>
    <w:rsid w:val="23486890"/>
    <w:rsid w:val="236F1F61"/>
    <w:rsid w:val="23AB4CDF"/>
    <w:rsid w:val="23C37A75"/>
    <w:rsid w:val="23FD2236"/>
    <w:rsid w:val="24127E3E"/>
    <w:rsid w:val="24220F3E"/>
    <w:rsid w:val="2423604B"/>
    <w:rsid w:val="242565A4"/>
    <w:rsid w:val="243A3F7E"/>
    <w:rsid w:val="24436391"/>
    <w:rsid w:val="2450121E"/>
    <w:rsid w:val="2487622C"/>
    <w:rsid w:val="24973094"/>
    <w:rsid w:val="24A42016"/>
    <w:rsid w:val="24A76F10"/>
    <w:rsid w:val="24AD6D9A"/>
    <w:rsid w:val="24D3085A"/>
    <w:rsid w:val="24DD793C"/>
    <w:rsid w:val="251418FC"/>
    <w:rsid w:val="254A3495"/>
    <w:rsid w:val="25776809"/>
    <w:rsid w:val="259F294D"/>
    <w:rsid w:val="25A845B3"/>
    <w:rsid w:val="25DA3E7C"/>
    <w:rsid w:val="25E66CC5"/>
    <w:rsid w:val="25EB71B7"/>
    <w:rsid w:val="26154215"/>
    <w:rsid w:val="261A0BE6"/>
    <w:rsid w:val="26311E5C"/>
    <w:rsid w:val="263C7691"/>
    <w:rsid w:val="265E2776"/>
    <w:rsid w:val="26666FDC"/>
    <w:rsid w:val="268153A1"/>
    <w:rsid w:val="269D2467"/>
    <w:rsid w:val="26AB763C"/>
    <w:rsid w:val="26B267E7"/>
    <w:rsid w:val="26F131DC"/>
    <w:rsid w:val="26F65310"/>
    <w:rsid w:val="27052D05"/>
    <w:rsid w:val="27082804"/>
    <w:rsid w:val="270832AE"/>
    <w:rsid w:val="271946AD"/>
    <w:rsid w:val="27357F9F"/>
    <w:rsid w:val="279623B0"/>
    <w:rsid w:val="27A4553F"/>
    <w:rsid w:val="27B07189"/>
    <w:rsid w:val="27D35135"/>
    <w:rsid w:val="27DF283E"/>
    <w:rsid w:val="27EF069B"/>
    <w:rsid w:val="27EF1935"/>
    <w:rsid w:val="27FA08F6"/>
    <w:rsid w:val="2801540B"/>
    <w:rsid w:val="280A1B75"/>
    <w:rsid w:val="28206C63"/>
    <w:rsid w:val="283962F8"/>
    <w:rsid w:val="287A36F4"/>
    <w:rsid w:val="288458E7"/>
    <w:rsid w:val="28A33A20"/>
    <w:rsid w:val="28A47F17"/>
    <w:rsid w:val="28AA3EC8"/>
    <w:rsid w:val="28BF00E8"/>
    <w:rsid w:val="28C1211B"/>
    <w:rsid w:val="290212C1"/>
    <w:rsid w:val="290D5ED8"/>
    <w:rsid w:val="294F2F3E"/>
    <w:rsid w:val="29656DCE"/>
    <w:rsid w:val="298B4B23"/>
    <w:rsid w:val="29915199"/>
    <w:rsid w:val="29980385"/>
    <w:rsid w:val="29B71FDB"/>
    <w:rsid w:val="29CF18DD"/>
    <w:rsid w:val="29D273F6"/>
    <w:rsid w:val="29D65D23"/>
    <w:rsid w:val="29D875FE"/>
    <w:rsid w:val="2A00655D"/>
    <w:rsid w:val="2A194E5D"/>
    <w:rsid w:val="2A21554B"/>
    <w:rsid w:val="2A3C5F83"/>
    <w:rsid w:val="2A594BC2"/>
    <w:rsid w:val="2A9F7561"/>
    <w:rsid w:val="2AA90FA0"/>
    <w:rsid w:val="2AAE38A4"/>
    <w:rsid w:val="2AB31CE2"/>
    <w:rsid w:val="2AB55266"/>
    <w:rsid w:val="2B347A72"/>
    <w:rsid w:val="2B487382"/>
    <w:rsid w:val="2B552F60"/>
    <w:rsid w:val="2B7841A6"/>
    <w:rsid w:val="2B885195"/>
    <w:rsid w:val="2BB367B9"/>
    <w:rsid w:val="2C13380B"/>
    <w:rsid w:val="2C184D47"/>
    <w:rsid w:val="2C796A89"/>
    <w:rsid w:val="2C7C0AB6"/>
    <w:rsid w:val="2CBD3A96"/>
    <w:rsid w:val="2CC74339"/>
    <w:rsid w:val="2CCC23F7"/>
    <w:rsid w:val="2CCE1414"/>
    <w:rsid w:val="2CF93ABF"/>
    <w:rsid w:val="2D1E27A3"/>
    <w:rsid w:val="2D394FF5"/>
    <w:rsid w:val="2D4C56CF"/>
    <w:rsid w:val="2D766528"/>
    <w:rsid w:val="2DED7BE2"/>
    <w:rsid w:val="2E230605"/>
    <w:rsid w:val="2E30169A"/>
    <w:rsid w:val="2E310CE0"/>
    <w:rsid w:val="2E6A704D"/>
    <w:rsid w:val="2E8A6255"/>
    <w:rsid w:val="2E99606A"/>
    <w:rsid w:val="2EAC5A26"/>
    <w:rsid w:val="2F0B1048"/>
    <w:rsid w:val="2F0E7D4A"/>
    <w:rsid w:val="2F141AAA"/>
    <w:rsid w:val="2FCA4353"/>
    <w:rsid w:val="2FE55D75"/>
    <w:rsid w:val="2FF17BCE"/>
    <w:rsid w:val="2FF23F99"/>
    <w:rsid w:val="30236367"/>
    <w:rsid w:val="30331BC6"/>
    <w:rsid w:val="303E7E03"/>
    <w:rsid w:val="304A182B"/>
    <w:rsid w:val="307003A6"/>
    <w:rsid w:val="30700C52"/>
    <w:rsid w:val="30757C00"/>
    <w:rsid w:val="307D5D65"/>
    <w:rsid w:val="30B34CE3"/>
    <w:rsid w:val="30CB1C83"/>
    <w:rsid w:val="30ED2830"/>
    <w:rsid w:val="316B2857"/>
    <w:rsid w:val="31832D29"/>
    <w:rsid w:val="319D5339"/>
    <w:rsid w:val="319F2F47"/>
    <w:rsid w:val="31CE4181"/>
    <w:rsid w:val="31D20CDE"/>
    <w:rsid w:val="31E60B34"/>
    <w:rsid w:val="31F37E23"/>
    <w:rsid w:val="31FE689A"/>
    <w:rsid w:val="32223DC6"/>
    <w:rsid w:val="325A02A1"/>
    <w:rsid w:val="327668F9"/>
    <w:rsid w:val="329032EF"/>
    <w:rsid w:val="329970EF"/>
    <w:rsid w:val="32B35AAA"/>
    <w:rsid w:val="33135210"/>
    <w:rsid w:val="3326373F"/>
    <w:rsid w:val="333D1567"/>
    <w:rsid w:val="334459AC"/>
    <w:rsid w:val="33705A64"/>
    <w:rsid w:val="33A055AF"/>
    <w:rsid w:val="33A51E80"/>
    <w:rsid w:val="33EE589E"/>
    <w:rsid w:val="33FD7097"/>
    <w:rsid w:val="340329A9"/>
    <w:rsid w:val="34113C0A"/>
    <w:rsid w:val="341838FD"/>
    <w:rsid w:val="342645AD"/>
    <w:rsid w:val="342B057B"/>
    <w:rsid w:val="34335C8F"/>
    <w:rsid w:val="34601B2A"/>
    <w:rsid w:val="34617CD8"/>
    <w:rsid w:val="34753860"/>
    <w:rsid w:val="34A61339"/>
    <w:rsid w:val="34AE3A24"/>
    <w:rsid w:val="34CC3006"/>
    <w:rsid w:val="34F11083"/>
    <w:rsid w:val="34F3793E"/>
    <w:rsid w:val="351C1918"/>
    <w:rsid w:val="35574E9C"/>
    <w:rsid w:val="35605BF1"/>
    <w:rsid w:val="35644FDB"/>
    <w:rsid w:val="35697F42"/>
    <w:rsid w:val="356A0417"/>
    <w:rsid w:val="35712E34"/>
    <w:rsid w:val="35E56B2B"/>
    <w:rsid w:val="35ED793B"/>
    <w:rsid w:val="35F84740"/>
    <w:rsid w:val="36383125"/>
    <w:rsid w:val="366C082D"/>
    <w:rsid w:val="368C388A"/>
    <w:rsid w:val="36C90DD1"/>
    <w:rsid w:val="36E669DD"/>
    <w:rsid w:val="36EB0E1B"/>
    <w:rsid w:val="36EE2207"/>
    <w:rsid w:val="374634AB"/>
    <w:rsid w:val="37704489"/>
    <w:rsid w:val="37710026"/>
    <w:rsid w:val="37847EBF"/>
    <w:rsid w:val="37925427"/>
    <w:rsid w:val="37A55DCC"/>
    <w:rsid w:val="37B27642"/>
    <w:rsid w:val="37CA04FF"/>
    <w:rsid w:val="37D30771"/>
    <w:rsid w:val="37EC0BB8"/>
    <w:rsid w:val="38A569B7"/>
    <w:rsid w:val="38AE3B6E"/>
    <w:rsid w:val="38F70143"/>
    <w:rsid w:val="394C68A5"/>
    <w:rsid w:val="394F0825"/>
    <w:rsid w:val="395E479A"/>
    <w:rsid w:val="39675804"/>
    <w:rsid w:val="398377B4"/>
    <w:rsid w:val="39A36C2D"/>
    <w:rsid w:val="39AA29B9"/>
    <w:rsid w:val="39AA6DB1"/>
    <w:rsid w:val="39E71AEC"/>
    <w:rsid w:val="39F60058"/>
    <w:rsid w:val="3A104089"/>
    <w:rsid w:val="3A8217DE"/>
    <w:rsid w:val="3A822B01"/>
    <w:rsid w:val="3A8B1791"/>
    <w:rsid w:val="3AB8426E"/>
    <w:rsid w:val="3ACF765C"/>
    <w:rsid w:val="3AD278CD"/>
    <w:rsid w:val="3AD841A2"/>
    <w:rsid w:val="3AFA4BE5"/>
    <w:rsid w:val="3B2A44B8"/>
    <w:rsid w:val="3B2B6476"/>
    <w:rsid w:val="3B620744"/>
    <w:rsid w:val="3B64220D"/>
    <w:rsid w:val="3BBC038E"/>
    <w:rsid w:val="3BC46920"/>
    <w:rsid w:val="3BFE3F02"/>
    <w:rsid w:val="3C2972FD"/>
    <w:rsid w:val="3C5B4444"/>
    <w:rsid w:val="3C852047"/>
    <w:rsid w:val="3C9A3F1A"/>
    <w:rsid w:val="3CA13116"/>
    <w:rsid w:val="3CA925AE"/>
    <w:rsid w:val="3CF877AB"/>
    <w:rsid w:val="3D2B24EF"/>
    <w:rsid w:val="3D306CB2"/>
    <w:rsid w:val="3D32729D"/>
    <w:rsid w:val="3D485E54"/>
    <w:rsid w:val="3D667959"/>
    <w:rsid w:val="3D8230F2"/>
    <w:rsid w:val="3D886E2C"/>
    <w:rsid w:val="3DAA5519"/>
    <w:rsid w:val="3DC413E8"/>
    <w:rsid w:val="3DCA34BB"/>
    <w:rsid w:val="3DD83D60"/>
    <w:rsid w:val="3E044CAE"/>
    <w:rsid w:val="3E12201C"/>
    <w:rsid w:val="3E244EE5"/>
    <w:rsid w:val="3E3913D7"/>
    <w:rsid w:val="3E427218"/>
    <w:rsid w:val="3E7E6AF2"/>
    <w:rsid w:val="3E947004"/>
    <w:rsid w:val="3EA72ABE"/>
    <w:rsid w:val="3EA96969"/>
    <w:rsid w:val="3EAD4174"/>
    <w:rsid w:val="3EAD7F9C"/>
    <w:rsid w:val="3EB32892"/>
    <w:rsid w:val="3EBC3336"/>
    <w:rsid w:val="3ED37070"/>
    <w:rsid w:val="3EDE79C6"/>
    <w:rsid w:val="3EF65530"/>
    <w:rsid w:val="3F064AE9"/>
    <w:rsid w:val="3F3B0C43"/>
    <w:rsid w:val="3F3E7B79"/>
    <w:rsid w:val="3F4C62B0"/>
    <w:rsid w:val="3F7279F0"/>
    <w:rsid w:val="3F8F0AF3"/>
    <w:rsid w:val="3F9717D1"/>
    <w:rsid w:val="3FB2485B"/>
    <w:rsid w:val="400D176C"/>
    <w:rsid w:val="402A34B8"/>
    <w:rsid w:val="40360CD1"/>
    <w:rsid w:val="40361D66"/>
    <w:rsid w:val="406060C3"/>
    <w:rsid w:val="40613E30"/>
    <w:rsid w:val="40736573"/>
    <w:rsid w:val="407D7357"/>
    <w:rsid w:val="409B4A07"/>
    <w:rsid w:val="40BF6E39"/>
    <w:rsid w:val="40C25B7F"/>
    <w:rsid w:val="40D73BA8"/>
    <w:rsid w:val="40DE1D45"/>
    <w:rsid w:val="40F6517C"/>
    <w:rsid w:val="40F66678"/>
    <w:rsid w:val="410E1C56"/>
    <w:rsid w:val="4120577A"/>
    <w:rsid w:val="41485875"/>
    <w:rsid w:val="415624BA"/>
    <w:rsid w:val="416C142E"/>
    <w:rsid w:val="417C08A3"/>
    <w:rsid w:val="418238EE"/>
    <w:rsid w:val="41B93320"/>
    <w:rsid w:val="41FD121E"/>
    <w:rsid w:val="421A7627"/>
    <w:rsid w:val="4233112B"/>
    <w:rsid w:val="42401E98"/>
    <w:rsid w:val="42811338"/>
    <w:rsid w:val="42872311"/>
    <w:rsid w:val="428B5762"/>
    <w:rsid w:val="42A4583D"/>
    <w:rsid w:val="42D47C2B"/>
    <w:rsid w:val="42DA32B5"/>
    <w:rsid w:val="42E32F98"/>
    <w:rsid w:val="433543AC"/>
    <w:rsid w:val="43420FE8"/>
    <w:rsid w:val="434513F0"/>
    <w:rsid w:val="43702851"/>
    <w:rsid w:val="438003D7"/>
    <w:rsid w:val="438254A7"/>
    <w:rsid w:val="43C964C9"/>
    <w:rsid w:val="43CA4F48"/>
    <w:rsid w:val="43D971F8"/>
    <w:rsid w:val="4424604A"/>
    <w:rsid w:val="442967DE"/>
    <w:rsid w:val="445014AB"/>
    <w:rsid w:val="44611A27"/>
    <w:rsid w:val="44722751"/>
    <w:rsid w:val="44CE660D"/>
    <w:rsid w:val="44E5468B"/>
    <w:rsid w:val="454F0B76"/>
    <w:rsid w:val="45795008"/>
    <w:rsid w:val="4579514B"/>
    <w:rsid w:val="457E2BBE"/>
    <w:rsid w:val="457F72E8"/>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660E9"/>
    <w:rsid w:val="46BE1A6C"/>
    <w:rsid w:val="46BE6647"/>
    <w:rsid w:val="46EE3897"/>
    <w:rsid w:val="471B3499"/>
    <w:rsid w:val="4721080E"/>
    <w:rsid w:val="4730142A"/>
    <w:rsid w:val="478E4BD2"/>
    <w:rsid w:val="47B512A0"/>
    <w:rsid w:val="47BA4C42"/>
    <w:rsid w:val="47D70B8B"/>
    <w:rsid w:val="47DD756D"/>
    <w:rsid w:val="47EB55C4"/>
    <w:rsid w:val="48037A8A"/>
    <w:rsid w:val="482C50CD"/>
    <w:rsid w:val="48377D23"/>
    <w:rsid w:val="484023B4"/>
    <w:rsid w:val="484D0E76"/>
    <w:rsid w:val="486634EE"/>
    <w:rsid w:val="48807890"/>
    <w:rsid w:val="48A57DFD"/>
    <w:rsid w:val="48A64B98"/>
    <w:rsid w:val="48BC156D"/>
    <w:rsid w:val="48D93D7E"/>
    <w:rsid w:val="48F765BE"/>
    <w:rsid w:val="48F801E9"/>
    <w:rsid w:val="490445F2"/>
    <w:rsid w:val="49320F23"/>
    <w:rsid w:val="495D72B2"/>
    <w:rsid w:val="49AF5757"/>
    <w:rsid w:val="49B753C7"/>
    <w:rsid w:val="49DD73AE"/>
    <w:rsid w:val="49F95BD6"/>
    <w:rsid w:val="49FA6E23"/>
    <w:rsid w:val="4A7A7858"/>
    <w:rsid w:val="4AA73240"/>
    <w:rsid w:val="4AB72272"/>
    <w:rsid w:val="4AD703A4"/>
    <w:rsid w:val="4B0D56B0"/>
    <w:rsid w:val="4B305E1B"/>
    <w:rsid w:val="4B471718"/>
    <w:rsid w:val="4B663FE5"/>
    <w:rsid w:val="4B7F5343"/>
    <w:rsid w:val="4BB92D8E"/>
    <w:rsid w:val="4BD07B58"/>
    <w:rsid w:val="4BE87BA5"/>
    <w:rsid w:val="4C3176AB"/>
    <w:rsid w:val="4C415DC1"/>
    <w:rsid w:val="4C48137E"/>
    <w:rsid w:val="4C52192A"/>
    <w:rsid w:val="4C6E278E"/>
    <w:rsid w:val="4CAA39A1"/>
    <w:rsid w:val="4CFF538B"/>
    <w:rsid w:val="4D405340"/>
    <w:rsid w:val="4D450975"/>
    <w:rsid w:val="4D4D7800"/>
    <w:rsid w:val="4D7251FF"/>
    <w:rsid w:val="4DA16835"/>
    <w:rsid w:val="4DDC79D2"/>
    <w:rsid w:val="4DE50C0B"/>
    <w:rsid w:val="4E11105D"/>
    <w:rsid w:val="4E16225A"/>
    <w:rsid w:val="4E204940"/>
    <w:rsid w:val="4E253AB8"/>
    <w:rsid w:val="4E472C92"/>
    <w:rsid w:val="4E4A131D"/>
    <w:rsid w:val="4E824D97"/>
    <w:rsid w:val="4E9D5C2D"/>
    <w:rsid w:val="4EBA57C1"/>
    <w:rsid w:val="4F047E0A"/>
    <w:rsid w:val="4F133DD7"/>
    <w:rsid w:val="4F2A57CF"/>
    <w:rsid w:val="4F477F24"/>
    <w:rsid w:val="4F923BD2"/>
    <w:rsid w:val="4FA91AAC"/>
    <w:rsid w:val="4FBD0FF5"/>
    <w:rsid w:val="4FC854D7"/>
    <w:rsid w:val="50142DE1"/>
    <w:rsid w:val="5015687B"/>
    <w:rsid w:val="501926CA"/>
    <w:rsid w:val="503109FF"/>
    <w:rsid w:val="505E3D68"/>
    <w:rsid w:val="50D13748"/>
    <w:rsid w:val="512C07D1"/>
    <w:rsid w:val="516A440A"/>
    <w:rsid w:val="51BA5A6F"/>
    <w:rsid w:val="51C42E16"/>
    <w:rsid w:val="51D412F6"/>
    <w:rsid w:val="525351F4"/>
    <w:rsid w:val="525A6FBC"/>
    <w:rsid w:val="526C0997"/>
    <w:rsid w:val="52707792"/>
    <w:rsid w:val="52855A65"/>
    <w:rsid w:val="52A03358"/>
    <w:rsid w:val="53311AB3"/>
    <w:rsid w:val="53317F44"/>
    <w:rsid w:val="533D33D1"/>
    <w:rsid w:val="534907F0"/>
    <w:rsid w:val="53511F1B"/>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DE0134"/>
    <w:rsid w:val="54E1262F"/>
    <w:rsid w:val="550246E3"/>
    <w:rsid w:val="551D7BF3"/>
    <w:rsid w:val="553C46BA"/>
    <w:rsid w:val="55494082"/>
    <w:rsid w:val="557D5B60"/>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807D4"/>
    <w:rsid w:val="57EA7969"/>
    <w:rsid w:val="57F740F4"/>
    <w:rsid w:val="57FA3D86"/>
    <w:rsid w:val="58131D55"/>
    <w:rsid w:val="58366D88"/>
    <w:rsid w:val="583B61DC"/>
    <w:rsid w:val="58626B84"/>
    <w:rsid w:val="58750691"/>
    <w:rsid w:val="58AB575D"/>
    <w:rsid w:val="58BC728D"/>
    <w:rsid w:val="58DD0763"/>
    <w:rsid w:val="591F0ED8"/>
    <w:rsid w:val="59364F97"/>
    <w:rsid w:val="59445F91"/>
    <w:rsid w:val="59815208"/>
    <w:rsid w:val="59F001A4"/>
    <w:rsid w:val="5A0315C2"/>
    <w:rsid w:val="5A0F3CCD"/>
    <w:rsid w:val="5A1E2DE7"/>
    <w:rsid w:val="5A20427A"/>
    <w:rsid w:val="5A395FB6"/>
    <w:rsid w:val="5A436A2D"/>
    <w:rsid w:val="5A7229EA"/>
    <w:rsid w:val="5A8A38B2"/>
    <w:rsid w:val="5B0A066E"/>
    <w:rsid w:val="5B123FA7"/>
    <w:rsid w:val="5B2335F4"/>
    <w:rsid w:val="5B5E18A4"/>
    <w:rsid w:val="5B613C0E"/>
    <w:rsid w:val="5B955E96"/>
    <w:rsid w:val="5B9B3675"/>
    <w:rsid w:val="5BA26571"/>
    <w:rsid w:val="5BCA6564"/>
    <w:rsid w:val="5BD66D67"/>
    <w:rsid w:val="5C107D40"/>
    <w:rsid w:val="5C1E3775"/>
    <w:rsid w:val="5C381264"/>
    <w:rsid w:val="5C4D1947"/>
    <w:rsid w:val="5C516D01"/>
    <w:rsid w:val="5C5F4C5A"/>
    <w:rsid w:val="5C666A3C"/>
    <w:rsid w:val="5C672644"/>
    <w:rsid w:val="5C8132C7"/>
    <w:rsid w:val="5CA23A25"/>
    <w:rsid w:val="5CC26330"/>
    <w:rsid w:val="5CD67F41"/>
    <w:rsid w:val="5CDF760E"/>
    <w:rsid w:val="5D017C51"/>
    <w:rsid w:val="5D4165A3"/>
    <w:rsid w:val="5D463591"/>
    <w:rsid w:val="5D4F2A78"/>
    <w:rsid w:val="5D792AE4"/>
    <w:rsid w:val="5D804F27"/>
    <w:rsid w:val="5D861A18"/>
    <w:rsid w:val="5D897BA9"/>
    <w:rsid w:val="5D972330"/>
    <w:rsid w:val="5DC25C67"/>
    <w:rsid w:val="5DCA795F"/>
    <w:rsid w:val="5DD97571"/>
    <w:rsid w:val="5E0A643D"/>
    <w:rsid w:val="5E1C73BD"/>
    <w:rsid w:val="5E2F58D3"/>
    <w:rsid w:val="5E5A06FD"/>
    <w:rsid w:val="5E9342EC"/>
    <w:rsid w:val="5EA27CF7"/>
    <w:rsid w:val="5EBC3C1E"/>
    <w:rsid w:val="5EC80351"/>
    <w:rsid w:val="5F3815EE"/>
    <w:rsid w:val="5F5C32D6"/>
    <w:rsid w:val="5FB10E83"/>
    <w:rsid w:val="5FE45AFE"/>
    <w:rsid w:val="600E788A"/>
    <w:rsid w:val="60182CB2"/>
    <w:rsid w:val="604130CF"/>
    <w:rsid w:val="60663C94"/>
    <w:rsid w:val="60794FD4"/>
    <w:rsid w:val="60814FEF"/>
    <w:rsid w:val="60AE4E89"/>
    <w:rsid w:val="60D32F5A"/>
    <w:rsid w:val="60E973AF"/>
    <w:rsid w:val="610C47AA"/>
    <w:rsid w:val="610E2B4C"/>
    <w:rsid w:val="61652467"/>
    <w:rsid w:val="61862140"/>
    <w:rsid w:val="619776D4"/>
    <w:rsid w:val="619945D7"/>
    <w:rsid w:val="61C24BFD"/>
    <w:rsid w:val="61DE43D4"/>
    <w:rsid w:val="61E06967"/>
    <w:rsid w:val="61ED083B"/>
    <w:rsid w:val="624216A0"/>
    <w:rsid w:val="626343A0"/>
    <w:rsid w:val="626736F9"/>
    <w:rsid w:val="626B4082"/>
    <w:rsid w:val="626B6B00"/>
    <w:rsid w:val="627C555A"/>
    <w:rsid w:val="628E1BE9"/>
    <w:rsid w:val="62D06FF9"/>
    <w:rsid w:val="62D765EB"/>
    <w:rsid w:val="631D301E"/>
    <w:rsid w:val="63293243"/>
    <w:rsid w:val="636B22CC"/>
    <w:rsid w:val="636C198B"/>
    <w:rsid w:val="63B65AC7"/>
    <w:rsid w:val="63C713E9"/>
    <w:rsid w:val="63C82E3E"/>
    <w:rsid w:val="63D62198"/>
    <w:rsid w:val="63D7428B"/>
    <w:rsid w:val="63DA6A02"/>
    <w:rsid w:val="63E92F01"/>
    <w:rsid w:val="63F71F71"/>
    <w:rsid w:val="640C4C0D"/>
    <w:rsid w:val="643B5584"/>
    <w:rsid w:val="64406FC4"/>
    <w:rsid w:val="645830D7"/>
    <w:rsid w:val="64675414"/>
    <w:rsid w:val="646C6DE3"/>
    <w:rsid w:val="647258C3"/>
    <w:rsid w:val="64932629"/>
    <w:rsid w:val="64AA2E73"/>
    <w:rsid w:val="64B8434A"/>
    <w:rsid w:val="64C5008F"/>
    <w:rsid w:val="64E8446E"/>
    <w:rsid w:val="64F735D8"/>
    <w:rsid w:val="65376B47"/>
    <w:rsid w:val="654042F5"/>
    <w:rsid w:val="65475601"/>
    <w:rsid w:val="65BF1616"/>
    <w:rsid w:val="65F66C79"/>
    <w:rsid w:val="65FD7CC9"/>
    <w:rsid w:val="660447CA"/>
    <w:rsid w:val="66380310"/>
    <w:rsid w:val="665622BC"/>
    <w:rsid w:val="66653739"/>
    <w:rsid w:val="666C4EE6"/>
    <w:rsid w:val="66792487"/>
    <w:rsid w:val="669D095F"/>
    <w:rsid w:val="66FB0FDC"/>
    <w:rsid w:val="66FC5AFF"/>
    <w:rsid w:val="6709462E"/>
    <w:rsid w:val="674E014A"/>
    <w:rsid w:val="6777196F"/>
    <w:rsid w:val="678A1ED0"/>
    <w:rsid w:val="679E4D0E"/>
    <w:rsid w:val="67AB61F8"/>
    <w:rsid w:val="67BA7741"/>
    <w:rsid w:val="67E6170C"/>
    <w:rsid w:val="680D0CA5"/>
    <w:rsid w:val="681014F3"/>
    <w:rsid w:val="682054F9"/>
    <w:rsid w:val="6878475E"/>
    <w:rsid w:val="68A45648"/>
    <w:rsid w:val="68A5668C"/>
    <w:rsid w:val="68D27297"/>
    <w:rsid w:val="68DC2023"/>
    <w:rsid w:val="68FE0C44"/>
    <w:rsid w:val="6911241F"/>
    <w:rsid w:val="69B67115"/>
    <w:rsid w:val="69B82DF4"/>
    <w:rsid w:val="69EF53B4"/>
    <w:rsid w:val="6A126DD2"/>
    <w:rsid w:val="6A420E56"/>
    <w:rsid w:val="6A840BF8"/>
    <w:rsid w:val="6A924E32"/>
    <w:rsid w:val="6A94008C"/>
    <w:rsid w:val="6AC635A8"/>
    <w:rsid w:val="6AE37195"/>
    <w:rsid w:val="6AE60947"/>
    <w:rsid w:val="6AEF6EB8"/>
    <w:rsid w:val="6AF179D8"/>
    <w:rsid w:val="6B0B374F"/>
    <w:rsid w:val="6B0E6D92"/>
    <w:rsid w:val="6B17074E"/>
    <w:rsid w:val="6B1F0CCB"/>
    <w:rsid w:val="6B6234E5"/>
    <w:rsid w:val="6BA95F10"/>
    <w:rsid w:val="6BAC2BAE"/>
    <w:rsid w:val="6BBD11F5"/>
    <w:rsid w:val="6BCE1834"/>
    <w:rsid w:val="6BD12800"/>
    <w:rsid w:val="6C022DB1"/>
    <w:rsid w:val="6C0504CD"/>
    <w:rsid w:val="6C1208F3"/>
    <w:rsid w:val="6C5E02FC"/>
    <w:rsid w:val="6C721812"/>
    <w:rsid w:val="6C8B0F52"/>
    <w:rsid w:val="6CDD07BE"/>
    <w:rsid w:val="6CDD0DD0"/>
    <w:rsid w:val="6CFA7DB1"/>
    <w:rsid w:val="6D0127E4"/>
    <w:rsid w:val="6D135E16"/>
    <w:rsid w:val="6D1C168A"/>
    <w:rsid w:val="6D347A31"/>
    <w:rsid w:val="6D3668DD"/>
    <w:rsid w:val="6D471CAB"/>
    <w:rsid w:val="6DAC0977"/>
    <w:rsid w:val="6DB941BD"/>
    <w:rsid w:val="6DC60F63"/>
    <w:rsid w:val="6DD76259"/>
    <w:rsid w:val="6DF40ED9"/>
    <w:rsid w:val="6E343B64"/>
    <w:rsid w:val="6E4C770B"/>
    <w:rsid w:val="6E5F1098"/>
    <w:rsid w:val="6E6F2793"/>
    <w:rsid w:val="6E703D8E"/>
    <w:rsid w:val="6E84323D"/>
    <w:rsid w:val="6E866AA3"/>
    <w:rsid w:val="6E942A76"/>
    <w:rsid w:val="6EA41FA2"/>
    <w:rsid w:val="6EB2181E"/>
    <w:rsid w:val="6EB44AD4"/>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393572"/>
    <w:rsid w:val="70500DF1"/>
    <w:rsid w:val="70741DA4"/>
    <w:rsid w:val="70782DDA"/>
    <w:rsid w:val="70A24D48"/>
    <w:rsid w:val="70BA64EF"/>
    <w:rsid w:val="70C900DF"/>
    <w:rsid w:val="70E611B1"/>
    <w:rsid w:val="70F80524"/>
    <w:rsid w:val="710A2419"/>
    <w:rsid w:val="71326D32"/>
    <w:rsid w:val="714C2CD0"/>
    <w:rsid w:val="715A596A"/>
    <w:rsid w:val="717C247D"/>
    <w:rsid w:val="717F26E4"/>
    <w:rsid w:val="71816B8E"/>
    <w:rsid w:val="71832D29"/>
    <w:rsid w:val="71907818"/>
    <w:rsid w:val="71B252F9"/>
    <w:rsid w:val="71CD7943"/>
    <w:rsid w:val="71E95916"/>
    <w:rsid w:val="71F950A9"/>
    <w:rsid w:val="7203413E"/>
    <w:rsid w:val="723C62EB"/>
    <w:rsid w:val="7250588C"/>
    <w:rsid w:val="726F5278"/>
    <w:rsid w:val="727E786A"/>
    <w:rsid w:val="72851E13"/>
    <w:rsid w:val="72887FD4"/>
    <w:rsid w:val="729A6D07"/>
    <w:rsid w:val="72BD0544"/>
    <w:rsid w:val="72C0472D"/>
    <w:rsid w:val="72D11D5C"/>
    <w:rsid w:val="72E85DAD"/>
    <w:rsid w:val="732303D9"/>
    <w:rsid w:val="73532CC9"/>
    <w:rsid w:val="739F3D64"/>
    <w:rsid w:val="73D73D11"/>
    <w:rsid w:val="73EA68D4"/>
    <w:rsid w:val="744975DD"/>
    <w:rsid w:val="746920A5"/>
    <w:rsid w:val="74945DFE"/>
    <w:rsid w:val="74CB1EDB"/>
    <w:rsid w:val="74DE73F5"/>
    <w:rsid w:val="75185519"/>
    <w:rsid w:val="751E77AF"/>
    <w:rsid w:val="753B4B84"/>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7B71D8"/>
    <w:rsid w:val="77821DB2"/>
    <w:rsid w:val="77A54D53"/>
    <w:rsid w:val="77BF2228"/>
    <w:rsid w:val="77D75F2B"/>
    <w:rsid w:val="77FC6767"/>
    <w:rsid w:val="78016613"/>
    <w:rsid w:val="780D6694"/>
    <w:rsid w:val="781A0BEC"/>
    <w:rsid w:val="78202415"/>
    <w:rsid w:val="78213FC9"/>
    <w:rsid w:val="78472EBC"/>
    <w:rsid w:val="78701D9C"/>
    <w:rsid w:val="7898372A"/>
    <w:rsid w:val="78B032FC"/>
    <w:rsid w:val="78FA0671"/>
    <w:rsid w:val="790068CB"/>
    <w:rsid w:val="791B4C63"/>
    <w:rsid w:val="793A634F"/>
    <w:rsid w:val="79474F43"/>
    <w:rsid w:val="796B5873"/>
    <w:rsid w:val="798635EB"/>
    <w:rsid w:val="79A5750A"/>
    <w:rsid w:val="79CB2F30"/>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AA0846"/>
    <w:rsid w:val="7CB14063"/>
    <w:rsid w:val="7CB83597"/>
    <w:rsid w:val="7CB90CC2"/>
    <w:rsid w:val="7CC8796A"/>
    <w:rsid w:val="7CF22CCE"/>
    <w:rsid w:val="7CFB2CE9"/>
    <w:rsid w:val="7D0C34C4"/>
    <w:rsid w:val="7D1670F6"/>
    <w:rsid w:val="7D212CA5"/>
    <w:rsid w:val="7D255EE2"/>
    <w:rsid w:val="7D293184"/>
    <w:rsid w:val="7D4B3EE6"/>
    <w:rsid w:val="7D6112EF"/>
    <w:rsid w:val="7D68620F"/>
    <w:rsid w:val="7D69777E"/>
    <w:rsid w:val="7D927DC0"/>
    <w:rsid w:val="7DB34706"/>
    <w:rsid w:val="7DFB2CE1"/>
    <w:rsid w:val="7E0F41A9"/>
    <w:rsid w:val="7E1A0A9F"/>
    <w:rsid w:val="7E3C401A"/>
    <w:rsid w:val="7E641213"/>
    <w:rsid w:val="7E74499D"/>
    <w:rsid w:val="7EE33139"/>
    <w:rsid w:val="7EF34773"/>
    <w:rsid w:val="7F0D08DC"/>
    <w:rsid w:val="7F173D26"/>
    <w:rsid w:val="7F666017"/>
    <w:rsid w:val="7F714EE5"/>
    <w:rsid w:val="7F7F2734"/>
    <w:rsid w:val="7FA63F96"/>
    <w:rsid w:val="7FA7279D"/>
    <w:rsid w:val="7FB9287C"/>
    <w:rsid w:val="7FC55840"/>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6"/>
    <w:qFormat/>
    <w:uiPriority w:val="0"/>
    <w:rPr>
      <w:rFonts w:ascii="Times New Roman" w:hAnsi="Times New Roman" w:eastAsia="宋体" w:cs="Times New Roman"/>
      <w:b/>
      <w:bCs/>
      <w:sz w:val="32"/>
      <w:szCs w:val="32"/>
    </w:rPr>
  </w:style>
  <w:style w:type="character" w:customStyle="1" w:styleId="56">
    <w:name w:val="批注文字 Char1"/>
    <w:link w:val="16"/>
    <w:semiHidden/>
    <w:qFormat/>
    <w:uiPriority w:val="99"/>
    <w:rPr>
      <w:rFonts w:ascii="Times New Roman" w:hAnsi="Times New Roman" w:eastAsia="宋体" w:cs="Times New Roman"/>
      <w:szCs w:val="24"/>
    </w:rPr>
  </w:style>
  <w:style w:type="character" w:customStyle="1" w:styleId="57">
    <w:name w:val="标题 6 Char"/>
    <w:link w:val="8"/>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8"/>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1"/>
    <w:qFormat/>
    <w:uiPriority w:val="0"/>
    <w:rPr>
      <w:rFonts w:ascii="Times New Roman" w:hAnsi="Times New Roman" w:eastAsia="宋体" w:cs="Times New Roman"/>
      <w:b/>
      <w:bCs/>
      <w:szCs w:val="24"/>
    </w:rPr>
  </w:style>
  <w:style w:type="character" w:customStyle="1" w:styleId="67">
    <w:name w:val="正文缩进 Char"/>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3"/>
    <w:qFormat/>
    <w:uiPriority w:val="0"/>
    <w:rPr>
      <w:szCs w:val="24"/>
    </w:rPr>
  </w:style>
  <w:style w:type="character" w:customStyle="1" w:styleId="74">
    <w:name w:val="文档结构图 Char"/>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5"/>
    <w:qFormat/>
    <w:uiPriority w:val="0"/>
    <w:rPr>
      <w:rFonts w:ascii="Arial" w:hAnsi="Arial" w:eastAsia="黑体" w:cs="Times New Roman"/>
      <w:b/>
      <w:bCs/>
      <w:sz w:val="32"/>
      <w:szCs w:val="32"/>
    </w:rPr>
  </w:style>
  <w:style w:type="character" w:customStyle="1" w:styleId="77">
    <w:name w:val="标题 Char"/>
    <w:link w:val="40"/>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10"/>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character" w:customStyle="1" w:styleId="167">
    <w:name w:val="font31"/>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11122</Words>
  <Characters>11838</Characters>
  <Lines>397</Lines>
  <Paragraphs>112</Paragraphs>
  <TotalTime>0</TotalTime>
  <ScaleCrop>false</ScaleCrop>
  <LinksUpToDate>false</LinksUpToDate>
  <CharactersWithSpaces>12846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♂杰♂</cp:lastModifiedBy>
  <cp:lastPrinted>2020-05-11T07:11:00Z</cp:lastPrinted>
  <dcterms:modified xsi:type="dcterms:W3CDTF">2022-06-01T09:59:00Z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17D388F89C234E21A08B778CCCD5F035</vt:lpwstr>
  </property>
</Properties>
</file>