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360" w:lineRule="auto"/>
        <w:ind w:left="1606" w:hanging="1606" w:hangingChars="50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重庆安全产业发展集团有限公司招标限价编制咨询服务</w:t>
      </w:r>
    </w:p>
    <w:p>
      <w:pPr>
        <w:bidi w:val="0"/>
        <w:spacing w:line="360" w:lineRule="auto"/>
        <w:ind w:left="1602" w:leftChars="572" w:firstLine="1606" w:firstLineChars="500"/>
        <w:rPr>
          <w:rFonts w:hint="eastAsia" w:ascii="仿宋_GB2312" w:hAnsi="仿宋_GB2312" w:eastAsia="宋体" w:cs="仿宋_GB2312"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比选公告</w:t>
      </w:r>
    </w:p>
    <w:p>
      <w:pPr>
        <w:tabs>
          <w:tab w:val="left" w:pos="1695"/>
          <w:tab w:val="left" w:pos="3370"/>
          <w:tab w:val="left" w:pos="5555"/>
        </w:tabs>
        <w:autoSpaceDE w:val="0"/>
        <w:autoSpaceDN w:val="0"/>
        <w:bidi w:val="0"/>
        <w:adjustRightInd w:val="0"/>
        <w:snapToGrid w:val="0"/>
        <w:spacing w:line="480" w:lineRule="exact"/>
        <w:rPr>
          <w:rFonts w:hint="eastAsia" w:ascii="宋体" w:hAnsi="宋体" w:cs="宋体"/>
          <w:sz w:val="24"/>
          <w:szCs w:val="24"/>
        </w:rPr>
      </w:pPr>
    </w:p>
    <w:p>
      <w:pPr>
        <w:tabs>
          <w:tab w:val="left" w:pos="1695"/>
          <w:tab w:val="left" w:pos="3370"/>
          <w:tab w:val="left" w:pos="5555"/>
        </w:tabs>
        <w:autoSpaceDE w:val="0"/>
        <w:autoSpaceDN w:val="0"/>
        <w:bidi w:val="0"/>
        <w:adjustRightInd w:val="0"/>
        <w:snapToGrid w:val="0"/>
        <w:spacing w:line="480" w:lineRule="exact"/>
        <w:ind w:firstLine="470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 w:cs="宋体"/>
          <w:sz w:val="24"/>
          <w:szCs w:val="24"/>
        </w:rPr>
        <w:t>本招标项目</w:t>
      </w:r>
      <w:r>
        <w:rPr>
          <w:rFonts w:hint="eastAsia" w:ascii="宋体" w:hAnsi="宋体" w:cs="宋体"/>
          <w:sz w:val="24"/>
          <w:szCs w:val="24"/>
          <w:u w:val="single"/>
        </w:rPr>
        <w:t>重庆安全产业发展集团有限公司招标限价编制咨询服务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比选方案</w:t>
      </w:r>
      <w:r>
        <w:rPr>
          <w:rFonts w:hint="eastAsia" w:ascii="宋体" w:hAnsi="宋体" w:cs="宋体"/>
          <w:sz w:val="24"/>
          <w:szCs w:val="24"/>
          <w:u w:val="single"/>
        </w:rPr>
        <w:t>经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重庆安全产业发展集团有限公司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15次总办公会审议通过</w:t>
      </w:r>
      <w:r>
        <w:rPr>
          <w:rFonts w:hint="eastAsia" w:ascii="宋体" w:hAnsi="宋体" w:cs="宋体"/>
          <w:sz w:val="24"/>
          <w:szCs w:val="24"/>
        </w:rPr>
        <w:t>，本工程招标人为：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重庆安全产业发展集团有限公司</w:t>
      </w:r>
      <w:r>
        <w:rPr>
          <w:rFonts w:hint="eastAsia" w:ascii="宋体" w:hAnsi="宋体" w:cs="宋体"/>
          <w:sz w:val="24"/>
          <w:szCs w:val="24"/>
        </w:rPr>
        <w:t>；</w:t>
      </w:r>
      <w:r>
        <w:rPr>
          <w:rFonts w:hint="eastAsia" w:ascii="宋体" w:hAnsi="宋体" w:cs="宋体"/>
          <w:sz w:val="24"/>
          <w:szCs w:val="24"/>
          <w:u w:val="none"/>
        </w:rPr>
        <w:t>该项</w:t>
      </w:r>
      <w:r>
        <w:rPr>
          <w:rFonts w:hint="eastAsia" w:ascii="宋体" w:hAnsi="宋体" w:cs="宋体"/>
          <w:sz w:val="24"/>
          <w:szCs w:val="24"/>
        </w:rPr>
        <w:t>目现已具备招标条件，现采用竞争性比选的方式进行招标，欢迎有资格的投标人参与投标。</w:t>
      </w:r>
    </w:p>
    <w:p>
      <w:pPr>
        <w:pStyle w:val="3"/>
        <w:numPr>
          <w:ilvl w:val="0"/>
          <w:numId w:val="2"/>
        </w:numPr>
        <w:bidi w:val="0"/>
        <w:spacing w:before="0" w:after="0" w:line="480" w:lineRule="exact"/>
        <w:rPr>
          <w:rFonts w:hint="eastAsia" w:ascii="宋体" w:hAnsi="宋体" w:cs="宋体"/>
          <w:sz w:val="24"/>
          <w:szCs w:val="24"/>
        </w:rPr>
      </w:pPr>
      <w:bookmarkStart w:id="0" w:name="_Toc317775175"/>
      <w:bookmarkStart w:id="1" w:name="_Toc517784627"/>
      <w:bookmarkStart w:id="2" w:name="_Toc313893526"/>
      <w:r>
        <w:rPr>
          <w:rFonts w:hint="eastAsia" w:ascii="宋体" w:hAnsi="宋体" w:cs="宋体"/>
          <w:sz w:val="24"/>
          <w:szCs w:val="24"/>
        </w:rPr>
        <w:t>竞争性比选内容</w:t>
      </w:r>
      <w:bookmarkEnd w:id="0"/>
      <w:bookmarkEnd w:id="1"/>
      <w:bookmarkEnd w:id="2"/>
      <w:r>
        <w:rPr>
          <w:rFonts w:hint="eastAsia" w:ascii="宋体" w:hAnsi="宋体" w:cs="宋体"/>
          <w:sz w:val="24"/>
          <w:szCs w:val="24"/>
          <w:lang w:eastAsia="zh-CN"/>
        </w:rPr>
        <w:t>及上限价</w:t>
      </w:r>
    </w:p>
    <w:tbl>
      <w:tblPr>
        <w:tblStyle w:val="4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16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Cs w:val="21"/>
                <w:lang w:bidi="ar"/>
              </w:rPr>
              <w:t>招标限价咨询服务项目上限价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Cs w:val="21"/>
                <w:lang w:bidi="ar"/>
              </w:rPr>
              <w:t>收费项目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Cs w:val="21"/>
                <w:lang w:bidi="ar"/>
              </w:rPr>
              <w:t>计费基数</w:t>
            </w:r>
          </w:p>
        </w:tc>
        <w:tc>
          <w:tcPr>
            <w:tcW w:w="54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仿宋_GB2312" w:hAnsi="方正仿宋_GBK" w:eastAsia="仿宋_GB2312" w:cs="方正仿宋_GBK"/>
                <w:color w:val="000000"/>
                <w:kern w:val="0"/>
                <w:szCs w:val="21"/>
                <w:lang w:bidi="ar"/>
              </w:rPr>
              <w:t>限价费率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500万元以下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501-1000万元以内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1001-5000万元以内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5001万元-1亿元以内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1亿元以上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工程量清单及组价编制（审核）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建筑、市政、园林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清单量工程造价(％)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K" w:eastAsia="宋体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K" w:eastAsia="宋体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K" w:eastAsia="宋体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K" w:eastAsia="宋体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0.16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安装、装饰、维修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清单量工程造价(％)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K" w:eastAsia="宋体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0.56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K" w:eastAsia="宋体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方正仿宋_GBK" w:eastAsia="宋体" w:cs="方正仿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方正仿宋_GBK" w:eastAsia="宋体" w:cs="方正仿宋_GBK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0.28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方正仿宋_GBK" w:eastAsia="仿宋_GB2312" w:cs="方正仿宋_GBK"/>
                <w:color w:val="000000"/>
                <w:szCs w:val="21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公路、铁路、水电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清单量工程造价(％)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0.22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9" w:name="_GoBack"/>
            <w:bookmarkEnd w:id="9"/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0.20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0.17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0.14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0.11 </w:t>
            </w:r>
          </w:p>
        </w:tc>
      </w:tr>
    </w:tbl>
    <w:p>
      <w:pPr>
        <w:numPr>
          <w:numId w:val="0"/>
        </w:numPr>
        <w:rPr>
          <w:rFonts w:hint="eastAsia"/>
        </w:rPr>
      </w:pPr>
    </w:p>
    <w:p>
      <w:pPr>
        <w:bidi w:val="0"/>
        <w:spacing w:line="360" w:lineRule="auto"/>
        <w:ind w:firstLine="241"/>
        <w:rPr>
          <w:rFonts w:hint="eastAsia" w:ascii="宋体" w:hAnsi="宋体" w:cs="宋体"/>
          <w:sz w:val="24"/>
          <w:szCs w:val="24"/>
        </w:rPr>
      </w:pPr>
      <w:bookmarkStart w:id="3" w:name="_Toc373860293"/>
      <w:bookmarkStart w:id="4" w:name="_Toc317775178"/>
      <w:r>
        <w:rPr>
          <w:rFonts w:hint="eastAsia" w:ascii="宋体" w:hAnsi="宋体" w:cs="宋体"/>
          <w:b/>
          <w:sz w:val="24"/>
          <w:szCs w:val="24"/>
        </w:rPr>
        <w:t>招标范围</w:t>
      </w:r>
      <w:r>
        <w:rPr>
          <w:rFonts w:hint="eastAsia" w:ascii="宋体" w:hAnsi="宋体" w:cs="宋体"/>
          <w:sz w:val="24"/>
          <w:szCs w:val="24"/>
        </w:rPr>
        <w:t>：</w:t>
      </w:r>
      <w:r>
        <w:rPr>
          <w:rFonts w:hint="eastAsia" w:ascii="宋体" w:hAnsi="宋体" w:cs="宋体"/>
          <w:sz w:val="24"/>
          <w:szCs w:val="24"/>
          <w:u w:val="single"/>
        </w:rPr>
        <w:t>重庆安全产业发展集团有限公司招标限价编制咨询服务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（工程量清单限价编制及咨询服务限价编制）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pStyle w:val="3"/>
        <w:bidi w:val="0"/>
        <w:spacing w:before="0" w:after="0" w:line="480" w:lineRule="exact"/>
        <w:rPr>
          <w:rFonts w:hint="eastAsia" w:ascii="宋体" w:hAnsi="宋体" w:cs="宋体"/>
          <w:sz w:val="24"/>
          <w:szCs w:val="24"/>
        </w:rPr>
      </w:pPr>
      <w:bookmarkStart w:id="5" w:name="_Toc517784628"/>
      <w:r>
        <w:rPr>
          <w:rFonts w:hint="eastAsia" w:ascii="宋体" w:hAnsi="宋体" w:cs="宋体"/>
          <w:sz w:val="24"/>
          <w:szCs w:val="24"/>
        </w:rPr>
        <w:t>二、资金来源：自筹资金</w:t>
      </w:r>
      <w:bookmarkEnd w:id="5"/>
    </w:p>
    <w:p>
      <w:pPr>
        <w:pStyle w:val="3"/>
        <w:bidi w:val="0"/>
        <w:spacing w:before="0" w:after="0" w:line="480" w:lineRule="exact"/>
        <w:rPr>
          <w:rFonts w:hint="eastAsia" w:ascii="宋体" w:hAnsi="宋体" w:cs="宋体"/>
          <w:sz w:val="24"/>
          <w:szCs w:val="24"/>
        </w:rPr>
      </w:pPr>
      <w:bookmarkStart w:id="6" w:name="_Toc517784629"/>
      <w:r>
        <w:rPr>
          <w:rFonts w:hint="eastAsia" w:ascii="宋体" w:hAnsi="宋体" w:cs="宋体"/>
          <w:sz w:val="24"/>
          <w:szCs w:val="24"/>
        </w:rPr>
        <w:t>三、投标、比选有关说明</w:t>
      </w:r>
      <w:bookmarkEnd w:id="3"/>
      <w:bookmarkEnd w:id="6"/>
    </w:p>
    <w:p>
      <w:pPr>
        <w:bidi w:val="0"/>
        <w:spacing w:line="480" w:lineRule="exact"/>
        <w:ind w:firstLine="3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（一）参加投标人</w:t>
      </w:r>
      <w:r>
        <w:rPr>
          <w:rFonts w:hint="eastAsia" w:ascii="宋体" w:hAnsi="宋体" w:cs="宋体"/>
          <w:sz w:val="24"/>
          <w:szCs w:val="24"/>
          <w:lang w:eastAsia="zh-CN"/>
        </w:rPr>
        <w:t>需是重庆高速公路集团有限公司合格供方库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咨询服务方向-造价咨询类内单位（且是被</w:t>
      </w:r>
      <w:r>
        <w:rPr>
          <w:rFonts w:hint="eastAsia" w:ascii="宋体" w:hAnsi="宋体" w:cs="宋体"/>
          <w:sz w:val="24"/>
          <w:szCs w:val="24"/>
        </w:rPr>
        <w:t>重庆高速公路集团有限公司招投标管理平台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抽中的单位）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eastAsia="zh-CN"/>
        </w:rPr>
        <w:t>抽中的单位</w:t>
      </w:r>
      <w:r>
        <w:rPr>
          <w:rFonts w:hint="eastAsia" w:ascii="宋体" w:hAnsi="宋体" w:cs="宋体"/>
          <w:sz w:val="24"/>
          <w:szCs w:val="24"/>
        </w:rPr>
        <w:t>请在重庆高速公路集团有限公司招投标管理平台（http://43.240.249.108:8088/PMS/），重庆高速公路集团有限公司官网（http://www.cegc.com.cn/gw）下载获取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文件。</w:t>
      </w:r>
    </w:p>
    <w:p>
      <w:pPr>
        <w:bidi w:val="0"/>
        <w:spacing w:line="480" w:lineRule="exact"/>
        <w:ind w:firstLine="36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（二）投标人须满足以下三种要件，其投标文件才被接受：</w:t>
      </w:r>
    </w:p>
    <w:p>
      <w:pPr>
        <w:bidi w:val="0"/>
        <w:spacing w:line="480" w:lineRule="exact"/>
        <w:ind w:firstLine="10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1、按时递交了投标文件；</w:t>
      </w:r>
    </w:p>
    <w:p>
      <w:pPr>
        <w:bidi w:val="0"/>
        <w:spacing w:line="480" w:lineRule="exact"/>
        <w:ind w:firstLine="10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2、按时报名签到；</w:t>
      </w:r>
    </w:p>
    <w:p>
      <w:pPr>
        <w:bidi w:val="0"/>
        <w:spacing w:line="480" w:lineRule="exact"/>
        <w:ind w:firstLine="360"/>
        <w:rPr>
          <w:rFonts w:hint="eastAsia" w:ascii="宋体" w:hAnsi="宋体" w:eastAsia="宋体"/>
          <w:szCs w:val="28"/>
          <w:u w:val="single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（三）开标地点：</w:t>
      </w:r>
      <w:r>
        <w:rPr>
          <w:rFonts w:hint="eastAsia" w:ascii="宋体" w:hAnsi="宋体" w:cs="宋体"/>
          <w:sz w:val="24"/>
          <w:szCs w:val="24"/>
          <w:lang w:eastAsia="zh-CN"/>
        </w:rPr>
        <w:t>重庆安全产业发展集团有限公司</w:t>
      </w:r>
    </w:p>
    <w:p>
      <w:pPr>
        <w:bidi w:val="0"/>
        <w:spacing w:line="480" w:lineRule="exact"/>
        <w:ind w:firstLine="36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（四）递交投标文件截止时</w:t>
      </w:r>
      <w:r>
        <w:rPr>
          <w:rFonts w:hint="eastAsia" w:ascii="宋体" w:hAnsi="宋体" w:cs="宋体"/>
          <w:sz w:val="24"/>
          <w:szCs w:val="24"/>
          <w:lang w:eastAsia="zh-CN"/>
        </w:rPr>
        <w:t>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  <w:lang w:eastAsia="zh-CN"/>
        </w:rPr>
        <w:t>日北京时间1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lang w:eastAsia="zh-CN"/>
        </w:rPr>
        <w:t>:00时。</w:t>
      </w:r>
    </w:p>
    <w:p>
      <w:pPr>
        <w:bidi w:val="0"/>
        <w:spacing w:line="480" w:lineRule="exact"/>
        <w:ind w:firstLine="36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（五）开标时间：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2020</w:t>
      </w:r>
      <w:r>
        <w:rPr>
          <w:rFonts w:hint="eastAsia" w:ascii="宋体" w:hAnsi="宋体" w:cs="宋体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cs="宋体"/>
          <w:sz w:val="24"/>
          <w:szCs w:val="24"/>
          <w:lang w:eastAsia="zh-CN"/>
        </w:rPr>
        <w:t>日北京时间1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lang w:eastAsia="zh-CN"/>
        </w:rPr>
        <w:t>:00时，同递交投标文件截止时间。</w:t>
      </w:r>
    </w:p>
    <w:p>
      <w:pPr>
        <w:pStyle w:val="3"/>
        <w:bidi w:val="0"/>
        <w:spacing w:before="0" w:after="0" w:line="480" w:lineRule="exact"/>
        <w:rPr>
          <w:rFonts w:hint="eastAsia" w:ascii="宋体" w:hAnsi="宋体" w:cs="宋体"/>
          <w:sz w:val="24"/>
          <w:szCs w:val="24"/>
        </w:rPr>
      </w:pPr>
      <w:bookmarkStart w:id="7" w:name="_Toc517784631"/>
      <w:r>
        <w:rPr>
          <w:rFonts w:hint="eastAsia" w:ascii="宋体" w:hAnsi="宋体" w:cs="宋体"/>
          <w:sz w:val="24"/>
          <w:szCs w:val="24"/>
        </w:rPr>
        <w:t>四、</w:t>
      </w:r>
      <w:bookmarkEnd w:id="4"/>
      <w:r>
        <w:rPr>
          <w:rFonts w:hint="eastAsia" w:ascii="宋体" w:hAnsi="宋体" w:cs="宋体"/>
          <w:sz w:val="24"/>
          <w:szCs w:val="24"/>
        </w:rPr>
        <w:t>投标有关规定</w:t>
      </w:r>
      <w:bookmarkEnd w:id="7"/>
    </w:p>
    <w:p>
      <w:pPr>
        <w:bidi w:val="0"/>
        <w:snapToGrid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1、法定代表人为同一个人的两个及两个以上法人，母公司、全资子公司及其控股公司，都不得在同一项目中同时投标。</w:t>
      </w:r>
    </w:p>
    <w:p>
      <w:pPr>
        <w:bidi w:val="0"/>
        <w:snapToGrid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2、超过投标截止时间递交的投标文件，恕不接收。</w:t>
      </w:r>
    </w:p>
    <w:p>
      <w:pPr>
        <w:bidi w:val="0"/>
        <w:snapToGrid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3、投标费用：无论投标结果如何，投标人参与本项目投标的所有费用均应由投标人自行承担。</w:t>
      </w:r>
    </w:p>
    <w:p>
      <w:pPr>
        <w:bidi w:val="0"/>
        <w:snapToGrid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4、本项目不接受联合体投标。</w:t>
      </w:r>
    </w:p>
    <w:p>
      <w:pPr>
        <w:pStyle w:val="3"/>
        <w:bidi w:val="0"/>
        <w:spacing w:before="0" w:after="0" w:line="480" w:lineRule="exact"/>
        <w:rPr>
          <w:rFonts w:hint="eastAsia" w:ascii="宋体" w:hAnsi="宋体" w:cs="宋体"/>
          <w:sz w:val="24"/>
          <w:szCs w:val="24"/>
        </w:rPr>
      </w:pPr>
      <w:bookmarkStart w:id="8" w:name="_Toc517784632"/>
      <w:r>
        <w:rPr>
          <w:rFonts w:hint="eastAsia" w:ascii="宋体" w:hAnsi="宋体" w:cs="宋体"/>
          <w:sz w:val="24"/>
          <w:szCs w:val="24"/>
        </w:rPr>
        <w:t>五、联系方式</w:t>
      </w:r>
      <w:bookmarkEnd w:id="8"/>
    </w:p>
    <w:p>
      <w:pPr>
        <w:bidi w:val="0"/>
        <w:snapToGrid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招标人：</w:t>
      </w:r>
      <w:r>
        <w:rPr>
          <w:rFonts w:hint="eastAsia" w:ascii="宋体" w:hAnsi="宋体" w:cs="宋体"/>
          <w:sz w:val="24"/>
          <w:szCs w:val="24"/>
          <w:lang w:eastAsia="zh-CN"/>
        </w:rPr>
        <w:t>重庆安全产业发展集团有限公司</w:t>
      </w:r>
      <w:r>
        <w:rPr>
          <w:rFonts w:hint="eastAsia" w:ascii="宋体" w:hAnsi="宋体" w:cs="宋体"/>
          <w:sz w:val="24"/>
          <w:szCs w:val="24"/>
        </w:rPr>
        <w:t xml:space="preserve">  </w:t>
      </w:r>
    </w:p>
    <w:p>
      <w:pPr>
        <w:bidi w:val="0"/>
        <w:snapToGrid w:val="0"/>
        <w:spacing w:line="480" w:lineRule="exact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地址：</w:t>
      </w:r>
      <w:r>
        <w:rPr>
          <w:rFonts w:hint="eastAsia" w:ascii="宋体" w:hAnsi="宋体" w:cs="宋体"/>
          <w:sz w:val="24"/>
          <w:szCs w:val="24"/>
          <w:lang w:eastAsia="zh-CN"/>
        </w:rPr>
        <w:t>重庆渝北区洪湖西路26号软件园A栋25楼</w:t>
      </w:r>
    </w:p>
    <w:p>
      <w:pPr>
        <w:bidi w:val="0"/>
        <w:snapToGrid w:val="0"/>
        <w:spacing w:line="480" w:lineRule="exact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eastAsia="zh-CN"/>
        </w:rPr>
        <w:t xml:space="preserve">杨老师  </w:t>
      </w:r>
      <w:r>
        <w:rPr>
          <w:rFonts w:hint="eastAsia" w:ascii="宋体" w:hAnsi="宋体" w:cs="宋体"/>
          <w:sz w:val="24"/>
          <w:szCs w:val="24"/>
        </w:rPr>
        <w:t xml:space="preserve">    联系电话：13158202396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03416"/>
    <w:multiLevelType w:val="singleLevel"/>
    <w:tmpl w:val="579034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C97233"/>
    <w:multiLevelType w:val="multilevel"/>
    <w:tmpl w:val="57C97233"/>
    <w:lvl w:ilvl="0" w:tentative="0">
      <w:start w:val="1"/>
      <w:numFmt w:val="japaneseCounting"/>
      <w:lvlText w:val="%1、"/>
      <w:lvlJc w:val="left"/>
      <w:pPr>
        <w:tabs>
          <w:tab w:val="left" w:pos="1380"/>
        </w:tabs>
        <w:ind w:left="13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20"/>
        </w:tabs>
        <w:ind w:left="1920" w:hanging="420"/>
      </w:pPr>
    </w:lvl>
    <w:lvl w:ilvl="3" w:tentative="0">
      <w:start w:val="1"/>
      <w:numFmt w:val="decimal"/>
      <w:pStyle w:val="2"/>
      <w:lvlText w:val="%4."/>
      <w:lvlJc w:val="left"/>
      <w:pPr>
        <w:tabs>
          <w:tab w:val="left" w:pos="2340"/>
        </w:tabs>
        <w:ind w:left="23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60"/>
        </w:tabs>
        <w:ind w:left="27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80"/>
        </w:tabs>
        <w:ind w:left="31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600"/>
        </w:tabs>
        <w:ind w:left="36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20"/>
        </w:tabs>
        <w:ind w:left="40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40"/>
        </w:tabs>
        <w:ind w:left="44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1C73"/>
    <w:rsid w:val="0AD31C73"/>
    <w:rsid w:val="1D0D1439"/>
    <w:rsid w:val="3561519B"/>
    <w:rsid w:val="4C16226A"/>
    <w:rsid w:val="59D250BC"/>
    <w:rsid w:val="626027E4"/>
    <w:rsid w:val="71F7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2"/>
    </w:pPr>
    <w:rPr>
      <w:b/>
      <w:sz w:val="32"/>
    </w:rPr>
  </w:style>
  <w:style w:type="paragraph" w:styleId="2">
    <w:name w:val="heading 4"/>
    <w:basedOn w:val="1"/>
    <w:next w:val="1"/>
    <w:qFormat/>
    <w:uiPriority w:val="0"/>
    <w:pPr>
      <w:widowControl/>
      <w:numPr>
        <w:ilvl w:val="3"/>
        <w:numId w:val="1"/>
      </w:numPr>
      <w:tabs>
        <w:tab w:val="left" w:pos="567"/>
      </w:tabs>
      <w:spacing w:after="240"/>
      <w:ind w:left="1134" w:hanging="567"/>
      <w:jc w:val="left"/>
      <w:outlineLvl w:val="3"/>
    </w:pPr>
    <w:rPr>
      <w:rFonts w:ascii="Arial" w:hAnsi="Arial" w:eastAsia="楷体_GB2312" w:cs="Arial"/>
      <w:color w:val="000000"/>
      <w:kern w:val="0"/>
      <w:sz w:val="20"/>
      <w:lang w:eastAsia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2020-07-14T01:48:00Z</dcterms:created>
  <dc:creator>小平</dc:creator>
  <cp:lastModifiedBy>小平</cp:lastModifiedBy>
  <dcterms:modified xsi:type="dcterms:W3CDTF">2020-08-10T08:15:07Z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