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方正小标宋_GBK" w:hAnsi="方正小标宋_GBK" w:eastAsia="方正小标宋_GBK" w:cs="方正小标宋_GBK"/>
          <w:b w:val="0"/>
          <w:bCs w:val="0"/>
          <w:color w:val="auto"/>
          <w:sz w:val="44"/>
          <w:szCs w:val="44"/>
          <w:u w:val="none"/>
          <w:lang w:eastAsia="zh-CN"/>
        </w:rPr>
      </w:pPr>
      <w:r>
        <w:rPr>
          <w:rFonts w:hint="eastAsia" w:ascii="方正小标宋_GBK" w:hAnsi="方正小标宋_GBK" w:eastAsia="方正小标宋_GBK" w:cs="方正小标宋_GBK"/>
          <w:b w:val="0"/>
          <w:bCs w:val="0"/>
          <w:color w:val="auto"/>
          <w:sz w:val="44"/>
          <w:szCs w:val="44"/>
          <w:u w:val="none"/>
          <w:lang w:eastAsia="zh-CN"/>
        </w:rPr>
        <w:t>重庆首讯科技股份有限公司</w:t>
      </w:r>
    </w:p>
    <w:p>
      <w:pPr>
        <w:spacing w:line="500" w:lineRule="exact"/>
        <w:jc w:val="center"/>
        <w:rPr>
          <w:rFonts w:hint="eastAsia" w:ascii="方正小标宋_GBK" w:hAnsi="方正小标宋_GBK" w:eastAsia="方正小标宋_GBK" w:cs="方正小标宋_GBK"/>
          <w:b w:val="0"/>
          <w:bCs w:val="0"/>
          <w:color w:val="auto"/>
          <w:sz w:val="44"/>
          <w:szCs w:val="44"/>
          <w:u w:val="none"/>
        </w:rPr>
      </w:pPr>
      <w:bookmarkStart w:id="0" w:name="OLE_LINK2"/>
      <w:r>
        <w:rPr>
          <w:rFonts w:hint="eastAsia" w:ascii="方正小标宋_GBK" w:hAnsi="方正小标宋_GBK" w:eastAsia="方正小标宋_GBK" w:cs="方正小标宋_GBK"/>
          <w:b w:val="0"/>
          <w:bCs w:val="0"/>
          <w:color w:val="auto"/>
          <w:sz w:val="44"/>
          <w:szCs w:val="44"/>
          <w:u w:val="none"/>
        </w:rPr>
        <w:t>工程安全生产的违约处理细则</w:t>
      </w:r>
      <w:bookmarkEnd w:id="0"/>
    </w:p>
    <w:p>
      <w:pPr>
        <w:spacing w:line="500" w:lineRule="exact"/>
        <w:jc w:val="center"/>
        <w:rPr>
          <w:rFonts w:hint="default" w:hAnsi="宋体" w:cs="宋体" w:eastAsiaTheme="minorEastAsia"/>
          <w:b/>
          <w:bCs/>
          <w:color w:val="auto"/>
          <w:sz w:val="32"/>
          <w:szCs w:val="32"/>
          <w:u w:val="none"/>
          <w:lang w:val="en-US" w:eastAsia="zh-CN"/>
        </w:rPr>
      </w:pPr>
      <w:r>
        <w:rPr>
          <w:rFonts w:hint="eastAsia" w:hAnsi="宋体" w:cs="宋体"/>
          <w:b/>
          <w:bCs/>
          <w:color w:val="auto"/>
          <w:sz w:val="32"/>
          <w:szCs w:val="32"/>
          <w:u w:val="none"/>
          <w:lang w:val="en-US" w:eastAsia="zh-CN"/>
        </w:rPr>
        <w:t>SX（</w:t>
      </w:r>
      <w:r>
        <w:rPr>
          <w:rFonts w:hint="eastAsia" w:ascii="宋体" w:hAnsi="宋体" w:eastAsia="宋体" w:cs="宋体"/>
          <w:b/>
          <w:bCs/>
          <w:color w:val="auto"/>
          <w:sz w:val="32"/>
          <w:szCs w:val="32"/>
          <w:u w:val="none"/>
          <w:lang w:val="en-US" w:eastAsia="zh-CN"/>
        </w:rPr>
        <w:t>Ⅱ</w:t>
      </w:r>
      <w:r>
        <w:rPr>
          <w:rFonts w:hint="eastAsia" w:hAnsi="宋体" w:cs="宋体"/>
          <w:b/>
          <w:bCs/>
          <w:color w:val="auto"/>
          <w:sz w:val="32"/>
          <w:szCs w:val="32"/>
          <w:u w:val="none"/>
          <w:lang w:val="en-US" w:eastAsia="zh-CN"/>
        </w:rPr>
        <w:t>）/AH19026</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lang w:val="en-US" w:eastAsia="zh-CN"/>
        </w:rPr>
        <w:t>1、</w:t>
      </w:r>
      <w:r>
        <w:rPr>
          <w:rFonts w:hint="eastAsia" w:ascii="方正仿宋_GBK" w:hAnsi="方正仿宋_GBK" w:eastAsia="方正仿宋_GBK" w:cs="方正仿宋_GBK"/>
          <w:color w:val="auto"/>
          <w:sz w:val="32"/>
          <w:szCs w:val="32"/>
          <w:lang w:eastAsia="zh-CN"/>
        </w:rPr>
        <w:t>目的与范围</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 xml:space="preserve">    </w:t>
      </w:r>
      <w:bookmarkStart w:id="1" w:name="OLE_LINK1"/>
      <w:r>
        <w:rPr>
          <w:rFonts w:hint="eastAsia" w:ascii="方正仿宋_GBK" w:hAnsi="方正仿宋_GBK" w:eastAsia="方正仿宋_GBK" w:cs="方正仿宋_GBK"/>
          <w:color w:val="auto"/>
          <w:sz w:val="32"/>
          <w:szCs w:val="32"/>
        </w:rPr>
        <w:t>为确保工程安全得以有效控制，纠正和处理工程</w:t>
      </w:r>
      <w:r>
        <w:rPr>
          <w:rFonts w:hint="eastAsia" w:ascii="方正仿宋_GBK" w:hAnsi="方正仿宋_GBK" w:eastAsia="方正仿宋_GBK" w:cs="方正仿宋_GBK"/>
          <w:color w:val="auto"/>
          <w:sz w:val="32"/>
          <w:szCs w:val="32"/>
          <w:lang w:eastAsia="zh-CN"/>
        </w:rPr>
        <w:t>过程</w:t>
      </w:r>
      <w:r>
        <w:rPr>
          <w:rFonts w:hint="eastAsia" w:ascii="方正仿宋_GBK" w:hAnsi="方正仿宋_GBK" w:eastAsia="方正仿宋_GBK" w:cs="方正仿宋_GBK"/>
          <w:color w:val="auto"/>
          <w:sz w:val="32"/>
          <w:szCs w:val="32"/>
        </w:rPr>
        <w:t>中不规范的行为，</w:t>
      </w:r>
      <w:bookmarkEnd w:id="1"/>
      <w:r>
        <w:rPr>
          <w:rFonts w:hint="eastAsia" w:ascii="方正仿宋_GBK" w:hAnsi="方正仿宋_GBK" w:eastAsia="方正仿宋_GBK" w:cs="方正仿宋_GBK"/>
          <w:color w:val="auto"/>
          <w:sz w:val="32"/>
          <w:szCs w:val="32"/>
        </w:rPr>
        <w:t>特制定本违约处理实施细则。</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lang w:eastAsia="zh-CN"/>
        </w:rPr>
        <w:t>本细则适用于重庆首讯科技股份有限公司（以下简称发包人）发包的所有施工、维护、服务等项目的承包人。</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原则</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right="0" w:rightChars="0" w:firstLine="640"/>
        <w:jc w:val="both"/>
        <w:textAlignment w:val="auto"/>
        <w:outlineLvl w:val="9"/>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lang w:val="en-US" w:eastAsia="zh-CN"/>
        </w:rPr>
        <w:t>告知原则：</w:t>
      </w:r>
      <w:r>
        <w:rPr>
          <w:rFonts w:hint="eastAsia" w:ascii="方正仿宋_GBK" w:hAnsi="方正仿宋_GBK" w:eastAsia="方正仿宋_GBK" w:cs="方正仿宋_GBK"/>
          <w:color w:val="auto"/>
          <w:sz w:val="32"/>
          <w:szCs w:val="32"/>
          <w:lang w:eastAsia="zh-CN"/>
        </w:rPr>
        <w:t>发包人</w:t>
      </w:r>
      <w:r>
        <w:rPr>
          <w:rFonts w:hint="eastAsia" w:ascii="方正仿宋_GBK" w:hAnsi="方正仿宋_GBK" w:eastAsia="方正仿宋_GBK" w:cs="方正仿宋_GBK"/>
          <w:color w:val="auto"/>
          <w:sz w:val="32"/>
          <w:szCs w:val="32"/>
          <w:lang w:val="en-US" w:eastAsia="zh-CN"/>
        </w:rPr>
        <w:t>在与承包人签订合同</w:t>
      </w:r>
      <w:r>
        <w:rPr>
          <w:rFonts w:hint="eastAsia" w:ascii="方正仿宋_GBK" w:hAnsi="方正仿宋_GBK" w:eastAsia="方正仿宋_GBK" w:cs="方正仿宋_GBK"/>
          <w:color w:val="auto"/>
          <w:sz w:val="32"/>
          <w:szCs w:val="32"/>
          <w:lang w:eastAsia="zh-CN"/>
        </w:rPr>
        <w:t>（或施工协议、任务书）</w:t>
      </w:r>
      <w:r>
        <w:rPr>
          <w:rFonts w:hint="eastAsia" w:ascii="方正仿宋_GBK" w:hAnsi="方正仿宋_GBK" w:eastAsia="方正仿宋_GBK" w:cs="方正仿宋_GBK"/>
          <w:color w:val="auto"/>
          <w:sz w:val="32"/>
          <w:szCs w:val="32"/>
          <w:lang w:val="en-US" w:eastAsia="zh-CN"/>
        </w:rPr>
        <w:t>时，本细则</w:t>
      </w:r>
      <w:r>
        <w:rPr>
          <w:rFonts w:hint="eastAsia" w:ascii="方正仿宋_GBK" w:hAnsi="方正仿宋_GBK" w:eastAsia="方正仿宋_GBK" w:cs="方正仿宋_GBK"/>
          <w:color w:val="auto"/>
          <w:sz w:val="32"/>
          <w:szCs w:val="32"/>
          <w:lang w:eastAsia="zh-CN"/>
        </w:rPr>
        <w:t>作为</w:t>
      </w:r>
      <w:r>
        <w:rPr>
          <w:rFonts w:hint="eastAsia" w:ascii="方正仿宋_GBK" w:hAnsi="方正仿宋_GBK" w:eastAsia="方正仿宋_GBK" w:cs="方正仿宋_GBK"/>
          <w:color w:val="auto"/>
          <w:sz w:val="32"/>
          <w:szCs w:val="32"/>
        </w:rPr>
        <w:t>《合同协议书》</w:t>
      </w:r>
      <w:r>
        <w:rPr>
          <w:rFonts w:hint="eastAsia" w:ascii="方正仿宋_GBK" w:hAnsi="方正仿宋_GBK" w:eastAsia="方正仿宋_GBK" w:cs="方正仿宋_GBK"/>
          <w:color w:val="auto"/>
          <w:sz w:val="32"/>
          <w:szCs w:val="32"/>
          <w:lang w:eastAsia="zh-CN"/>
        </w:rPr>
        <w:t>、《安全生产合同》附件。未与</w:t>
      </w:r>
      <w:r>
        <w:rPr>
          <w:rFonts w:hint="eastAsia" w:ascii="方正仿宋_GBK" w:hAnsi="方正仿宋_GBK" w:eastAsia="方正仿宋_GBK" w:cs="方正仿宋_GBK"/>
          <w:color w:val="auto"/>
          <w:sz w:val="32"/>
          <w:szCs w:val="32"/>
          <w:lang w:val="en-US" w:eastAsia="zh-CN"/>
        </w:rPr>
        <w:t>承包人</w:t>
      </w:r>
      <w:r>
        <w:rPr>
          <w:rFonts w:hint="eastAsia" w:ascii="方正仿宋_GBK" w:hAnsi="方正仿宋_GBK" w:eastAsia="方正仿宋_GBK" w:cs="方正仿宋_GBK"/>
          <w:color w:val="auto"/>
          <w:sz w:val="32"/>
          <w:szCs w:val="32"/>
          <w:lang w:eastAsia="zh-CN"/>
        </w:rPr>
        <w:t>签订合同时，管理（维护中心）、项目部在进场前书面告知</w:t>
      </w:r>
      <w:r>
        <w:rPr>
          <w:rFonts w:hint="eastAsia" w:ascii="方正仿宋_GBK" w:hAnsi="方正仿宋_GBK" w:eastAsia="方正仿宋_GBK" w:cs="方正仿宋_GBK"/>
          <w:color w:val="auto"/>
          <w:sz w:val="32"/>
          <w:szCs w:val="32"/>
          <w:lang w:val="en-US" w:eastAsia="zh-CN"/>
        </w:rPr>
        <w:t>,并经承包人签字或盖章确认</w:t>
      </w:r>
      <w:r>
        <w:rPr>
          <w:rFonts w:hint="eastAsia" w:ascii="方正仿宋_GBK" w:hAnsi="方正仿宋_GBK" w:eastAsia="方正仿宋_GBK" w:cs="方正仿宋_GBK"/>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lang w:val="en-US" w:eastAsia="zh-CN"/>
        </w:rPr>
        <w:t xml:space="preserve">    </w:t>
      </w:r>
      <w:r>
        <w:rPr>
          <w:rFonts w:hint="eastAsia" w:ascii="方正仿宋_GBK" w:hAnsi="方正仿宋_GBK" w:eastAsia="方正仿宋_GBK" w:cs="方正仿宋_GBK"/>
          <w:color w:val="auto"/>
          <w:sz w:val="32"/>
          <w:szCs w:val="32"/>
        </w:rPr>
        <w:t>违约</w:t>
      </w:r>
      <w:r>
        <w:rPr>
          <w:rFonts w:hint="eastAsia" w:ascii="方正仿宋_GBK" w:hAnsi="方正仿宋_GBK" w:eastAsia="方正仿宋_GBK" w:cs="方正仿宋_GBK"/>
          <w:color w:val="auto"/>
          <w:sz w:val="32"/>
          <w:szCs w:val="32"/>
          <w:lang w:eastAsia="zh-CN"/>
        </w:rPr>
        <w:t>处理原则：承包人</w:t>
      </w:r>
      <w:r>
        <w:rPr>
          <w:rFonts w:hint="eastAsia" w:ascii="方正仿宋_GBK" w:hAnsi="方正仿宋_GBK" w:eastAsia="方正仿宋_GBK" w:cs="方正仿宋_GBK"/>
          <w:color w:val="auto"/>
          <w:sz w:val="32"/>
          <w:szCs w:val="32"/>
        </w:rPr>
        <w:t>应认真履行合同条款，凡是违反合同条款规定的，均按规定承担违约责任</w:t>
      </w:r>
      <w:r>
        <w:rPr>
          <w:rFonts w:hint="eastAsia" w:ascii="方正仿宋_GBK" w:hAnsi="方正仿宋_GBK" w:eastAsia="方正仿宋_GBK" w:cs="方正仿宋_GBK"/>
          <w:color w:val="auto"/>
          <w:sz w:val="32"/>
          <w:szCs w:val="32"/>
          <w:lang w:eastAsia="zh-CN"/>
        </w:rPr>
        <w:t>，接受相应处理。</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b w:val="0"/>
          <w:bCs w:val="0"/>
          <w:color w:val="auto"/>
          <w:sz w:val="32"/>
          <w:szCs w:val="32"/>
          <w:lang w:val="en-US" w:eastAsia="zh-CN"/>
        </w:rPr>
      </w:pPr>
      <w:r>
        <w:rPr>
          <w:rFonts w:hint="eastAsia" w:ascii="方正仿宋_GBK" w:hAnsi="方正仿宋_GBK" w:eastAsia="方正仿宋_GBK" w:cs="方正仿宋_GBK"/>
          <w:b w:val="0"/>
          <w:bCs w:val="0"/>
          <w:color w:val="auto"/>
          <w:sz w:val="32"/>
          <w:szCs w:val="32"/>
          <w:lang w:val="en-US" w:eastAsia="zh-CN"/>
        </w:rPr>
        <w:t>违约处理依据：</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b w:val="0"/>
          <w:bCs w:val="0"/>
          <w:color w:val="auto"/>
          <w:sz w:val="32"/>
          <w:szCs w:val="32"/>
          <w:lang w:val="en-US" w:eastAsia="zh-CN"/>
        </w:rPr>
        <w:t xml:space="preserve">   《</w:t>
      </w:r>
      <w:r>
        <w:rPr>
          <w:rFonts w:hint="eastAsia" w:ascii="方正仿宋_GBK" w:hAnsi="方正仿宋_GBK" w:eastAsia="方正仿宋_GBK" w:cs="方正仿宋_GBK"/>
          <w:b w:val="0"/>
          <w:bCs w:val="0"/>
          <w:i w:val="0"/>
          <w:caps w:val="0"/>
          <w:color w:val="auto"/>
          <w:spacing w:val="0"/>
          <w:sz w:val="32"/>
          <w:szCs w:val="32"/>
          <w:shd w:val="clear" w:fill="FFFFFF"/>
        </w:rPr>
        <w:t>中华人民共和国合同法</w:t>
      </w:r>
      <w:r>
        <w:rPr>
          <w:rFonts w:hint="eastAsia" w:ascii="方正仿宋_GBK" w:hAnsi="方正仿宋_GBK" w:eastAsia="方正仿宋_GBK" w:cs="方正仿宋_GBK"/>
          <w:b w:val="0"/>
          <w:bCs w:val="0"/>
          <w:color w:val="auto"/>
          <w:sz w:val="32"/>
          <w:szCs w:val="32"/>
          <w:lang w:val="en-US" w:eastAsia="zh-CN"/>
        </w:rPr>
        <w:t>》</w:t>
      </w:r>
      <w:r>
        <w:rPr>
          <w:rFonts w:hint="eastAsia" w:ascii="方正仿宋_GBK" w:hAnsi="方正仿宋_GBK" w:eastAsia="方正仿宋_GBK" w:cs="方正仿宋_GBK"/>
          <w:b w:val="0"/>
          <w:bCs w:val="0"/>
          <w:i w:val="0"/>
          <w:caps w:val="0"/>
          <w:color w:val="auto"/>
          <w:spacing w:val="0"/>
          <w:sz w:val="32"/>
          <w:szCs w:val="32"/>
          <w:shd w:val="clear" w:fill="FFFFFF"/>
          <w:lang w:eastAsia="zh-CN"/>
        </w:rPr>
        <w:t xml:space="preserve">，第一百一十四条，违约金：当事人可以约定一方违约时应当根据违约情况向对方支付一定数额的违约金，也可以约定因违约产生的损失赔偿额的计算方法。 </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4、职责</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4.1安全监管职能部门（安全管理部、工程管理部、</w:t>
      </w:r>
      <w:r>
        <w:rPr>
          <w:rFonts w:hint="eastAsia" w:ascii="方正仿宋_GBK" w:hAnsi="方正仿宋_GBK" w:eastAsia="方正仿宋_GBK" w:cs="方正仿宋_GBK"/>
          <w:color w:val="auto"/>
          <w:sz w:val="32"/>
          <w:szCs w:val="32"/>
          <w:lang w:eastAsia="zh-CN"/>
        </w:rPr>
        <w:t>智能交通研发中心</w:t>
      </w:r>
      <w:r>
        <w:rPr>
          <w:rFonts w:hint="eastAsia" w:ascii="方正仿宋_GBK" w:hAnsi="方正仿宋_GBK" w:eastAsia="方正仿宋_GBK" w:cs="方正仿宋_GBK"/>
          <w:color w:val="auto"/>
          <w:sz w:val="32"/>
          <w:szCs w:val="32"/>
          <w:lang w:val="en-US" w:eastAsia="zh-CN"/>
        </w:rPr>
        <w:t>等职能部门包括项目部、维护管理中心）是安全生产的违约处理的执行部门，具体负责对违约处理。</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4.2违约处理人员：机电站站长、中心专职兼职安全管理人员、中心负责人、项目部负责人、安全负责人、技术负责人。</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4.3施工单位必须严格执行国家、行业、主管部门、</w:t>
      </w:r>
      <w:r>
        <w:rPr>
          <w:rFonts w:hint="eastAsia" w:ascii="方正仿宋_GBK" w:hAnsi="方正仿宋_GBK" w:eastAsia="方正仿宋_GBK" w:cs="方正仿宋_GBK"/>
          <w:color w:val="auto"/>
          <w:sz w:val="32"/>
          <w:szCs w:val="32"/>
          <w:lang w:eastAsia="zh-CN"/>
        </w:rPr>
        <w:t>发包人</w:t>
      </w:r>
      <w:r>
        <w:rPr>
          <w:rFonts w:hint="eastAsia" w:ascii="方正仿宋_GBK" w:hAnsi="方正仿宋_GBK" w:eastAsia="方正仿宋_GBK" w:cs="方正仿宋_GBK"/>
          <w:color w:val="auto"/>
          <w:sz w:val="32"/>
          <w:szCs w:val="32"/>
          <w:lang w:val="en-US" w:eastAsia="zh-CN"/>
        </w:rPr>
        <w:t>安全生产相关规定，管好项目相关作业人员，如被发现违约行为，则按本文规定接受相应的</w:t>
      </w:r>
      <w:r>
        <w:rPr>
          <w:rFonts w:hint="eastAsia" w:ascii="方正仿宋_GBK" w:hAnsi="方正仿宋_GBK" w:eastAsia="方正仿宋_GBK" w:cs="方正仿宋_GBK"/>
          <w:color w:val="auto"/>
          <w:sz w:val="32"/>
          <w:szCs w:val="32"/>
        </w:rPr>
        <w:t>违约金</w:t>
      </w:r>
      <w:r>
        <w:rPr>
          <w:rFonts w:hint="eastAsia" w:ascii="方正仿宋_GBK" w:hAnsi="方正仿宋_GBK" w:eastAsia="方正仿宋_GBK" w:cs="方正仿宋_GBK"/>
          <w:color w:val="auto"/>
          <w:sz w:val="32"/>
          <w:szCs w:val="32"/>
          <w:lang w:eastAsia="zh-CN"/>
        </w:rPr>
        <w:t>处理。</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5、</w:t>
      </w:r>
      <w:r>
        <w:rPr>
          <w:rFonts w:hint="eastAsia" w:ascii="方正仿宋_GBK" w:hAnsi="方正仿宋_GBK" w:eastAsia="方正仿宋_GBK" w:cs="方正仿宋_GBK"/>
          <w:color w:val="auto"/>
          <w:sz w:val="32"/>
          <w:szCs w:val="32"/>
          <w:lang w:eastAsia="zh-CN"/>
        </w:rPr>
        <w:t>履约保证金交纳</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 xml:space="preserve">    承包人在与公司签订施工、维护、服务合同后，按合同约定交纳</w:t>
      </w:r>
      <w:r>
        <w:rPr>
          <w:rFonts w:hint="eastAsia" w:ascii="方正仿宋_GBK" w:hAnsi="方正仿宋_GBK" w:eastAsia="方正仿宋_GBK" w:cs="方正仿宋_GBK"/>
          <w:color w:val="auto"/>
          <w:sz w:val="32"/>
          <w:szCs w:val="32"/>
          <w:lang w:eastAsia="zh-CN"/>
        </w:rPr>
        <w:t>履约保证金，如未交纳履约保证金或履约保证金不足的，则违约处理在项目结算时扣减。</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lang w:val="en-US" w:eastAsia="zh-CN"/>
        </w:rPr>
        <w:t>6、</w:t>
      </w:r>
      <w:r>
        <w:rPr>
          <w:rFonts w:hint="eastAsia" w:ascii="方正仿宋_GBK" w:hAnsi="方正仿宋_GBK" w:eastAsia="方正仿宋_GBK" w:cs="方正仿宋_GBK"/>
          <w:color w:val="auto"/>
          <w:sz w:val="32"/>
          <w:szCs w:val="32"/>
        </w:rPr>
        <w:t>违约</w:t>
      </w:r>
      <w:r>
        <w:rPr>
          <w:rFonts w:hint="eastAsia" w:ascii="方正仿宋_GBK" w:hAnsi="方正仿宋_GBK" w:eastAsia="方正仿宋_GBK" w:cs="方正仿宋_GBK"/>
          <w:color w:val="auto"/>
          <w:sz w:val="32"/>
          <w:szCs w:val="32"/>
          <w:lang w:eastAsia="zh-CN"/>
        </w:rPr>
        <w:t>处理标准</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lang w:val="en-US" w:eastAsia="zh-CN"/>
        </w:rPr>
        <w:t>6.1</w:t>
      </w:r>
      <w:r>
        <w:rPr>
          <w:rFonts w:hint="eastAsia" w:ascii="方正仿宋_GBK" w:hAnsi="方正仿宋_GBK" w:eastAsia="方正仿宋_GBK" w:cs="方正仿宋_GBK"/>
          <w:color w:val="auto"/>
          <w:sz w:val="32"/>
          <w:szCs w:val="32"/>
          <w:lang w:eastAsia="zh-CN"/>
        </w:rPr>
        <w:t>承包人</w:t>
      </w:r>
      <w:r>
        <w:rPr>
          <w:rFonts w:hint="eastAsia" w:ascii="方正仿宋_GBK" w:hAnsi="方正仿宋_GBK" w:eastAsia="方正仿宋_GBK" w:cs="方正仿宋_GBK"/>
          <w:color w:val="auto"/>
          <w:sz w:val="32"/>
          <w:szCs w:val="32"/>
        </w:rPr>
        <w:t>必须重视安全生产，严格按照施工安全规范制订符合本工程实际的施工安全技术方案和安全保证措施，</w:t>
      </w:r>
      <w:r>
        <w:rPr>
          <w:rFonts w:hint="eastAsia" w:ascii="方正仿宋_GBK" w:hAnsi="方正仿宋_GBK" w:eastAsia="方正仿宋_GBK" w:cs="方正仿宋_GBK"/>
          <w:color w:val="auto"/>
          <w:sz w:val="32"/>
          <w:szCs w:val="32"/>
          <w:lang w:val="en-US" w:eastAsia="zh-CN"/>
        </w:rPr>
        <w:t>若在项目实施工程中未按审批后的技术方案和保证措施执行的</w:t>
      </w:r>
      <w:r>
        <w:rPr>
          <w:rFonts w:hint="eastAsia" w:ascii="方正仿宋_GBK" w:hAnsi="方正仿宋_GBK" w:eastAsia="方正仿宋_GBK" w:cs="方正仿宋_GBK"/>
          <w:color w:val="auto"/>
          <w:sz w:val="32"/>
          <w:szCs w:val="32"/>
        </w:rPr>
        <w:t>，将处以</w:t>
      </w:r>
      <w:r>
        <w:rPr>
          <w:rFonts w:hint="eastAsia" w:ascii="方正仿宋_GBK" w:hAnsi="方正仿宋_GBK" w:eastAsia="方正仿宋_GBK" w:cs="方正仿宋_GBK"/>
          <w:color w:val="auto"/>
          <w:sz w:val="32"/>
          <w:szCs w:val="32"/>
          <w:lang w:val="en-US" w:eastAsia="zh-CN"/>
        </w:rPr>
        <w:t>1</w:t>
      </w:r>
      <w:r>
        <w:rPr>
          <w:rFonts w:hint="eastAsia" w:ascii="方正仿宋_GBK" w:hAnsi="方正仿宋_GBK" w:eastAsia="方正仿宋_GBK" w:cs="方正仿宋_GBK"/>
          <w:color w:val="auto"/>
          <w:sz w:val="32"/>
          <w:szCs w:val="32"/>
        </w:rPr>
        <w:t>000元</w:t>
      </w:r>
      <w:r>
        <w:rPr>
          <w:rFonts w:hint="eastAsia" w:ascii="方正仿宋_GBK" w:hAnsi="方正仿宋_GBK" w:eastAsia="方正仿宋_GBK" w:cs="方正仿宋_GBK"/>
          <w:color w:val="auto"/>
          <w:sz w:val="32"/>
          <w:szCs w:val="32"/>
          <w:lang w:val="en-US" w:eastAsia="zh-CN"/>
        </w:rPr>
        <w:t>/次</w:t>
      </w:r>
      <w:r>
        <w:rPr>
          <w:rFonts w:hint="eastAsia" w:ascii="方正仿宋_GBK" w:hAnsi="方正仿宋_GBK" w:eastAsia="方正仿宋_GBK" w:cs="方正仿宋_GBK"/>
          <w:color w:val="auto"/>
          <w:sz w:val="32"/>
          <w:szCs w:val="32"/>
        </w:rPr>
        <w:t>的违约金</w:t>
      </w:r>
      <w:r>
        <w:rPr>
          <w:rFonts w:hint="eastAsia" w:ascii="方正仿宋_GBK" w:hAnsi="方正仿宋_GBK" w:eastAsia="方正仿宋_GBK" w:cs="方正仿宋_GBK"/>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6.2</w:t>
      </w:r>
      <w:r>
        <w:rPr>
          <w:rFonts w:hint="eastAsia" w:ascii="方正仿宋_GBK" w:hAnsi="方正仿宋_GBK" w:eastAsia="方正仿宋_GBK" w:cs="方正仿宋_GBK"/>
          <w:color w:val="auto"/>
          <w:sz w:val="32"/>
          <w:szCs w:val="32"/>
          <w:lang w:eastAsia="zh-CN"/>
        </w:rPr>
        <w:t>施工单位须</w:t>
      </w:r>
      <w:r>
        <w:rPr>
          <w:rFonts w:hint="eastAsia" w:ascii="方正仿宋_GBK" w:hAnsi="方正仿宋_GBK" w:eastAsia="方正仿宋_GBK" w:cs="方正仿宋_GBK"/>
          <w:color w:val="auto"/>
          <w:sz w:val="32"/>
          <w:szCs w:val="32"/>
        </w:rPr>
        <w:t>建立安全管理机构</w:t>
      </w:r>
      <w:r>
        <w:rPr>
          <w:rFonts w:hint="eastAsia" w:ascii="方正仿宋_GBK" w:hAnsi="方正仿宋_GBK" w:eastAsia="方正仿宋_GBK" w:cs="方正仿宋_GBK"/>
          <w:color w:val="auto"/>
          <w:sz w:val="32"/>
          <w:szCs w:val="32"/>
          <w:lang w:eastAsia="zh-CN"/>
        </w:rPr>
        <w:t>或设置安全管理人员，</w:t>
      </w:r>
      <w:r>
        <w:rPr>
          <w:rFonts w:hint="eastAsia" w:ascii="方正仿宋_GBK" w:hAnsi="方正仿宋_GBK" w:eastAsia="方正仿宋_GBK" w:cs="方正仿宋_GBK"/>
          <w:color w:val="auto"/>
          <w:sz w:val="32"/>
          <w:szCs w:val="32"/>
        </w:rPr>
        <w:t>明确责任，</w:t>
      </w:r>
      <w:r>
        <w:rPr>
          <w:rFonts w:hint="eastAsia" w:ascii="方正仿宋_GBK" w:hAnsi="方正仿宋_GBK" w:eastAsia="方正仿宋_GBK" w:cs="方正仿宋_GBK"/>
          <w:color w:val="auto"/>
          <w:sz w:val="32"/>
          <w:szCs w:val="32"/>
          <w:lang w:eastAsia="zh-CN"/>
        </w:rPr>
        <w:t>安全管理人员必须到岗，</w:t>
      </w:r>
      <w:r>
        <w:rPr>
          <w:rFonts w:hint="eastAsia" w:ascii="方正仿宋_GBK" w:hAnsi="方正仿宋_GBK" w:eastAsia="方正仿宋_GBK" w:cs="方正仿宋_GBK"/>
          <w:color w:val="auto"/>
          <w:sz w:val="32"/>
          <w:szCs w:val="32"/>
        </w:rPr>
        <w:t>否则，将处以</w:t>
      </w:r>
      <w:r>
        <w:rPr>
          <w:rFonts w:hint="eastAsia" w:ascii="方正仿宋_GBK" w:hAnsi="方正仿宋_GBK" w:eastAsia="方正仿宋_GBK" w:cs="方正仿宋_GBK"/>
          <w:color w:val="auto"/>
          <w:sz w:val="32"/>
          <w:szCs w:val="32"/>
          <w:lang w:val="en-US" w:eastAsia="zh-CN"/>
        </w:rPr>
        <w:t>10</w:t>
      </w:r>
      <w:r>
        <w:rPr>
          <w:rFonts w:hint="eastAsia" w:ascii="方正仿宋_GBK" w:hAnsi="方正仿宋_GBK" w:eastAsia="方正仿宋_GBK" w:cs="方正仿宋_GBK"/>
          <w:color w:val="auto"/>
          <w:sz w:val="32"/>
          <w:szCs w:val="32"/>
        </w:rPr>
        <w:t>00元</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sz w:val="32"/>
          <w:szCs w:val="32"/>
          <w:lang w:eastAsia="zh-CN"/>
        </w:rPr>
        <w:t>次</w:t>
      </w:r>
      <w:r>
        <w:rPr>
          <w:rFonts w:hint="eastAsia" w:ascii="方正仿宋_GBK" w:hAnsi="方正仿宋_GBK" w:eastAsia="方正仿宋_GBK" w:cs="方正仿宋_GBK"/>
          <w:color w:val="auto"/>
          <w:sz w:val="32"/>
          <w:szCs w:val="32"/>
        </w:rPr>
        <w:t>的违约金。</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lang w:val="en-US" w:eastAsia="zh-CN"/>
        </w:rPr>
        <w:t>6.3</w:t>
      </w:r>
      <w:r>
        <w:rPr>
          <w:rFonts w:hint="eastAsia" w:ascii="方正仿宋_GBK" w:hAnsi="方正仿宋_GBK" w:eastAsia="方正仿宋_GBK" w:cs="方正仿宋_GBK"/>
          <w:color w:val="auto"/>
          <w:sz w:val="32"/>
          <w:szCs w:val="32"/>
          <w:lang w:eastAsia="zh-CN"/>
        </w:rPr>
        <w:t>发包人</w:t>
      </w:r>
      <w:r>
        <w:rPr>
          <w:rFonts w:hint="eastAsia" w:ascii="方正仿宋_GBK" w:hAnsi="方正仿宋_GBK" w:eastAsia="方正仿宋_GBK" w:cs="方正仿宋_GBK"/>
          <w:color w:val="auto"/>
          <w:sz w:val="32"/>
          <w:szCs w:val="32"/>
        </w:rPr>
        <w:t>将</w:t>
      </w:r>
      <w:r>
        <w:rPr>
          <w:rFonts w:hint="eastAsia" w:ascii="方正仿宋_GBK" w:hAnsi="方正仿宋_GBK" w:eastAsia="方正仿宋_GBK" w:cs="方正仿宋_GBK"/>
          <w:color w:val="auto"/>
          <w:sz w:val="32"/>
          <w:szCs w:val="32"/>
          <w:lang w:eastAsia="zh-CN"/>
        </w:rPr>
        <w:t>开展</w:t>
      </w:r>
      <w:r>
        <w:rPr>
          <w:rFonts w:hint="eastAsia" w:ascii="方正仿宋_GBK" w:hAnsi="方正仿宋_GBK" w:eastAsia="方正仿宋_GBK" w:cs="方正仿宋_GBK"/>
          <w:color w:val="auto"/>
          <w:sz w:val="32"/>
          <w:szCs w:val="32"/>
        </w:rPr>
        <w:t>各种形式的安全检查，对施工现场有安全隐患的，</w:t>
      </w:r>
      <w:r>
        <w:rPr>
          <w:rFonts w:hint="eastAsia" w:ascii="方正仿宋_GBK" w:hAnsi="方正仿宋_GBK" w:eastAsia="方正仿宋_GBK" w:cs="方正仿宋_GBK"/>
          <w:color w:val="auto"/>
          <w:sz w:val="32"/>
          <w:szCs w:val="32"/>
          <w:lang w:eastAsia="zh-CN"/>
        </w:rPr>
        <w:t>要立即整改</w:t>
      </w:r>
      <w:r>
        <w:rPr>
          <w:rFonts w:hint="eastAsia" w:ascii="方正仿宋_GBK" w:hAnsi="方正仿宋_GBK" w:eastAsia="方正仿宋_GBK" w:cs="方正仿宋_GBK"/>
          <w:color w:val="auto"/>
          <w:sz w:val="32"/>
          <w:szCs w:val="32"/>
        </w:rPr>
        <w:t>；对现场已发现的安全隐患不及时排除或不采取必要的防护措施的，则处以</w:t>
      </w:r>
      <w:r>
        <w:rPr>
          <w:rFonts w:hint="eastAsia" w:ascii="方正仿宋_GBK" w:hAnsi="方正仿宋_GBK" w:eastAsia="方正仿宋_GBK" w:cs="方正仿宋_GBK"/>
          <w:color w:val="auto"/>
          <w:sz w:val="32"/>
          <w:szCs w:val="32"/>
          <w:lang w:eastAsia="zh-CN"/>
        </w:rPr>
        <w:t>施工单位</w:t>
      </w:r>
      <w:r>
        <w:rPr>
          <w:rFonts w:hint="eastAsia" w:ascii="方正仿宋_GBK" w:hAnsi="方正仿宋_GBK" w:eastAsia="方正仿宋_GBK" w:cs="方正仿宋_GBK"/>
          <w:color w:val="auto"/>
          <w:sz w:val="32"/>
          <w:szCs w:val="32"/>
        </w:rPr>
        <w:t>500～</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000（元/次）的违约金；</w:t>
      </w:r>
      <w:r>
        <w:rPr>
          <w:rFonts w:hint="eastAsia" w:ascii="方正仿宋_GBK" w:hAnsi="方正仿宋_GBK" w:eastAsia="方正仿宋_GBK" w:cs="方正仿宋_GBK"/>
          <w:color w:val="auto"/>
          <w:sz w:val="32"/>
          <w:szCs w:val="32"/>
          <w:lang w:eastAsia="zh-CN"/>
        </w:rPr>
        <w:t>承包人要对安全隐患要零容忍，对隐患整改做到“五落实”。</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6.4</w:t>
      </w:r>
      <w:r>
        <w:rPr>
          <w:rFonts w:hint="eastAsia" w:ascii="方正仿宋_GBK" w:hAnsi="方正仿宋_GBK" w:eastAsia="方正仿宋_GBK" w:cs="方正仿宋_GBK"/>
          <w:color w:val="auto"/>
          <w:sz w:val="32"/>
          <w:szCs w:val="32"/>
          <w:lang w:eastAsia="zh-CN"/>
        </w:rPr>
        <w:t>承包人发生安全生产责任事故的，除接受有关主管部门的处罚外，同时按照安全生产责任事故认定大小，并接受发包人处以合同金额的</w:t>
      </w:r>
      <w:r>
        <w:rPr>
          <w:rFonts w:hint="eastAsia" w:ascii="方正仿宋_GBK" w:hAnsi="方正仿宋_GBK" w:eastAsia="方正仿宋_GBK" w:cs="方正仿宋_GBK"/>
          <w:color w:val="auto"/>
          <w:sz w:val="32"/>
          <w:szCs w:val="32"/>
          <w:lang w:val="en-US" w:eastAsia="zh-CN"/>
        </w:rPr>
        <w:t>10%-30%的违约处理。同时承包人应自行承担事故责任，发包人由此承担了责任的，有权向承包人追偿。</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6.5</w:t>
      </w:r>
      <w:r>
        <w:rPr>
          <w:rFonts w:hint="eastAsia" w:ascii="方正仿宋_GBK" w:hAnsi="方正仿宋_GBK" w:eastAsia="方正仿宋_GBK" w:cs="方正仿宋_GBK"/>
          <w:color w:val="auto"/>
          <w:sz w:val="32"/>
          <w:szCs w:val="32"/>
        </w:rPr>
        <w:t>施工现场必须有明显的各种安全标识及安全保护措施，</w:t>
      </w:r>
      <w:r>
        <w:rPr>
          <w:rFonts w:hint="eastAsia" w:ascii="方正仿宋_GBK" w:hAnsi="方正仿宋_GBK" w:eastAsia="方正仿宋_GBK" w:cs="方正仿宋_GBK"/>
          <w:color w:val="auto"/>
          <w:sz w:val="32"/>
          <w:szCs w:val="32"/>
          <w:lang w:eastAsia="zh-CN"/>
        </w:rPr>
        <w:t>涉路作业必须按照《公路养护安全作业规程》（</w:t>
      </w:r>
      <w:r>
        <w:rPr>
          <w:rFonts w:hint="eastAsia" w:ascii="方正仿宋_GBK" w:hAnsi="方正仿宋_GBK" w:eastAsia="方正仿宋_GBK" w:cs="方正仿宋_GBK"/>
          <w:color w:val="auto"/>
          <w:sz w:val="32"/>
          <w:szCs w:val="32"/>
          <w:lang w:val="en-US" w:eastAsia="zh-CN"/>
        </w:rPr>
        <w:t>JTG H30-2015</w:t>
      </w:r>
      <w:r>
        <w:rPr>
          <w:rFonts w:hint="eastAsia" w:ascii="方正仿宋_GBK" w:hAnsi="方正仿宋_GBK" w:eastAsia="方正仿宋_GBK" w:cs="方正仿宋_GBK"/>
          <w:color w:val="auto"/>
          <w:sz w:val="32"/>
          <w:szCs w:val="32"/>
          <w:lang w:eastAsia="zh-CN"/>
        </w:rPr>
        <w:t>）进行交通组织，</w:t>
      </w:r>
      <w:r>
        <w:rPr>
          <w:rFonts w:hint="eastAsia" w:ascii="方正仿宋_GBK" w:hAnsi="方正仿宋_GBK" w:eastAsia="方正仿宋_GBK" w:cs="方正仿宋_GBK"/>
          <w:color w:val="auto"/>
          <w:sz w:val="32"/>
          <w:szCs w:val="32"/>
        </w:rPr>
        <w:t>否则，处以</w:t>
      </w:r>
      <w:r>
        <w:rPr>
          <w:rFonts w:hint="eastAsia" w:ascii="方正仿宋_GBK" w:hAnsi="方正仿宋_GBK" w:eastAsia="方正仿宋_GBK" w:cs="方正仿宋_GBK"/>
          <w:color w:val="auto"/>
          <w:sz w:val="32"/>
          <w:szCs w:val="32"/>
          <w:lang w:eastAsia="zh-CN"/>
        </w:rPr>
        <w:t>承包人</w:t>
      </w:r>
      <w:r>
        <w:rPr>
          <w:rFonts w:hint="eastAsia" w:ascii="方正仿宋_GBK" w:hAnsi="方正仿宋_GBK" w:eastAsia="方正仿宋_GBK" w:cs="方正仿宋_GBK"/>
          <w:color w:val="auto"/>
          <w:sz w:val="32"/>
          <w:szCs w:val="32"/>
        </w:rPr>
        <w:t>每处</w:t>
      </w:r>
      <w:r>
        <w:rPr>
          <w:rFonts w:hint="eastAsia" w:ascii="方正仿宋_GBK" w:hAnsi="方正仿宋_GBK" w:eastAsia="方正仿宋_GBK" w:cs="方正仿宋_GBK"/>
          <w:color w:val="auto"/>
          <w:sz w:val="32"/>
          <w:szCs w:val="32"/>
          <w:lang w:val="en-US" w:eastAsia="zh-CN"/>
        </w:rPr>
        <w:t>1</w:t>
      </w:r>
      <w:r>
        <w:rPr>
          <w:rFonts w:hint="eastAsia" w:ascii="方正仿宋_GBK" w:hAnsi="方正仿宋_GBK" w:eastAsia="方正仿宋_GBK" w:cs="方正仿宋_GBK"/>
          <w:color w:val="auto"/>
          <w:sz w:val="32"/>
          <w:szCs w:val="32"/>
        </w:rPr>
        <w:t>000元</w:t>
      </w:r>
      <w:r>
        <w:rPr>
          <w:rFonts w:hint="eastAsia" w:ascii="方正仿宋_GBK" w:hAnsi="方正仿宋_GBK" w:eastAsia="方正仿宋_GBK" w:cs="方正仿宋_GBK"/>
          <w:color w:val="auto"/>
          <w:sz w:val="32"/>
          <w:szCs w:val="32"/>
          <w:lang w:val="en-US" w:eastAsia="zh-CN"/>
        </w:rPr>
        <w:t>/次</w:t>
      </w:r>
      <w:r>
        <w:rPr>
          <w:rFonts w:hint="eastAsia" w:ascii="方正仿宋_GBK" w:hAnsi="方正仿宋_GBK" w:eastAsia="方正仿宋_GBK" w:cs="方正仿宋_GBK"/>
          <w:color w:val="auto"/>
          <w:sz w:val="32"/>
          <w:szCs w:val="32"/>
        </w:rPr>
        <w:t>违约金</w:t>
      </w:r>
      <w:r>
        <w:rPr>
          <w:rFonts w:hint="eastAsia" w:ascii="方正仿宋_GBK" w:hAnsi="方正仿宋_GBK" w:eastAsia="方正仿宋_GBK" w:cs="方正仿宋_GBK"/>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6.6</w:t>
      </w:r>
      <w:r>
        <w:rPr>
          <w:rFonts w:hint="eastAsia" w:ascii="方正仿宋_GBK" w:hAnsi="方正仿宋_GBK" w:eastAsia="方正仿宋_GBK" w:cs="方正仿宋_GBK"/>
          <w:color w:val="auto"/>
          <w:sz w:val="32"/>
          <w:szCs w:val="32"/>
        </w:rPr>
        <w:t>承包人必须文明施工，施工现场整齐规范，无乱堆乱放</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 xml:space="preserve">由于生产、生活原因破坏生态环境，每处违约金 </w:t>
      </w:r>
      <w:r>
        <w:rPr>
          <w:rFonts w:hint="eastAsia" w:ascii="方正仿宋_GBK" w:hAnsi="方正仿宋_GBK" w:eastAsia="方正仿宋_GBK" w:cs="方正仿宋_GBK"/>
          <w:color w:val="auto"/>
          <w:sz w:val="32"/>
          <w:szCs w:val="32"/>
          <w:lang w:val="en-US" w:eastAsia="zh-CN"/>
        </w:rPr>
        <w:t>5</w:t>
      </w:r>
      <w:r>
        <w:rPr>
          <w:rFonts w:hint="eastAsia" w:ascii="方正仿宋_GBK" w:hAnsi="方正仿宋_GBK" w:eastAsia="方正仿宋_GBK" w:cs="方正仿宋_GBK"/>
          <w:color w:val="auto"/>
          <w:sz w:val="32"/>
          <w:szCs w:val="32"/>
        </w:rPr>
        <w:t>00元/次，并限期整改。</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6.7</w:t>
      </w:r>
      <w:r>
        <w:rPr>
          <w:rFonts w:hint="eastAsia" w:ascii="方正仿宋_GBK" w:hAnsi="方正仿宋_GBK" w:eastAsia="方正仿宋_GBK" w:cs="方正仿宋_GBK"/>
          <w:color w:val="auto"/>
          <w:sz w:val="32"/>
          <w:szCs w:val="32"/>
        </w:rPr>
        <w:t>特种工作人员，无证上岗的，则处以</w:t>
      </w:r>
      <w:r>
        <w:rPr>
          <w:rFonts w:hint="eastAsia" w:ascii="方正仿宋_GBK" w:hAnsi="方正仿宋_GBK" w:eastAsia="方正仿宋_GBK" w:cs="方正仿宋_GBK"/>
          <w:color w:val="auto"/>
          <w:sz w:val="32"/>
          <w:szCs w:val="32"/>
          <w:lang w:eastAsia="zh-CN"/>
        </w:rPr>
        <w:t>施工单位</w:t>
      </w:r>
      <w:r>
        <w:rPr>
          <w:rFonts w:hint="eastAsia" w:ascii="方正仿宋_GBK" w:hAnsi="方正仿宋_GBK" w:eastAsia="方正仿宋_GBK" w:cs="方正仿宋_GBK"/>
          <w:color w:val="auto"/>
          <w:sz w:val="32"/>
          <w:szCs w:val="32"/>
          <w:lang w:val="en-US" w:eastAsia="zh-CN"/>
        </w:rPr>
        <w:t>5</w:t>
      </w:r>
      <w:r>
        <w:rPr>
          <w:rFonts w:hint="eastAsia" w:ascii="方正仿宋_GBK" w:hAnsi="方正仿宋_GBK" w:eastAsia="方正仿宋_GBK" w:cs="方正仿宋_GBK"/>
          <w:color w:val="auto"/>
          <w:sz w:val="32"/>
          <w:szCs w:val="32"/>
        </w:rPr>
        <w:t>00元/人的违约金，并责令更换无证人员。</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lang w:val="en-US" w:eastAsia="zh-CN"/>
        </w:rPr>
        <w:t>6.8</w:t>
      </w:r>
      <w:r>
        <w:rPr>
          <w:rFonts w:hint="eastAsia" w:ascii="方正仿宋_GBK" w:hAnsi="方正仿宋_GBK" w:eastAsia="方正仿宋_GBK" w:cs="方正仿宋_GBK"/>
          <w:color w:val="auto"/>
          <w:sz w:val="32"/>
          <w:szCs w:val="32"/>
        </w:rPr>
        <w:t>未参加岗前培训</w:t>
      </w:r>
      <w:r>
        <w:rPr>
          <w:rFonts w:hint="eastAsia" w:ascii="方正仿宋_GBK" w:hAnsi="方正仿宋_GBK" w:eastAsia="方正仿宋_GBK" w:cs="方正仿宋_GBK"/>
          <w:color w:val="auto"/>
          <w:sz w:val="32"/>
          <w:szCs w:val="32"/>
          <w:lang w:val="en-US" w:eastAsia="zh-CN"/>
        </w:rPr>
        <w:t>或</w:t>
      </w:r>
      <w:r>
        <w:rPr>
          <w:rFonts w:hint="eastAsia" w:ascii="方正仿宋_GBK" w:hAnsi="方正仿宋_GBK" w:eastAsia="方正仿宋_GBK" w:cs="方正仿宋_GBK"/>
          <w:color w:val="auto"/>
          <w:sz w:val="32"/>
          <w:szCs w:val="32"/>
        </w:rPr>
        <w:t>未购买保险的</w:t>
      </w:r>
      <w:r>
        <w:rPr>
          <w:rFonts w:hint="eastAsia" w:ascii="方正仿宋_GBK" w:hAnsi="方正仿宋_GBK" w:eastAsia="方正仿宋_GBK" w:cs="方正仿宋_GBK"/>
          <w:color w:val="auto"/>
          <w:sz w:val="32"/>
          <w:szCs w:val="32"/>
          <w:lang w:eastAsia="zh-CN"/>
        </w:rPr>
        <w:t>作业</w:t>
      </w:r>
      <w:r>
        <w:rPr>
          <w:rFonts w:hint="eastAsia" w:ascii="方正仿宋_GBK" w:hAnsi="方正仿宋_GBK" w:eastAsia="方正仿宋_GBK" w:cs="方正仿宋_GBK"/>
          <w:color w:val="auto"/>
          <w:sz w:val="32"/>
          <w:szCs w:val="32"/>
        </w:rPr>
        <w:t>人员从事养护施工作业，则处以</w:t>
      </w:r>
      <w:r>
        <w:rPr>
          <w:rFonts w:hint="eastAsia" w:ascii="方正仿宋_GBK" w:hAnsi="方正仿宋_GBK" w:eastAsia="方正仿宋_GBK" w:cs="方正仿宋_GBK"/>
          <w:color w:val="auto"/>
          <w:sz w:val="32"/>
          <w:szCs w:val="32"/>
          <w:lang w:eastAsia="zh-CN"/>
        </w:rPr>
        <w:t>施工单位</w:t>
      </w:r>
      <w:r>
        <w:rPr>
          <w:rFonts w:hint="eastAsia" w:ascii="方正仿宋_GBK" w:hAnsi="方正仿宋_GBK" w:eastAsia="方正仿宋_GBK" w:cs="方正仿宋_GBK"/>
          <w:color w:val="auto"/>
          <w:sz w:val="32"/>
          <w:szCs w:val="32"/>
          <w:lang w:val="en-US" w:eastAsia="zh-CN"/>
        </w:rPr>
        <w:t>5</w:t>
      </w:r>
      <w:r>
        <w:rPr>
          <w:rFonts w:hint="eastAsia" w:ascii="方正仿宋_GBK" w:hAnsi="方正仿宋_GBK" w:eastAsia="方正仿宋_GBK" w:cs="方正仿宋_GBK"/>
          <w:color w:val="auto"/>
          <w:sz w:val="32"/>
          <w:szCs w:val="32"/>
        </w:rPr>
        <w:t>00元/人的违约金，并责令更换人员。</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6.9</w:t>
      </w:r>
      <w:r>
        <w:rPr>
          <w:rFonts w:hint="eastAsia" w:ascii="方正仿宋_GBK" w:hAnsi="方正仿宋_GBK" w:eastAsia="方正仿宋_GBK" w:cs="方正仿宋_GBK"/>
          <w:color w:val="auto"/>
          <w:sz w:val="32"/>
          <w:szCs w:val="32"/>
          <w:lang w:eastAsia="zh-CN"/>
        </w:rPr>
        <w:t>施工单位或施工现场</w:t>
      </w:r>
      <w:r>
        <w:rPr>
          <w:rFonts w:hint="eastAsia" w:ascii="方正仿宋_GBK" w:hAnsi="方正仿宋_GBK" w:eastAsia="方正仿宋_GBK" w:cs="方正仿宋_GBK"/>
          <w:color w:val="auto"/>
          <w:sz w:val="32"/>
          <w:szCs w:val="32"/>
        </w:rPr>
        <w:t>有如下情况之一者，每人每次处以违约金</w:t>
      </w:r>
      <w:r>
        <w:rPr>
          <w:rFonts w:hint="eastAsia" w:ascii="方正仿宋_GBK" w:hAnsi="方正仿宋_GBK" w:eastAsia="方正仿宋_GBK" w:cs="方正仿宋_GBK"/>
          <w:color w:val="auto"/>
          <w:sz w:val="32"/>
          <w:szCs w:val="32"/>
          <w:lang w:val="en-US" w:eastAsia="zh-CN"/>
        </w:rPr>
        <w:t>5</w:t>
      </w:r>
      <w:r>
        <w:rPr>
          <w:rFonts w:hint="eastAsia" w:ascii="方正仿宋_GBK" w:hAnsi="方正仿宋_GBK" w:eastAsia="方正仿宋_GBK" w:cs="方正仿宋_GBK"/>
          <w:color w:val="auto"/>
          <w:sz w:val="32"/>
          <w:szCs w:val="32"/>
        </w:rPr>
        <w:t>00～</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000元：</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6.9.1</w:t>
      </w:r>
      <w:r>
        <w:rPr>
          <w:rFonts w:hint="eastAsia" w:ascii="方正仿宋_GBK" w:hAnsi="方正仿宋_GBK" w:eastAsia="方正仿宋_GBK" w:cs="方正仿宋_GBK"/>
          <w:color w:val="auto"/>
          <w:sz w:val="32"/>
          <w:szCs w:val="32"/>
        </w:rPr>
        <w:t>违章指挥，强令施工人员违章作业者。</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6.9.2</w:t>
      </w:r>
      <w:r>
        <w:rPr>
          <w:rFonts w:hint="eastAsia" w:ascii="方正仿宋_GBK" w:hAnsi="方正仿宋_GBK" w:eastAsia="方正仿宋_GBK" w:cs="方正仿宋_GBK"/>
          <w:color w:val="auto"/>
          <w:sz w:val="32"/>
          <w:szCs w:val="32"/>
        </w:rPr>
        <w:t>不遵守安全生产技术操作规程。</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6.9.3</w:t>
      </w:r>
      <w:r>
        <w:rPr>
          <w:rFonts w:hint="eastAsia" w:ascii="方正仿宋_GBK" w:hAnsi="方正仿宋_GBK" w:eastAsia="方正仿宋_GBK" w:cs="方正仿宋_GBK"/>
          <w:color w:val="auto"/>
          <w:sz w:val="32"/>
          <w:szCs w:val="32"/>
        </w:rPr>
        <w:t>发现事故隐患苗头，未采取积极有效措施及时整改者。</w:t>
      </w:r>
      <w:r>
        <w:rPr>
          <w:rFonts w:hint="eastAsia" w:ascii="方正仿宋_GBK" w:hAnsi="方正仿宋_GBK" w:eastAsia="方正仿宋_GBK" w:cs="方正仿宋_GBK"/>
          <w:color w:val="auto"/>
          <w:sz w:val="32"/>
          <w:szCs w:val="32"/>
          <w:lang w:val="en-US" w:eastAsia="zh-CN"/>
        </w:rPr>
        <w:t xml:space="preserve"> 6.9.4</w:t>
      </w:r>
      <w:r>
        <w:rPr>
          <w:rFonts w:hint="eastAsia" w:ascii="方正仿宋_GBK" w:hAnsi="方正仿宋_GBK" w:eastAsia="方正仿宋_GBK" w:cs="方正仿宋_GBK"/>
          <w:color w:val="auto"/>
          <w:sz w:val="32"/>
          <w:szCs w:val="32"/>
        </w:rPr>
        <w:t>发生事故隐患不报告，或隐瞒事故真相，或未保护好事故现场者。</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6.9.5</w:t>
      </w:r>
      <w:r>
        <w:rPr>
          <w:rFonts w:hint="eastAsia" w:ascii="方正仿宋_GBK" w:hAnsi="方正仿宋_GBK" w:eastAsia="方正仿宋_GBK" w:cs="方正仿宋_GBK"/>
          <w:color w:val="auto"/>
          <w:sz w:val="32"/>
          <w:szCs w:val="32"/>
          <w:lang w:eastAsia="zh-CN"/>
        </w:rPr>
        <w:t>使用</w:t>
      </w:r>
      <w:r>
        <w:rPr>
          <w:rFonts w:hint="eastAsia" w:ascii="方正仿宋_GBK" w:hAnsi="方正仿宋_GBK" w:eastAsia="方正仿宋_GBK" w:cs="方正仿宋_GBK"/>
          <w:color w:val="auto"/>
          <w:sz w:val="32"/>
          <w:szCs w:val="32"/>
        </w:rPr>
        <w:t>安全生产用品不符合使用质量要求者。</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6.9.6</w:t>
      </w:r>
      <w:r>
        <w:rPr>
          <w:rFonts w:hint="eastAsia" w:ascii="方正仿宋_GBK" w:hAnsi="方正仿宋_GBK" w:eastAsia="方正仿宋_GBK" w:cs="方正仿宋_GBK"/>
          <w:color w:val="auto"/>
          <w:sz w:val="32"/>
          <w:szCs w:val="32"/>
        </w:rPr>
        <w:t>未配带安全防护器具者。</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6.9.7</w:t>
      </w:r>
      <w:r>
        <w:rPr>
          <w:rFonts w:hint="eastAsia" w:ascii="方正仿宋_GBK" w:hAnsi="方正仿宋_GBK" w:eastAsia="方正仿宋_GBK" w:cs="方正仿宋_GBK"/>
          <w:color w:val="auto"/>
          <w:sz w:val="32"/>
          <w:szCs w:val="32"/>
        </w:rPr>
        <w:t>在未摆放安全锥标</w:t>
      </w:r>
      <w:r>
        <w:rPr>
          <w:rFonts w:hint="eastAsia" w:ascii="方正仿宋_GBK" w:hAnsi="方正仿宋_GBK" w:eastAsia="方正仿宋_GBK" w:cs="方正仿宋_GBK"/>
          <w:color w:val="auto"/>
          <w:sz w:val="32"/>
          <w:szCs w:val="32"/>
          <w:lang w:eastAsia="zh-CN"/>
        </w:rPr>
        <w:t>情况下在</w:t>
      </w:r>
      <w:r>
        <w:rPr>
          <w:rFonts w:hint="eastAsia" w:ascii="方正仿宋_GBK" w:hAnsi="方正仿宋_GBK" w:eastAsia="方正仿宋_GBK" w:cs="方正仿宋_GBK"/>
          <w:color w:val="auto"/>
          <w:sz w:val="32"/>
          <w:szCs w:val="32"/>
        </w:rPr>
        <w:t>紧急停车带内临时停车</w:t>
      </w:r>
      <w:r>
        <w:rPr>
          <w:rFonts w:hint="eastAsia" w:ascii="方正仿宋_GBK" w:hAnsi="方正仿宋_GBK" w:eastAsia="方正仿宋_GBK" w:cs="方正仿宋_GBK"/>
          <w:color w:val="auto"/>
          <w:sz w:val="32"/>
          <w:szCs w:val="32"/>
          <w:lang w:eastAsia="zh-CN"/>
        </w:rPr>
        <w:t>作业、较长时间停车情况下车内留人</w:t>
      </w:r>
      <w:r>
        <w:rPr>
          <w:rFonts w:hint="eastAsia" w:ascii="方正仿宋_GBK" w:hAnsi="方正仿宋_GBK" w:eastAsia="方正仿宋_GBK" w:cs="方正仿宋_GBK"/>
          <w:color w:val="auto"/>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6.9.8</w:t>
      </w:r>
      <w:r>
        <w:rPr>
          <w:rFonts w:hint="eastAsia" w:ascii="方正仿宋_GBK" w:hAnsi="方正仿宋_GBK" w:eastAsia="方正仿宋_GBK" w:cs="方正仿宋_GBK"/>
          <w:color w:val="auto"/>
          <w:sz w:val="32"/>
          <w:szCs w:val="32"/>
        </w:rPr>
        <w:t>在6级以上大风天气开展高处作业、吊装作业和能见度&lt;50米的气候条件下室外作业。</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6.9.9</w:t>
      </w:r>
      <w:r>
        <w:rPr>
          <w:rFonts w:hint="eastAsia" w:ascii="方正仿宋_GBK" w:hAnsi="方正仿宋_GBK" w:eastAsia="方正仿宋_GBK" w:cs="方正仿宋_GBK"/>
          <w:color w:val="auto"/>
          <w:sz w:val="32"/>
          <w:szCs w:val="32"/>
        </w:rPr>
        <w:t>在通车的道路内采用攀登脚手架、井字架、龙门架进行高处移动作业。</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6.9.10</w:t>
      </w:r>
      <w:r>
        <w:rPr>
          <w:rFonts w:hint="eastAsia" w:ascii="方正仿宋_GBK" w:hAnsi="方正仿宋_GBK" w:eastAsia="方正仿宋_GBK" w:cs="方正仿宋_GBK"/>
          <w:color w:val="auto"/>
          <w:sz w:val="32"/>
          <w:szCs w:val="32"/>
        </w:rPr>
        <w:t>开展高压外线巡检、供配电维护、高位水池检查</w:t>
      </w:r>
      <w:r>
        <w:rPr>
          <w:rFonts w:hint="eastAsia" w:ascii="方正仿宋_GBK" w:hAnsi="方正仿宋_GBK" w:eastAsia="方正仿宋_GBK" w:cs="方正仿宋_GBK"/>
          <w:color w:val="auto"/>
          <w:sz w:val="32"/>
          <w:szCs w:val="32"/>
          <w:lang w:eastAsia="zh-CN"/>
        </w:rPr>
        <w:t>等作业，未按要求监护的。</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6.9.11施工单位未按规定办理相关施工手或施工手续不全、施工作业范围不在审批的手续范围内、擅自施工或未在维护中心、机电站报备的。</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7、违约处理程序</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7.1违约发现：</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违约监督人员在履行发包人的监督检查工作中，发现承包人有违约行为，应现场及时制止、纠正、整改承包人的违约行为，作好记录，让承包人现场人员确认。</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7.2违约处理：</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具有处理权限人员根据监督人员记录的承包人违约行为，按本文件规定作出处理决定，填写《违约处理通知书》，与《监督检查记录表》一并交职能部门，由职能部门最终确认。</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7.3</w:t>
      </w:r>
      <w:r>
        <w:rPr>
          <w:rFonts w:hint="eastAsia" w:ascii="方正仿宋_GBK" w:hAnsi="方正仿宋_GBK" w:eastAsia="方正仿宋_GBK" w:cs="方正仿宋_GBK"/>
          <w:color w:val="auto"/>
          <w:sz w:val="32"/>
          <w:szCs w:val="32"/>
        </w:rPr>
        <w:t>违约</w:t>
      </w:r>
      <w:r>
        <w:rPr>
          <w:rFonts w:hint="eastAsia" w:ascii="方正仿宋_GBK" w:hAnsi="方正仿宋_GBK" w:eastAsia="方正仿宋_GBK" w:cs="方正仿宋_GBK"/>
          <w:color w:val="auto"/>
          <w:sz w:val="32"/>
          <w:szCs w:val="32"/>
          <w:lang w:eastAsia="zh-CN"/>
        </w:rPr>
        <w:t>处理</w:t>
      </w:r>
      <w:r>
        <w:rPr>
          <w:rFonts w:hint="eastAsia" w:ascii="方正仿宋_GBK" w:hAnsi="方正仿宋_GBK" w:eastAsia="方正仿宋_GBK" w:cs="方正仿宋_GBK"/>
          <w:color w:val="auto"/>
          <w:sz w:val="32"/>
          <w:szCs w:val="32"/>
        </w:rPr>
        <w:t>的</w:t>
      </w:r>
      <w:r>
        <w:rPr>
          <w:rFonts w:hint="eastAsia" w:ascii="方正仿宋_GBK" w:hAnsi="方正仿宋_GBK" w:eastAsia="方正仿宋_GBK" w:cs="方正仿宋_GBK"/>
          <w:color w:val="auto"/>
          <w:sz w:val="32"/>
          <w:szCs w:val="32"/>
          <w:lang w:eastAsia="zh-CN"/>
        </w:rPr>
        <w:t>执行</w:t>
      </w:r>
      <w:r>
        <w:rPr>
          <w:rFonts w:hint="eastAsia" w:ascii="方正仿宋_GBK" w:hAnsi="方正仿宋_GBK" w:eastAsia="方正仿宋_GBK" w:cs="方正仿宋_GBK"/>
          <w:color w:val="auto"/>
          <w:sz w:val="32"/>
          <w:szCs w:val="32"/>
        </w:rPr>
        <w:t>：</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承包人的项目完工后，在履约保障金在退还时，</w:t>
      </w:r>
      <w:r>
        <w:rPr>
          <w:rFonts w:hint="eastAsia" w:ascii="方正仿宋_GBK" w:hAnsi="方正仿宋_GBK" w:eastAsia="方正仿宋_GBK" w:cs="方正仿宋_GBK"/>
          <w:color w:val="auto"/>
          <w:sz w:val="32"/>
          <w:szCs w:val="32"/>
          <w:lang w:val="en-US" w:eastAsia="zh-CN"/>
        </w:rPr>
        <w:t>发包人（</w:t>
      </w:r>
      <w:r>
        <w:rPr>
          <w:rFonts w:hint="eastAsia" w:ascii="方正仿宋_GBK" w:hAnsi="方正仿宋_GBK" w:eastAsia="方正仿宋_GBK" w:cs="方正仿宋_GBK"/>
          <w:color w:val="auto"/>
          <w:sz w:val="32"/>
          <w:szCs w:val="32"/>
          <w:lang w:eastAsia="zh-CN"/>
        </w:rPr>
        <w:t>工程管理部、智能交通研发中心</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sz w:val="32"/>
          <w:szCs w:val="32"/>
          <w:lang w:eastAsia="zh-CN"/>
        </w:rPr>
        <w:t>根据</w:t>
      </w:r>
      <w:r>
        <w:rPr>
          <w:rFonts w:hint="eastAsia" w:ascii="方正仿宋_GBK" w:hAnsi="方正仿宋_GBK" w:eastAsia="方正仿宋_GBK" w:cs="方正仿宋_GBK"/>
          <w:color w:val="auto"/>
          <w:sz w:val="32"/>
          <w:szCs w:val="32"/>
          <w:lang w:val="en-US" w:eastAsia="zh-CN"/>
        </w:rPr>
        <w:t>承包人</w:t>
      </w:r>
      <w:r>
        <w:rPr>
          <w:rFonts w:hint="eastAsia" w:ascii="方正仿宋_GBK" w:hAnsi="方正仿宋_GBK" w:eastAsia="方正仿宋_GBK" w:cs="方正仿宋_GBK"/>
          <w:color w:val="auto"/>
          <w:sz w:val="32"/>
          <w:szCs w:val="32"/>
          <w:lang w:eastAsia="zh-CN"/>
        </w:rPr>
        <w:t>在该项目实施过程中所获得的</w:t>
      </w:r>
      <w:r>
        <w:rPr>
          <w:rFonts w:hint="eastAsia" w:ascii="方正仿宋_GBK" w:hAnsi="方正仿宋_GBK" w:eastAsia="方正仿宋_GBK" w:cs="方正仿宋_GBK"/>
          <w:color w:val="auto"/>
          <w:sz w:val="32"/>
          <w:szCs w:val="32"/>
          <w:lang w:val="en-US" w:eastAsia="zh-CN"/>
        </w:rPr>
        <w:t>《违约处理通知书》计算</w:t>
      </w:r>
      <w:r>
        <w:rPr>
          <w:rFonts w:hint="eastAsia" w:ascii="方正仿宋_GBK" w:hAnsi="方正仿宋_GBK" w:eastAsia="方正仿宋_GBK" w:cs="方正仿宋_GBK"/>
          <w:color w:val="auto"/>
          <w:sz w:val="32"/>
          <w:szCs w:val="32"/>
          <w:lang w:eastAsia="zh-CN"/>
        </w:rPr>
        <w:t>累计处理金额，并在履约保障金中扣除，未缴纳履约保证金或履约保证金不足的，在结算支付款中扣除。</w:t>
      </w:r>
    </w:p>
    <w:p>
      <w:pPr>
        <w:keepNext w:val="0"/>
        <w:keepLines w:val="0"/>
        <w:pageBreakBefore w:val="0"/>
        <w:widowControl w:val="0"/>
        <w:numPr>
          <w:ilvl w:val="-1"/>
          <w:numId w:val="0"/>
        </w:numPr>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8、相关记录：</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《监督检查记录表》</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《违约处理通知书》</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9、其它</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9</w:t>
      </w:r>
      <w:r>
        <w:rPr>
          <w:rFonts w:hint="eastAsia" w:ascii="方正仿宋_GBK" w:hAnsi="方正仿宋_GBK" w:eastAsia="方正仿宋_GBK" w:cs="方正仿宋_GBK"/>
          <w:color w:val="auto"/>
          <w:sz w:val="32"/>
          <w:szCs w:val="32"/>
        </w:rPr>
        <w:t>.1本规定在使用过程中，应结合</w:t>
      </w:r>
      <w:r>
        <w:rPr>
          <w:rFonts w:hint="eastAsia" w:ascii="方正仿宋_GBK" w:hAnsi="方正仿宋_GBK" w:eastAsia="方正仿宋_GBK" w:cs="方正仿宋_GBK"/>
          <w:color w:val="auto"/>
          <w:sz w:val="32"/>
          <w:szCs w:val="32"/>
          <w:lang w:val="en-US" w:eastAsia="zh-CN"/>
        </w:rPr>
        <w:t>发包人</w:t>
      </w:r>
      <w:r>
        <w:rPr>
          <w:rFonts w:hint="eastAsia" w:ascii="方正仿宋_GBK" w:hAnsi="方正仿宋_GBK" w:eastAsia="方正仿宋_GBK" w:cs="方正仿宋_GBK"/>
          <w:color w:val="auto"/>
          <w:sz w:val="32"/>
          <w:szCs w:val="32"/>
        </w:rPr>
        <w:t>实施的各项管理办法及规章制度等执行。</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9.2</w:t>
      </w:r>
      <w:r>
        <w:rPr>
          <w:rFonts w:hint="eastAsia" w:ascii="方正仿宋_GBK" w:hAnsi="方正仿宋_GBK" w:eastAsia="方正仿宋_GBK" w:cs="方正仿宋_GBK"/>
          <w:color w:val="auto"/>
          <w:sz w:val="32"/>
          <w:szCs w:val="32"/>
        </w:rPr>
        <w:t>本规定对合同协议双方当事人具有约束力。若出现违约，须严格按以上规定进行违约处理，对严重违约或不履约者，</w:t>
      </w:r>
      <w:r>
        <w:rPr>
          <w:rFonts w:hint="eastAsia" w:ascii="方正仿宋_GBK" w:hAnsi="方正仿宋_GBK" w:eastAsia="方正仿宋_GBK" w:cs="方正仿宋_GBK"/>
          <w:color w:val="auto"/>
          <w:sz w:val="32"/>
          <w:szCs w:val="32"/>
          <w:lang w:eastAsia="zh-CN"/>
        </w:rPr>
        <w:t>或有以上违约行为超过</w:t>
      </w:r>
      <w:r>
        <w:rPr>
          <w:rFonts w:hint="eastAsia" w:ascii="方正仿宋_GBK" w:hAnsi="方正仿宋_GBK" w:eastAsia="方正仿宋_GBK" w:cs="方正仿宋_GBK"/>
          <w:color w:val="auto"/>
          <w:sz w:val="32"/>
          <w:szCs w:val="32"/>
          <w:lang w:val="en-US" w:eastAsia="zh-CN"/>
        </w:rPr>
        <w:t xml:space="preserve">  次的，</w:t>
      </w:r>
      <w:r>
        <w:rPr>
          <w:rFonts w:hint="eastAsia" w:ascii="方正仿宋_GBK" w:hAnsi="方正仿宋_GBK" w:eastAsia="方正仿宋_GBK" w:cs="方正仿宋_GBK"/>
          <w:color w:val="auto"/>
          <w:sz w:val="32"/>
          <w:szCs w:val="32"/>
          <w:lang w:eastAsia="zh-CN"/>
        </w:rPr>
        <w:t>发包人</w:t>
      </w:r>
      <w:r>
        <w:rPr>
          <w:rFonts w:hint="eastAsia" w:ascii="方正仿宋_GBK" w:hAnsi="方正仿宋_GBK" w:eastAsia="方正仿宋_GBK" w:cs="方正仿宋_GBK"/>
          <w:color w:val="auto"/>
          <w:sz w:val="32"/>
          <w:szCs w:val="32"/>
        </w:rPr>
        <w:t>有权</w:t>
      </w:r>
      <w:r>
        <w:rPr>
          <w:rFonts w:hint="eastAsia" w:ascii="方正仿宋_GBK" w:hAnsi="方正仿宋_GBK" w:eastAsia="方正仿宋_GBK" w:cs="方正仿宋_GBK"/>
          <w:color w:val="auto"/>
          <w:sz w:val="32"/>
          <w:szCs w:val="32"/>
          <w:lang w:eastAsia="zh-CN"/>
        </w:rPr>
        <w:t>解除</w:t>
      </w:r>
      <w:r>
        <w:rPr>
          <w:rFonts w:hint="eastAsia" w:ascii="方正仿宋_GBK" w:hAnsi="方正仿宋_GBK" w:eastAsia="方正仿宋_GBK" w:cs="方正仿宋_GBK"/>
          <w:color w:val="auto"/>
          <w:sz w:val="32"/>
          <w:szCs w:val="32"/>
        </w:rPr>
        <w:t>合同，并有权要求其赔偿损失。</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9.3</w:t>
      </w:r>
      <w:r>
        <w:rPr>
          <w:rFonts w:hint="eastAsia" w:ascii="方正仿宋_GBK" w:hAnsi="方正仿宋_GBK" w:eastAsia="方正仿宋_GBK" w:cs="方正仿宋_GBK"/>
          <w:color w:val="auto"/>
          <w:sz w:val="32"/>
          <w:szCs w:val="32"/>
        </w:rPr>
        <w:t>本办法未尽事宜由</w:t>
      </w:r>
      <w:r>
        <w:rPr>
          <w:rFonts w:hint="eastAsia" w:ascii="方正仿宋_GBK" w:hAnsi="方正仿宋_GBK" w:eastAsia="方正仿宋_GBK" w:cs="方正仿宋_GBK"/>
          <w:color w:val="auto"/>
          <w:sz w:val="32"/>
          <w:szCs w:val="32"/>
          <w:lang w:eastAsia="zh-CN"/>
        </w:rPr>
        <w:t>发包人</w:t>
      </w:r>
      <w:r>
        <w:rPr>
          <w:rFonts w:hint="eastAsia" w:ascii="方正仿宋_GBK" w:hAnsi="方正仿宋_GBK" w:eastAsia="方正仿宋_GBK" w:cs="方正仿宋_GBK"/>
          <w:color w:val="auto"/>
          <w:sz w:val="32"/>
          <w:szCs w:val="32"/>
        </w:rPr>
        <w:t>在过程中另行补充完善和约定执行。</w:t>
      </w:r>
    </w:p>
    <w:p>
      <w:pPr>
        <w:spacing w:line="360" w:lineRule="auto"/>
        <w:rPr>
          <w:rFonts w:hint="eastAsia" w:ascii="仿宋_GB2312" w:eastAsia="仿宋_GB2312"/>
          <w:color w:val="auto"/>
          <w:sz w:val="32"/>
          <w:szCs w:val="32"/>
        </w:rPr>
      </w:pPr>
    </w:p>
    <w:p>
      <w:pPr>
        <w:ind w:firstLine="640" w:firstLineChars="200"/>
        <w:rPr>
          <w:rFonts w:ascii="方正仿宋_GBK" w:hAnsi="方正仿宋_GBK" w:eastAsia="方正仿宋_GBK" w:cs="方正仿宋_GBK"/>
          <w:b/>
          <w:bCs/>
          <w:color w:val="auto"/>
          <w:sz w:val="32"/>
          <w:szCs w:val="32"/>
        </w:rPr>
      </w:pPr>
      <w:r>
        <w:rPr>
          <w:color w:val="auto"/>
          <w:sz w:val="32"/>
          <w:szCs w:val="32"/>
        </w:rPr>
        <mc:AlternateContent>
          <mc:Choice Requires="wps">
            <w:drawing>
              <wp:anchor distT="0" distB="0" distL="114300" distR="114300" simplePos="0" relativeHeight="251658240" behindDoc="0" locked="0" layoutInCell="1" allowOverlap="1">
                <wp:simplePos x="0" y="0"/>
                <wp:positionH relativeFrom="column">
                  <wp:posOffset>9525</wp:posOffset>
                </wp:positionH>
                <wp:positionV relativeFrom="paragraph">
                  <wp:posOffset>384810</wp:posOffset>
                </wp:positionV>
                <wp:extent cx="2614930" cy="635"/>
                <wp:effectExtent l="0" t="0" r="0" b="0"/>
                <wp:wrapNone/>
                <wp:docPr id="2" name="直接连接符 2"/>
                <wp:cNvGraphicFramePr/>
                <a:graphic xmlns:a="http://schemas.openxmlformats.org/drawingml/2006/main">
                  <a:graphicData uri="http://schemas.microsoft.com/office/word/2010/wordprocessingShape">
                    <wps:wsp>
                      <wps:cNvCnPr/>
                      <wps:spPr>
                        <a:xfrm>
                          <a:off x="0" y="0"/>
                          <a:ext cx="2614930" cy="635"/>
                        </a:xfrm>
                        <a:prstGeom prst="line">
                          <a:avLst/>
                        </a:prstGeom>
                        <a:ln w="1905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75pt;margin-top:30.3pt;height:0.05pt;width:205.9pt;z-index:251658240;mso-width-relative:page;mso-height-relative:page;" filled="f" stroked="t" coordsize="21600,21600" o:gfxdata="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bUiX1AAAAAcBAAAPAAAA&#10;AAAAAAEAIAAAACIAAABkcnMvZG93bnJldi54bWxQSwECFAAUAAAACACHTuJAt/lGIOABAACnAwAA&#10;DgAAAAAAAAABACAAAAAjAQAAZHJzL2Uyb0RvYy54bWxQSwUGAAAAAAYABgBZAQAAdQUAAAAA&#10;">
                <v:fill on="f" focussize="0,0"/>
                <v:stroke weight="1.5pt" color="#000000" joinstyle="round"/>
                <v:imagedata o:title=""/>
                <o:lock v:ext="edit" aspectratio="f"/>
              </v:line>
            </w:pict>
          </mc:Fallback>
        </mc:AlternateContent>
      </w:r>
    </w:p>
    <w:p>
      <w:pPr>
        <w:ind w:firstLine="640" w:firstLineChars="200"/>
        <w:rPr>
          <w:rFonts w:ascii="方正黑体_GBK" w:hAnsi="方正黑体_GBK" w:eastAsia="方正黑体_GBK" w:cs="方正黑体_GBK"/>
          <w:color w:val="auto"/>
          <w:sz w:val="32"/>
          <w:szCs w:val="32"/>
        </w:rPr>
      </w:pPr>
      <w:r>
        <w:rPr>
          <w:rFonts w:hint="eastAsia" w:ascii="方正黑体_GBK" w:hAnsi="方正黑体_GBK" w:eastAsia="方正黑体_GBK" w:cs="方正黑体_GBK"/>
          <w:color w:val="auto"/>
          <w:sz w:val="32"/>
          <w:szCs w:val="32"/>
        </w:rPr>
        <w:t>起草部门：安全管理部</w:t>
      </w:r>
    </w:p>
    <w:p>
      <w:pPr>
        <w:ind w:firstLine="640" w:firstLineChars="200"/>
        <w:rPr>
          <w:rFonts w:ascii="方正黑体_GBK" w:hAnsi="方正黑体_GBK" w:eastAsia="方正黑体_GBK" w:cs="方正黑体_GBK"/>
          <w:color w:val="auto"/>
          <w:sz w:val="32"/>
          <w:szCs w:val="32"/>
        </w:rPr>
      </w:pPr>
      <w:r>
        <w:rPr>
          <w:rFonts w:hint="eastAsia" w:ascii="方正黑体_GBK" w:hAnsi="方正黑体_GBK" w:eastAsia="方正黑体_GBK" w:cs="方正黑体_GBK"/>
          <w:color w:val="auto"/>
          <w:sz w:val="32"/>
          <w:szCs w:val="32"/>
        </w:rPr>
        <w:t>起草人：刘刚海、冉伟</w:t>
      </w:r>
    </w:p>
    <w:p>
      <w:pPr>
        <w:ind w:firstLine="640" w:firstLineChars="200"/>
        <w:rPr>
          <w:rFonts w:ascii="方正黑体_GBK" w:hAnsi="方正黑体_GBK" w:eastAsia="方正黑体_GBK" w:cs="方正黑体_GBK"/>
          <w:color w:val="auto"/>
          <w:sz w:val="32"/>
          <w:szCs w:val="32"/>
        </w:rPr>
      </w:pPr>
      <w:r>
        <w:rPr>
          <w:rFonts w:hint="eastAsia" w:ascii="方正黑体_GBK" w:hAnsi="方正黑体_GBK" w:eastAsia="方正黑体_GBK" w:cs="方正黑体_GBK"/>
          <w:color w:val="auto"/>
          <w:sz w:val="32"/>
          <w:szCs w:val="32"/>
        </w:rPr>
        <w:t>审核人：廖力</w:t>
      </w:r>
    </w:p>
    <w:p>
      <w:pPr>
        <w:ind w:firstLine="640" w:firstLineChars="200"/>
        <w:rPr>
          <w:rFonts w:ascii="方正黑体_GBK" w:hAnsi="方正黑体_GBK" w:eastAsia="方正黑体_GBK" w:cs="方正黑体_GBK"/>
          <w:color w:val="auto"/>
          <w:sz w:val="32"/>
          <w:szCs w:val="32"/>
        </w:rPr>
      </w:pPr>
      <w:r>
        <w:rPr>
          <w:rFonts w:hint="eastAsia" w:ascii="方正黑体_GBK" w:hAnsi="方正黑体_GBK" w:eastAsia="方正黑体_GBK" w:cs="方正黑体_GBK"/>
          <w:color w:val="auto"/>
          <w:sz w:val="32"/>
          <w:szCs w:val="32"/>
        </w:rPr>
        <w:t>批准人：王国生</w:t>
      </w:r>
    </w:p>
    <w:p>
      <w:pPr>
        <w:ind w:firstLine="640" w:firstLineChars="200"/>
        <w:rPr>
          <w:rFonts w:ascii="方正黑体_GBK" w:hAnsi="方正黑体_GBK" w:eastAsia="方正黑体_GBK" w:cs="方正黑体_GBK"/>
          <w:color w:val="auto"/>
          <w:sz w:val="32"/>
          <w:szCs w:val="32"/>
        </w:rPr>
      </w:pPr>
    </w:p>
    <w:p>
      <w:pPr>
        <w:spacing w:line="360" w:lineRule="auto"/>
        <w:rPr>
          <w:rFonts w:hint="eastAsia" w:ascii="仿宋_GB2312" w:eastAsia="仿宋_GB2312"/>
          <w:color w:val="auto"/>
          <w:sz w:val="32"/>
          <w:szCs w:val="32"/>
        </w:rPr>
      </w:pPr>
    </w:p>
    <w:p>
      <w:pPr>
        <w:spacing w:line="360" w:lineRule="auto"/>
        <w:rPr>
          <w:rFonts w:hint="eastAsia" w:ascii="仿宋_GB2312" w:eastAsia="仿宋_GB2312"/>
          <w:color w:val="auto"/>
          <w:sz w:val="32"/>
          <w:szCs w:val="32"/>
        </w:rPr>
      </w:pPr>
    </w:p>
    <w:p>
      <w:pPr>
        <w:spacing w:line="360" w:lineRule="auto"/>
        <w:rPr>
          <w:rFonts w:hint="eastAsia" w:ascii="仿宋_GB2312" w:eastAsia="仿宋_GB2312"/>
          <w:color w:val="auto"/>
          <w:sz w:val="32"/>
          <w:szCs w:val="32"/>
        </w:rPr>
      </w:pPr>
    </w:p>
    <w:p>
      <w:pPr>
        <w:spacing w:line="360" w:lineRule="auto"/>
        <w:rPr>
          <w:rFonts w:hint="eastAsia" w:ascii="仿宋_GB2312" w:eastAsia="仿宋_GB2312"/>
          <w:color w:val="auto"/>
          <w:sz w:val="32"/>
          <w:szCs w:val="32"/>
        </w:rPr>
      </w:pPr>
    </w:p>
    <w:p>
      <w:pPr>
        <w:spacing w:line="360" w:lineRule="auto"/>
        <w:rPr>
          <w:rFonts w:hint="eastAsia" w:ascii="仿宋_GB2312" w:eastAsia="仿宋_GB2312"/>
          <w:color w:val="auto"/>
          <w:sz w:val="32"/>
          <w:szCs w:val="32"/>
        </w:rPr>
      </w:pPr>
    </w:p>
    <w:p>
      <w:pPr>
        <w:spacing w:line="360" w:lineRule="auto"/>
        <w:rPr>
          <w:rFonts w:hint="eastAsia" w:ascii="仿宋_GB2312" w:eastAsia="仿宋_GB2312"/>
          <w:color w:val="auto"/>
          <w:sz w:val="32"/>
          <w:szCs w:val="32"/>
        </w:rPr>
      </w:pPr>
    </w:p>
    <w:p>
      <w:pPr>
        <w:spacing w:line="360" w:lineRule="auto"/>
        <w:rPr>
          <w:rFonts w:hint="eastAsia" w:ascii="仿宋_GB2312" w:eastAsia="仿宋_GB2312"/>
          <w:color w:val="auto"/>
          <w:sz w:val="32"/>
          <w:szCs w:val="32"/>
        </w:rPr>
      </w:pPr>
    </w:p>
    <w:p>
      <w:pPr>
        <w:spacing w:line="360" w:lineRule="auto"/>
        <w:rPr>
          <w:rFonts w:hint="eastAsia" w:ascii="仿宋_GB2312" w:eastAsia="仿宋_GB2312"/>
          <w:color w:val="auto"/>
          <w:sz w:val="32"/>
          <w:szCs w:val="32"/>
        </w:rPr>
      </w:pPr>
    </w:p>
    <w:p>
      <w:pPr>
        <w:spacing w:line="360" w:lineRule="auto"/>
        <w:rPr>
          <w:rFonts w:hint="eastAsia" w:ascii="仿宋_GB2312" w:eastAsia="仿宋_GB2312"/>
          <w:color w:val="auto"/>
          <w:sz w:val="32"/>
          <w:szCs w:val="32"/>
        </w:rPr>
      </w:pPr>
    </w:p>
    <w:p>
      <w:pPr>
        <w:spacing w:line="360" w:lineRule="auto"/>
        <w:rPr>
          <w:rFonts w:hint="eastAsia" w:ascii="仿宋_GB2312" w:eastAsia="仿宋_GB2312"/>
          <w:color w:val="auto"/>
          <w:sz w:val="32"/>
          <w:szCs w:val="32"/>
        </w:rPr>
      </w:pPr>
    </w:p>
    <w:p>
      <w:pPr>
        <w:spacing w:line="360" w:lineRule="auto"/>
        <w:rPr>
          <w:rFonts w:hint="eastAsia" w:ascii="仿宋_GB2312" w:eastAsia="仿宋_GB2312"/>
          <w:color w:val="auto"/>
          <w:sz w:val="32"/>
          <w:szCs w:val="32"/>
        </w:rPr>
      </w:pPr>
    </w:p>
    <w:p>
      <w:pPr>
        <w:spacing w:line="360" w:lineRule="auto"/>
        <w:rPr>
          <w:rFonts w:hint="eastAsia" w:ascii="仿宋_GB2312" w:eastAsia="仿宋_GB2312"/>
          <w:color w:val="auto"/>
          <w:sz w:val="24"/>
        </w:rPr>
      </w:pPr>
      <w:r>
        <w:rPr>
          <w:rFonts w:hint="eastAsia" w:ascii="仿宋_GB2312" w:eastAsia="仿宋_GB2312"/>
          <w:color w:val="auto"/>
          <w:sz w:val="24"/>
        </w:rPr>
        <w:t>附：《</w:t>
      </w:r>
      <w:r>
        <w:rPr>
          <w:rFonts w:hint="eastAsia" w:ascii="仿宋_GB2312" w:eastAsia="仿宋_GB2312"/>
          <w:color w:val="auto"/>
          <w:sz w:val="24"/>
          <w:lang w:eastAsia="zh-CN"/>
        </w:rPr>
        <w:t>处理</w:t>
      </w:r>
      <w:r>
        <w:rPr>
          <w:rFonts w:hint="eastAsia" w:ascii="仿宋_GB2312" w:eastAsia="仿宋_GB2312"/>
          <w:color w:val="auto"/>
          <w:sz w:val="24"/>
        </w:rPr>
        <w:t>通知书》</w:t>
      </w:r>
    </w:p>
    <w:p>
      <w:pPr>
        <w:spacing w:line="360" w:lineRule="auto"/>
        <w:jc w:val="center"/>
        <w:rPr>
          <w:rFonts w:hint="eastAsia" w:ascii="仿宋_GB2312" w:eastAsia="仿宋_GB2312"/>
          <w:color w:val="auto"/>
          <w:sz w:val="24"/>
          <w:lang w:eastAsia="zh-CN"/>
        </w:rPr>
      </w:pPr>
      <w:r>
        <w:rPr>
          <w:rFonts w:hint="eastAsia" w:ascii="仿宋_GB2312" w:eastAsia="仿宋_GB2312"/>
          <w:color w:val="auto"/>
          <w:sz w:val="24"/>
          <w:lang w:eastAsia="zh-CN"/>
        </w:rPr>
        <w:drawing>
          <wp:inline distT="0" distB="0" distL="114300" distR="114300">
            <wp:extent cx="5247640" cy="365125"/>
            <wp:effectExtent l="0" t="0" r="10160" b="15875"/>
            <wp:docPr id="5" name="图片 5" descr="规范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规范LOGO"/>
                    <pic:cNvPicPr>
                      <a:picLocks noChangeAspect="1"/>
                    </pic:cNvPicPr>
                  </pic:nvPicPr>
                  <pic:blipFill>
                    <a:blip r:embed="rId4"/>
                    <a:stretch>
                      <a:fillRect/>
                    </a:stretch>
                  </pic:blipFill>
                  <pic:spPr>
                    <a:xfrm>
                      <a:off x="0" y="0"/>
                      <a:ext cx="5247640" cy="365125"/>
                    </a:xfrm>
                    <a:prstGeom prst="rect">
                      <a:avLst/>
                    </a:prstGeom>
                  </pic:spPr>
                </pic:pic>
              </a:graphicData>
            </a:graphic>
          </wp:inline>
        </w:drawing>
      </w:r>
    </w:p>
    <w:p>
      <w:pPr>
        <w:spacing w:line="360" w:lineRule="auto"/>
        <w:jc w:val="center"/>
        <w:rPr>
          <w:rFonts w:hint="eastAsia" w:ascii="黑体" w:hAnsi="黑体" w:eastAsia="黑体" w:cs="黑体"/>
          <w:b/>
          <w:bCs/>
          <w:color w:val="auto"/>
          <w:sz w:val="44"/>
          <w:szCs w:val="44"/>
        </w:rPr>
      </w:pPr>
      <w:r>
        <w:rPr>
          <w:rFonts w:hint="eastAsia" w:ascii="黑体" w:hAnsi="黑体" w:eastAsia="黑体" w:cs="黑体"/>
          <w:b/>
          <w:bCs/>
          <w:color w:val="auto"/>
          <w:sz w:val="44"/>
          <w:szCs w:val="44"/>
          <w:lang w:eastAsia="zh-CN"/>
        </w:rPr>
        <w:t>违约处理</w:t>
      </w:r>
      <w:r>
        <w:rPr>
          <w:rFonts w:hint="eastAsia" w:ascii="黑体" w:hAnsi="黑体" w:eastAsia="黑体" w:cs="黑体"/>
          <w:b/>
          <w:bCs/>
          <w:color w:val="auto"/>
          <w:sz w:val="44"/>
          <w:szCs w:val="44"/>
        </w:rPr>
        <w:t>通知书</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编号：</w:t>
      </w:r>
    </w:p>
    <w:tbl>
      <w:tblPr>
        <w:tblStyle w:val="2"/>
        <w:tblpPr w:leftFromText="180" w:rightFromText="180" w:vertAnchor="text" w:horzAnchor="page" w:tblpX="1723" w:tblpY="133"/>
        <w:tblW w:w="84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2090"/>
        <w:gridCol w:w="6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Ex>
        <w:trPr>
          <w:cantSplit/>
          <w:trHeight w:val="510" w:hRule="atLeast"/>
          <w:jc w:val="center"/>
        </w:trPr>
        <w:tc>
          <w:tcPr>
            <w:tcW w:w="2090" w:type="dxa"/>
            <w:vAlign w:val="center"/>
          </w:tcPr>
          <w:p>
            <w:pPr>
              <w:spacing w:line="360" w:lineRule="auto"/>
              <w:jc w:val="center"/>
              <w:rPr>
                <w:rFonts w:hint="eastAsia" w:ascii="仿宋_GB2312" w:eastAsia="仿宋_GB2312"/>
                <w:color w:val="auto"/>
                <w:sz w:val="28"/>
                <w:szCs w:val="28"/>
              </w:rPr>
            </w:pPr>
            <w:r>
              <w:rPr>
                <w:rFonts w:hint="eastAsia" w:ascii="仿宋_GB2312" w:eastAsia="仿宋_GB2312"/>
                <w:color w:val="auto"/>
                <w:sz w:val="28"/>
                <w:szCs w:val="28"/>
              </w:rPr>
              <w:t>受处理单位名称</w:t>
            </w:r>
          </w:p>
        </w:tc>
        <w:tc>
          <w:tcPr>
            <w:tcW w:w="6389" w:type="dxa"/>
            <w:vAlign w:val="top"/>
          </w:tcPr>
          <w:p>
            <w:pPr>
              <w:spacing w:line="360" w:lineRule="auto"/>
              <w:ind w:firstLine="560" w:firstLineChars="200"/>
              <w:rPr>
                <w:rFonts w:hint="eastAsia" w:ascii="仿宋_GB2312"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Ex>
        <w:trPr>
          <w:cantSplit/>
          <w:trHeight w:val="564" w:hRule="atLeast"/>
          <w:jc w:val="center"/>
        </w:trPr>
        <w:tc>
          <w:tcPr>
            <w:tcW w:w="2090" w:type="dxa"/>
            <w:vAlign w:val="center"/>
          </w:tcPr>
          <w:p>
            <w:pPr>
              <w:spacing w:line="360" w:lineRule="auto"/>
              <w:jc w:val="center"/>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施工项目名称</w:t>
            </w:r>
          </w:p>
        </w:tc>
        <w:tc>
          <w:tcPr>
            <w:tcW w:w="6389" w:type="dxa"/>
            <w:vAlign w:val="top"/>
          </w:tcPr>
          <w:p>
            <w:pPr>
              <w:spacing w:line="360" w:lineRule="auto"/>
              <w:ind w:firstLine="560" w:firstLineChars="200"/>
              <w:rPr>
                <w:rFonts w:hint="eastAsia" w:ascii="仿宋_GB2312"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Ex>
        <w:trPr>
          <w:cantSplit/>
          <w:trHeight w:val="510" w:hRule="atLeast"/>
          <w:jc w:val="center"/>
        </w:trPr>
        <w:tc>
          <w:tcPr>
            <w:tcW w:w="2090" w:type="dxa"/>
            <w:vAlign w:val="center"/>
          </w:tcPr>
          <w:p>
            <w:pPr>
              <w:spacing w:line="360" w:lineRule="auto"/>
              <w:jc w:val="center"/>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违章地点</w:t>
            </w:r>
          </w:p>
        </w:tc>
        <w:tc>
          <w:tcPr>
            <w:tcW w:w="6389" w:type="dxa"/>
            <w:vAlign w:val="top"/>
          </w:tcPr>
          <w:p>
            <w:pPr>
              <w:spacing w:line="360" w:lineRule="auto"/>
              <w:ind w:firstLine="560" w:firstLineChars="200"/>
              <w:rPr>
                <w:rFonts w:hint="eastAsia" w:ascii="仿宋_GB2312"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Ex>
        <w:trPr>
          <w:cantSplit/>
          <w:trHeight w:val="1870" w:hRule="atLeast"/>
          <w:jc w:val="center"/>
        </w:trPr>
        <w:tc>
          <w:tcPr>
            <w:tcW w:w="2090" w:type="dxa"/>
            <w:vAlign w:val="center"/>
          </w:tcPr>
          <w:p>
            <w:pPr>
              <w:spacing w:line="360" w:lineRule="auto"/>
              <w:ind w:firstLine="560" w:firstLineChars="200"/>
              <w:jc w:val="center"/>
              <w:rPr>
                <w:rFonts w:hint="eastAsia" w:ascii="仿宋_GB2312" w:eastAsia="仿宋_GB2312"/>
                <w:color w:val="auto"/>
                <w:sz w:val="28"/>
                <w:szCs w:val="28"/>
              </w:rPr>
            </w:pPr>
          </w:p>
          <w:p>
            <w:pPr>
              <w:spacing w:line="360" w:lineRule="auto"/>
              <w:jc w:val="center"/>
              <w:rPr>
                <w:rFonts w:hint="eastAsia" w:ascii="仿宋_GB2312" w:eastAsia="仿宋_GB2312"/>
                <w:color w:val="auto"/>
                <w:sz w:val="28"/>
                <w:szCs w:val="28"/>
              </w:rPr>
            </w:pPr>
            <w:r>
              <w:rPr>
                <w:rFonts w:hint="eastAsia" w:ascii="仿宋_GB2312" w:eastAsia="仿宋_GB2312"/>
                <w:color w:val="auto"/>
                <w:sz w:val="28"/>
                <w:szCs w:val="28"/>
              </w:rPr>
              <w:t>处理原因</w:t>
            </w:r>
          </w:p>
          <w:p>
            <w:pPr>
              <w:spacing w:line="360" w:lineRule="auto"/>
              <w:ind w:firstLine="560" w:firstLineChars="200"/>
              <w:jc w:val="center"/>
              <w:rPr>
                <w:rFonts w:hint="eastAsia" w:ascii="仿宋_GB2312" w:eastAsia="仿宋_GB2312"/>
                <w:color w:val="auto"/>
                <w:sz w:val="28"/>
                <w:szCs w:val="28"/>
              </w:rPr>
            </w:pPr>
          </w:p>
        </w:tc>
        <w:tc>
          <w:tcPr>
            <w:tcW w:w="6389" w:type="dxa"/>
            <w:vAlign w:val="top"/>
          </w:tcPr>
          <w:p>
            <w:pPr>
              <w:spacing w:line="360" w:lineRule="auto"/>
              <w:ind w:firstLine="560" w:firstLineChars="200"/>
              <w:rPr>
                <w:rFonts w:hint="eastAsia" w:ascii="仿宋_GB2312" w:eastAsia="仿宋_GB2312"/>
                <w:color w:val="auto"/>
                <w:sz w:val="28"/>
                <w:szCs w:val="28"/>
              </w:rPr>
            </w:pPr>
          </w:p>
          <w:p>
            <w:pPr>
              <w:spacing w:line="360" w:lineRule="auto"/>
              <w:ind w:firstLine="560" w:firstLineChars="200"/>
              <w:rPr>
                <w:rFonts w:hint="eastAsia" w:ascii="仿宋_GB2312"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Ex>
        <w:trPr>
          <w:trHeight w:val="1204" w:hRule="atLeast"/>
          <w:jc w:val="center"/>
        </w:trPr>
        <w:tc>
          <w:tcPr>
            <w:tcW w:w="2090" w:type="dxa"/>
            <w:vAlign w:val="center"/>
          </w:tcPr>
          <w:p>
            <w:pPr>
              <w:spacing w:line="360" w:lineRule="auto"/>
              <w:jc w:val="center"/>
              <w:rPr>
                <w:rFonts w:hint="eastAsia" w:ascii="仿宋_GB2312" w:eastAsia="仿宋_GB2312"/>
                <w:color w:val="auto"/>
                <w:sz w:val="28"/>
                <w:szCs w:val="28"/>
              </w:rPr>
            </w:pPr>
            <w:r>
              <w:rPr>
                <w:rFonts w:hint="eastAsia" w:ascii="仿宋_GB2312" w:eastAsia="仿宋_GB2312"/>
                <w:color w:val="auto"/>
                <w:sz w:val="28"/>
                <w:szCs w:val="28"/>
              </w:rPr>
              <w:t>处理依据</w:t>
            </w:r>
          </w:p>
        </w:tc>
        <w:tc>
          <w:tcPr>
            <w:tcW w:w="6389" w:type="dxa"/>
            <w:vAlign w:val="top"/>
          </w:tcPr>
          <w:p>
            <w:pPr>
              <w:spacing w:line="360" w:lineRule="auto"/>
              <w:ind w:firstLine="560" w:firstLineChars="200"/>
              <w:rPr>
                <w:rFonts w:hint="eastAsia" w:ascii="仿宋_GB2312" w:eastAsia="仿宋_GB2312"/>
                <w:color w:val="auto"/>
                <w:sz w:val="28"/>
                <w:szCs w:val="28"/>
              </w:rPr>
            </w:pPr>
          </w:p>
          <w:p>
            <w:pPr>
              <w:spacing w:line="360" w:lineRule="auto"/>
              <w:ind w:firstLine="560" w:firstLineChars="200"/>
              <w:rPr>
                <w:rFonts w:hint="eastAsia" w:ascii="仿宋_GB2312"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Ex>
        <w:trPr>
          <w:trHeight w:val="2138" w:hRule="atLeast"/>
          <w:jc w:val="center"/>
        </w:trPr>
        <w:tc>
          <w:tcPr>
            <w:tcW w:w="2090" w:type="dxa"/>
            <w:vAlign w:val="center"/>
          </w:tcPr>
          <w:p>
            <w:pPr>
              <w:spacing w:line="360" w:lineRule="auto"/>
              <w:jc w:val="center"/>
              <w:rPr>
                <w:rFonts w:hint="eastAsia" w:ascii="仿宋_GB2312" w:eastAsia="仿宋_GB2312"/>
                <w:color w:val="auto"/>
                <w:sz w:val="28"/>
                <w:szCs w:val="28"/>
              </w:rPr>
            </w:pPr>
            <w:r>
              <w:rPr>
                <w:rFonts w:hint="eastAsia" w:ascii="仿宋_GB2312" w:eastAsia="仿宋_GB2312"/>
                <w:color w:val="auto"/>
                <w:sz w:val="28"/>
                <w:szCs w:val="28"/>
              </w:rPr>
              <w:t>处理决定</w:t>
            </w:r>
          </w:p>
        </w:tc>
        <w:tc>
          <w:tcPr>
            <w:tcW w:w="6389" w:type="dxa"/>
            <w:vAlign w:val="top"/>
          </w:tcPr>
          <w:p>
            <w:pPr>
              <w:spacing w:line="360" w:lineRule="auto"/>
              <w:ind w:firstLine="560" w:firstLineChars="200"/>
              <w:rPr>
                <w:rFonts w:hint="eastAsia" w:ascii="仿宋_GB2312"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Ex>
        <w:trPr>
          <w:trHeight w:val="964" w:hRule="atLeast"/>
          <w:jc w:val="center"/>
        </w:trPr>
        <w:tc>
          <w:tcPr>
            <w:tcW w:w="209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eastAsia="仿宋_GB2312"/>
                <w:color w:val="auto"/>
                <w:sz w:val="28"/>
                <w:szCs w:val="28"/>
              </w:rPr>
            </w:pPr>
            <w:r>
              <w:rPr>
                <w:rFonts w:hint="eastAsia" w:ascii="仿宋_GB2312" w:eastAsia="仿宋_GB2312"/>
                <w:color w:val="auto"/>
                <w:sz w:val="28"/>
                <w:szCs w:val="28"/>
                <w:lang w:eastAsia="zh-CN"/>
              </w:rPr>
              <w:t>处理</w:t>
            </w:r>
            <w:r>
              <w:rPr>
                <w:rFonts w:hint="eastAsia" w:ascii="仿宋_GB2312" w:eastAsia="仿宋_GB2312"/>
                <w:color w:val="auto"/>
                <w:sz w:val="28"/>
                <w:szCs w:val="28"/>
              </w:rPr>
              <w:t>违约金</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eastAsia="仿宋_GB2312"/>
                <w:color w:val="auto"/>
                <w:sz w:val="28"/>
                <w:szCs w:val="28"/>
              </w:rPr>
            </w:pPr>
            <w:r>
              <w:rPr>
                <w:rFonts w:hint="eastAsia" w:ascii="仿宋_GB2312" w:eastAsia="仿宋_GB2312"/>
                <w:color w:val="auto"/>
                <w:sz w:val="28"/>
                <w:szCs w:val="28"/>
              </w:rPr>
              <w:t>金额</w:t>
            </w:r>
          </w:p>
        </w:tc>
        <w:tc>
          <w:tcPr>
            <w:tcW w:w="6389" w:type="dxa"/>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 xml:space="preserve">人民币大写：  </w:t>
            </w:r>
            <w:r>
              <w:rPr>
                <w:rFonts w:hint="eastAsia" w:ascii="仿宋_GB2312" w:eastAsia="仿宋_GB2312"/>
                <w:color w:val="auto"/>
                <w:sz w:val="28"/>
                <w:szCs w:val="28"/>
                <w:lang w:val="en-US" w:eastAsia="zh-CN"/>
              </w:rPr>
              <w:t xml:space="preserve">  </w:t>
            </w:r>
            <w:r>
              <w:rPr>
                <w:rFonts w:hint="eastAsia" w:ascii="仿宋_GB2312" w:eastAsia="仿宋_GB2312"/>
                <w:color w:val="auto"/>
                <w:sz w:val="28"/>
                <w:szCs w:val="28"/>
              </w:rPr>
              <w:t xml:space="preserve">     </w:t>
            </w:r>
            <w:r>
              <w:rPr>
                <w:rFonts w:hint="eastAsia" w:ascii="仿宋_GB2312" w:eastAsia="仿宋_GB2312"/>
                <w:color w:val="auto"/>
                <w:sz w:val="28"/>
                <w:szCs w:val="28"/>
                <w:lang w:val="en-US" w:eastAsia="zh-CN"/>
              </w:rPr>
              <w:t xml:space="preserve"> </w:t>
            </w:r>
            <w:r>
              <w:rPr>
                <w:rFonts w:hint="eastAsia" w:ascii="仿宋_GB2312" w:eastAsia="仿宋_GB2312"/>
                <w:color w:val="auto"/>
                <w:sz w:val="28"/>
                <w:szCs w:val="28"/>
              </w:rPr>
              <w:t xml:space="preserve">  (￥：</w:t>
            </w:r>
            <w:r>
              <w:rPr>
                <w:rFonts w:hint="eastAsia" w:ascii="仿宋_GB2312" w:eastAsia="仿宋_GB2312"/>
                <w:color w:val="auto"/>
                <w:sz w:val="28"/>
                <w:szCs w:val="28"/>
                <w:lang w:val="en-US" w:eastAsia="zh-CN"/>
              </w:rPr>
              <w:t xml:space="preserve">     </w:t>
            </w:r>
            <w:r>
              <w:rPr>
                <w:rFonts w:hint="eastAsia" w:ascii="仿宋_GB2312" w:eastAsia="仿宋_GB2312"/>
                <w:color w:val="auto"/>
                <w:sz w:val="28"/>
                <w:szCs w:val="28"/>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Ex>
        <w:trPr>
          <w:cantSplit/>
          <w:trHeight w:val="779" w:hRule="atLeast"/>
          <w:jc w:val="center"/>
        </w:trPr>
        <w:tc>
          <w:tcPr>
            <w:tcW w:w="2090" w:type="dxa"/>
            <w:vAlign w:val="center"/>
          </w:tcPr>
          <w:p>
            <w:pPr>
              <w:spacing w:line="360" w:lineRule="auto"/>
              <w:jc w:val="center"/>
              <w:rPr>
                <w:rFonts w:hint="eastAsia" w:ascii="仿宋_GB2312" w:eastAsia="仿宋_GB2312"/>
                <w:color w:val="auto"/>
                <w:sz w:val="28"/>
                <w:szCs w:val="28"/>
                <w:lang w:eastAsia="zh-CN"/>
              </w:rPr>
            </w:pPr>
            <w:r>
              <w:rPr>
                <w:rFonts w:hint="eastAsia" w:ascii="仿宋_GB2312" w:eastAsia="仿宋_GB2312"/>
                <w:color w:val="auto"/>
                <w:sz w:val="28"/>
                <w:szCs w:val="28"/>
              </w:rPr>
              <w:t>开单</w:t>
            </w:r>
            <w:r>
              <w:rPr>
                <w:rFonts w:hint="eastAsia" w:ascii="仿宋_GB2312" w:eastAsia="仿宋_GB2312"/>
                <w:color w:val="auto"/>
                <w:sz w:val="28"/>
                <w:szCs w:val="28"/>
                <w:lang w:eastAsia="zh-CN"/>
              </w:rPr>
              <w:t>部门</w:t>
            </w:r>
          </w:p>
        </w:tc>
        <w:tc>
          <w:tcPr>
            <w:tcW w:w="6389" w:type="dxa"/>
            <w:vAlign w:val="center"/>
          </w:tcPr>
          <w:p>
            <w:pPr>
              <w:spacing w:line="360" w:lineRule="auto"/>
              <w:ind w:firstLine="560" w:firstLineChars="200"/>
              <w:rPr>
                <w:rFonts w:hint="eastAsia" w:ascii="仿宋_GB2312" w:eastAsia="仿宋_GB2312"/>
                <w:color w:val="auto"/>
                <w:sz w:val="28"/>
                <w:szCs w:val="28"/>
                <w:lang w:val="en-US" w:eastAsia="zh-CN"/>
              </w:rPr>
            </w:pP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Ex>
        <w:trPr>
          <w:cantSplit/>
          <w:trHeight w:val="779" w:hRule="atLeast"/>
          <w:jc w:val="center"/>
        </w:trPr>
        <w:tc>
          <w:tcPr>
            <w:tcW w:w="2090" w:type="dxa"/>
            <w:vAlign w:val="center"/>
          </w:tcPr>
          <w:p>
            <w:pPr>
              <w:spacing w:line="360" w:lineRule="auto"/>
              <w:jc w:val="center"/>
              <w:rPr>
                <w:rFonts w:hint="eastAsia" w:ascii="仿宋_GB2312" w:eastAsia="仿宋_GB2312"/>
                <w:color w:val="auto"/>
                <w:sz w:val="28"/>
                <w:szCs w:val="28"/>
                <w:lang w:eastAsia="zh-CN"/>
              </w:rPr>
            </w:pPr>
            <w:r>
              <w:rPr>
                <w:rFonts w:hint="eastAsia" w:ascii="仿宋_GB2312" w:eastAsia="仿宋_GB2312"/>
                <w:color w:val="auto"/>
                <w:sz w:val="28"/>
                <w:szCs w:val="28"/>
                <w:lang w:val="en-US" w:eastAsia="zh-CN"/>
              </w:rPr>
              <w:t>开单人</w:t>
            </w:r>
          </w:p>
        </w:tc>
        <w:tc>
          <w:tcPr>
            <w:tcW w:w="6389" w:type="dxa"/>
            <w:vAlign w:val="center"/>
          </w:tcPr>
          <w:p>
            <w:pPr>
              <w:spacing w:line="360" w:lineRule="auto"/>
              <w:rPr>
                <w:rFonts w:hint="eastAsia" w:ascii="仿宋_GB2312" w:eastAsia="仿宋_GB2312"/>
                <w:color w:val="auto"/>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Ex>
        <w:trPr>
          <w:cantSplit/>
          <w:trHeight w:val="779" w:hRule="atLeast"/>
          <w:jc w:val="center"/>
        </w:trPr>
        <w:tc>
          <w:tcPr>
            <w:tcW w:w="2090" w:type="dxa"/>
            <w:vAlign w:val="center"/>
          </w:tcPr>
          <w:p>
            <w:pPr>
              <w:spacing w:line="360" w:lineRule="auto"/>
              <w:jc w:val="center"/>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接收人</w:t>
            </w:r>
          </w:p>
        </w:tc>
        <w:tc>
          <w:tcPr>
            <w:tcW w:w="6389" w:type="dxa"/>
            <w:vAlign w:val="center"/>
          </w:tcPr>
          <w:p>
            <w:pPr>
              <w:spacing w:line="360" w:lineRule="auto"/>
              <w:rPr>
                <w:rFonts w:hint="eastAsia" w:ascii="仿宋_GB2312" w:eastAsia="仿宋_GB2312"/>
                <w:color w:val="auto"/>
                <w:sz w:val="28"/>
                <w:szCs w:val="28"/>
                <w:lang w:val="en-US" w:eastAsia="zh-CN"/>
              </w:rPr>
            </w:pPr>
          </w:p>
        </w:tc>
      </w:tr>
    </w:tbl>
    <w:p>
      <w:pPr>
        <w:spacing w:line="360" w:lineRule="auto"/>
        <w:rPr>
          <w:rFonts w:hint="eastAsia" w:ascii="仿宋_GB2312" w:eastAsia="仿宋_GB2312"/>
          <w:color w:val="auto"/>
          <w:sz w:val="28"/>
          <w:szCs w:val="28"/>
          <w:lang w:eastAsia="zh-CN"/>
        </w:rPr>
      </w:pPr>
      <w:r>
        <w:rPr>
          <w:rFonts w:hint="eastAsia" w:ascii="仿宋_GB2312" w:eastAsia="仿宋_GB2312"/>
          <w:color w:val="auto"/>
          <w:sz w:val="24"/>
          <w:szCs w:val="24"/>
          <w:lang w:eastAsia="zh-CN"/>
        </w:rPr>
        <w:t>注：本《违约处理通知书》一式三份，一份交违约施工单位，一份开具违约通知书部门留底，一份交职能部门。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7F55A7F-9A85-4325-86AE-6C5CF74E0F0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797DA286-14DE-483C-8A5F-B6771BC72562}"/>
  </w:font>
  <w:font w:name="方正小标宋_GBK">
    <w:altName w:val="微软雅黑"/>
    <w:panose1 w:val="03000509000000000000"/>
    <w:charset w:val="86"/>
    <w:family w:val="auto"/>
    <w:pitch w:val="default"/>
    <w:sig w:usb0="00000000" w:usb1="00000000" w:usb2="00000000" w:usb3="00000000" w:csb0="00040000" w:csb1="00000000"/>
  </w:font>
  <w:font w:name="方正仿宋_GBK">
    <w:panose1 w:val="02000000000000000000"/>
    <w:charset w:val="86"/>
    <w:family w:val="script"/>
    <w:pitch w:val="default"/>
    <w:sig w:usb0="A00002BF" w:usb1="38CF7CFA" w:usb2="00082016" w:usb3="00000000" w:csb0="00040001" w:csb1="00000000"/>
    <w:embedRegular r:id="rId3" w:fontKey="{CD556A23-2AC6-4759-99A1-0111E9785738}"/>
  </w:font>
  <w:font w:name="仿宋_GB2312">
    <w:altName w:val="仿宋"/>
    <w:panose1 w:val="02010609030101010101"/>
    <w:charset w:val="86"/>
    <w:family w:val="modern"/>
    <w:pitch w:val="default"/>
    <w:sig w:usb0="00000000" w:usb1="00000000" w:usb2="00000000" w:usb3="00000000" w:csb0="00040000" w:csb1="00000000"/>
    <w:embedRegular r:id="rId4" w:fontKey="{936FC7B0-AB49-4127-9E3C-C2AD74490C61}"/>
  </w:font>
  <w:font w:name="方正黑体_GBK">
    <w:panose1 w:val="03000509000000000000"/>
    <w:charset w:val="86"/>
    <w:family w:val="script"/>
    <w:pitch w:val="default"/>
    <w:sig w:usb0="00000001" w:usb1="080E0000" w:usb2="00000000" w:usb3="00000000" w:csb0="00040000" w:csb1="00000000"/>
    <w:embedRegular r:id="rId5" w:fontKey="{DCE30A1D-9637-4182-AE4A-6CA8C5830DA4}"/>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5598BC"/>
    <w:multiLevelType w:val="singleLevel"/>
    <w:tmpl w:val="D75598B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C62A4A"/>
    <w:rsid w:val="120B7F15"/>
    <w:rsid w:val="3E922926"/>
    <w:rsid w:val="6AC62A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2019-05-27T06:44:00Z</dcterms:created>
  <dc:creator>冉伟</dc:creator>
  <cp:lastModifiedBy>她是暖光@</cp:lastModifiedBy>
  <dcterms:modified xsi:type="dcterms:W3CDTF">2019-09-03T03:16:50Z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