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ascii="Times New Roman"/>
        </w:rPr>
      </w:pPr>
      <w:bookmarkStart w:id="0" w:name="_Toc503449922"/>
      <w:r>
        <w:rPr>
          <w:rFonts w:ascii="Times New Roman"/>
        </w:rPr>
        <w:t>技术文件</w:t>
      </w:r>
      <w:bookmarkEnd w:id="0"/>
    </w:p>
    <w:p>
      <w:pPr>
        <w:pStyle w:val="4"/>
        <w:adjustRightInd w:val="0"/>
        <w:snapToGrid w:val="0"/>
        <w:spacing w:before="156" w:beforeLines="50" w:after="156" w:afterLines="50"/>
        <w:rPr>
          <w:rFonts w:ascii="Times New Roman" w:hAnsi="Times New Roman" w:eastAsia="宋体"/>
          <w:b/>
        </w:rPr>
      </w:pPr>
      <w:bookmarkStart w:id="1" w:name="_Toc449276712"/>
      <w:bookmarkStart w:id="2" w:name="_Toc360113533"/>
      <w:bookmarkStart w:id="3" w:name="_Toc419980632"/>
      <w:bookmarkStart w:id="4" w:name="_Toc503449924"/>
      <w:r>
        <w:rPr>
          <w:rFonts w:ascii="Times New Roman" w:hAnsi="Times New Roman" w:eastAsia="宋体"/>
          <w:b/>
        </w:rPr>
        <w:t>第一条  工程执行标准</w:t>
      </w:r>
      <w:bookmarkEnd w:id="1"/>
      <w:bookmarkEnd w:id="2"/>
      <w:bookmarkEnd w:id="3"/>
      <w:bookmarkEnd w:id="4"/>
    </w:p>
    <w:p>
      <w:pPr>
        <w:adjustRightInd w:val="0"/>
        <w:snapToGrid w:val="0"/>
        <w:ind w:firstLine="560"/>
        <w:rPr>
          <w:rFonts w:ascii="Times New Roman"/>
          <w:kern w:val="2"/>
          <w:position w:val="0"/>
        </w:rPr>
      </w:pPr>
      <w:r>
        <w:rPr>
          <w:rFonts w:ascii="Times New Roman"/>
          <w:kern w:val="2"/>
          <w:position w:val="0"/>
        </w:rPr>
        <w:t>本招标工程项目的材料、设备、施工须达到下列现行中华人民共和国以及省、自治区、直辖市或行业的工程建设标堆、规范的要求，但不限于下列规范：</w:t>
      </w:r>
    </w:p>
    <w:p>
      <w:pPr>
        <w:adjustRightInd w:val="0"/>
        <w:snapToGrid w:val="0"/>
        <w:ind w:firstLine="560"/>
        <w:rPr>
          <w:rFonts w:ascii="Times New Roman"/>
          <w:kern w:val="2"/>
          <w:position w:val="0"/>
        </w:rPr>
      </w:pPr>
      <w:r>
        <w:rPr>
          <w:rFonts w:ascii="Times New Roman"/>
          <w:kern w:val="2"/>
          <w:position w:val="0"/>
        </w:rPr>
        <w:t>1.1  工程测量规范(GB50026-2007)</w:t>
      </w:r>
    </w:p>
    <w:p>
      <w:pPr>
        <w:adjustRightInd w:val="0"/>
        <w:snapToGrid w:val="0"/>
        <w:ind w:firstLine="560"/>
        <w:rPr>
          <w:rFonts w:ascii="Times New Roman"/>
          <w:kern w:val="2"/>
          <w:position w:val="0"/>
        </w:rPr>
      </w:pPr>
      <w:r>
        <w:rPr>
          <w:rFonts w:ascii="Times New Roman"/>
          <w:kern w:val="2"/>
          <w:position w:val="0"/>
        </w:rPr>
        <w:t>1.2  设计单位设计的施工图中涉及到的规范、规程和标准集及相关技术要求。</w:t>
      </w:r>
    </w:p>
    <w:p>
      <w:pPr>
        <w:adjustRightInd w:val="0"/>
        <w:snapToGrid w:val="0"/>
        <w:ind w:firstLine="560"/>
        <w:rPr>
          <w:rFonts w:ascii="Times New Roman"/>
          <w:kern w:val="2"/>
          <w:position w:val="0"/>
        </w:rPr>
      </w:pPr>
      <w:r>
        <w:rPr>
          <w:rFonts w:ascii="Times New Roman"/>
          <w:kern w:val="2"/>
          <w:position w:val="0"/>
        </w:rPr>
        <w:t xml:space="preserve">《光伏发电站设计规范》                  </w:t>
      </w:r>
      <w:r>
        <w:rPr>
          <w:rFonts w:ascii="Times New Roman"/>
          <w:kern w:val="2"/>
          <w:position w:val="0"/>
        </w:rPr>
        <w:tab/>
      </w:r>
      <w:r>
        <w:rPr>
          <w:rFonts w:ascii="Times New Roman"/>
          <w:kern w:val="2"/>
          <w:position w:val="0"/>
        </w:rPr>
        <w:t>GB 50797-2012</w:t>
      </w:r>
    </w:p>
    <w:p>
      <w:pPr>
        <w:adjustRightInd w:val="0"/>
        <w:snapToGrid w:val="0"/>
        <w:ind w:firstLine="560"/>
        <w:rPr>
          <w:rFonts w:ascii="Times New Roman"/>
          <w:kern w:val="2"/>
          <w:position w:val="0"/>
        </w:rPr>
      </w:pPr>
      <w:r>
        <w:rPr>
          <w:rFonts w:ascii="Times New Roman"/>
          <w:kern w:val="2"/>
          <w:position w:val="0"/>
        </w:rPr>
        <w:t>《光伏发电工程施工组织设计规范》          GB 50795-2012</w:t>
      </w:r>
    </w:p>
    <w:p>
      <w:pPr>
        <w:adjustRightInd w:val="0"/>
        <w:snapToGrid w:val="0"/>
        <w:ind w:firstLine="560"/>
        <w:rPr>
          <w:rFonts w:ascii="Times New Roman"/>
          <w:kern w:val="2"/>
          <w:position w:val="0"/>
        </w:rPr>
      </w:pPr>
      <w:r>
        <w:rPr>
          <w:rFonts w:ascii="Times New Roman"/>
          <w:kern w:val="2"/>
          <w:position w:val="0"/>
        </w:rPr>
        <w:t>《光伏发电工程验收规范》                 GB\T 50796-2012</w:t>
      </w:r>
    </w:p>
    <w:p>
      <w:pPr>
        <w:adjustRightInd w:val="0"/>
        <w:snapToGrid w:val="0"/>
        <w:ind w:firstLine="560"/>
        <w:rPr>
          <w:rFonts w:ascii="Times New Roman"/>
          <w:kern w:val="2"/>
          <w:position w:val="0"/>
        </w:rPr>
      </w:pPr>
      <w:r>
        <w:rPr>
          <w:rFonts w:ascii="Times New Roman"/>
          <w:kern w:val="2"/>
          <w:position w:val="0"/>
        </w:rPr>
        <w:t>《光伏电站施工规范》                      GB 50794-2012</w:t>
      </w:r>
    </w:p>
    <w:p>
      <w:pPr>
        <w:adjustRightInd w:val="0"/>
        <w:snapToGrid w:val="0"/>
        <w:ind w:firstLine="560"/>
        <w:rPr>
          <w:rFonts w:ascii="Times New Roman"/>
          <w:kern w:val="2"/>
          <w:position w:val="0"/>
        </w:rPr>
      </w:pPr>
      <w:r>
        <w:rPr>
          <w:rFonts w:ascii="Times New Roman"/>
          <w:kern w:val="2"/>
          <w:position w:val="0"/>
        </w:rPr>
        <w:t>《民用建筑设计通则》                      GB 50608-2005</w:t>
      </w:r>
    </w:p>
    <w:p>
      <w:pPr>
        <w:adjustRightInd w:val="0"/>
        <w:snapToGrid w:val="0"/>
        <w:ind w:firstLine="560"/>
        <w:rPr>
          <w:rFonts w:ascii="Times New Roman"/>
          <w:kern w:val="2"/>
          <w:position w:val="0"/>
        </w:rPr>
      </w:pPr>
      <w:r>
        <w:rPr>
          <w:rFonts w:ascii="Times New Roman"/>
          <w:kern w:val="2"/>
          <w:position w:val="0"/>
        </w:rPr>
        <w:t>《混凝土结构设计规范》                    GB 50010-2010</w:t>
      </w:r>
    </w:p>
    <w:p>
      <w:pPr>
        <w:adjustRightInd w:val="0"/>
        <w:snapToGrid w:val="0"/>
        <w:ind w:firstLine="560"/>
        <w:rPr>
          <w:rFonts w:ascii="Times New Roman"/>
          <w:kern w:val="2"/>
          <w:position w:val="0"/>
        </w:rPr>
      </w:pPr>
      <w:r>
        <w:rPr>
          <w:rFonts w:ascii="Times New Roman"/>
          <w:kern w:val="2"/>
          <w:position w:val="0"/>
        </w:rPr>
        <w:t>《砌体结构设计规范》                      GB 50003-2011</w:t>
      </w:r>
    </w:p>
    <w:p>
      <w:pPr>
        <w:adjustRightInd w:val="0"/>
        <w:snapToGrid w:val="0"/>
        <w:ind w:firstLine="560"/>
        <w:rPr>
          <w:rFonts w:ascii="Times New Roman"/>
          <w:kern w:val="2"/>
          <w:position w:val="0"/>
        </w:rPr>
      </w:pPr>
      <w:r>
        <w:rPr>
          <w:rFonts w:ascii="Times New Roman"/>
          <w:kern w:val="2"/>
          <w:position w:val="0"/>
        </w:rPr>
        <w:t>《混凝土结构耐久性设计规范》             GB/T 50476-2008</w:t>
      </w:r>
    </w:p>
    <w:p>
      <w:pPr>
        <w:adjustRightInd w:val="0"/>
        <w:snapToGrid w:val="0"/>
        <w:ind w:firstLine="560"/>
        <w:rPr>
          <w:rFonts w:ascii="Times New Roman"/>
          <w:kern w:val="2"/>
          <w:position w:val="0"/>
        </w:rPr>
      </w:pPr>
      <w:r>
        <w:rPr>
          <w:rFonts w:ascii="Times New Roman"/>
          <w:kern w:val="2"/>
          <w:position w:val="0"/>
        </w:rPr>
        <w:t>《工业建筑防腐蚀设计规范》                GB 50009-2012</w:t>
      </w:r>
    </w:p>
    <w:p>
      <w:pPr>
        <w:adjustRightInd w:val="0"/>
        <w:snapToGrid w:val="0"/>
        <w:ind w:firstLine="560"/>
        <w:rPr>
          <w:rFonts w:ascii="Times New Roman"/>
          <w:kern w:val="2"/>
          <w:position w:val="0"/>
        </w:rPr>
      </w:pPr>
      <w:r>
        <w:rPr>
          <w:rFonts w:ascii="Times New Roman"/>
          <w:kern w:val="2"/>
          <w:position w:val="0"/>
        </w:rPr>
        <w:t>《建筑结构荷载规范》                      GB 50009-2012</w:t>
      </w:r>
    </w:p>
    <w:p>
      <w:pPr>
        <w:adjustRightInd w:val="0"/>
        <w:snapToGrid w:val="0"/>
        <w:ind w:firstLine="560"/>
        <w:rPr>
          <w:rFonts w:ascii="Times New Roman"/>
          <w:kern w:val="2"/>
          <w:position w:val="0"/>
        </w:rPr>
      </w:pPr>
      <w:r>
        <w:rPr>
          <w:rFonts w:ascii="Times New Roman"/>
          <w:kern w:val="2"/>
          <w:position w:val="0"/>
        </w:rPr>
        <w:t>《建筑抗震设计规范》                      GB 50011-2010</w:t>
      </w:r>
    </w:p>
    <w:p>
      <w:pPr>
        <w:adjustRightInd w:val="0"/>
        <w:snapToGrid w:val="0"/>
        <w:ind w:firstLine="560"/>
        <w:rPr>
          <w:rFonts w:ascii="Times New Roman"/>
          <w:kern w:val="2"/>
          <w:position w:val="0"/>
        </w:rPr>
      </w:pPr>
      <w:r>
        <w:rPr>
          <w:rFonts w:ascii="Times New Roman"/>
          <w:kern w:val="2"/>
          <w:position w:val="0"/>
        </w:rPr>
        <w:t xml:space="preserve">《构筑物抗震设计规范》                  </w:t>
      </w:r>
      <w:r>
        <w:rPr>
          <w:rFonts w:ascii="Times New Roman"/>
          <w:kern w:val="2"/>
          <w:position w:val="0"/>
        </w:rPr>
        <w:tab/>
      </w:r>
      <w:r>
        <w:rPr>
          <w:rFonts w:ascii="Times New Roman"/>
          <w:kern w:val="2"/>
          <w:position w:val="0"/>
        </w:rPr>
        <w:t>GB 50191-2012</w:t>
      </w:r>
    </w:p>
    <w:p>
      <w:pPr>
        <w:adjustRightInd w:val="0"/>
        <w:snapToGrid w:val="0"/>
        <w:ind w:firstLine="560"/>
        <w:rPr>
          <w:rFonts w:ascii="Times New Roman"/>
          <w:kern w:val="2"/>
          <w:position w:val="0"/>
        </w:rPr>
      </w:pPr>
      <w:r>
        <w:rPr>
          <w:rFonts w:ascii="Times New Roman"/>
          <w:kern w:val="2"/>
          <w:position w:val="0"/>
        </w:rPr>
        <w:t xml:space="preserve">《火力发电厂与变电站设计防火规范》      </w:t>
      </w:r>
      <w:r>
        <w:rPr>
          <w:rFonts w:ascii="Times New Roman"/>
          <w:kern w:val="2"/>
          <w:position w:val="0"/>
        </w:rPr>
        <w:tab/>
      </w:r>
      <w:r>
        <w:rPr>
          <w:rFonts w:ascii="Times New Roman"/>
          <w:kern w:val="2"/>
          <w:position w:val="0"/>
        </w:rPr>
        <w:t>GB 50229-2006</w:t>
      </w:r>
    </w:p>
    <w:p>
      <w:pPr>
        <w:adjustRightInd w:val="0"/>
        <w:snapToGrid w:val="0"/>
        <w:ind w:firstLine="560"/>
        <w:rPr>
          <w:rFonts w:ascii="Times New Roman"/>
          <w:kern w:val="2"/>
          <w:position w:val="0"/>
        </w:rPr>
      </w:pPr>
      <w:r>
        <w:rPr>
          <w:rFonts w:ascii="Times New Roman"/>
          <w:kern w:val="2"/>
          <w:position w:val="0"/>
        </w:rPr>
        <w:t xml:space="preserve">《建筑设计防火规范》                    </w:t>
      </w:r>
      <w:r>
        <w:rPr>
          <w:rFonts w:ascii="Times New Roman"/>
          <w:kern w:val="2"/>
          <w:position w:val="0"/>
        </w:rPr>
        <w:tab/>
      </w:r>
      <w:r>
        <w:rPr>
          <w:rFonts w:ascii="Times New Roman"/>
          <w:kern w:val="2"/>
          <w:position w:val="0"/>
        </w:rPr>
        <w:t>GB 50016-2014</w:t>
      </w:r>
    </w:p>
    <w:p>
      <w:pPr>
        <w:adjustRightInd w:val="0"/>
        <w:snapToGrid w:val="0"/>
        <w:ind w:firstLine="560"/>
        <w:rPr>
          <w:rFonts w:ascii="Times New Roman"/>
          <w:kern w:val="2"/>
          <w:position w:val="0"/>
        </w:rPr>
      </w:pPr>
      <w:r>
        <w:rPr>
          <w:rFonts w:ascii="Times New Roman"/>
          <w:kern w:val="2"/>
          <w:position w:val="0"/>
        </w:rPr>
        <w:t xml:space="preserve">《太阳能发电站支架基础技术规范》        </w:t>
      </w:r>
      <w:r>
        <w:rPr>
          <w:rFonts w:ascii="Times New Roman"/>
          <w:kern w:val="2"/>
          <w:position w:val="0"/>
        </w:rPr>
        <w:tab/>
      </w:r>
      <w:r>
        <w:rPr>
          <w:rFonts w:ascii="Times New Roman"/>
          <w:kern w:val="2"/>
          <w:position w:val="0"/>
        </w:rPr>
        <w:t>GB 51101-2016</w:t>
      </w:r>
    </w:p>
    <w:p>
      <w:pPr>
        <w:adjustRightInd w:val="0"/>
        <w:snapToGrid w:val="0"/>
        <w:ind w:firstLine="560"/>
        <w:rPr>
          <w:rFonts w:ascii="Times New Roman"/>
          <w:kern w:val="2"/>
          <w:position w:val="0"/>
        </w:rPr>
      </w:pPr>
      <w:r>
        <w:rPr>
          <w:rFonts w:ascii="Times New Roman"/>
          <w:kern w:val="2"/>
          <w:position w:val="0"/>
        </w:rPr>
        <w:t>《建筑地基基础设计规范》                 GB50007-20011</w:t>
      </w:r>
    </w:p>
    <w:p>
      <w:pPr>
        <w:adjustRightInd w:val="0"/>
        <w:snapToGrid w:val="0"/>
        <w:ind w:firstLine="560"/>
        <w:rPr>
          <w:rFonts w:ascii="Times New Roman"/>
          <w:kern w:val="2"/>
          <w:position w:val="0"/>
        </w:rPr>
      </w:pPr>
      <w:r>
        <w:rPr>
          <w:rFonts w:ascii="Times New Roman"/>
          <w:kern w:val="2"/>
          <w:position w:val="0"/>
        </w:rPr>
        <w:t>《建筑地基处理技术规范》                  JGJ 79-2012</w:t>
      </w:r>
    </w:p>
    <w:p>
      <w:pPr>
        <w:adjustRightInd w:val="0"/>
        <w:snapToGrid w:val="0"/>
        <w:ind w:firstLine="560"/>
        <w:rPr>
          <w:rFonts w:ascii="Times New Roman"/>
          <w:kern w:val="2"/>
          <w:position w:val="0"/>
        </w:rPr>
      </w:pPr>
      <w:r>
        <w:rPr>
          <w:rFonts w:ascii="Times New Roman"/>
          <w:kern w:val="2"/>
          <w:position w:val="0"/>
        </w:rPr>
        <w:t xml:space="preserve">《钢结构设计规范》                      </w:t>
      </w:r>
      <w:r>
        <w:rPr>
          <w:rFonts w:ascii="Times New Roman"/>
          <w:kern w:val="2"/>
          <w:position w:val="0"/>
        </w:rPr>
        <w:tab/>
      </w:r>
      <w:r>
        <w:rPr>
          <w:rFonts w:ascii="Times New Roman"/>
          <w:kern w:val="2"/>
          <w:position w:val="0"/>
        </w:rPr>
        <w:t>GB 50017-2003</w:t>
      </w:r>
    </w:p>
    <w:p>
      <w:pPr>
        <w:adjustRightInd w:val="0"/>
        <w:snapToGrid w:val="0"/>
        <w:ind w:firstLine="560"/>
        <w:rPr>
          <w:rFonts w:ascii="Times New Roman"/>
          <w:kern w:val="2"/>
          <w:position w:val="0"/>
        </w:rPr>
      </w:pPr>
      <w:r>
        <w:rPr>
          <w:rFonts w:ascii="Times New Roman"/>
          <w:kern w:val="2"/>
          <w:position w:val="0"/>
        </w:rPr>
        <w:t>《冷弯薄壁型钢技术规范》                 GB50018-2002</w:t>
      </w:r>
    </w:p>
    <w:p>
      <w:pPr>
        <w:adjustRightInd w:val="0"/>
        <w:snapToGrid w:val="0"/>
        <w:ind w:firstLine="560"/>
        <w:rPr>
          <w:rFonts w:ascii="Times New Roman"/>
          <w:kern w:val="2"/>
          <w:position w:val="0"/>
        </w:rPr>
      </w:pPr>
      <w:r>
        <w:rPr>
          <w:rFonts w:ascii="Times New Roman"/>
          <w:kern w:val="2"/>
          <w:position w:val="0"/>
        </w:rPr>
        <w:t>《钢—混凝土组合结构设计规程》            DL/T 5085-1999</w:t>
      </w:r>
    </w:p>
    <w:p>
      <w:pPr>
        <w:adjustRightInd w:val="0"/>
        <w:snapToGrid w:val="0"/>
        <w:ind w:firstLine="560"/>
        <w:rPr>
          <w:rFonts w:ascii="Times New Roman"/>
          <w:kern w:val="2"/>
          <w:position w:val="0"/>
        </w:rPr>
      </w:pPr>
      <w:r>
        <w:rPr>
          <w:rFonts w:ascii="Times New Roman"/>
          <w:kern w:val="2"/>
          <w:position w:val="0"/>
        </w:rPr>
        <w:t xml:space="preserve">《工业企业设计卫生标准》         </w:t>
      </w:r>
      <w:r>
        <w:rPr>
          <w:rFonts w:ascii="Times New Roman"/>
          <w:kern w:val="2"/>
          <w:position w:val="0"/>
        </w:rPr>
        <w:tab/>
      </w:r>
      <w:r>
        <w:rPr>
          <w:rFonts w:ascii="Times New Roman"/>
          <w:kern w:val="2"/>
          <w:position w:val="0"/>
        </w:rPr>
        <w:tab/>
      </w:r>
      <w:r>
        <w:rPr>
          <w:rFonts w:ascii="Times New Roman"/>
          <w:kern w:val="2"/>
          <w:position w:val="0"/>
        </w:rPr>
        <w:tab/>
      </w:r>
      <w:r>
        <w:rPr>
          <w:rFonts w:ascii="Times New Roman"/>
          <w:kern w:val="2"/>
          <w:position w:val="0"/>
        </w:rPr>
        <w:t>GBZ 1-2010</w:t>
      </w:r>
    </w:p>
    <w:p>
      <w:pPr>
        <w:adjustRightInd w:val="0"/>
        <w:snapToGrid w:val="0"/>
        <w:ind w:firstLine="560"/>
        <w:rPr>
          <w:rFonts w:ascii="Times New Roman"/>
          <w:kern w:val="2"/>
          <w:position w:val="0"/>
        </w:rPr>
      </w:pPr>
      <w:r>
        <w:rPr>
          <w:rFonts w:ascii="Times New Roman"/>
          <w:kern w:val="2"/>
          <w:position w:val="0"/>
        </w:rPr>
        <w:t xml:space="preserve">《建筑地面设计规范》             </w:t>
      </w:r>
      <w:r>
        <w:rPr>
          <w:rFonts w:ascii="Times New Roman"/>
          <w:kern w:val="2"/>
          <w:position w:val="0"/>
        </w:rPr>
        <w:tab/>
      </w:r>
      <w:r>
        <w:rPr>
          <w:rFonts w:ascii="Times New Roman"/>
          <w:kern w:val="2"/>
          <w:position w:val="0"/>
        </w:rPr>
        <w:tab/>
      </w:r>
      <w:r>
        <w:rPr>
          <w:rFonts w:ascii="Times New Roman"/>
          <w:kern w:val="2"/>
          <w:position w:val="0"/>
        </w:rPr>
        <w:tab/>
      </w:r>
      <w:r>
        <w:rPr>
          <w:rFonts w:ascii="Times New Roman"/>
          <w:kern w:val="2"/>
          <w:position w:val="0"/>
        </w:rPr>
        <w:t>GB 50037-2013</w:t>
      </w:r>
    </w:p>
    <w:p>
      <w:pPr>
        <w:adjustRightInd w:val="0"/>
        <w:snapToGrid w:val="0"/>
        <w:ind w:firstLine="560"/>
        <w:rPr>
          <w:rFonts w:ascii="Times New Roman"/>
          <w:kern w:val="2"/>
          <w:position w:val="0"/>
        </w:rPr>
      </w:pPr>
      <w:r>
        <w:rPr>
          <w:rFonts w:ascii="Times New Roman"/>
          <w:kern w:val="2"/>
          <w:position w:val="0"/>
        </w:rPr>
        <w:t>《电力工程制图标准 第4部分：土建部分》 DL/T5028.4-2015</w:t>
      </w:r>
    </w:p>
    <w:p>
      <w:pPr>
        <w:adjustRightInd w:val="0"/>
        <w:snapToGrid w:val="0"/>
        <w:ind w:firstLine="560"/>
        <w:rPr>
          <w:rFonts w:ascii="Times New Roman"/>
          <w:kern w:val="2"/>
          <w:position w:val="0"/>
        </w:rPr>
      </w:pPr>
      <w:r>
        <w:rPr>
          <w:rFonts w:ascii="Times New Roman"/>
          <w:kern w:val="2"/>
          <w:position w:val="0"/>
        </w:rPr>
        <w:t xml:space="preserve">《混凝土结构工程施工质量验收规范》      </w:t>
      </w:r>
      <w:r>
        <w:rPr>
          <w:rFonts w:ascii="Times New Roman"/>
          <w:kern w:val="2"/>
          <w:position w:val="0"/>
        </w:rPr>
        <w:tab/>
      </w:r>
      <w:r>
        <w:rPr>
          <w:rFonts w:ascii="Times New Roman"/>
          <w:kern w:val="2"/>
          <w:position w:val="0"/>
        </w:rPr>
        <w:t>GB 50204-2015</w:t>
      </w:r>
    </w:p>
    <w:p>
      <w:pPr>
        <w:adjustRightInd w:val="0"/>
        <w:snapToGrid w:val="0"/>
        <w:ind w:firstLine="560"/>
        <w:rPr>
          <w:rFonts w:ascii="Times New Roman"/>
          <w:kern w:val="2"/>
          <w:position w:val="0"/>
        </w:rPr>
      </w:pPr>
      <w:r>
        <w:rPr>
          <w:rFonts w:ascii="Times New Roman"/>
          <w:kern w:val="2"/>
          <w:position w:val="0"/>
        </w:rPr>
        <w:t xml:space="preserve">《钢结构工程施工质量验收规范》          </w:t>
      </w:r>
      <w:r>
        <w:rPr>
          <w:rFonts w:ascii="Times New Roman"/>
          <w:kern w:val="2"/>
          <w:position w:val="0"/>
        </w:rPr>
        <w:tab/>
      </w:r>
      <w:r>
        <w:rPr>
          <w:rFonts w:ascii="Times New Roman"/>
          <w:kern w:val="2"/>
          <w:position w:val="0"/>
        </w:rPr>
        <w:t>GB 50205-2001</w:t>
      </w:r>
    </w:p>
    <w:p>
      <w:pPr>
        <w:adjustRightInd w:val="0"/>
        <w:snapToGrid w:val="0"/>
        <w:ind w:firstLine="560"/>
        <w:rPr>
          <w:rFonts w:ascii="Times New Roman"/>
          <w:kern w:val="2"/>
          <w:position w:val="0"/>
        </w:rPr>
      </w:pPr>
      <w:r>
        <w:rPr>
          <w:rFonts w:ascii="Times New Roman"/>
          <w:kern w:val="2"/>
          <w:position w:val="0"/>
        </w:rPr>
        <w:t>《光伏(PV)发电系统过电压保护—导则》      SJ/T11127-1997</w:t>
      </w:r>
    </w:p>
    <w:p>
      <w:pPr>
        <w:adjustRightInd w:val="0"/>
        <w:snapToGrid w:val="0"/>
        <w:ind w:firstLine="560"/>
        <w:rPr>
          <w:rFonts w:ascii="Times New Roman"/>
          <w:kern w:val="2"/>
          <w:position w:val="0"/>
        </w:rPr>
      </w:pPr>
      <w:r>
        <w:rPr>
          <w:rFonts w:ascii="Times New Roman"/>
          <w:kern w:val="2"/>
          <w:position w:val="0"/>
        </w:rPr>
        <w:t>《光伏系统并网技术要求》                GB/T 19939-2005</w:t>
      </w:r>
    </w:p>
    <w:p>
      <w:pPr>
        <w:adjustRightInd w:val="0"/>
        <w:snapToGrid w:val="0"/>
        <w:ind w:firstLine="560"/>
        <w:rPr>
          <w:rFonts w:ascii="Times New Roman"/>
          <w:kern w:val="2"/>
          <w:position w:val="0"/>
        </w:rPr>
      </w:pPr>
      <w:r>
        <w:rPr>
          <w:rFonts w:ascii="Times New Roman"/>
          <w:kern w:val="2"/>
          <w:position w:val="0"/>
        </w:rPr>
        <w:t>《光伏发电站接入电力系统的技术规定》    GB/Z 19964-2005</w:t>
      </w:r>
    </w:p>
    <w:p>
      <w:pPr>
        <w:adjustRightInd w:val="0"/>
        <w:snapToGrid w:val="0"/>
        <w:ind w:firstLine="560"/>
        <w:rPr>
          <w:rFonts w:ascii="Times New Roman"/>
          <w:kern w:val="2"/>
          <w:position w:val="0"/>
        </w:rPr>
      </w:pPr>
      <w:r>
        <w:rPr>
          <w:rFonts w:ascii="Times New Roman"/>
          <w:kern w:val="2"/>
          <w:position w:val="0"/>
        </w:rPr>
        <w:t>《光伏系统电网接口特性》(IEC 61727：2004)GB/T 20046-2006</w:t>
      </w:r>
    </w:p>
    <w:p>
      <w:pPr>
        <w:adjustRightInd w:val="0"/>
        <w:snapToGrid w:val="0"/>
        <w:ind w:firstLine="560"/>
        <w:rPr>
          <w:rFonts w:ascii="Times New Roman"/>
          <w:kern w:val="2"/>
          <w:position w:val="0"/>
        </w:rPr>
      </w:pPr>
      <w:r>
        <w:rPr>
          <w:rFonts w:ascii="Times New Roman"/>
          <w:kern w:val="2"/>
          <w:position w:val="0"/>
        </w:rPr>
        <w:t xml:space="preserve">《电能质量电压波动和闪变》                GB 12326-2000 </w:t>
      </w:r>
    </w:p>
    <w:p>
      <w:pPr>
        <w:adjustRightInd w:val="0"/>
        <w:snapToGrid w:val="0"/>
        <w:ind w:firstLine="560"/>
        <w:rPr>
          <w:rFonts w:ascii="Times New Roman"/>
          <w:kern w:val="2"/>
          <w:position w:val="0"/>
        </w:rPr>
      </w:pPr>
      <w:r>
        <w:rPr>
          <w:rFonts w:ascii="Times New Roman"/>
          <w:kern w:val="2"/>
          <w:position w:val="0"/>
        </w:rPr>
        <w:t xml:space="preserve">《电能质量电力系统供电电压允许偏差》      </w:t>
      </w:r>
      <w:r>
        <w:rPr>
          <w:rFonts w:hint="eastAsia" w:ascii="Times New Roman"/>
          <w:kern w:val="2"/>
          <w:position w:val="0"/>
        </w:rPr>
        <w:t xml:space="preserve"> </w:t>
      </w:r>
      <w:r>
        <w:rPr>
          <w:rFonts w:ascii="Times New Roman"/>
          <w:kern w:val="2"/>
          <w:position w:val="0"/>
        </w:rPr>
        <w:t>GB12325-2003</w:t>
      </w:r>
    </w:p>
    <w:p>
      <w:pPr>
        <w:adjustRightInd w:val="0"/>
        <w:snapToGrid w:val="0"/>
        <w:ind w:firstLine="560"/>
        <w:rPr>
          <w:rFonts w:ascii="Times New Roman"/>
          <w:kern w:val="2"/>
          <w:position w:val="0"/>
        </w:rPr>
      </w:pPr>
      <w:r>
        <w:rPr>
          <w:rFonts w:ascii="Times New Roman"/>
          <w:kern w:val="2"/>
          <w:position w:val="0"/>
        </w:rPr>
        <w:t xml:space="preserve">《电能质量公用电网谐波》      </w:t>
      </w:r>
      <w:r>
        <w:rPr>
          <w:rFonts w:hint="eastAsia" w:ascii="Times New Roman"/>
          <w:kern w:val="2"/>
          <w:position w:val="0"/>
        </w:rPr>
        <w:t xml:space="preserve"> </w:t>
      </w:r>
      <w:r>
        <w:rPr>
          <w:rFonts w:ascii="Times New Roman"/>
          <w:kern w:val="2"/>
          <w:position w:val="0"/>
        </w:rPr>
        <w:t xml:space="preserve">      </w:t>
      </w:r>
      <w:r>
        <w:rPr>
          <w:rFonts w:hint="eastAsia" w:ascii="Times New Roman"/>
          <w:kern w:val="2"/>
          <w:position w:val="0"/>
        </w:rPr>
        <w:t xml:space="preserve">   </w:t>
      </w:r>
      <w:r>
        <w:rPr>
          <w:rFonts w:ascii="Times New Roman"/>
          <w:kern w:val="2"/>
          <w:position w:val="0"/>
        </w:rPr>
        <w:t>GB／T14549-1993</w:t>
      </w:r>
    </w:p>
    <w:p>
      <w:pPr>
        <w:adjustRightInd w:val="0"/>
        <w:snapToGrid w:val="0"/>
        <w:ind w:firstLine="560"/>
        <w:rPr>
          <w:rFonts w:ascii="Times New Roman"/>
          <w:kern w:val="2"/>
          <w:position w:val="0"/>
        </w:rPr>
      </w:pPr>
      <w:r>
        <w:rPr>
          <w:rFonts w:ascii="Times New Roman"/>
          <w:kern w:val="2"/>
          <w:position w:val="0"/>
        </w:rPr>
        <w:t xml:space="preserve">《建筑物防雷设计标准》                  </w:t>
      </w:r>
      <w:r>
        <w:rPr>
          <w:rFonts w:hint="eastAsia" w:ascii="Times New Roman"/>
          <w:kern w:val="2"/>
          <w:position w:val="0"/>
        </w:rPr>
        <w:t xml:space="preserve">   </w:t>
      </w:r>
      <w:r>
        <w:rPr>
          <w:rFonts w:ascii="Times New Roman"/>
          <w:kern w:val="2"/>
          <w:position w:val="0"/>
        </w:rPr>
        <w:t>GB50057-2000</w:t>
      </w:r>
    </w:p>
    <w:p>
      <w:pPr>
        <w:adjustRightInd w:val="0"/>
        <w:snapToGrid w:val="0"/>
        <w:ind w:firstLine="560"/>
        <w:rPr>
          <w:rFonts w:ascii="Times New Roman"/>
          <w:kern w:val="2"/>
          <w:position w:val="0"/>
        </w:rPr>
      </w:pPr>
      <w:r>
        <w:rPr>
          <w:rFonts w:ascii="Times New Roman"/>
          <w:kern w:val="2"/>
          <w:position w:val="0"/>
        </w:rPr>
        <w:t>《电能计量装置技术管理规程》               DL/T 448-2000</w:t>
      </w:r>
    </w:p>
    <w:p>
      <w:pPr>
        <w:adjustRightInd w:val="0"/>
        <w:snapToGrid w:val="0"/>
        <w:ind w:firstLine="560"/>
        <w:rPr>
          <w:rFonts w:ascii="Times New Roman"/>
          <w:kern w:val="2"/>
          <w:position w:val="0"/>
        </w:rPr>
      </w:pPr>
      <w:r>
        <w:rPr>
          <w:rFonts w:ascii="Times New Roman"/>
          <w:kern w:val="2"/>
          <w:position w:val="0"/>
        </w:rPr>
        <w:t xml:space="preserve">《电力工程电缆设计规范》                  </w:t>
      </w:r>
      <w:r>
        <w:rPr>
          <w:rFonts w:hint="eastAsia" w:ascii="Times New Roman"/>
          <w:kern w:val="2"/>
          <w:position w:val="0"/>
        </w:rPr>
        <w:t xml:space="preserve"> </w:t>
      </w:r>
      <w:r>
        <w:rPr>
          <w:rFonts w:ascii="Times New Roman"/>
          <w:kern w:val="2"/>
          <w:position w:val="0"/>
        </w:rPr>
        <w:t>GB50217-2007</w:t>
      </w:r>
    </w:p>
    <w:p>
      <w:pPr>
        <w:adjustRightInd w:val="0"/>
        <w:snapToGrid w:val="0"/>
        <w:ind w:left="560" w:leftChars="200" w:firstLine="0" w:firstLineChars="0"/>
        <w:rPr>
          <w:rFonts w:ascii="Times New Roman"/>
          <w:kern w:val="2"/>
          <w:position w:val="0"/>
        </w:rPr>
      </w:pPr>
      <w:r>
        <w:rPr>
          <w:rFonts w:ascii="Times New Roman"/>
          <w:kern w:val="2"/>
          <w:position w:val="0"/>
        </w:rPr>
        <w:t xml:space="preserve">电能质量 三相电压允许不平衡度         </w:t>
      </w:r>
      <w:r>
        <w:rPr>
          <w:rFonts w:hint="eastAsia" w:ascii="Times New Roman"/>
          <w:kern w:val="2"/>
          <w:position w:val="0"/>
        </w:rPr>
        <w:t xml:space="preserve">  </w:t>
      </w:r>
      <w:r>
        <w:rPr>
          <w:rFonts w:ascii="Times New Roman"/>
          <w:kern w:val="2"/>
          <w:position w:val="0"/>
        </w:rPr>
        <w:t>GB/T 15543-1995电能质量 电力系统频率允许偏差            GB/T15945-1995</w:t>
      </w:r>
    </w:p>
    <w:p>
      <w:pPr>
        <w:adjustRightInd w:val="0"/>
        <w:snapToGrid w:val="0"/>
        <w:ind w:firstLine="560"/>
        <w:rPr>
          <w:rFonts w:ascii="Times New Roman"/>
          <w:kern w:val="2"/>
          <w:position w:val="0"/>
        </w:rPr>
      </w:pPr>
      <w:r>
        <w:rPr>
          <w:rFonts w:ascii="Times New Roman"/>
          <w:kern w:val="2"/>
          <w:position w:val="0"/>
        </w:rPr>
        <w:t xml:space="preserve">外壳防护等级(IP代码)                        GB 4208-2008 </w:t>
      </w:r>
    </w:p>
    <w:p>
      <w:pPr>
        <w:adjustRightInd w:val="0"/>
        <w:snapToGrid w:val="0"/>
        <w:ind w:left="560" w:leftChars="200" w:firstLine="0" w:firstLineChars="0"/>
        <w:rPr>
          <w:rFonts w:ascii="Times New Roman"/>
          <w:kern w:val="2"/>
          <w:position w:val="0"/>
        </w:rPr>
      </w:pPr>
      <w:r>
        <w:rPr>
          <w:rFonts w:ascii="Times New Roman"/>
          <w:kern w:val="2"/>
          <w:position w:val="0"/>
        </w:rPr>
        <w:t xml:space="preserve">低压电器外壳防护等级                  </w:t>
      </w:r>
      <w:r>
        <w:rPr>
          <w:rFonts w:hint="eastAsia" w:ascii="Times New Roman"/>
          <w:kern w:val="2"/>
          <w:position w:val="0"/>
        </w:rPr>
        <w:t xml:space="preserve">  </w:t>
      </w:r>
      <w:r>
        <w:rPr>
          <w:rFonts w:ascii="Times New Roman"/>
          <w:kern w:val="2"/>
          <w:position w:val="0"/>
        </w:rPr>
        <w:t xml:space="preserve">GB/T4942.2-1993电力工程直流系统设计技术规程            </w:t>
      </w:r>
      <w:r>
        <w:rPr>
          <w:rFonts w:hint="eastAsia" w:ascii="Times New Roman"/>
          <w:kern w:val="2"/>
          <w:position w:val="0"/>
        </w:rPr>
        <w:t xml:space="preserve"> </w:t>
      </w:r>
      <w:r>
        <w:rPr>
          <w:rFonts w:ascii="Times New Roman"/>
          <w:kern w:val="2"/>
          <w:position w:val="0"/>
        </w:rPr>
        <w:t>DL/T 5044-2004《火力发电厂、变电所二次接线设计技术规程》</w:t>
      </w:r>
      <w:r>
        <w:rPr>
          <w:rFonts w:hint="eastAsia" w:ascii="Times New Roman"/>
          <w:kern w:val="2"/>
          <w:position w:val="0"/>
        </w:rPr>
        <w:t xml:space="preserve">    </w:t>
      </w:r>
      <w:r>
        <w:rPr>
          <w:rFonts w:ascii="Times New Roman"/>
          <w:kern w:val="2"/>
          <w:position w:val="0"/>
        </w:rPr>
        <w:t>NDGJ8-89《交流电气装置的接地》</w:t>
      </w:r>
      <w:r>
        <w:rPr>
          <w:rFonts w:hint="eastAsia" w:ascii="Times New Roman"/>
          <w:kern w:val="2"/>
          <w:position w:val="0"/>
        </w:rPr>
        <w:t xml:space="preserve">                     </w:t>
      </w:r>
      <w:r>
        <w:rPr>
          <w:rFonts w:ascii="Times New Roman"/>
          <w:kern w:val="2"/>
          <w:position w:val="0"/>
        </w:rPr>
        <w:t>DL/T 621-1997</w:t>
      </w:r>
    </w:p>
    <w:p>
      <w:pPr>
        <w:adjustRightInd w:val="0"/>
        <w:snapToGrid w:val="0"/>
        <w:ind w:firstLine="560"/>
        <w:rPr>
          <w:rFonts w:ascii="Times New Roman"/>
          <w:kern w:val="2"/>
          <w:position w:val="0"/>
        </w:rPr>
      </w:pPr>
      <w:r>
        <w:rPr>
          <w:rFonts w:ascii="Times New Roman"/>
          <w:kern w:val="2"/>
          <w:position w:val="0"/>
        </w:rPr>
        <w:t>《电测量及电能计量装置设计技术规程》</w:t>
      </w:r>
      <w:r>
        <w:rPr>
          <w:rFonts w:hint="eastAsia" w:ascii="Times New Roman"/>
          <w:kern w:val="2"/>
          <w:position w:val="0"/>
        </w:rPr>
        <w:t xml:space="preserve">           </w:t>
      </w:r>
      <w:r>
        <w:rPr>
          <w:rFonts w:ascii="Times New Roman"/>
          <w:kern w:val="2"/>
          <w:position w:val="0"/>
        </w:rPr>
        <w:t>SDJ9-1999</w:t>
      </w:r>
    </w:p>
    <w:p>
      <w:pPr>
        <w:adjustRightInd w:val="0"/>
        <w:snapToGrid w:val="0"/>
        <w:ind w:firstLine="560"/>
        <w:rPr>
          <w:rFonts w:ascii="Times New Roman"/>
          <w:kern w:val="2"/>
          <w:position w:val="0"/>
        </w:rPr>
      </w:pPr>
      <w:r>
        <w:rPr>
          <w:rFonts w:ascii="Times New Roman"/>
          <w:kern w:val="2"/>
          <w:position w:val="0"/>
        </w:rPr>
        <w:t>《电力工程直流系统设计技术规程》</w:t>
      </w:r>
      <w:r>
        <w:rPr>
          <w:rFonts w:hint="eastAsia" w:ascii="Times New Roman"/>
          <w:kern w:val="2"/>
          <w:position w:val="0"/>
        </w:rPr>
        <w:t xml:space="preserve">           </w:t>
      </w:r>
      <w:r>
        <w:rPr>
          <w:rFonts w:ascii="Times New Roman"/>
          <w:kern w:val="2"/>
          <w:position w:val="0"/>
        </w:rPr>
        <w:t>DL/T5044-2004</w:t>
      </w:r>
    </w:p>
    <w:p>
      <w:pPr>
        <w:ind w:left="560" w:leftChars="200" w:firstLine="0" w:firstLineChars="0"/>
        <w:rPr>
          <w:rFonts w:ascii="Times New Roman" w:cstheme="minorEastAsia"/>
        </w:rPr>
      </w:pPr>
      <w:r>
        <w:rPr>
          <w:rFonts w:hint="eastAsia" w:ascii="Times New Roman" w:cstheme="minorEastAsia"/>
        </w:rPr>
        <w:t>建筑结构荷载规范                         GB50009-20012钢结构工程施工质量验收标准                GB50205-2020钢结构设计标准                            GB50017-2017冷弯薄壁型钢结构技术规范                  GB50018-2002建筑地基基础设计规范                      GB50007-2011建筑抗震设计规范                 GB50011-2010（2016年版）</w:t>
      </w:r>
    </w:p>
    <w:p>
      <w:pPr>
        <w:ind w:left="560" w:leftChars="200" w:firstLine="0" w:firstLineChars="0"/>
        <w:rPr>
          <w:rFonts w:ascii="Times New Roman" w:cstheme="minorEastAsia"/>
        </w:rPr>
      </w:pPr>
      <w:r>
        <w:rPr>
          <w:rFonts w:hint="eastAsia" w:ascii="Times New Roman" w:cstheme="minorEastAsia"/>
        </w:rPr>
        <w:t>门式刚架轻型房屋钢结构技术规范            GB51022-2015混凝土结构设计规范               GB50010-2010（2015年版）</w:t>
      </w:r>
    </w:p>
    <w:p>
      <w:pPr>
        <w:ind w:firstLine="560"/>
        <w:rPr>
          <w:rFonts w:ascii="Times New Roman" w:cstheme="minorEastAsia"/>
        </w:rPr>
      </w:pPr>
      <w:r>
        <w:rPr>
          <w:rFonts w:hint="eastAsia" w:ascii="Times New Roman" w:cstheme="minorEastAsia"/>
        </w:rPr>
        <w:t>钢结构高强度螺栓连接技术规程                 JGJ 82-2011</w:t>
      </w:r>
    </w:p>
    <w:p>
      <w:pPr>
        <w:widowControl/>
        <w:spacing w:line="240" w:lineRule="auto"/>
        <w:ind w:left="560" w:firstLine="0" w:firstLineChars="0"/>
        <w:jc w:val="left"/>
        <w:rPr>
          <w:rFonts w:ascii="Times New Roman" w:cstheme="minorEastAsia"/>
        </w:rPr>
      </w:pPr>
      <w:r>
        <w:rPr>
          <w:rFonts w:hint="eastAsia" w:ascii="Times New Roman" w:cstheme="minorEastAsia"/>
        </w:rPr>
        <w:t>钢结构焊接规范                            GB50661-2011建筑设计防火规范                GB 50016-2014（2018年版）</w:t>
      </w:r>
    </w:p>
    <w:p>
      <w:pPr>
        <w:widowControl/>
        <w:spacing w:line="240" w:lineRule="auto"/>
        <w:ind w:left="560" w:firstLine="0" w:firstLineChars="0"/>
        <w:jc w:val="left"/>
        <w:rPr>
          <w:rFonts w:ascii="Times New Roman" w:cstheme="minorEastAsia"/>
        </w:rPr>
      </w:pPr>
      <w:r>
        <w:rPr>
          <w:rFonts w:hint="eastAsia" w:ascii="Times New Roman" w:cstheme="minorEastAsia"/>
        </w:rPr>
        <w:t>门式刚架轻型房屋钢构件                      JG 144-2016</w:t>
      </w:r>
    </w:p>
    <w:p>
      <w:pPr>
        <w:adjustRightInd w:val="0"/>
        <w:snapToGrid w:val="0"/>
        <w:ind w:firstLine="562"/>
        <w:rPr>
          <w:rFonts w:ascii="Times New Roman"/>
          <w:b/>
        </w:rPr>
      </w:pPr>
      <w:r>
        <w:rPr>
          <w:rFonts w:ascii="Times New Roman"/>
          <w:b/>
          <w:bCs/>
          <w:kern w:val="2"/>
          <w:position w:val="0"/>
        </w:rPr>
        <w:t>上述标准、规范及规程仅是本工程建设的基本依据，并未包括实施中所涉及到的所有标准、规范和规程，并且所用标准和技术规范均应为合同签订之日为止时的最新版本。</w:t>
      </w:r>
    </w:p>
    <w:p>
      <w:pPr>
        <w:pStyle w:val="4"/>
        <w:adjustRightInd w:val="0"/>
        <w:snapToGrid w:val="0"/>
        <w:spacing w:before="156" w:beforeLines="50" w:after="156" w:afterLines="50"/>
        <w:rPr>
          <w:rFonts w:ascii="Times New Roman" w:hAnsi="Times New Roman" w:eastAsia="宋体"/>
          <w:b/>
        </w:rPr>
      </w:pPr>
      <w:bookmarkStart w:id="5" w:name="_Toc449276713"/>
      <w:bookmarkStart w:id="6" w:name="_Toc503449925"/>
      <w:bookmarkStart w:id="7" w:name="_Toc419980633"/>
      <w:bookmarkStart w:id="8" w:name="_Toc360113535"/>
      <w:r>
        <w:rPr>
          <w:rFonts w:ascii="Times New Roman" w:hAnsi="Times New Roman" w:eastAsia="宋体"/>
          <w:b/>
        </w:rPr>
        <w:t>第二条  技术条件</w:t>
      </w:r>
      <w:bookmarkEnd w:id="5"/>
      <w:bookmarkEnd w:id="6"/>
      <w:bookmarkEnd w:id="7"/>
      <w:bookmarkEnd w:id="8"/>
    </w:p>
    <w:p>
      <w:pPr>
        <w:adjustRightInd w:val="0"/>
        <w:snapToGrid w:val="0"/>
        <w:ind w:firstLine="0" w:firstLineChars="0"/>
        <w:outlineLvl w:val="3"/>
        <w:rPr>
          <w:rFonts w:ascii="Times New Roman"/>
          <w:b/>
          <w:kern w:val="2"/>
        </w:rPr>
      </w:pPr>
      <w:bookmarkStart w:id="9" w:name="_Toc419980634"/>
      <w:r>
        <w:rPr>
          <w:rFonts w:ascii="Times New Roman"/>
          <w:b/>
          <w:kern w:val="2"/>
        </w:rPr>
        <w:t>2.1  现场自然条件</w:t>
      </w:r>
      <w:bookmarkEnd w:id="9"/>
    </w:p>
    <w:p>
      <w:pPr>
        <w:adjustRightInd w:val="0"/>
        <w:snapToGrid w:val="0"/>
        <w:ind w:firstLine="560"/>
        <w:rPr>
          <w:rFonts w:ascii="Times New Roman"/>
          <w:kern w:val="2"/>
          <w:position w:val="0"/>
        </w:rPr>
      </w:pPr>
      <w:bookmarkStart w:id="10" w:name="_Toc257482560"/>
      <w:r>
        <w:rPr>
          <w:rFonts w:ascii="Times New Roman"/>
          <w:kern w:val="2"/>
          <w:position w:val="0"/>
        </w:rPr>
        <w:t>重庆城开高速公路全长总计约128公里，建设总共分A、B、C三段，城开高速目前已建成通车的C标段有50余公里，包含谭家服务区、开州北服务区，</w:t>
      </w:r>
      <w:bookmarkStart w:id="88" w:name="_GoBack"/>
      <w:bookmarkEnd w:id="88"/>
      <w:r>
        <w:rPr>
          <w:rFonts w:ascii="Times New Roman"/>
          <w:kern w:val="2"/>
          <w:position w:val="0"/>
        </w:rPr>
        <w:t>隧道6座，收费站5个；正在修建的AB标段共计70余公里，包含北屏服务区、鸡鸣停车区，隧道16座，收费站5个。</w:t>
      </w:r>
    </w:p>
    <w:p>
      <w:pPr>
        <w:adjustRightInd w:val="0"/>
        <w:snapToGrid w:val="0"/>
        <w:ind w:firstLine="560"/>
        <w:rPr>
          <w:rFonts w:ascii="Times New Roman"/>
          <w:kern w:val="2"/>
          <w:position w:val="0"/>
        </w:rPr>
      </w:pPr>
      <w:r>
        <w:rPr>
          <w:rFonts w:ascii="Times New Roman"/>
          <w:kern w:val="2"/>
          <w:position w:val="0"/>
        </w:rPr>
        <w:t>根据《城开高速分布式光伏项目选址报告》</w:t>
      </w:r>
      <w:r>
        <w:rPr>
          <w:rFonts w:hint="eastAsia" w:ascii="Times New Roman"/>
          <w:kern w:val="2"/>
          <w:position w:val="0"/>
        </w:rPr>
        <w:t>、《银百高速歇凤服务区分布式光伏项目设计说明书》</w:t>
      </w:r>
      <w:r>
        <w:rPr>
          <w:rFonts w:ascii="Times New Roman"/>
          <w:kern w:val="2"/>
          <w:position w:val="0"/>
        </w:rPr>
        <w:t>，在城口—开州段高速路沿途的隧道口开展分布式光伏项目，根据现场实地勘察，本次工程选址</w:t>
      </w:r>
      <w:r>
        <w:rPr>
          <w:rFonts w:hint="eastAsia" w:ascii="Times New Roman"/>
          <w:kern w:val="2"/>
          <w:position w:val="0"/>
          <w:lang w:val="en-US" w:eastAsia="zh-CN"/>
        </w:rPr>
        <w:t>1</w:t>
      </w:r>
      <w:r>
        <w:rPr>
          <w:rFonts w:ascii="Times New Roman"/>
          <w:kern w:val="2"/>
          <w:position w:val="0"/>
        </w:rPr>
        <w:t>处，站址均位于城开高速沿线的隧道口，不涉及城开高速红线外用地。本次工程的详细选址明细见表2.1-1所示</w:t>
      </w:r>
      <w:r>
        <w:rPr>
          <w:rFonts w:hint="eastAsia" w:ascii="Times New Roman"/>
          <w:kern w:val="2"/>
          <w:position w:val="0"/>
        </w:rPr>
        <w:t>（最终数据以审定版施工图为准）</w:t>
      </w:r>
      <w:r>
        <w:rPr>
          <w:rFonts w:ascii="Times New Roman"/>
          <w:kern w:val="2"/>
          <w:position w:val="0"/>
        </w:rPr>
        <w:t>，本次工程站址相对位置示意图，如图2.1-1所示。</w:t>
      </w:r>
    </w:p>
    <w:p>
      <w:pPr>
        <w:adjustRightInd w:val="0"/>
        <w:snapToGrid w:val="0"/>
        <w:ind w:firstLine="422"/>
        <w:jc w:val="center"/>
        <w:outlineLvl w:val="7"/>
        <w:rPr>
          <w:rFonts w:ascii="Times New Roman"/>
          <w:b/>
          <w:sz w:val="21"/>
          <w:szCs w:val="21"/>
        </w:rPr>
      </w:pPr>
      <w:r>
        <w:rPr>
          <w:rFonts w:ascii="Times New Roman"/>
          <w:b/>
          <w:sz w:val="21"/>
          <w:szCs w:val="21"/>
        </w:rPr>
        <w:t>表2.1-1 城开高速分布式光伏装机情况</w:t>
      </w:r>
    </w:p>
    <w:tbl>
      <w:tblPr>
        <w:tblStyle w:val="58"/>
        <w:tblW w:w="5024" w:type="pct"/>
        <w:tblInd w:w="0" w:type="dxa"/>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Layout w:type="autofit"/>
        <w:tblCellMar>
          <w:top w:w="0" w:type="dxa"/>
          <w:left w:w="0" w:type="dxa"/>
          <w:bottom w:w="0" w:type="dxa"/>
          <w:right w:w="0" w:type="dxa"/>
        </w:tblCellMar>
      </w:tblPr>
      <w:tblGrid>
        <w:gridCol w:w="1048"/>
        <w:gridCol w:w="3354"/>
        <w:gridCol w:w="1048"/>
        <w:gridCol w:w="1854"/>
        <w:gridCol w:w="1052"/>
      </w:tblGrid>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tblHeader/>
        </w:trPr>
        <w:tc>
          <w:tcPr>
            <w:tcW w:w="6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18"/>
              </w:rPr>
            </w:pPr>
            <w:r>
              <w:rPr>
                <w:rFonts w:hint="eastAsia" w:ascii="Times New Roman" w:cs="宋体"/>
                <w:position w:val="0"/>
                <w:sz w:val="18"/>
                <w:szCs w:val="18"/>
              </w:rPr>
              <w:t>序号</w:t>
            </w:r>
          </w:p>
        </w:tc>
        <w:tc>
          <w:tcPr>
            <w:tcW w:w="2006"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18"/>
              </w:rPr>
            </w:pPr>
            <w:r>
              <w:rPr>
                <w:rFonts w:hint="eastAsia" w:ascii="Times New Roman" w:cs="宋体"/>
                <w:position w:val="0"/>
                <w:sz w:val="18"/>
                <w:szCs w:val="18"/>
              </w:rPr>
              <w:t>光伏安装地点</w:t>
            </w:r>
          </w:p>
        </w:tc>
        <w:tc>
          <w:tcPr>
            <w:tcW w:w="6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18"/>
              </w:rPr>
            </w:pPr>
            <w:r>
              <w:rPr>
                <w:rFonts w:hint="eastAsia" w:ascii="Times New Roman" w:cs="宋体"/>
                <w:position w:val="0"/>
                <w:sz w:val="18"/>
                <w:szCs w:val="18"/>
              </w:rPr>
              <w:t>装机</w:t>
            </w:r>
            <w:r>
              <w:rPr>
                <w:rFonts w:ascii="Times New Roman"/>
                <w:position w:val="0"/>
                <w:sz w:val="18"/>
                <w:szCs w:val="18"/>
              </w:rPr>
              <w:t>(</w:t>
            </w:r>
            <w:r>
              <w:rPr>
                <w:rFonts w:hint="eastAsia" w:ascii="Times New Roman"/>
                <w:position w:val="0"/>
                <w:sz w:val="18"/>
                <w:szCs w:val="18"/>
                <w:lang w:val="en-US" w:eastAsia="zh-CN"/>
              </w:rPr>
              <w:t>K</w:t>
            </w:r>
            <w:r>
              <w:rPr>
                <w:rFonts w:ascii="Times New Roman"/>
                <w:position w:val="0"/>
                <w:sz w:val="18"/>
                <w:szCs w:val="18"/>
              </w:rPr>
              <w:t>Wp</w:t>
            </w:r>
            <w:r>
              <w:rPr>
                <w:rFonts w:hint="eastAsia" w:ascii="Times New Roman" w:cs="宋体"/>
                <w:position w:val="0"/>
                <w:sz w:val="18"/>
                <w:szCs w:val="18"/>
              </w:rPr>
              <w:t>）</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18"/>
              </w:rPr>
            </w:pPr>
            <w:r>
              <w:rPr>
                <w:rFonts w:hint="eastAsia" w:ascii="Times New Roman" w:cs="宋体"/>
                <w:position w:val="0"/>
                <w:sz w:val="18"/>
                <w:szCs w:val="18"/>
              </w:rPr>
              <w:t>年均发电量（万</w:t>
            </w:r>
            <w:r>
              <w:rPr>
                <w:rFonts w:ascii="Times New Roman"/>
                <w:position w:val="0"/>
                <w:sz w:val="18"/>
                <w:szCs w:val="18"/>
              </w:rPr>
              <w:t>kWh</w:t>
            </w:r>
            <w:r>
              <w:rPr>
                <w:rFonts w:hint="eastAsia" w:ascii="Times New Roman" w:cs="宋体"/>
                <w:position w:val="0"/>
                <w:sz w:val="18"/>
                <w:szCs w:val="18"/>
              </w:rPr>
              <w:t>）</w:t>
            </w:r>
          </w:p>
        </w:tc>
        <w:tc>
          <w:tcPr>
            <w:tcW w:w="629" w:type="pct"/>
            <w:shd w:val="clear" w:color="auto" w:fill="auto"/>
            <w:vAlign w:val="center"/>
          </w:tcPr>
          <w:p>
            <w:pPr>
              <w:widowControl/>
              <w:adjustRightInd w:val="0"/>
              <w:snapToGrid w:val="0"/>
              <w:spacing w:line="240" w:lineRule="auto"/>
              <w:ind w:firstLine="0" w:firstLineChars="0"/>
              <w:jc w:val="center"/>
              <w:rPr>
                <w:rFonts w:ascii="Times New Roman" w:cs="宋体"/>
                <w:position w:val="0"/>
                <w:sz w:val="18"/>
                <w:szCs w:val="18"/>
              </w:rPr>
            </w:pPr>
            <w:r>
              <w:rPr>
                <w:rFonts w:hint="eastAsia" w:ascii="Times New Roman" w:cs="宋体"/>
                <w:position w:val="0"/>
                <w:sz w:val="18"/>
                <w:szCs w:val="18"/>
              </w:rPr>
              <w:t>自用电比例（</w:t>
            </w:r>
            <w:r>
              <w:rPr>
                <w:rFonts w:ascii="Times New Roman"/>
                <w:position w:val="0"/>
                <w:sz w:val="18"/>
                <w:szCs w:val="18"/>
              </w:rPr>
              <w:t>%</w:t>
            </w:r>
            <w:r>
              <w:rPr>
                <w:rFonts w:hint="eastAsia" w:ascii="Times New Roman" w:cs="宋体"/>
                <w:position w:val="0"/>
                <w:sz w:val="18"/>
                <w:szCs w:val="18"/>
              </w:rPr>
              <w:t>）</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627" w:type="pct"/>
            <w:shd w:val="clear" w:color="auto" w:fill="auto"/>
            <w:noWrap/>
            <w:vAlign w:val="center"/>
          </w:tcPr>
          <w:p>
            <w:pPr>
              <w:widowControl/>
              <w:adjustRightInd w:val="0"/>
              <w:snapToGrid w:val="0"/>
              <w:spacing w:line="240" w:lineRule="auto"/>
              <w:ind w:firstLine="0" w:firstLineChars="0"/>
              <w:jc w:val="center"/>
              <w:rPr>
                <w:rFonts w:hint="eastAsia" w:ascii="Times New Roman" w:eastAsia="宋体"/>
                <w:position w:val="0"/>
                <w:sz w:val="18"/>
                <w:szCs w:val="18"/>
                <w:lang w:eastAsia="zh-CN"/>
              </w:rPr>
            </w:pPr>
            <w:r>
              <w:rPr>
                <w:rFonts w:hint="eastAsia" w:ascii="Times New Roman"/>
                <w:position w:val="0"/>
                <w:sz w:val="18"/>
                <w:szCs w:val="18"/>
                <w:lang w:val="en-US" w:eastAsia="zh-CN"/>
              </w:rPr>
              <w:t>1</w:t>
            </w:r>
          </w:p>
        </w:tc>
        <w:tc>
          <w:tcPr>
            <w:tcW w:w="2006"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18"/>
              </w:rPr>
            </w:pPr>
            <w:r>
              <w:rPr>
                <w:rFonts w:hint="eastAsia" w:ascii="Times New Roman" w:cs="宋体"/>
                <w:position w:val="0"/>
                <w:sz w:val="18"/>
                <w:szCs w:val="18"/>
              </w:rPr>
              <w:t>黄家梁隧道口开州端</w:t>
            </w:r>
          </w:p>
        </w:tc>
        <w:tc>
          <w:tcPr>
            <w:tcW w:w="627" w:type="pct"/>
            <w:shd w:val="clear" w:color="auto" w:fill="auto"/>
            <w:noWrap/>
            <w:vAlign w:val="center"/>
          </w:tcPr>
          <w:p>
            <w:pPr>
              <w:widowControl/>
              <w:adjustRightInd w:val="0"/>
              <w:snapToGrid w:val="0"/>
              <w:spacing w:line="240" w:lineRule="auto"/>
              <w:ind w:firstLine="0" w:firstLineChars="0"/>
              <w:jc w:val="center"/>
              <w:rPr>
                <w:rFonts w:hint="eastAsia" w:ascii="Times New Roman"/>
                <w:position w:val="0"/>
                <w:sz w:val="18"/>
                <w:szCs w:val="18"/>
                <w:lang w:val="en-US" w:eastAsia="zh-CN"/>
              </w:rPr>
            </w:pPr>
            <w:r>
              <w:rPr>
                <w:rFonts w:ascii="Times New Roman"/>
                <w:position w:val="0"/>
                <w:sz w:val="18"/>
                <w:szCs w:val="18"/>
              </w:rPr>
              <w:t>0.1555</w:t>
            </w:r>
          </w:p>
        </w:tc>
        <w:tc>
          <w:tcPr>
            <w:tcW w:w="1109" w:type="pct"/>
            <w:shd w:val="clear" w:color="auto" w:fill="auto"/>
            <w:noWrap/>
            <w:vAlign w:val="center"/>
          </w:tcPr>
          <w:p>
            <w:pPr>
              <w:widowControl/>
              <w:adjustRightInd w:val="0"/>
              <w:snapToGrid w:val="0"/>
              <w:spacing w:line="240" w:lineRule="auto"/>
              <w:ind w:firstLine="0" w:firstLineChars="0"/>
              <w:jc w:val="center"/>
              <w:rPr>
                <w:rFonts w:hint="default" w:ascii="Times New Roman"/>
                <w:position w:val="0"/>
                <w:sz w:val="18"/>
                <w:szCs w:val="18"/>
                <w:lang w:val="en-US" w:eastAsia="zh-CN"/>
              </w:rPr>
            </w:pPr>
            <w:r>
              <w:rPr>
                <w:rFonts w:ascii="Times New Roman"/>
                <w:position w:val="0"/>
                <w:sz w:val="18"/>
                <w:szCs w:val="18"/>
              </w:rPr>
              <w:t>13.11</w:t>
            </w:r>
          </w:p>
        </w:tc>
        <w:tc>
          <w:tcPr>
            <w:tcW w:w="629" w:type="pct"/>
            <w:shd w:val="clear" w:color="auto" w:fill="auto"/>
            <w:vAlign w:val="center"/>
          </w:tcPr>
          <w:p>
            <w:pPr>
              <w:widowControl/>
              <w:adjustRightInd w:val="0"/>
              <w:snapToGrid w:val="0"/>
              <w:spacing w:line="240" w:lineRule="auto"/>
              <w:ind w:firstLine="0" w:firstLineChars="0"/>
              <w:jc w:val="center"/>
              <w:rPr>
                <w:rFonts w:ascii="Times New Roman"/>
                <w:position w:val="0"/>
                <w:sz w:val="18"/>
                <w:szCs w:val="18"/>
              </w:rPr>
            </w:pPr>
            <w:r>
              <w:rPr>
                <w:rFonts w:ascii="Times New Roman"/>
                <w:position w:val="0"/>
                <w:sz w:val="18"/>
                <w:szCs w:val="18"/>
              </w:rPr>
              <w:t>68.10%</w:t>
            </w:r>
          </w:p>
        </w:tc>
      </w:tr>
    </w:tbl>
    <w:p>
      <w:pPr>
        <w:adjustRightInd w:val="0"/>
        <w:snapToGrid w:val="0"/>
        <w:ind w:firstLine="420"/>
        <w:rPr>
          <w:rFonts w:ascii="Times New Roman"/>
          <w:sz w:val="21"/>
          <w:szCs w:val="21"/>
        </w:rPr>
      </w:pPr>
      <w:r>
        <w:rPr>
          <w:rFonts w:ascii="Times New Roman"/>
          <w:sz w:val="21"/>
          <w:szCs w:val="21"/>
        </w:rPr>
        <w:t>注：（1）隧道口光伏布置点均在隧道口开州端。</w:t>
      </w:r>
    </w:p>
    <w:p>
      <w:pPr>
        <w:ind w:firstLine="560"/>
        <w:jc w:val="center"/>
        <w:rPr>
          <w:rFonts w:ascii="Times New Roman"/>
        </w:rPr>
      </w:pPr>
      <w:r>
        <w:rPr>
          <w:rFonts w:ascii="Times New Roman"/>
        </w:rPr>
        <w:drawing>
          <wp:inline distT="0" distB="0" distL="0" distR="0">
            <wp:extent cx="3911600" cy="3080385"/>
            <wp:effectExtent l="0" t="0" r="0" b="571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2"/>
                    <a:stretch>
                      <a:fillRect/>
                    </a:stretch>
                  </pic:blipFill>
                  <pic:spPr>
                    <a:xfrm>
                      <a:off x="0" y="0"/>
                      <a:ext cx="3954819" cy="3114602"/>
                    </a:xfrm>
                    <a:prstGeom prst="rect">
                      <a:avLst/>
                    </a:prstGeom>
                  </pic:spPr>
                </pic:pic>
              </a:graphicData>
            </a:graphic>
          </wp:inline>
        </w:drawing>
      </w:r>
    </w:p>
    <w:p>
      <w:pPr>
        <w:pStyle w:val="514"/>
        <w:adjustRightInd w:val="0"/>
        <w:snapToGrid w:val="0"/>
        <w:spacing w:line="360" w:lineRule="auto"/>
        <w:ind w:firstLine="420"/>
        <w:outlineLvl w:val="7"/>
        <w:rPr>
          <w:rFonts w:ascii="Times New Roman" w:eastAsia="宋体"/>
          <w:sz w:val="21"/>
          <w:szCs w:val="21"/>
        </w:rPr>
      </w:pPr>
      <w:r>
        <w:rPr>
          <w:rFonts w:ascii="Times New Roman" w:eastAsia="宋体"/>
          <w:sz w:val="21"/>
          <w:szCs w:val="21"/>
        </w:rPr>
        <w:t>图2.1-1 站址相对位置示意图</w:t>
      </w:r>
    </w:p>
    <w:p>
      <w:pPr>
        <w:adjustRightInd w:val="0"/>
        <w:snapToGrid w:val="0"/>
        <w:spacing w:before="156" w:beforeLines="50"/>
        <w:ind w:firstLine="0" w:firstLineChars="0"/>
        <w:outlineLvl w:val="3"/>
        <w:rPr>
          <w:rFonts w:ascii="Times New Roman"/>
          <w:b/>
          <w:kern w:val="2"/>
        </w:rPr>
      </w:pPr>
      <w:bookmarkStart w:id="11" w:name="_Toc419980635"/>
      <w:r>
        <w:rPr>
          <w:rFonts w:ascii="Times New Roman"/>
          <w:b/>
          <w:kern w:val="2"/>
        </w:rPr>
        <w:t>2.2</w:t>
      </w:r>
      <w:bookmarkEnd w:id="10"/>
      <w:r>
        <w:rPr>
          <w:rFonts w:ascii="Times New Roman"/>
          <w:b/>
          <w:kern w:val="2"/>
        </w:rPr>
        <w:t xml:space="preserve">  气象资料</w:t>
      </w:r>
      <w:bookmarkEnd w:id="11"/>
    </w:p>
    <w:p>
      <w:pPr>
        <w:adjustRightInd w:val="0"/>
        <w:snapToGrid w:val="0"/>
        <w:ind w:firstLine="560"/>
        <w:rPr>
          <w:rFonts w:ascii="Times New Roman"/>
          <w:bCs/>
          <w:kern w:val="2"/>
          <w:position w:val="0"/>
          <w:szCs w:val="28"/>
        </w:rPr>
      </w:pPr>
      <w:r>
        <w:rPr>
          <w:rFonts w:ascii="Times New Roman"/>
          <w:bCs/>
          <w:kern w:val="2"/>
          <w:position w:val="0"/>
          <w:szCs w:val="28"/>
        </w:rPr>
        <w:t>开州区隶属于重庆市，位于重庆市东北部，三峡库区小江支流回水末端，介于北纬30°49′30″～31°41′30″、东经107°55′48″～108°54′之间，西邻四川省达州市开江县，北依大巴山接城口县和四川省达州市宣汉县，东毗云阳县和巫溪县，南近长江邻万州区。</w:t>
      </w:r>
    </w:p>
    <w:p>
      <w:pPr>
        <w:adjustRightInd w:val="0"/>
        <w:snapToGrid w:val="0"/>
        <w:ind w:firstLine="560"/>
        <w:rPr>
          <w:rFonts w:ascii="Times New Roman"/>
          <w:bCs/>
          <w:kern w:val="2"/>
          <w:position w:val="0"/>
          <w:szCs w:val="28"/>
        </w:rPr>
      </w:pPr>
      <w:r>
        <w:rPr>
          <w:rFonts w:ascii="Times New Roman"/>
          <w:bCs/>
          <w:kern w:val="2"/>
          <w:position w:val="0"/>
          <w:szCs w:val="28"/>
        </w:rPr>
        <w:t>城口县属北亚热带山地气候，具有山区立体气候的特征。特点是：气候温和，雨量充沛，日照较足，四季分明，冬长夏短。春季气温回升快，但不稳定，常有“倒春寒”天气出现；夏季降水集中，七、八月多干旱，伏前、伏后多洪涝；秋季降温快，多连阴雨天气；冬季时间较长、气温低。年均气温13.8℃；年均日照时数1534h；平均无霜期234d；年均降雨日166d；年均降水量1261.4mm，降水趋势由西南向东北渐少，年均风速为0.2m/s，风向多为西南风。</w:t>
      </w:r>
    </w:p>
    <w:p>
      <w:pPr>
        <w:adjustRightInd w:val="0"/>
        <w:snapToGrid w:val="0"/>
        <w:ind w:firstLine="560"/>
        <w:rPr>
          <w:rFonts w:ascii="Times New Roman"/>
          <w:kern w:val="2"/>
          <w:position w:val="0"/>
        </w:rPr>
      </w:pPr>
      <w:r>
        <w:rPr>
          <w:rFonts w:ascii="Times New Roman"/>
          <w:kern w:val="2"/>
          <w:position w:val="0"/>
        </w:rPr>
        <w:t>综合多种数据源数据，城开高速分布式光伏电站项目的太阳年总辐射约为1108kWh/m</w:t>
      </w:r>
      <w:r>
        <w:rPr>
          <w:rFonts w:ascii="Times New Roman"/>
          <w:kern w:val="2"/>
          <w:position w:val="0"/>
          <w:vertAlign w:val="superscript"/>
        </w:rPr>
        <w:t>2</w:t>
      </w:r>
      <w:r>
        <w:rPr>
          <w:rFonts w:ascii="Times New Roman"/>
          <w:kern w:val="2"/>
          <w:position w:val="0"/>
        </w:rPr>
        <w:t>，按照《太阳能资源评估方法》中的太阳能资源丰富程度等级标准进行评估，项目建设区域的太阳能资源达到丰富等级，初步判断可以适度开发太阳能资源。</w:t>
      </w:r>
    </w:p>
    <w:p>
      <w:pPr>
        <w:adjustRightInd w:val="0"/>
        <w:snapToGrid w:val="0"/>
        <w:ind w:firstLine="0" w:firstLineChars="0"/>
        <w:outlineLvl w:val="3"/>
        <w:rPr>
          <w:rFonts w:ascii="Times New Roman"/>
          <w:b/>
          <w:kern w:val="2"/>
        </w:rPr>
      </w:pPr>
      <w:bookmarkStart w:id="12" w:name="_Toc419980636"/>
      <w:r>
        <w:rPr>
          <w:rFonts w:ascii="Times New Roman"/>
          <w:b/>
          <w:kern w:val="2"/>
        </w:rPr>
        <w:t>2.3  地质地貌</w:t>
      </w:r>
      <w:bookmarkEnd w:id="12"/>
    </w:p>
    <w:p>
      <w:pPr>
        <w:adjustRightInd w:val="0"/>
        <w:snapToGrid w:val="0"/>
        <w:ind w:firstLine="560"/>
        <w:rPr>
          <w:rFonts w:ascii="Times New Roman"/>
          <w:kern w:val="2"/>
          <w:position w:val="0"/>
        </w:rPr>
      </w:pPr>
      <w:r>
        <w:rPr>
          <w:rFonts w:ascii="Times New Roman"/>
          <w:kern w:val="2"/>
          <w:position w:val="0"/>
        </w:rPr>
        <w:t>本项目场区地层岩性较单一，地质构造简单，岩层产状稳定，断层不发育，未发现活动性断裂构造，构造基本稳定，场地类别以简单~中等场地为主。</w:t>
      </w:r>
    </w:p>
    <w:p>
      <w:pPr>
        <w:adjustRightInd w:val="0"/>
        <w:snapToGrid w:val="0"/>
        <w:ind w:firstLine="560"/>
        <w:rPr>
          <w:rFonts w:ascii="Times New Roman"/>
          <w:kern w:val="2"/>
          <w:position w:val="0"/>
        </w:rPr>
      </w:pPr>
      <w:r>
        <w:rPr>
          <w:rFonts w:ascii="Times New Roman"/>
          <w:kern w:val="2"/>
          <w:position w:val="0"/>
        </w:rPr>
        <w:t>各规划工程区场地第四系松散堆积物厚度较薄，出露基岩为大多为泥岩、粉砂质泥岩、长石砂岩、长石石英砂岩、中厚层灰岩、白云质灰岩和泥质灰岩，岩性稳定。</w:t>
      </w:r>
    </w:p>
    <w:p>
      <w:pPr>
        <w:adjustRightInd w:val="0"/>
        <w:snapToGrid w:val="0"/>
        <w:ind w:firstLine="560"/>
        <w:rPr>
          <w:rFonts w:ascii="Times New Roman"/>
          <w:kern w:val="2"/>
          <w:position w:val="0"/>
        </w:rPr>
      </w:pPr>
      <w:r>
        <w:rPr>
          <w:rFonts w:ascii="Times New Roman"/>
          <w:kern w:val="2"/>
          <w:position w:val="0"/>
        </w:rPr>
        <w:t>根据现场勘察实际情况，结合《重庆城开高速公路工程地质详细勘察报告》，本项目场区整个场地地势相对较平缓，周围无高陡天然边坡、崩塌、滑坡等不良地质现象。天然地基（利用弱风化岩体作为持力层）能满足拟建光伏支架对地基的要求，建议基础置于碎石土层或强风化基岩上，但需避开岩溶发育地区。宏观判断，场地稳定性较好，适宜光伏电站工程建设。</w:t>
      </w:r>
    </w:p>
    <w:p>
      <w:pPr>
        <w:adjustRightInd w:val="0"/>
        <w:snapToGrid w:val="0"/>
        <w:ind w:firstLine="560"/>
        <w:rPr>
          <w:rFonts w:ascii="Times New Roman"/>
          <w:kern w:val="2"/>
          <w:position w:val="0"/>
        </w:rPr>
      </w:pPr>
      <w:r>
        <w:rPr>
          <w:rFonts w:ascii="Times New Roman"/>
          <w:kern w:val="2"/>
          <w:position w:val="0"/>
        </w:rPr>
        <w:t>交通运输条件：本项目位于城开高速沿线，交通运输条件较好。</w:t>
      </w:r>
    </w:p>
    <w:p>
      <w:pPr>
        <w:pStyle w:val="4"/>
        <w:adjustRightInd w:val="0"/>
        <w:snapToGrid w:val="0"/>
        <w:spacing w:before="156" w:beforeLines="50" w:after="156" w:afterLines="50"/>
        <w:rPr>
          <w:rFonts w:ascii="Times New Roman" w:hAnsi="Times New Roman" w:eastAsia="宋体"/>
          <w:b/>
        </w:rPr>
      </w:pPr>
      <w:bookmarkStart w:id="13" w:name="_Toc419980637"/>
      <w:bookmarkStart w:id="14" w:name="_Toc449276714"/>
      <w:bookmarkStart w:id="15" w:name="_Toc503449926"/>
      <w:r>
        <w:rPr>
          <w:rFonts w:ascii="Times New Roman" w:hAnsi="Times New Roman" w:eastAsia="宋体"/>
          <w:b/>
        </w:rPr>
        <w:t>第三条  设计</w:t>
      </w:r>
      <w:bookmarkEnd w:id="13"/>
      <w:bookmarkEnd w:id="14"/>
      <w:r>
        <w:rPr>
          <w:rFonts w:ascii="Times New Roman" w:hAnsi="Times New Roman" w:eastAsia="宋体"/>
          <w:b/>
        </w:rPr>
        <w:t>和设备采购</w:t>
      </w:r>
      <w:bookmarkEnd w:id="15"/>
    </w:p>
    <w:p>
      <w:pPr>
        <w:adjustRightInd w:val="0"/>
        <w:snapToGrid w:val="0"/>
        <w:ind w:firstLine="0" w:firstLineChars="0"/>
        <w:outlineLvl w:val="3"/>
        <w:rPr>
          <w:rFonts w:ascii="Times New Roman"/>
          <w:b/>
          <w:kern w:val="2"/>
        </w:rPr>
      </w:pPr>
      <w:bookmarkStart w:id="16" w:name="_Toc419980638"/>
      <w:r>
        <w:rPr>
          <w:rFonts w:ascii="Times New Roman"/>
          <w:b/>
          <w:kern w:val="2"/>
        </w:rPr>
        <w:t>3.1 设计方面</w:t>
      </w:r>
      <w:bookmarkEnd w:id="16"/>
    </w:p>
    <w:p>
      <w:pPr>
        <w:adjustRightInd w:val="0"/>
        <w:snapToGrid w:val="0"/>
        <w:ind w:firstLine="560"/>
        <w:rPr>
          <w:rFonts w:ascii="Times New Roman"/>
          <w:kern w:val="2"/>
          <w:position w:val="0"/>
        </w:rPr>
      </w:pPr>
      <w:r>
        <w:rPr>
          <w:rFonts w:ascii="Times New Roman"/>
          <w:kern w:val="2"/>
          <w:position w:val="0"/>
        </w:rPr>
        <w:t>承包方所采用的设计方案、选用的主要设备必须经发包人进行审定确认后方可实施。</w:t>
      </w:r>
    </w:p>
    <w:p>
      <w:pPr>
        <w:adjustRightInd w:val="0"/>
        <w:snapToGrid w:val="0"/>
        <w:ind w:firstLine="560"/>
        <w:rPr>
          <w:rFonts w:ascii="Times New Roman"/>
          <w:kern w:val="2"/>
          <w:position w:val="0"/>
          <w:highlight w:val="yellow"/>
        </w:rPr>
      </w:pPr>
      <w:r>
        <w:rPr>
          <w:rFonts w:ascii="Times New Roman"/>
          <w:kern w:val="2"/>
          <w:position w:val="0"/>
        </w:rPr>
        <w:t>包括如下内容（不限于）：工程总平面布置（含植被恢复）；主要设备选型和安装工程设计，包括光伏组件、逆变器（投标人采购光伏组件和逆变器等主要设备，须满足发包人提供的设计文件要求。光伏组件采用540W型单晶硅组件，逆变器采用组串式逆变器）、并网箱、防雷汇流箱、监控设备等；消防、场区道路；光伏场区内土建工程。</w:t>
      </w:r>
    </w:p>
    <w:p>
      <w:pPr>
        <w:adjustRightInd w:val="0"/>
        <w:snapToGrid w:val="0"/>
        <w:ind w:firstLine="560"/>
        <w:rPr>
          <w:rFonts w:ascii="Times New Roman"/>
        </w:rPr>
      </w:pPr>
      <w:r>
        <w:rPr>
          <w:rFonts w:ascii="Times New Roman"/>
          <w:kern w:val="2"/>
          <w:position w:val="0"/>
        </w:rPr>
        <w:t>主要设备应遵循的原则和要求具体如下：</w:t>
      </w:r>
    </w:p>
    <w:p>
      <w:pPr>
        <w:ind w:firstLine="560"/>
        <w:outlineLvl w:val="4"/>
        <w:rPr>
          <w:rFonts w:ascii="Times New Roman"/>
        </w:rPr>
      </w:pPr>
      <w:r>
        <w:rPr>
          <w:rFonts w:ascii="Times New Roman"/>
        </w:rPr>
        <w:t xml:space="preserve">3.1.1 主要技术指标 </w:t>
      </w:r>
    </w:p>
    <w:p>
      <w:pPr>
        <w:adjustRightInd w:val="0"/>
        <w:snapToGrid w:val="0"/>
        <w:ind w:firstLine="560"/>
        <w:rPr>
          <w:rFonts w:ascii="Times New Roman"/>
        </w:rPr>
      </w:pPr>
      <w:r>
        <w:rPr>
          <w:rFonts w:ascii="Times New Roman"/>
          <w:kern w:val="2"/>
          <w:position w:val="0"/>
        </w:rPr>
        <w:t>必须保证电站的系统效率不得低于82%，投标人应采取技术措施予以保证。本项目为PC承包模式（采购+施工），光伏组件和逆变器等主要设备的采购需按照发包人提供的设计文件提供</w:t>
      </w:r>
      <w:r>
        <w:rPr>
          <w:rFonts w:ascii="Times New Roman"/>
        </w:rPr>
        <w:t>。</w:t>
      </w:r>
    </w:p>
    <w:p>
      <w:pPr>
        <w:adjustRightInd w:val="0"/>
        <w:snapToGrid w:val="0"/>
        <w:ind w:firstLine="560"/>
        <w:outlineLvl w:val="5"/>
        <w:rPr>
          <w:rFonts w:ascii="Times New Roman"/>
          <w:sz w:val="24"/>
          <w:szCs w:val="24"/>
        </w:rPr>
      </w:pPr>
      <w:r>
        <w:rPr>
          <w:rFonts w:ascii="Times New Roman"/>
        </w:rPr>
        <w:t>3.1.1.1光伏阵列支架及基础</w:t>
      </w:r>
    </w:p>
    <w:p>
      <w:pPr>
        <w:adjustRightInd w:val="0"/>
        <w:snapToGrid w:val="0"/>
        <w:ind w:firstLine="560"/>
        <w:rPr>
          <w:rFonts w:ascii="Times New Roman"/>
          <w:kern w:val="2"/>
          <w:position w:val="0"/>
        </w:rPr>
      </w:pPr>
      <w:r>
        <w:rPr>
          <w:rFonts w:ascii="Times New Roman"/>
          <w:kern w:val="2"/>
          <w:position w:val="0"/>
        </w:rPr>
        <w:t>隧道口地面组件低端离地高度不得小于1.4m，方案必须充分考虑支架风载荷、雪载荷、抗倾覆等，必须满足国家规范要求。</w:t>
      </w:r>
    </w:p>
    <w:p>
      <w:pPr>
        <w:adjustRightInd w:val="0"/>
        <w:snapToGrid w:val="0"/>
        <w:ind w:firstLine="560"/>
        <w:outlineLvl w:val="6"/>
        <w:rPr>
          <w:rFonts w:ascii="Times New Roman"/>
        </w:rPr>
      </w:pPr>
      <w:r>
        <w:rPr>
          <w:rFonts w:ascii="Times New Roman"/>
        </w:rPr>
        <w:t>（1）支架的布置形式</w:t>
      </w:r>
    </w:p>
    <w:p>
      <w:pPr>
        <w:adjustRightInd w:val="0"/>
        <w:snapToGrid w:val="0"/>
        <w:ind w:firstLine="560"/>
        <w:rPr>
          <w:rFonts w:ascii="Times New Roman"/>
          <w:kern w:val="2"/>
          <w:position w:val="0"/>
        </w:rPr>
      </w:pPr>
      <w:r>
        <w:rPr>
          <w:rFonts w:ascii="Times New Roman"/>
          <w:kern w:val="2"/>
          <w:position w:val="0"/>
        </w:rPr>
        <w:t>本项目暂定固定式方案。光伏阵列的固定式运行方式根据设计文件提供的方式安装。</w:t>
      </w:r>
    </w:p>
    <w:p>
      <w:pPr>
        <w:adjustRightInd w:val="0"/>
        <w:snapToGrid w:val="0"/>
        <w:ind w:firstLine="560"/>
        <w:outlineLvl w:val="6"/>
        <w:rPr>
          <w:rFonts w:ascii="Times New Roman"/>
        </w:rPr>
      </w:pPr>
      <w:r>
        <w:rPr>
          <w:rFonts w:ascii="Times New Roman"/>
        </w:rPr>
        <w:t>（2）支架的基本技术要求</w:t>
      </w:r>
    </w:p>
    <w:p>
      <w:pPr>
        <w:adjustRightInd w:val="0"/>
        <w:snapToGrid w:val="0"/>
        <w:ind w:firstLine="560"/>
        <w:rPr>
          <w:rFonts w:ascii="Times New Roman"/>
          <w:kern w:val="2"/>
          <w:position w:val="0"/>
        </w:rPr>
      </w:pPr>
      <w:r>
        <w:rPr>
          <w:rFonts w:ascii="Times New Roman"/>
          <w:kern w:val="2"/>
          <w:position w:val="0"/>
        </w:rPr>
        <w:t>1）支架系统包含从基础连接件至光伏电池板下部钢支架之间（含组件板固定配件）的支撑结构。材质满足发包人提供的设计文件要求，无论选用何种材质，必须满足支架刚度、强度、稳定性和抗腐蚀性的相关国家现行规范和标准要求。</w:t>
      </w:r>
    </w:p>
    <w:p>
      <w:pPr>
        <w:adjustRightInd w:val="0"/>
        <w:snapToGrid w:val="0"/>
        <w:ind w:firstLine="560"/>
        <w:rPr>
          <w:rFonts w:ascii="Times New Roman"/>
          <w:kern w:val="2"/>
          <w:position w:val="0"/>
        </w:rPr>
      </w:pPr>
      <w:r>
        <w:rPr>
          <w:rFonts w:ascii="Times New Roman"/>
          <w:kern w:val="2"/>
          <w:position w:val="0"/>
        </w:rPr>
        <w:t>支架材料采用热浸镀锌防锈处理方式，热浸镀锌满足《金属覆盖层钢铁制件热浸镀锌层技术要求及试验方法》GB/T13912-2002中规定，镀锌层平均厚度不小于65μm，防腐寿命不低于25年，用于主梁和柱的板厚不宜小于2.5mm，用于次梁的板厚不宜小于1.5mm，须由国家权威机构出具检测报告或评估报告。</w:t>
      </w:r>
    </w:p>
    <w:p>
      <w:pPr>
        <w:adjustRightInd w:val="0"/>
        <w:snapToGrid w:val="0"/>
        <w:ind w:firstLine="560"/>
        <w:rPr>
          <w:rFonts w:ascii="Times New Roman"/>
          <w:kern w:val="2"/>
          <w:position w:val="0"/>
        </w:rPr>
      </w:pPr>
      <w:r>
        <w:rPr>
          <w:rFonts w:ascii="Times New Roman"/>
          <w:kern w:val="2"/>
          <w:position w:val="0"/>
        </w:rPr>
        <w:t>2）镀锌厚度检测：镀锌层厚度按照《金属覆盖层 钢铁制件热浸镀锌层技术要求及实验方法》提供方法进行检测。</w:t>
      </w:r>
    </w:p>
    <w:p>
      <w:pPr>
        <w:adjustRightInd w:val="0"/>
        <w:snapToGrid w:val="0"/>
        <w:ind w:firstLine="560"/>
        <w:rPr>
          <w:rFonts w:ascii="Times New Roman"/>
          <w:kern w:val="2"/>
          <w:position w:val="0"/>
        </w:rPr>
      </w:pPr>
      <w:r>
        <w:rPr>
          <w:rFonts w:ascii="Times New Roman"/>
          <w:kern w:val="2"/>
          <w:position w:val="0"/>
        </w:rPr>
        <w:t>3）热浸镀锌防变形措施：投标人须在投标文件中给出具体防变形镀锌方案，以防止构件在热浸镀锌后产生明显的变形。</w:t>
      </w:r>
    </w:p>
    <w:p>
      <w:pPr>
        <w:adjustRightInd w:val="0"/>
        <w:snapToGrid w:val="0"/>
        <w:ind w:firstLine="560"/>
        <w:rPr>
          <w:rFonts w:ascii="Times New Roman"/>
          <w:kern w:val="2"/>
          <w:position w:val="0"/>
        </w:rPr>
      </w:pPr>
      <w:r>
        <w:rPr>
          <w:rFonts w:ascii="Times New Roman"/>
          <w:kern w:val="2"/>
          <w:position w:val="0"/>
        </w:rPr>
        <w:t>4）为防止紧固件腐蚀，全部紧固件包括螺栓、螺母、垫片等必须采用不锈钢或渗锌工艺处理，满足《钢铁制件粉末渗锌》JB/T5067-1999（机械行业标准）中规定，渗锌厚度不小于30μm。</w:t>
      </w:r>
    </w:p>
    <w:p>
      <w:pPr>
        <w:adjustRightInd w:val="0"/>
        <w:snapToGrid w:val="0"/>
        <w:ind w:firstLine="560"/>
        <w:rPr>
          <w:rFonts w:ascii="Times New Roman"/>
          <w:kern w:val="2"/>
          <w:position w:val="0"/>
        </w:rPr>
      </w:pPr>
      <w:r>
        <w:rPr>
          <w:rFonts w:ascii="Times New Roman"/>
          <w:kern w:val="2"/>
          <w:position w:val="0"/>
        </w:rPr>
        <w:t>5）支架受力要求，支架在各种荷载作用下应满足规范对钢结构强度、刚度及稳定性的要求。</w:t>
      </w:r>
    </w:p>
    <w:p>
      <w:pPr>
        <w:adjustRightInd w:val="0"/>
        <w:snapToGrid w:val="0"/>
        <w:ind w:firstLine="560"/>
        <w:rPr>
          <w:rFonts w:ascii="Times New Roman"/>
          <w:kern w:val="2"/>
          <w:position w:val="0"/>
        </w:rPr>
      </w:pPr>
      <w:r>
        <w:rPr>
          <w:rFonts w:ascii="Times New Roman"/>
          <w:kern w:val="2"/>
          <w:position w:val="0"/>
        </w:rPr>
        <w:t>6）隧道口部分光伏基础与支架底座的连接采用螺栓穿透式连接形式。支架系统应具有在高度方向调整施工偏差的可靠方法，可调整高差范围为设计标高±400mm，且在此±400mm的调整范围内为无级式调节.</w:t>
      </w:r>
    </w:p>
    <w:p>
      <w:pPr>
        <w:adjustRightInd w:val="0"/>
        <w:snapToGrid w:val="0"/>
        <w:ind w:firstLine="560"/>
        <w:rPr>
          <w:rFonts w:ascii="Times New Roman"/>
          <w:kern w:val="2"/>
          <w:position w:val="0"/>
        </w:rPr>
      </w:pPr>
      <w:r>
        <w:rPr>
          <w:rFonts w:ascii="Times New Roman"/>
          <w:kern w:val="2"/>
          <w:position w:val="0"/>
        </w:rPr>
        <w:t>7）为保证防腐质量满足25年工程使用周期及工程进度，所有构件均需在工厂内生产，现场组装支架系统。构件之间的连接全部为螺栓连接，不允许现场焊接。如果采用圆管构件，管壁厚应不小于2.5mm，且投标人须提供可靠的杆件之间的连接方式并得到设计院或发包方认可。</w:t>
      </w:r>
    </w:p>
    <w:p>
      <w:pPr>
        <w:adjustRightInd w:val="0"/>
        <w:snapToGrid w:val="0"/>
        <w:ind w:firstLine="560"/>
        <w:rPr>
          <w:rFonts w:ascii="Times New Roman"/>
          <w:kern w:val="2"/>
          <w:position w:val="0"/>
        </w:rPr>
      </w:pPr>
      <w:r>
        <w:rPr>
          <w:rFonts w:ascii="Times New Roman"/>
          <w:kern w:val="2"/>
          <w:position w:val="0"/>
        </w:rPr>
        <w:t>8）光伏组件阵列排布整齐。按照发包人提供的设计文件实施，钢材、钢筋、水泥、砂石料的材质应满足国家标准。</w:t>
      </w:r>
    </w:p>
    <w:p>
      <w:pPr>
        <w:adjustRightInd w:val="0"/>
        <w:snapToGrid w:val="0"/>
        <w:ind w:firstLine="560"/>
        <w:outlineLvl w:val="6"/>
        <w:rPr>
          <w:rFonts w:ascii="Times New Roman"/>
        </w:rPr>
      </w:pPr>
      <w:r>
        <w:rPr>
          <w:rFonts w:ascii="Times New Roman"/>
        </w:rPr>
        <w:t>（3）支架基础要求</w:t>
      </w:r>
    </w:p>
    <w:p>
      <w:pPr>
        <w:adjustRightInd w:val="0"/>
        <w:snapToGrid w:val="0"/>
        <w:ind w:firstLine="560"/>
        <w:rPr>
          <w:rFonts w:ascii="Times New Roman"/>
          <w:kern w:val="2"/>
          <w:position w:val="0"/>
        </w:rPr>
      </w:pPr>
      <w:r>
        <w:rPr>
          <w:rFonts w:ascii="Times New Roman"/>
          <w:kern w:val="2"/>
          <w:position w:val="0"/>
        </w:rPr>
        <w:t>光伏组件支架基础按照发包人提供的设计文件实施。支架基础上作用的主要荷载为风荷载。支架基础在极端风荷载作用下，有可能出现倾覆等破坏现象，最终导致整体结构失稳。</w:t>
      </w:r>
    </w:p>
    <w:p>
      <w:pPr>
        <w:adjustRightInd w:val="0"/>
        <w:snapToGrid w:val="0"/>
        <w:ind w:firstLine="560"/>
        <w:outlineLvl w:val="6"/>
        <w:rPr>
          <w:rFonts w:ascii="Times New Roman"/>
        </w:rPr>
      </w:pPr>
      <w:r>
        <w:rPr>
          <w:rFonts w:ascii="Times New Roman"/>
        </w:rPr>
        <w:t>（4）场平要求</w:t>
      </w:r>
    </w:p>
    <w:p>
      <w:pPr>
        <w:adjustRightInd w:val="0"/>
        <w:snapToGrid w:val="0"/>
        <w:ind w:firstLine="560"/>
        <w:rPr>
          <w:rFonts w:ascii="Times New Roman"/>
          <w:kern w:val="2"/>
          <w:position w:val="0"/>
        </w:rPr>
      </w:pPr>
      <w:r>
        <w:rPr>
          <w:rFonts w:ascii="Times New Roman"/>
          <w:kern w:val="2"/>
          <w:position w:val="0"/>
        </w:rPr>
        <w:t>各投标人自行踏勘或根据项目经验确定场平工程量，亦可采用切实可行的基础或支架调节方式避免场地内大范围的挖填方。</w:t>
      </w:r>
    </w:p>
    <w:p>
      <w:pPr>
        <w:ind w:firstLine="560"/>
        <w:outlineLvl w:val="5"/>
        <w:rPr>
          <w:rFonts w:ascii="Times New Roman"/>
        </w:rPr>
      </w:pPr>
      <w:bookmarkStart w:id="17" w:name="_Toc422490097"/>
      <w:r>
        <w:rPr>
          <w:rFonts w:ascii="Times New Roman"/>
        </w:rPr>
        <w:t>3.1.1.2工程总平面布置、土建、建筑物要求</w:t>
      </w:r>
      <w:bookmarkEnd w:id="17"/>
    </w:p>
    <w:p>
      <w:pPr>
        <w:ind w:firstLine="560"/>
        <w:rPr>
          <w:rFonts w:ascii="Times New Roman"/>
        </w:rPr>
      </w:pPr>
      <w:r>
        <w:rPr>
          <w:rFonts w:ascii="Times New Roman"/>
        </w:rPr>
        <w:t>1）本工程设计装机容量</w:t>
      </w:r>
      <w:r>
        <w:rPr>
          <w:rFonts w:hint="eastAsia" w:ascii="Times New Roman"/>
          <w:lang w:val="en-US" w:eastAsia="zh-CN"/>
        </w:rPr>
        <w:t>155.52K</w:t>
      </w:r>
      <w:r>
        <w:rPr>
          <w:rFonts w:ascii="Times New Roman"/>
        </w:rPr>
        <w:t>Wp，</w:t>
      </w:r>
      <w:r>
        <w:rPr>
          <w:rFonts w:hint="eastAsia" w:ascii="Times New Roman"/>
        </w:rPr>
        <w:t>工程建设选址</w:t>
      </w:r>
      <w:r>
        <w:rPr>
          <w:rFonts w:hint="eastAsia" w:ascii="Times New Roman"/>
          <w:lang w:val="en-US" w:eastAsia="zh-CN"/>
        </w:rPr>
        <w:t>1</w:t>
      </w:r>
      <w:r>
        <w:rPr>
          <w:rFonts w:hint="eastAsia" w:ascii="Times New Roman"/>
        </w:rPr>
        <w:t>处，采用</w:t>
      </w:r>
      <w:r>
        <w:rPr>
          <w:rFonts w:hint="eastAsia" w:ascii="Times New Roman"/>
          <w:lang w:val="en-US" w:eastAsia="zh-CN"/>
        </w:rPr>
        <w:t>288</w:t>
      </w:r>
      <w:r>
        <w:rPr>
          <w:rFonts w:hint="eastAsia" w:ascii="Times New Roman"/>
        </w:rPr>
        <w:t>块540Wp光伏板进行铺设，涉及土地面积约</w:t>
      </w:r>
      <w:r>
        <w:rPr>
          <w:rFonts w:hint="eastAsia" w:ascii="Times New Roman"/>
          <w:lang w:val="en-US" w:eastAsia="zh-CN"/>
        </w:rPr>
        <w:t>2000</w:t>
      </w:r>
      <w:r>
        <w:rPr>
          <w:rFonts w:hint="eastAsia" w:ascii="Times New Roman"/>
        </w:rPr>
        <w:t>平方米</w:t>
      </w:r>
      <w:r>
        <w:rPr>
          <w:rFonts w:ascii="Times New Roman"/>
        </w:rPr>
        <w:t>。</w:t>
      </w:r>
      <w:r>
        <w:rPr>
          <w:rFonts w:ascii="Times New Roman"/>
          <w:szCs w:val="28"/>
        </w:rPr>
        <w:t>本工程施工时应充分考虑固定支架及支架基础、电力设备等应具有一定的防潮、防腐蚀能力。</w:t>
      </w:r>
    </w:p>
    <w:p>
      <w:pPr>
        <w:ind w:firstLine="560"/>
        <w:rPr>
          <w:rFonts w:ascii="Times New Roman"/>
        </w:rPr>
      </w:pPr>
      <w:r>
        <w:rPr>
          <w:rFonts w:ascii="Times New Roman"/>
        </w:rPr>
        <w:t>2）阵列基础埋深和大小要按照发包人提供的设计文件实施。</w:t>
      </w:r>
    </w:p>
    <w:p>
      <w:pPr>
        <w:ind w:firstLine="560"/>
        <w:rPr>
          <w:rFonts w:ascii="Times New Roman"/>
        </w:rPr>
      </w:pPr>
      <w:r>
        <w:rPr>
          <w:rFonts w:ascii="Times New Roman"/>
        </w:rPr>
        <w:t>基本风压值：ω50=0.40kN/m</w:t>
      </w:r>
      <w:r>
        <w:rPr>
          <w:rFonts w:ascii="Times New Roman"/>
          <w:vertAlign w:val="superscript"/>
        </w:rPr>
        <w:t>2</w:t>
      </w:r>
      <w:r>
        <w:rPr>
          <w:rFonts w:ascii="Times New Roman"/>
        </w:rPr>
        <w:t>，ω25=0.36kN/m</w:t>
      </w:r>
      <w:r>
        <w:rPr>
          <w:rFonts w:ascii="Times New Roman"/>
          <w:vertAlign w:val="superscript"/>
        </w:rPr>
        <w:t>2</w:t>
      </w:r>
      <w:r>
        <w:rPr>
          <w:rFonts w:ascii="Times New Roman"/>
        </w:rPr>
        <w:t>。</w:t>
      </w:r>
    </w:p>
    <w:p>
      <w:pPr>
        <w:ind w:firstLine="560"/>
        <w:rPr>
          <w:rFonts w:ascii="Times New Roman"/>
        </w:rPr>
      </w:pPr>
      <w:r>
        <w:rPr>
          <w:rFonts w:ascii="Times New Roman"/>
        </w:rPr>
        <w:t>基本雪压值为0。</w:t>
      </w:r>
    </w:p>
    <w:p>
      <w:pPr>
        <w:ind w:firstLine="560"/>
        <w:rPr>
          <w:rFonts w:ascii="Times New Roman"/>
        </w:rPr>
      </w:pPr>
      <w:r>
        <w:rPr>
          <w:rFonts w:ascii="Times New Roman"/>
        </w:rPr>
        <w:t>抗震设防烈度：6度。</w:t>
      </w:r>
    </w:p>
    <w:p>
      <w:pPr>
        <w:ind w:firstLine="560"/>
        <w:rPr>
          <w:rFonts w:ascii="Times New Roman"/>
        </w:rPr>
      </w:pPr>
      <w:r>
        <w:rPr>
          <w:rFonts w:ascii="Times New Roman"/>
        </w:rPr>
        <w:t>地震加速度：0.05g。</w:t>
      </w:r>
    </w:p>
    <w:p>
      <w:pPr>
        <w:ind w:firstLine="560"/>
        <w:rPr>
          <w:rFonts w:ascii="Times New Roman"/>
        </w:rPr>
      </w:pPr>
      <w:r>
        <w:rPr>
          <w:rFonts w:ascii="Times New Roman"/>
        </w:rPr>
        <w:t>周期特征值：0.40s。</w:t>
      </w:r>
    </w:p>
    <w:p>
      <w:pPr>
        <w:ind w:firstLine="560"/>
        <w:rPr>
          <w:rFonts w:ascii="Times New Roman"/>
        </w:rPr>
      </w:pPr>
      <w:r>
        <w:rPr>
          <w:rFonts w:ascii="Times New Roman"/>
        </w:rPr>
        <w:t>地区场地类别：II类。</w:t>
      </w:r>
    </w:p>
    <w:p>
      <w:pPr>
        <w:ind w:firstLine="560"/>
        <w:rPr>
          <w:rFonts w:ascii="Times New Roman"/>
        </w:rPr>
      </w:pPr>
      <w:r>
        <w:rPr>
          <w:rFonts w:ascii="Times New Roman"/>
        </w:rPr>
        <w:t>地震设计分组：第一组。</w:t>
      </w:r>
    </w:p>
    <w:p>
      <w:pPr>
        <w:ind w:firstLine="560"/>
        <w:rPr>
          <w:rFonts w:ascii="Times New Roman"/>
        </w:rPr>
      </w:pPr>
      <w:r>
        <w:rPr>
          <w:rFonts w:ascii="Times New Roman"/>
        </w:rPr>
        <w:t>年平均气温（℃）：16.6～18.7。</w:t>
      </w:r>
    </w:p>
    <w:p>
      <w:pPr>
        <w:ind w:firstLine="560"/>
        <w:rPr>
          <w:rFonts w:ascii="Times New Roman"/>
        </w:rPr>
      </w:pPr>
      <w:r>
        <w:rPr>
          <w:rFonts w:ascii="Times New Roman"/>
        </w:rPr>
        <w:t>极端最高气温（℃）：42.9。</w:t>
      </w:r>
    </w:p>
    <w:p>
      <w:pPr>
        <w:ind w:firstLine="560"/>
        <w:rPr>
          <w:rFonts w:ascii="Times New Roman"/>
        </w:rPr>
      </w:pPr>
      <w:r>
        <w:rPr>
          <w:rFonts w:ascii="Times New Roman"/>
        </w:rPr>
        <w:t>极端最低气温（℃）：-4。</w:t>
      </w:r>
    </w:p>
    <w:p>
      <w:pPr>
        <w:adjustRightInd w:val="0"/>
        <w:snapToGrid w:val="0"/>
        <w:ind w:firstLine="560"/>
        <w:rPr>
          <w:rFonts w:ascii="Times New Roman"/>
          <w:kern w:val="2"/>
          <w:position w:val="0"/>
        </w:rPr>
      </w:pPr>
      <w:r>
        <w:rPr>
          <w:rFonts w:ascii="Times New Roman"/>
          <w:kern w:val="2"/>
          <w:position w:val="0"/>
        </w:rPr>
        <w:t>本电站发电场区域构筑物工程抗震设防类别为标准设防类，结构安全等级为二级，支架设计使用年限25年，支架基础、停车棚结构主体基础设计使用年限50年。</w:t>
      </w:r>
    </w:p>
    <w:p>
      <w:pPr>
        <w:adjustRightInd w:val="0"/>
        <w:snapToGrid w:val="0"/>
        <w:ind w:firstLine="560"/>
        <w:rPr>
          <w:rFonts w:ascii="Times New Roman"/>
          <w:kern w:val="2"/>
          <w:position w:val="0"/>
        </w:rPr>
      </w:pPr>
      <w:r>
        <w:rPr>
          <w:rFonts w:ascii="Times New Roman"/>
          <w:kern w:val="2"/>
          <w:position w:val="0"/>
        </w:rPr>
        <w:t>3）在模板施工中，要编制基础模板施工方案，符合模板支撑牢固，尺寸准确，确保混凝土外观质量。</w:t>
      </w:r>
    </w:p>
    <w:p>
      <w:pPr>
        <w:adjustRightInd w:val="0"/>
        <w:snapToGrid w:val="0"/>
        <w:ind w:firstLine="560"/>
        <w:rPr>
          <w:rFonts w:ascii="Times New Roman"/>
          <w:kern w:val="2"/>
          <w:position w:val="0"/>
        </w:rPr>
      </w:pPr>
      <w:r>
        <w:rPr>
          <w:rFonts w:ascii="Times New Roman"/>
          <w:kern w:val="2"/>
          <w:position w:val="0"/>
        </w:rPr>
        <w:t>4）在混凝土施工中，应根据项目当地自然环境，从混凝土的抗压、抗冻、耐腐蚀等方面进行考虑，同时考虑混凝土内的配筋。</w:t>
      </w:r>
    </w:p>
    <w:p>
      <w:pPr>
        <w:adjustRightInd w:val="0"/>
        <w:snapToGrid w:val="0"/>
        <w:ind w:firstLine="560"/>
        <w:rPr>
          <w:rFonts w:ascii="Times New Roman"/>
          <w:kern w:val="2"/>
          <w:position w:val="0"/>
        </w:rPr>
      </w:pPr>
      <w:r>
        <w:rPr>
          <w:rFonts w:ascii="Times New Roman"/>
          <w:kern w:val="2"/>
          <w:position w:val="0"/>
        </w:rPr>
        <w:t>施工过程中，应严格按设计要求确定的强度进行浇筑，严格按混凝土操作工艺标准进行施工，特别要注意混凝土的施工进入初冬阶段，要及时掌握天气变化，采取有效的养护措施，防止可能发生的冻害影响工程质量。</w:t>
      </w:r>
    </w:p>
    <w:p>
      <w:pPr>
        <w:adjustRightInd w:val="0"/>
        <w:snapToGrid w:val="0"/>
        <w:ind w:firstLine="560"/>
        <w:outlineLvl w:val="5"/>
        <w:rPr>
          <w:rFonts w:ascii="Times New Roman"/>
        </w:rPr>
      </w:pPr>
      <w:bookmarkStart w:id="18" w:name="_Toc422490099"/>
      <w:r>
        <w:rPr>
          <w:rFonts w:ascii="Times New Roman"/>
        </w:rPr>
        <w:t>3.1.1.3电气一次(以下方案供投标人参考)</w:t>
      </w:r>
    </w:p>
    <w:p>
      <w:pPr>
        <w:adjustRightInd w:val="0"/>
        <w:snapToGrid w:val="0"/>
        <w:ind w:firstLine="560"/>
        <w:outlineLvl w:val="6"/>
        <w:rPr>
          <w:rFonts w:ascii="Times New Roman"/>
        </w:rPr>
      </w:pPr>
      <w:r>
        <w:rPr>
          <w:rFonts w:ascii="Times New Roman"/>
        </w:rPr>
        <w:t>（1）光伏电站接入</w:t>
      </w:r>
    </w:p>
    <w:p>
      <w:pPr>
        <w:adjustRightInd w:val="0"/>
        <w:snapToGrid w:val="0"/>
        <w:ind w:firstLine="560"/>
        <w:rPr>
          <w:rFonts w:ascii="Times New Roman"/>
          <w:kern w:val="2"/>
          <w:position w:val="0"/>
        </w:rPr>
      </w:pPr>
      <w:r>
        <w:rPr>
          <w:rFonts w:ascii="Times New Roman"/>
          <w:kern w:val="2"/>
          <w:position w:val="0"/>
        </w:rPr>
        <w:t>根据《国家电网分布式电源接入系统典型设计》，本工程每个分布式光伏项目采用单/多点接入，0.4kV电压等级接入到服务区或隧道口的配电所或箱变。典型设计中接入方案编号为XGF380-Z-2。</w:t>
      </w:r>
    </w:p>
    <w:p>
      <w:pPr>
        <w:adjustRightInd w:val="0"/>
        <w:snapToGrid w:val="0"/>
        <w:ind w:firstLine="560"/>
        <w:rPr>
          <w:rFonts w:ascii="Times New Roman"/>
          <w:kern w:val="2"/>
          <w:position w:val="0"/>
        </w:rPr>
      </w:pPr>
      <w:r>
        <w:rPr>
          <w:rFonts w:hint="eastAsia" w:ascii="Times New Roman"/>
          <w:kern w:val="2"/>
          <w:position w:val="0"/>
        </w:rPr>
        <w:t>具体接入方案以《电力接入报告》和供电公司批复为准。</w:t>
      </w:r>
    </w:p>
    <w:p>
      <w:pPr>
        <w:adjustRightInd w:val="0"/>
        <w:snapToGrid w:val="0"/>
        <w:ind w:firstLine="560"/>
        <w:outlineLvl w:val="6"/>
        <w:rPr>
          <w:rFonts w:ascii="Times New Roman"/>
        </w:rPr>
      </w:pPr>
      <w:r>
        <w:rPr>
          <w:rFonts w:ascii="Times New Roman"/>
        </w:rPr>
        <w:t>（2）防雷、接地及过电压保护器</w:t>
      </w:r>
    </w:p>
    <w:p>
      <w:pPr>
        <w:adjustRightInd w:val="0"/>
        <w:snapToGrid w:val="0"/>
        <w:ind w:firstLine="560"/>
        <w:rPr>
          <w:rFonts w:ascii="Times New Roman"/>
          <w:kern w:val="2"/>
          <w:position w:val="0"/>
          <w:szCs w:val="28"/>
        </w:rPr>
      </w:pPr>
      <w:r>
        <w:rPr>
          <w:rFonts w:ascii="Times New Roman"/>
          <w:kern w:val="2"/>
          <w:position w:val="0"/>
          <w:szCs w:val="28"/>
        </w:rPr>
        <w:t>为保证电力系统的安全运行和光伏发电及附属设施的安全，大型并网光伏电站必须有良好的避雷、防雷及接地保护装置。避雷、防雷装置应符合《建筑物防雷设计规范》（GB50057-2010）要求，接地应符合《电气装置安装工程接地装置施工及验收规范》（GB50169-2016）要求。</w:t>
      </w:r>
    </w:p>
    <w:p>
      <w:pPr>
        <w:adjustRightInd w:val="0"/>
        <w:snapToGrid w:val="0"/>
        <w:ind w:firstLine="560"/>
        <w:rPr>
          <w:rFonts w:ascii="Times New Roman"/>
          <w:kern w:val="2"/>
          <w:position w:val="0"/>
          <w:szCs w:val="28"/>
        </w:rPr>
      </w:pPr>
      <w:r>
        <w:rPr>
          <w:rFonts w:ascii="Times New Roman"/>
          <w:kern w:val="2"/>
          <w:position w:val="0"/>
          <w:szCs w:val="28"/>
        </w:rPr>
        <w:t>光伏电站场址所在区域环境按Ⅳ级污秽区对待，电气设备的绝缘配合按照国家标准《交流无间隙金属氧化物避雷器》（GB/T 11032-2020）、《交流电气装置的过电压保护和绝缘配合设计规范》（GB/T50064-2014）确定的原则进行选择。</w:t>
      </w:r>
    </w:p>
    <w:p>
      <w:pPr>
        <w:adjustRightInd w:val="0"/>
        <w:snapToGrid w:val="0"/>
        <w:ind w:firstLine="560"/>
        <w:rPr>
          <w:rFonts w:ascii="Times New Roman"/>
          <w:kern w:val="2"/>
          <w:position w:val="0"/>
          <w:szCs w:val="28"/>
        </w:rPr>
      </w:pPr>
      <w:r>
        <w:rPr>
          <w:rFonts w:ascii="Times New Roman"/>
          <w:kern w:val="2"/>
          <w:position w:val="0"/>
          <w:szCs w:val="28"/>
        </w:rPr>
        <w:t>1）直击雷保护及接地</w:t>
      </w:r>
    </w:p>
    <w:p>
      <w:pPr>
        <w:adjustRightInd w:val="0"/>
        <w:snapToGrid w:val="0"/>
        <w:ind w:firstLine="560"/>
        <w:rPr>
          <w:rFonts w:ascii="Times New Roman"/>
          <w:kern w:val="2"/>
          <w:position w:val="0"/>
          <w:szCs w:val="28"/>
        </w:rPr>
      </w:pPr>
      <w:r>
        <w:rPr>
          <w:rFonts w:ascii="Times New Roman"/>
          <w:kern w:val="2"/>
          <w:position w:val="0"/>
          <w:szCs w:val="28"/>
        </w:rPr>
        <w:t>在光伏阵列中设避雷针出现阴影对电池组件的性能影响较大，根据《光伏（PV）发电系统过电压保护导则》中有关条款的规定，主要通过太阳电池阵列采取电池组件和支架与场区接地网连接进行直击雷保护，光伏阵列区接地网与光伏电池组件基础钢筋焊接做接地体辅以垂直接地极，子方阵接地体焊接成网状，各子方阵接地体相互连接，光伏阵列区接地网材料为</w:t>
      </w:r>
      <w:r>
        <w:rPr>
          <w:rFonts w:hint="eastAsia" w:ascii="Times New Roman"/>
          <w:kern w:val="2"/>
          <w:position w:val="0"/>
          <w:szCs w:val="28"/>
        </w:rPr>
        <w:t>4</w:t>
      </w:r>
      <w:r>
        <w:rPr>
          <w:rFonts w:ascii="Times New Roman"/>
          <w:kern w:val="2"/>
          <w:position w:val="0"/>
          <w:szCs w:val="28"/>
        </w:rPr>
        <w:t>0mm×</w:t>
      </w:r>
      <w:r>
        <w:rPr>
          <w:rFonts w:hint="eastAsia" w:ascii="Times New Roman"/>
          <w:kern w:val="2"/>
          <w:position w:val="0"/>
          <w:szCs w:val="28"/>
        </w:rPr>
        <w:t>4</w:t>
      </w:r>
      <w:r>
        <w:rPr>
          <w:rFonts w:ascii="Times New Roman"/>
          <w:kern w:val="2"/>
          <w:position w:val="0"/>
          <w:szCs w:val="28"/>
        </w:rPr>
        <w:t>mm的热镀锌扁钢和2.5m的</w:t>
      </w:r>
      <w:r>
        <w:rPr>
          <w:rFonts w:hint="eastAsia" w:ascii="Times New Roman"/>
          <w:kern w:val="2"/>
          <w:position w:val="0"/>
          <w:szCs w:val="28"/>
        </w:rPr>
        <w:t>5</w:t>
      </w:r>
      <w:r>
        <w:rPr>
          <w:rFonts w:ascii="Times New Roman"/>
          <w:kern w:val="2"/>
          <w:position w:val="0"/>
          <w:szCs w:val="28"/>
        </w:rPr>
        <w:t>0mm×</w:t>
      </w:r>
      <w:r>
        <w:rPr>
          <w:rFonts w:hint="eastAsia" w:ascii="Times New Roman"/>
          <w:kern w:val="2"/>
          <w:position w:val="0"/>
          <w:szCs w:val="28"/>
        </w:rPr>
        <w:t>5</w:t>
      </w:r>
      <w:r>
        <w:rPr>
          <w:rFonts w:ascii="Times New Roman"/>
          <w:kern w:val="2"/>
          <w:position w:val="0"/>
          <w:szCs w:val="28"/>
        </w:rPr>
        <w:t>mm镀锌</w:t>
      </w:r>
      <w:r>
        <w:rPr>
          <w:rFonts w:hint="eastAsia" w:ascii="Times New Roman"/>
          <w:kern w:val="2"/>
          <w:position w:val="0"/>
          <w:szCs w:val="28"/>
        </w:rPr>
        <w:t>角钢</w:t>
      </w:r>
      <w:r>
        <w:rPr>
          <w:rFonts w:ascii="Times New Roman"/>
          <w:kern w:val="2"/>
          <w:position w:val="0"/>
          <w:szCs w:val="28"/>
        </w:rPr>
        <w:t>光伏方阵接地应连续、可靠，接地电阻应小于4Ω。接地网埋深位置应在冻土层以下。</w:t>
      </w:r>
    </w:p>
    <w:p>
      <w:pPr>
        <w:adjustRightInd w:val="0"/>
        <w:snapToGrid w:val="0"/>
        <w:ind w:firstLine="560"/>
        <w:rPr>
          <w:rFonts w:ascii="Times New Roman"/>
          <w:kern w:val="2"/>
          <w:position w:val="0"/>
          <w:szCs w:val="28"/>
        </w:rPr>
      </w:pPr>
      <w:r>
        <w:rPr>
          <w:rFonts w:ascii="Times New Roman"/>
          <w:kern w:val="2"/>
          <w:position w:val="0"/>
          <w:szCs w:val="28"/>
        </w:rPr>
        <w:t>2）电气设备接地</w:t>
      </w:r>
    </w:p>
    <w:p>
      <w:pPr>
        <w:adjustRightInd w:val="0"/>
        <w:snapToGrid w:val="0"/>
        <w:ind w:firstLine="560"/>
        <w:rPr>
          <w:rFonts w:ascii="Times New Roman"/>
          <w:kern w:val="2"/>
          <w:position w:val="0"/>
          <w:szCs w:val="28"/>
        </w:rPr>
      </w:pPr>
      <w:r>
        <w:rPr>
          <w:rFonts w:ascii="Times New Roman"/>
          <w:kern w:val="2"/>
          <w:position w:val="0"/>
          <w:szCs w:val="28"/>
        </w:rPr>
        <w:t>布置有各级电压的电气设备，均用</w:t>
      </w:r>
      <w:r>
        <w:rPr>
          <w:rFonts w:hint="eastAsia" w:ascii="Times New Roman"/>
          <w:kern w:val="2"/>
          <w:position w:val="0"/>
          <w:szCs w:val="28"/>
        </w:rPr>
        <w:t>4</w:t>
      </w:r>
      <w:r>
        <w:rPr>
          <w:rFonts w:ascii="Times New Roman"/>
          <w:kern w:val="2"/>
          <w:position w:val="0"/>
          <w:szCs w:val="28"/>
        </w:rPr>
        <w:t>0mm×</w:t>
      </w:r>
      <w:r>
        <w:rPr>
          <w:rFonts w:hint="eastAsia" w:ascii="Times New Roman"/>
          <w:kern w:val="2"/>
          <w:position w:val="0"/>
          <w:szCs w:val="28"/>
        </w:rPr>
        <w:t>4</w:t>
      </w:r>
      <w:r>
        <w:rPr>
          <w:rFonts w:ascii="Times New Roman"/>
          <w:kern w:val="2"/>
          <w:position w:val="0"/>
          <w:szCs w:val="28"/>
        </w:rPr>
        <w:t>mm的热镀锌扁钢暗敷成闭合回路的水平接地线，各建筑物间接地网用接地线40mm×4mm的热镀锌扁钢连成一体，重要电气设备的工作和保护接地干线的连接不少于两处。</w:t>
      </w:r>
    </w:p>
    <w:p>
      <w:pPr>
        <w:adjustRightInd w:val="0"/>
        <w:snapToGrid w:val="0"/>
        <w:ind w:firstLine="560"/>
        <w:rPr>
          <w:rFonts w:ascii="Times New Roman"/>
          <w:kern w:val="2"/>
          <w:position w:val="0"/>
          <w:szCs w:val="28"/>
        </w:rPr>
      </w:pPr>
      <w:r>
        <w:rPr>
          <w:rFonts w:ascii="Times New Roman"/>
          <w:kern w:val="2"/>
          <w:position w:val="0"/>
          <w:szCs w:val="28"/>
        </w:rPr>
        <w:t>3）光伏发电系统过电压保护</w:t>
      </w:r>
    </w:p>
    <w:p>
      <w:pPr>
        <w:adjustRightInd w:val="0"/>
        <w:snapToGrid w:val="0"/>
        <w:ind w:firstLine="560"/>
        <w:rPr>
          <w:rFonts w:ascii="Times New Roman"/>
          <w:kern w:val="2"/>
          <w:position w:val="0"/>
          <w:szCs w:val="28"/>
        </w:rPr>
      </w:pPr>
      <w:r>
        <w:rPr>
          <w:rFonts w:ascii="Times New Roman"/>
          <w:kern w:val="2"/>
          <w:position w:val="0"/>
          <w:szCs w:val="28"/>
        </w:rPr>
        <w:t>为防止直流线路上侵入波雷电压，在逆变器及配电所变电站内逐级装设防雷保护装置（本次工程配电所内由城开高速设计单位考虑）。35kV以下电气设备以避雷器标称放电电流5kA时雷电过电压残压为基础进行绝缘配合，满足《交流电气装置的过电压保护和绝缘配合设计规范》GB/T50064-2014规范要求。</w:t>
      </w:r>
    </w:p>
    <w:p>
      <w:pPr>
        <w:adjustRightInd w:val="0"/>
        <w:snapToGrid w:val="0"/>
        <w:ind w:firstLine="560"/>
        <w:outlineLvl w:val="6"/>
        <w:rPr>
          <w:rFonts w:ascii="Times New Roman"/>
        </w:rPr>
      </w:pPr>
      <w:r>
        <w:rPr>
          <w:rFonts w:ascii="Times New Roman"/>
        </w:rPr>
        <w:t>（3）集电线路</w:t>
      </w:r>
    </w:p>
    <w:p>
      <w:pPr>
        <w:adjustRightInd w:val="0"/>
        <w:snapToGrid w:val="0"/>
        <w:ind w:firstLine="560"/>
        <w:rPr>
          <w:rFonts w:ascii="Times New Roman"/>
          <w:kern w:val="2"/>
          <w:position w:val="0"/>
        </w:rPr>
      </w:pPr>
      <w:r>
        <w:rPr>
          <w:rFonts w:ascii="Times New Roman"/>
          <w:kern w:val="2"/>
          <w:position w:val="0"/>
        </w:rPr>
        <w:t>1）光伏组件—逆变器</w:t>
      </w:r>
    </w:p>
    <w:p>
      <w:pPr>
        <w:adjustRightInd w:val="0"/>
        <w:snapToGrid w:val="0"/>
        <w:ind w:firstLine="560"/>
        <w:rPr>
          <w:rFonts w:ascii="Times New Roman"/>
          <w:kern w:val="2"/>
          <w:position w:val="0"/>
          <w:szCs w:val="28"/>
        </w:rPr>
      </w:pPr>
      <w:r>
        <w:rPr>
          <w:rFonts w:ascii="Times New Roman"/>
          <w:kern w:val="2"/>
          <w:position w:val="0"/>
        </w:rPr>
        <w:t>采用PV1-F-1×4mm²光伏专用线路从光伏方阵接至组串式逆变器</w:t>
      </w:r>
    </w:p>
    <w:p>
      <w:pPr>
        <w:adjustRightInd w:val="0"/>
        <w:snapToGrid w:val="0"/>
        <w:ind w:firstLine="560"/>
        <w:rPr>
          <w:rFonts w:ascii="Times New Roman"/>
          <w:kern w:val="2"/>
          <w:position w:val="0"/>
        </w:rPr>
      </w:pPr>
      <w:r>
        <w:rPr>
          <w:rFonts w:ascii="Times New Roman"/>
          <w:kern w:val="2"/>
          <w:position w:val="0"/>
        </w:rPr>
        <w:t>2）</w:t>
      </w:r>
      <w:bookmarkStart w:id="19" w:name="_Hlk77502515"/>
      <w:r>
        <w:rPr>
          <w:rFonts w:ascii="Times New Roman"/>
          <w:kern w:val="2"/>
          <w:position w:val="0"/>
        </w:rPr>
        <w:t>逆变器—配电所</w:t>
      </w:r>
      <w:bookmarkEnd w:id="19"/>
      <w:r>
        <w:rPr>
          <w:rFonts w:ascii="Times New Roman"/>
          <w:kern w:val="2"/>
          <w:position w:val="0"/>
        </w:rPr>
        <w:t>低压母排</w:t>
      </w:r>
    </w:p>
    <w:p>
      <w:pPr>
        <w:adjustRightInd w:val="0"/>
        <w:snapToGrid w:val="0"/>
        <w:ind w:firstLine="560"/>
        <w:rPr>
          <w:rFonts w:ascii="Times New Roman"/>
          <w:kern w:val="2"/>
          <w:position w:val="0"/>
        </w:rPr>
      </w:pPr>
      <w:r>
        <w:rPr>
          <w:rFonts w:ascii="Times New Roman"/>
          <w:kern w:val="2"/>
          <w:position w:val="0"/>
        </w:rPr>
        <w:t>本分布式光伏电站各站点逆变器至配电所低压母线的电缆选择情况见下表3.1-1所示</w:t>
      </w:r>
      <w:r>
        <w:rPr>
          <w:rFonts w:hint="eastAsia" w:ascii="Times New Roman"/>
          <w:kern w:val="2"/>
          <w:position w:val="0"/>
        </w:rPr>
        <w:t>（最终数据以审定版施工图为准）</w:t>
      </w:r>
      <w:r>
        <w:rPr>
          <w:rFonts w:ascii="Times New Roman"/>
          <w:kern w:val="2"/>
          <w:position w:val="0"/>
        </w:rPr>
        <w:t>：</w:t>
      </w:r>
    </w:p>
    <w:p>
      <w:pPr>
        <w:adjustRightInd w:val="0"/>
        <w:snapToGrid w:val="0"/>
        <w:ind w:firstLine="422"/>
        <w:jc w:val="center"/>
        <w:outlineLvl w:val="7"/>
        <w:rPr>
          <w:rFonts w:ascii="Times New Roman"/>
          <w:b/>
          <w:sz w:val="21"/>
          <w:szCs w:val="21"/>
        </w:rPr>
      </w:pPr>
      <w:r>
        <w:rPr>
          <w:rFonts w:ascii="Times New Roman"/>
          <w:b/>
          <w:sz w:val="21"/>
          <w:szCs w:val="21"/>
        </w:rPr>
        <w:t>表3.1-1 各光伏电站并网逆变器至配电所低压电缆</w:t>
      </w:r>
    </w:p>
    <w:tbl>
      <w:tblPr>
        <w:tblStyle w:val="58"/>
        <w:tblW w:w="5024" w:type="pct"/>
        <w:tblInd w:w="0" w:type="dxa"/>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Layout w:type="autofit"/>
        <w:tblCellMar>
          <w:top w:w="0" w:type="dxa"/>
          <w:left w:w="0" w:type="dxa"/>
          <w:bottom w:w="0" w:type="dxa"/>
          <w:right w:w="0" w:type="dxa"/>
        </w:tblCellMar>
      </w:tblPr>
      <w:tblGrid>
        <w:gridCol w:w="734"/>
        <w:gridCol w:w="2004"/>
        <w:gridCol w:w="871"/>
        <w:gridCol w:w="1331"/>
        <w:gridCol w:w="2336"/>
        <w:gridCol w:w="1080"/>
      </w:tblGrid>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tblHeader/>
        </w:trPr>
        <w:tc>
          <w:tcPr>
            <w:tcW w:w="439" w:type="pct"/>
            <w:shd w:val="clear" w:color="auto" w:fill="auto"/>
            <w:noWrap/>
            <w:vAlign w:val="center"/>
          </w:tcPr>
          <w:p>
            <w:pPr>
              <w:widowControl/>
              <w:adjustRightInd w:val="0"/>
              <w:snapToGrid w:val="0"/>
              <w:spacing w:line="240" w:lineRule="auto"/>
              <w:ind w:firstLine="0" w:firstLineChars="0"/>
              <w:jc w:val="center"/>
              <w:rPr>
                <w:rFonts w:ascii="Times New Roman"/>
                <w:sz w:val="18"/>
                <w:szCs w:val="21"/>
              </w:rPr>
            </w:pPr>
            <w:r>
              <w:rPr>
                <w:rFonts w:ascii="Times New Roman"/>
                <w:sz w:val="18"/>
                <w:szCs w:val="21"/>
              </w:rPr>
              <w:t>序号</w:t>
            </w:r>
          </w:p>
        </w:tc>
        <w:tc>
          <w:tcPr>
            <w:tcW w:w="1199" w:type="pct"/>
            <w:shd w:val="clear" w:color="auto" w:fill="auto"/>
            <w:noWrap/>
            <w:vAlign w:val="center"/>
          </w:tcPr>
          <w:p>
            <w:pPr>
              <w:widowControl/>
              <w:adjustRightInd w:val="0"/>
              <w:snapToGrid w:val="0"/>
              <w:spacing w:line="240" w:lineRule="auto"/>
              <w:ind w:firstLine="0" w:firstLineChars="0"/>
              <w:jc w:val="center"/>
              <w:rPr>
                <w:rFonts w:ascii="Times New Roman"/>
                <w:sz w:val="18"/>
                <w:szCs w:val="21"/>
              </w:rPr>
            </w:pPr>
            <w:r>
              <w:rPr>
                <w:rFonts w:ascii="Times New Roman"/>
                <w:sz w:val="18"/>
                <w:szCs w:val="21"/>
              </w:rPr>
              <w:t>光伏安装地点</w:t>
            </w:r>
          </w:p>
        </w:tc>
        <w:tc>
          <w:tcPr>
            <w:tcW w:w="52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光伏容量（kWp）</w:t>
            </w:r>
          </w:p>
        </w:tc>
        <w:tc>
          <w:tcPr>
            <w:tcW w:w="796"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逆变器选择(kW）</w:t>
            </w:r>
          </w:p>
        </w:tc>
        <w:tc>
          <w:tcPr>
            <w:tcW w:w="1397"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低压交流电缆选择</w:t>
            </w:r>
          </w:p>
        </w:tc>
        <w:tc>
          <w:tcPr>
            <w:tcW w:w="646"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备注</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439" w:type="pct"/>
            <w:shd w:val="clear" w:color="auto" w:fill="auto"/>
            <w:noWrap/>
            <w:vAlign w:val="center"/>
          </w:tcPr>
          <w:p>
            <w:pPr>
              <w:widowControl/>
              <w:adjustRightInd w:val="0"/>
              <w:snapToGrid w:val="0"/>
              <w:spacing w:line="240" w:lineRule="auto"/>
              <w:ind w:firstLine="0" w:firstLineChars="0"/>
              <w:jc w:val="center"/>
              <w:rPr>
                <w:rFonts w:hint="eastAsia" w:ascii="Times New Roman" w:eastAsia="宋体"/>
                <w:sz w:val="18"/>
                <w:szCs w:val="21"/>
                <w:lang w:eastAsia="zh-CN"/>
              </w:rPr>
            </w:pPr>
            <w:r>
              <w:rPr>
                <w:rFonts w:hint="eastAsia" w:ascii="Times New Roman"/>
                <w:sz w:val="18"/>
                <w:szCs w:val="21"/>
                <w:lang w:val="en-US" w:eastAsia="zh-CN"/>
              </w:rPr>
              <w:t>1</w:t>
            </w:r>
          </w:p>
        </w:tc>
        <w:tc>
          <w:tcPr>
            <w:tcW w:w="1199" w:type="pct"/>
            <w:shd w:val="clear" w:color="auto" w:fill="auto"/>
            <w:noWrap/>
            <w:vAlign w:val="center"/>
          </w:tcPr>
          <w:p>
            <w:pPr>
              <w:widowControl/>
              <w:adjustRightInd w:val="0"/>
              <w:snapToGrid w:val="0"/>
              <w:spacing w:line="240" w:lineRule="auto"/>
              <w:ind w:firstLine="0" w:firstLineChars="0"/>
              <w:jc w:val="center"/>
              <w:rPr>
                <w:rFonts w:ascii="Times New Roman"/>
                <w:sz w:val="18"/>
                <w:szCs w:val="21"/>
              </w:rPr>
            </w:pPr>
            <w:r>
              <w:rPr>
                <w:rFonts w:ascii="Times New Roman"/>
                <w:sz w:val="18"/>
                <w:szCs w:val="21"/>
              </w:rPr>
              <w:t>黄家梁隧道口开州端</w:t>
            </w:r>
          </w:p>
        </w:tc>
        <w:tc>
          <w:tcPr>
            <w:tcW w:w="521" w:type="pc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155.52</w:t>
            </w:r>
          </w:p>
        </w:tc>
        <w:tc>
          <w:tcPr>
            <w:tcW w:w="796" w:type="pc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100</w:t>
            </w:r>
          </w:p>
        </w:tc>
        <w:tc>
          <w:tcPr>
            <w:tcW w:w="1397"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ZR-YJV22-0.6/1-3*95+1*50</w:t>
            </w:r>
          </w:p>
        </w:tc>
        <w:tc>
          <w:tcPr>
            <w:tcW w:w="646"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1*</w:t>
            </w:r>
            <w:r>
              <w:rPr>
                <w:rFonts w:ascii="Times New Roman"/>
                <w:sz w:val="18"/>
                <w:szCs w:val="18"/>
              </w:rPr>
              <w:t>100</w:t>
            </w:r>
          </w:p>
        </w:tc>
      </w:tr>
    </w:tbl>
    <w:p>
      <w:pPr>
        <w:adjustRightInd w:val="0"/>
        <w:snapToGrid w:val="0"/>
        <w:spacing w:before="156" w:beforeLines="50"/>
        <w:ind w:firstLine="560"/>
        <w:outlineLvl w:val="6"/>
        <w:rPr>
          <w:rFonts w:ascii="Times New Roman"/>
        </w:rPr>
      </w:pPr>
      <w:r>
        <w:rPr>
          <w:rFonts w:ascii="Times New Roman"/>
        </w:rPr>
        <w:t>（4）电缆敷设</w:t>
      </w:r>
    </w:p>
    <w:p>
      <w:pPr>
        <w:adjustRightInd w:val="0"/>
        <w:snapToGrid w:val="0"/>
        <w:ind w:firstLine="560"/>
        <w:rPr>
          <w:rFonts w:ascii="Times New Roman"/>
          <w:kern w:val="2"/>
          <w:position w:val="0"/>
          <w:szCs w:val="28"/>
        </w:rPr>
      </w:pPr>
      <w:r>
        <w:rPr>
          <w:rFonts w:ascii="Times New Roman"/>
          <w:kern w:val="2"/>
          <w:position w:val="0"/>
          <w:szCs w:val="28"/>
        </w:rPr>
        <w:t>1）电缆敷设方式</w:t>
      </w:r>
    </w:p>
    <w:p>
      <w:pPr>
        <w:adjustRightInd w:val="0"/>
        <w:snapToGrid w:val="0"/>
        <w:ind w:firstLine="560"/>
        <w:rPr>
          <w:rFonts w:ascii="Times New Roman"/>
          <w:kern w:val="2"/>
          <w:position w:val="0"/>
          <w:szCs w:val="28"/>
        </w:rPr>
      </w:pPr>
      <w:r>
        <w:rPr>
          <w:rFonts w:ascii="Times New Roman"/>
          <w:kern w:val="2"/>
          <w:position w:val="0"/>
          <w:szCs w:val="28"/>
        </w:rPr>
        <w:t>本工程电缆敷设方式主要有：电缆敷设于槽盒、电缆沟和电缆直埋的方式。光伏组件之间的1×4mm²串联电缆可敷设于光伏板支架下方槽型檩条内，绑扎固定；组件串至逆变器1×4mm²直流电缆通过穿波纹管直埋敷设至逆变器；逆变器可通过直埋方式敷设至附近配电所，电缆穿道路部分需下地穿钢管敷设。</w:t>
      </w:r>
    </w:p>
    <w:p>
      <w:pPr>
        <w:adjustRightInd w:val="0"/>
        <w:snapToGrid w:val="0"/>
        <w:ind w:firstLine="560"/>
        <w:rPr>
          <w:rFonts w:ascii="Times New Roman"/>
          <w:kern w:val="2"/>
          <w:position w:val="0"/>
          <w:szCs w:val="28"/>
        </w:rPr>
      </w:pPr>
      <w:r>
        <w:rPr>
          <w:rFonts w:ascii="Times New Roman"/>
          <w:kern w:val="2"/>
          <w:position w:val="0"/>
          <w:szCs w:val="28"/>
        </w:rPr>
        <w:t>2）电缆防火及阻燃措施</w:t>
      </w:r>
    </w:p>
    <w:p>
      <w:pPr>
        <w:adjustRightInd w:val="0"/>
        <w:snapToGrid w:val="0"/>
        <w:ind w:firstLine="560"/>
        <w:rPr>
          <w:rFonts w:ascii="Times New Roman"/>
          <w:kern w:val="2"/>
          <w:position w:val="0"/>
          <w:szCs w:val="28"/>
        </w:rPr>
      </w:pPr>
      <w:r>
        <w:rPr>
          <w:rFonts w:ascii="Times New Roman"/>
          <w:kern w:val="2"/>
          <w:position w:val="0"/>
          <w:szCs w:val="28"/>
        </w:rPr>
        <w:t>（a）在电缆主要通道上设置防火延燃分隔措施，设置耐火隔板、阻火包等。</w:t>
      </w:r>
    </w:p>
    <w:p>
      <w:pPr>
        <w:adjustRightInd w:val="0"/>
        <w:snapToGrid w:val="0"/>
        <w:ind w:firstLine="560"/>
        <w:rPr>
          <w:rFonts w:ascii="Times New Roman"/>
          <w:kern w:val="2"/>
          <w:position w:val="0"/>
          <w:szCs w:val="28"/>
        </w:rPr>
      </w:pPr>
      <w:r>
        <w:rPr>
          <w:rFonts w:ascii="Times New Roman"/>
          <w:kern w:val="2"/>
          <w:position w:val="0"/>
          <w:szCs w:val="28"/>
        </w:rPr>
        <w:t>（b）墙洞、盘柜箱底部开孔处、电缆管两端进入建筑物入口处等采用防火封堵。</w:t>
      </w:r>
    </w:p>
    <w:p>
      <w:pPr>
        <w:adjustRightInd w:val="0"/>
        <w:snapToGrid w:val="0"/>
        <w:ind w:firstLine="560"/>
        <w:rPr>
          <w:rFonts w:ascii="Times New Roman"/>
          <w:kern w:val="2"/>
          <w:position w:val="0"/>
          <w:szCs w:val="28"/>
        </w:rPr>
      </w:pPr>
      <w:r>
        <w:rPr>
          <w:rFonts w:ascii="Times New Roman"/>
          <w:kern w:val="2"/>
          <w:position w:val="0"/>
          <w:szCs w:val="28"/>
        </w:rPr>
        <w:t>（c）全站采用C级</w:t>
      </w:r>
      <w:r>
        <w:rPr>
          <w:rFonts w:hint="eastAsia" w:ascii="Times New Roman"/>
          <w:kern w:val="2"/>
          <w:position w:val="0"/>
          <w:szCs w:val="28"/>
        </w:rPr>
        <w:t>及以上</w:t>
      </w:r>
      <w:r>
        <w:rPr>
          <w:rFonts w:ascii="Times New Roman"/>
          <w:kern w:val="2"/>
          <w:position w:val="0"/>
          <w:szCs w:val="28"/>
        </w:rPr>
        <w:t>阻燃电缆。</w:t>
      </w:r>
    </w:p>
    <w:p>
      <w:pPr>
        <w:adjustRightInd w:val="0"/>
        <w:snapToGrid w:val="0"/>
        <w:ind w:firstLine="560"/>
        <w:outlineLvl w:val="5"/>
        <w:rPr>
          <w:rFonts w:ascii="Times New Roman"/>
        </w:rPr>
      </w:pPr>
      <w:r>
        <w:rPr>
          <w:rFonts w:ascii="Times New Roman"/>
        </w:rPr>
        <w:t>3.1.1.4 电气二次及通信要求(以下方案供投标人参考)</w:t>
      </w:r>
    </w:p>
    <w:p>
      <w:pPr>
        <w:adjustRightInd w:val="0"/>
        <w:snapToGrid w:val="0"/>
        <w:ind w:firstLine="560"/>
        <w:rPr>
          <w:rFonts w:ascii="Times New Roman"/>
          <w:kern w:val="2"/>
          <w:position w:val="0"/>
          <w:szCs w:val="28"/>
        </w:rPr>
      </w:pPr>
      <w:r>
        <w:rPr>
          <w:rFonts w:ascii="Times New Roman"/>
          <w:kern w:val="2"/>
          <w:position w:val="0"/>
          <w:szCs w:val="28"/>
        </w:rPr>
        <w:t>本工程全站设计配套的计算机监控系统、电能量计费系统。</w:t>
      </w:r>
    </w:p>
    <w:p>
      <w:pPr>
        <w:adjustRightInd w:val="0"/>
        <w:snapToGrid w:val="0"/>
        <w:ind w:firstLine="560"/>
        <w:outlineLvl w:val="6"/>
        <w:rPr>
          <w:rFonts w:ascii="Times New Roman"/>
        </w:rPr>
      </w:pPr>
      <w:r>
        <w:rPr>
          <w:rFonts w:ascii="Times New Roman"/>
        </w:rPr>
        <w:t>（1）光伏发电系统的计算机监控</w:t>
      </w:r>
    </w:p>
    <w:p>
      <w:pPr>
        <w:adjustRightInd w:val="0"/>
        <w:snapToGrid w:val="0"/>
        <w:ind w:firstLine="560"/>
        <w:rPr>
          <w:rFonts w:ascii="Times New Roman"/>
          <w:kern w:val="2"/>
          <w:position w:val="0"/>
          <w:szCs w:val="28"/>
        </w:rPr>
      </w:pPr>
      <w:r>
        <w:rPr>
          <w:rFonts w:ascii="Times New Roman"/>
          <w:kern w:val="2"/>
          <w:position w:val="0"/>
          <w:szCs w:val="28"/>
        </w:rPr>
        <w:t>1）光伏发电系统主要包括并网逆变器。</w:t>
      </w:r>
    </w:p>
    <w:p>
      <w:pPr>
        <w:adjustRightInd w:val="0"/>
        <w:snapToGrid w:val="0"/>
        <w:ind w:firstLine="560"/>
        <w:rPr>
          <w:rFonts w:ascii="Times New Roman"/>
          <w:kern w:val="2"/>
          <w:position w:val="0"/>
          <w:szCs w:val="28"/>
        </w:rPr>
      </w:pPr>
      <w:r>
        <w:rPr>
          <w:rFonts w:ascii="Times New Roman"/>
          <w:kern w:val="2"/>
          <w:position w:val="0"/>
          <w:szCs w:val="28"/>
        </w:rPr>
        <w:t>2）光伏发电系统的监控配置如下：</w:t>
      </w:r>
    </w:p>
    <w:p>
      <w:pPr>
        <w:adjustRightInd w:val="0"/>
        <w:snapToGrid w:val="0"/>
        <w:ind w:firstLine="560"/>
        <w:rPr>
          <w:rFonts w:ascii="Times New Roman"/>
          <w:kern w:val="2"/>
          <w:position w:val="0"/>
          <w:szCs w:val="28"/>
        </w:rPr>
      </w:pPr>
      <w:r>
        <w:rPr>
          <w:rFonts w:ascii="Times New Roman"/>
          <w:kern w:val="2"/>
          <w:position w:val="0"/>
          <w:szCs w:val="28"/>
        </w:rPr>
        <w:t>光伏发电系统中太阳电池组件不单独设监控装置，而是通过并网逆变器对太阳电池组串的实时数据进行测量和采集。</w:t>
      </w:r>
    </w:p>
    <w:p>
      <w:pPr>
        <w:adjustRightInd w:val="0"/>
        <w:snapToGrid w:val="0"/>
        <w:ind w:firstLine="560"/>
        <w:rPr>
          <w:rFonts w:ascii="Times New Roman"/>
          <w:kern w:val="2"/>
          <w:position w:val="0"/>
          <w:szCs w:val="28"/>
        </w:rPr>
      </w:pPr>
      <w:r>
        <w:rPr>
          <w:rFonts w:ascii="Times New Roman"/>
          <w:kern w:val="2"/>
          <w:position w:val="0"/>
          <w:szCs w:val="28"/>
        </w:rPr>
        <w:t>3）光伏发电系统的监控功能如下：</w:t>
      </w:r>
    </w:p>
    <w:p>
      <w:pPr>
        <w:adjustRightInd w:val="0"/>
        <w:snapToGrid w:val="0"/>
        <w:ind w:firstLine="560"/>
        <w:rPr>
          <w:rFonts w:ascii="Times New Roman"/>
          <w:kern w:val="2"/>
          <w:position w:val="0"/>
          <w:szCs w:val="28"/>
        </w:rPr>
      </w:pPr>
      <w:r>
        <w:rPr>
          <w:rFonts w:ascii="Times New Roman"/>
          <w:kern w:val="2"/>
          <w:position w:val="0"/>
          <w:szCs w:val="28"/>
        </w:rPr>
        <w:t>本次工程主要为逆变器的监控功能</w:t>
      </w:r>
    </w:p>
    <w:p>
      <w:pPr>
        <w:adjustRightInd w:val="0"/>
        <w:snapToGrid w:val="0"/>
        <w:ind w:firstLine="560"/>
        <w:rPr>
          <w:rFonts w:ascii="Times New Roman"/>
          <w:kern w:val="2"/>
          <w:position w:val="0"/>
          <w:szCs w:val="28"/>
        </w:rPr>
      </w:pPr>
      <w:r>
        <w:rPr>
          <w:rFonts w:hint="eastAsia" w:hAnsi="宋体" w:cs="宋体"/>
          <w:kern w:val="2"/>
          <w:position w:val="0"/>
          <w:szCs w:val="28"/>
        </w:rPr>
        <w:t>①</w:t>
      </w:r>
      <w:r>
        <w:rPr>
          <w:rFonts w:ascii="Times New Roman"/>
          <w:kern w:val="2"/>
          <w:position w:val="0"/>
          <w:szCs w:val="28"/>
        </w:rPr>
        <w:t>逆变器LCD上显示运行、故障类型、实时功率、电能累加等参数。电站运行人员可以操作键盘对逆变器进行监视和控制。</w:t>
      </w:r>
    </w:p>
    <w:p>
      <w:pPr>
        <w:adjustRightInd w:val="0"/>
        <w:snapToGrid w:val="0"/>
        <w:ind w:firstLine="560"/>
        <w:rPr>
          <w:rFonts w:ascii="Times New Roman"/>
          <w:kern w:val="2"/>
          <w:position w:val="0"/>
          <w:szCs w:val="28"/>
        </w:rPr>
      </w:pPr>
      <w:r>
        <w:rPr>
          <w:rFonts w:hint="eastAsia" w:hAnsi="宋体" w:cs="宋体"/>
          <w:kern w:val="2"/>
          <w:position w:val="0"/>
          <w:szCs w:val="28"/>
        </w:rPr>
        <w:t>②</w:t>
      </w:r>
      <w:r>
        <w:rPr>
          <w:rFonts w:ascii="Times New Roman"/>
          <w:kern w:val="2"/>
          <w:position w:val="0"/>
          <w:szCs w:val="28"/>
        </w:rPr>
        <w:t>逆变器就地监控装置可实现集中控制室微机监控的所有内容。逆变器的保护和检测装置由设备生产厂家进行配置，如：低电压穿越、孤岛保护、温升保护、过负荷保护、电网故障保护和传感器故障信号等。保护装置动作后跳逆变器出口断路器，并发出信号。</w:t>
      </w:r>
    </w:p>
    <w:p>
      <w:pPr>
        <w:adjustRightInd w:val="0"/>
        <w:snapToGrid w:val="0"/>
        <w:ind w:firstLine="560"/>
        <w:rPr>
          <w:rFonts w:ascii="Times New Roman"/>
          <w:kern w:val="2"/>
          <w:position w:val="0"/>
          <w:szCs w:val="28"/>
        </w:rPr>
      </w:pPr>
      <w:r>
        <w:rPr>
          <w:rFonts w:hint="eastAsia" w:hAnsi="宋体" w:cs="宋体"/>
          <w:kern w:val="2"/>
          <w:position w:val="0"/>
          <w:szCs w:val="28"/>
        </w:rPr>
        <w:t>③</w:t>
      </w:r>
      <w:r>
        <w:rPr>
          <w:rFonts w:ascii="Times New Roman"/>
          <w:kern w:val="2"/>
          <w:position w:val="0"/>
          <w:szCs w:val="28"/>
        </w:rPr>
        <w:t>可查看每台逆变器的运行参数，主要包括：直流电压、直流电流、直流功率、交流电压、交流电流、逆变器机内温度、时钟、频率、功率因数、当前发电功率、日发电量、累计发电量、累计CO</w:t>
      </w:r>
      <w:r>
        <w:rPr>
          <w:rFonts w:ascii="Times New Roman"/>
          <w:kern w:val="2"/>
          <w:position w:val="0"/>
          <w:szCs w:val="28"/>
          <w:vertAlign w:val="subscript"/>
        </w:rPr>
        <w:t>2</w:t>
      </w:r>
      <w:r>
        <w:rPr>
          <w:rFonts w:ascii="Times New Roman"/>
          <w:kern w:val="2"/>
          <w:position w:val="0"/>
          <w:szCs w:val="28"/>
        </w:rPr>
        <w:t>减排量、每天发电功率曲线图。</w:t>
      </w:r>
    </w:p>
    <w:p>
      <w:pPr>
        <w:adjustRightInd w:val="0"/>
        <w:snapToGrid w:val="0"/>
        <w:ind w:firstLine="560"/>
        <w:rPr>
          <w:rFonts w:ascii="Times New Roman"/>
          <w:kern w:val="2"/>
          <w:position w:val="0"/>
          <w:szCs w:val="28"/>
        </w:rPr>
      </w:pPr>
      <w:r>
        <w:rPr>
          <w:rFonts w:hint="eastAsia" w:hAnsi="宋体" w:cs="宋体"/>
          <w:kern w:val="2"/>
          <w:position w:val="0"/>
          <w:szCs w:val="28"/>
        </w:rPr>
        <w:t>④</w:t>
      </w:r>
      <w:r>
        <w:rPr>
          <w:rFonts w:ascii="Times New Roman"/>
          <w:kern w:val="2"/>
          <w:position w:val="0"/>
          <w:szCs w:val="28"/>
        </w:rPr>
        <w:t>监控所有逆变器的运行状态，采用声光报警方式提示设备出现故障，可查看故障原因及故障时间，监控的故障信息至少应包括以下内容：电网电压过高、电网电压过低、电网频率过高、电网频率过低、直流电压过高、直流电压过低、逆变器过载、逆变器过热、逆变器短路、散热器过热、逆变器孤岛、DSP故障、通信失败。</w:t>
      </w:r>
    </w:p>
    <w:p>
      <w:pPr>
        <w:adjustRightInd w:val="0"/>
        <w:snapToGrid w:val="0"/>
        <w:ind w:firstLine="560"/>
        <w:outlineLvl w:val="6"/>
        <w:rPr>
          <w:rFonts w:ascii="Times New Roman"/>
        </w:rPr>
      </w:pPr>
      <w:r>
        <w:rPr>
          <w:rFonts w:ascii="Times New Roman"/>
        </w:rPr>
        <w:t>（2）光伏逆变器保护</w:t>
      </w:r>
    </w:p>
    <w:p>
      <w:pPr>
        <w:adjustRightInd w:val="0"/>
        <w:snapToGrid w:val="0"/>
        <w:ind w:firstLine="560"/>
        <w:rPr>
          <w:rFonts w:ascii="Times New Roman"/>
          <w:kern w:val="2"/>
          <w:position w:val="0"/>
          <w:szCs w:val="28"/>
        </w:rPr>
      </w:pPr>
      <w:r>
        <w:rPr>
          <w:rFonts w:ascii="Times New Roman"/>
          <w:kern w:val="2"/>
          <w:position w:val="0"/>
          <w:szCs w:val="28"/>
        </w:rPr>
        <w:t>逆变器保护装置由逆变器成套。有相间短路电流速断保护、单相接地短路保护、逆功率保护、过负荷保护、低电压保护、防孤岛效应保护、温度保护。逆变器保护装置的信息上传至光伏电站计算机监控系统。</w:t>
      </w:r>
    </w:p>
    <w:p>
      <w:pPr>
        <w:adjustRightInd w:val="0"/>
        <w:snapToGrid w:val="0"/>
        <w:ind w:firstLine="560"/>
        <w:outlineLvl w:val="6"/>
        <w:rPr>
          <w:rFonts w:ascii="Times New Roman"/>
        </w:rPr>
      </w:pPr>
      <w:r>
        <w:rPr>
          <w:rFonts w:ascii="Times New Roman"/>
        </w:rPr>
        <w:t>（3）防孤岛保护</w:t>
      </w:r>
    </w:p>
    <w:p>
      <w:pPr>
        <w:adjustRightInd w:val="0"/>
        <w:snapToGrid w:val="0"/>
        <w:ind w:firstLine="560"/>
        <w:rPr>
          <w:rFonts w:ascii="Times New Roman"/>
          <w:kern w:val="2"/>
          <w:position w:val="0"/>
          <w:szCs w:val="28"/>
        </w:rPr>
      </w:pPr>
      <w:r>
        <w:rPr>
          <w:rFonts w:ascii="Times New Roman"/>
          <w:kern w:val="2"/>
          <w:position w:val="0"/>
          <w:szCs w:val="28"/>
        </w:rPr>
        <w:t>根据《分布式电源接入配电网运行控制规范》（Q/GDW10667-2016），接入配电网的分布式源应具备防孤岛功能。根据《分布式电源接入配电网技术规定（NB/T32015-2013），分布式电源应具备孤岛检测并与电网快速断开的能力。</w:t>
      </w:r>
    </w:p>
    <w:p>
      <w:pPr>
        <w:adjustRightInd w:val="0"/>
        <w:snapToGrid w:val="0"/>
        <w:ind w:firstLine="560"/>
        <w:rPr>
          <w:rFonts w:ascii="Times New Roman"/>
          <w:kern w:val="2"/>
          <w:position w:val="0"/>
          <w:szCs w:val="28"/>
        </w:rPr>
      </w:pPr>
      <w:r>
        <w:rPr>
          <w:rFonts w:ascii="Times New Roman"/>
          <w:kern w:val="2"/>
          <w:position w:val="0"/>
          <w:szCs w:val="28"/>
        </w:rPr>
        <w:t>本项目逆变器选择须具备防孤岛保护功能。</w:t>
      </w:r>
    </w:p>
    <w:p>
      <w:pPr>
        <w:adjustRightInd w:val="0"/>
        <w:snapToGrid w:val="0"/>
        <w:ind w:firstLine="560"/>
        <w:outlineLvl w:val="6"/>
        <w:rPr>
          <w:rFonts w:ascii="Times New Roman"/>
        </w:rPr>
      </w:pPr>
      <w:r>
        <w:rPr>
          <w:rFonts w:ascii="Times New Roman"/>
        </w:rPr>
        <w:t>（4）电能计量系统</w:t>
      </w:r>
    </w:p>
    <w:p>
      <w:pPr>
        <w:adjustRightInd w:val="0"/>
        <w:snapToGrid w:val="0"/>
        <w:ind w:firstLine="560"/>
        <w:rPr>
          <w:rFonts w:ascii="Times New Roman"/>
          <w:kern w:val="2"/>
          <w:position w:val="0"/>
          <w:szCs w:val="28"/>
        </w:rPr>
      </w:pPr>
      <w:r>
        <w:rPr>
          <w:rFonts w:ascii="Times New Roman"/>
          <w:kern w:val="2"/>
          <w:position w:val="0"/>
          <w:szCs w:val="28"/>
        </w:rPr>
        <w:t>1）计量点设置</w:t>
      </w:r>
    </w:p>
    <w:p>
      <w:pPr>
        <w:adjustRightInd w:val="0"/>
        <w:snapToGrid w:val="0"/>
        <w:ind w:firstLine="560"/>
        <w:rPr>
          <w:rFonts w:ascii="Times New Roman"/>
          <w:kern w:val="2"/>
          <w:position w:val="0"/>
        </w:rPr>
      </w:pPr>
      <w:r>
        <w:rPr>
          <w:rFonts w:ascii="Times New Roman"/>
          <w:kern w:val="2"/>
          <w:position w:val="0"/>
        </w:rPr>
        <w:t>根据电能量计量关口点、考核点设置原则，每个分布式光伏电站电能量计量场站系统电能表的设置点为：</w:t>
      </w:r>
    </w:p>
    <w:p>
      <w:pPr>
        <w:adjustRightInd w:val="0"/>
        <w:snapToGrid w:val="0"/>
        <w:ind w:firstLine="560"/>
        <w:rPr>
          <w:rFonts w:ascii="Times New Roman"/>
          <w:kern w:val="2"/>
          <w:position w:val="0"/>
        </w:rPr>
      </w:pPr>
      <w:r>
        <w:rPr>
          <w:rFonts w:hint="eastAsia" w:hAnsi="宋体" w:cs="宋体"/>
          <w:kern w:val="2"/>
          <w:position w:val="0"/>
        </w:rPr>
        <w:t>①</w:t>
      </w:r>
      <w:r>
        <w:rPr>
          <w:rFonts w:ascii="Times New Roman"/>
          <w:kern w:val="2"/>
          <w:position w:val="0"/>
        </w:rPr>
        <w:t>关口计量点：</w:t>
      </w:r>
    </w:p>
    <w:p>
      <w:pPr>
        <w:adjustRightInd w:val="0"/>
        <w:snapToGrid w:val="0"/>
        <w:ind w:firstLine="560"/>
        <w:rPr>
          <w:rFonts w:ascii="Times New Roman"/>
          <w:kern w:val="2"/>
          <w:position w:val="0"/>
        </w:rPr>
      </w:pPr>
      <w:r>
        <w:rPr>
          <w:rFonts w:ascii="Times New Roman"/>
          <w:kern w:val="2"/>
          <w:position w:val="0"/>
        </w:rPr>
        <w:t>并网配电所10kV电缆并网计量箱（计量上、下网电量）</w:t>
      </w:r>
    </w:p>
    <w:p>
      <w:pPr>
        <w:adjustRightInd w:val="0"/>
        <w:snapToGrid w:val="0"/>
        <w:ind w:firstLine="560"/>
        <w:rPr>
          <w:rFonts w:ascii="Times New Roman"/>
          <w:kern w:val="2"/>
          <w:position w:val="0"/>
        </w:rPr>
      </w:pPr>
      <w:r>
        <w:rPr>
          <w:rFonts w:hint="eastAsia" w:hAnsi="宋体" w:cs="宋体"/>
          <w:kern w:val="2"/>
          <w:position w:val="0"/>
        </w:rPr>
        <w:t>②</w:t>
      </w:r>
      <w:r>
        <w:rPr>
          <w:rFonts w:ascii="Times New Roman"/>
          <w:kern w:val="2"/>
          <w:position w:val="0"/>
        </w:rPr>
        <w:t>光伏发电计量点：</w:t>
      </w:r>
    </w:p>
    <w:p>
      <w:pPr>
        <w:adjustRightInd w:val="0"/>
        <w:snapToGrid w:val="0"/>
        <w:ind w:firstLine="560"/>
        <w:rPr>
          <w:rFonts w:ascii="Times New Roman"/>
          <w:kern w:val="2"/>
          <w:position w:val="0"/>
        </w:rPr>
      </w:pPr>
      <w:r>
        <w:rPr>
          <w:rFonts w:ascii="Times New Roman"/>
          <w:kern w:val="2"/>
          <w:position w:val="0"/>
        </w:rPr>
        <w:t>光伏电站0.4kV逆变器交流并网接入点（计量光伏发电量）</w:t>
      </w:r>
    </w:p>
    <w:p>
      <w:pPr>
        <w:adjustRightInd w:val="0"/>
        <w:snapToGrid w:val="0"/>
        <w:ind w:firstLine="560"/>
        <w:rPr>
          <w:rFonts w:ascii="Times New Roman"/>
          <w:kern w:val="2"/>
          <w:position w:val="0"/>
          <w:szCs w:val="28"/>
        </w:rPr>
      </w:pPr>
      <w:r>
        <w:rPr>
          <w:rFonts w:ascii="Times New Roman"/>
          <w:kern w:val="2"/>
          <w:position w:val="0"/>
          <w:szCs w:val="28"/>
        </w:rPr>
        <w:t>2）计量表计</w:t>
      </w:r>
    </w:p>
    <w:p>
      <w:pPr>
        <w:adjustRightInd w:val="0"/>
        <w:snapToGrid w:val="0"/>
        <w:ind w:firstLine="560"/>
        <w:rPr>
          <w:rFonts w:ascii="Times New Roman"/>
        </w:rPr>
      </w:pPr>
      <w:r>
        <w:rPr>
          <w:rFonts w:ascii="Times New Roman"/>
          <w:kern w:val="2"/>
          <w:position w:val="0"/>
        </w:rPr>
        <w:t>电能计量装置的配置和技术要求应符合DL/T 448-2016的要求，电能表采用静止式多功能电能表，应具备双向有功和四象限无功计量功能、事件记录功能，配有标准通信接口，具备本地通信和通过电能信息采集终端远程通信的功能，电能表通信协议符合DL/T 645-2007要求。计量表计按下表设置：</w:t>
      </w:r>
    </w:p>
    <w:p>
      <w:pPr>
        <w:adjustRightInd w:val="0"/>
        <w:snapToGrid w:val="0"/>
        <w:ind w:firstLine="422"/>
        <w:jc w:val="center"/>
        <w:outlineLvl w:val="7"/>
        <w:rPr>
          <w:rFonts w:ascii="Times New Roman"/>
          <w:b/>
          <w:sz w:val="21"/>
          <w:szCs w:val="21"/>
        </w:rPr>
      </w:pPr>
      <w:r>
        <w:rPr>
          <w:rFonts w:ascii="Times New Roman"/>
          <w:b/>
          <w:sz w:val="21"/>
          <w:szCs w:val="21"/>
        </w:rPr>
        <w:t>表3.1-2  计量表计配置</w:t>
      </w:r>
    </w:p>
    <w:tbl>
      <w:tblPr>
        <w:tblStyle w:val="58"/>
        <w:tblW w:w="5000" w:type="pct"/>
        <w:jc w:val="center"/>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Layout w:type="autofit"/>
        <w:tblCellMar>
          <w:top w:w="0" w:type="dxa"/>
          <w:left w:w="0" w:type="dxa"/>
          <w:bottom w:w="0" w:type="dxa"/>
          <w:right w:w="0" w:type="dxa"/>
        </w:tblCellMar>
      </w:tblPr>
      <w:tblGrid>
        <w:gridCol w:w="4052"/>
        <w:gridCol w:w="4264"/>
      </w:tblGrid>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2436" w:type="pct"/>
            <w:shd w:val="clear" w:color="auto" w:fill="auto"/>
            <w:vAlign w:val="center"/>
          </w:tcPr>
          <w:p>
            <w:pPr>
              <w:adjustRightInd w:val="0"/>
              <w:snapToGrid w:val="0"/>
              <w:spacing w:line="240" w:lineRule="auto"/>
              <w:ind w:firstLine="360" w:firstLineChars="0"/>
              <w:jc w:val="center"/>
              <w:rPr>
                <w:rFonts w:ascii="Times New Roman"/>
                <w:sz w:val="18"/>
                <w:szCs w:val="24"/>
              </w:rPr>
            </w:pPr>
            <w:r>
              <w:rPr>
                <w:rFonts w:ascii="Times New Roman"/>
                <w:sz w:val="18"/>
                <w:szCs w:val="24"/>
              </w:rPr>
              <w:t>计量点设置</w:t>
            </w:r>
          </w:p>
        </w:tc>
        <w:tc>
          <w:tcPr>
            <w:tcW w:w="2564" w:type="pct"/>
            <w:shd w:val="clear" w:color="auto" w:fill="auto"/>
            <w:vAlign w:val="center"/>
          </w:tcPr>
          <w:p>
            <w:pPr>
              <w:adjustRightInd w:val="0"/>
              <w:snapToGrid w:val="0"/>
              <w:spacing w:line="240" w:lineRule="auto"/>
              <w:ind w:firstLine="360" w:firstLineChars="0"/>
              <w:jc w:val="center"/>
              <w:rPr>
                <w:rFonts w:ascii="Times New Roman"/>
                <w:sz w:val="18"/>
                <w:szCs w:val="24"/>
              </w:rPr>
            </w:pPr>
            <w:r>
              <w:rPr>
                <w:rFonts w:ascii="Times New Roman"/>
                <w:sz w:val="18"/>
                <w:szCs w:val="24"/>
              </w:rPr>
              <w:t>计量表配置</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2436" w:type="pct"/>
            <w:shd w:val="clear" w:color="auto" w:fill="auto"/>
            <w:vAlign w:val="center"/>
          </w:tcPr>
          <w:p>
            <w:pPr>
              <w:adjustRightInd w:val="0"/>
              <w:snapToGrid w:val="0"/>
              <w:spacing w:line="240" w:lineRule="auto"/>
              <w:ind w:firstLine="360" w:firstLineChars="0"/>
              <w:jc w:val="center"/>
              <w:rPr>
                <w:rFonts w:ascii="Times New Roman"/>
                <w:sz w:val="18"/>
                <w:szCs w:val="24"/>
              </w:rPr>
            </w:pPr>
            <w:r>
              <w:rPr>
                <w:rFonts w:ascii="Times New Roman"/>
                <w:sz w:val="18"/>
                <w:szCs w:val="24"/>
              </w:rPr>
              <w:t>并网配电所10kV电缆并网计量箱</w:t>
            </w:r>
          </w:p>
        </w:tc>
        <w:tc>
          <w:tcPr>
            <w:tcW w:w="2564" w:type="pct"/>
            <w:shd w:val="clear" w:color="auto" w:fill="auto"/>
            <w:vAlign w:val="center"/>
          </w:tcPr>
          <w:p>
            <w:pPr>
              <w:adjustRightInd w:val="0"/>
              <w:snapToGrid w:val="0"/>
              <w:spacing w:line="240" w:lineRule="auto"/>
              <w:ind w:firstLine="360" w:firstLineChars="0"/>
              <w:jc w:val="center"/>
              <w:rPr>
                <w:rFonts w:ascii="Times New Roman"/>
                <w:sz w:val="18"/>
                <w:szCs w:val="24"/>
              </w:rPr>
            </w:pPr>
            <w:r>
              <w:rPr>
                <w:rFonts w:ascii="Times New Roman"/>
                <w:sz w:val="18"/>
                <w:szCs w:val="24"/>
              </w:rPr>
              <w:t>主、副双向表配置，不低于0.5s级</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2436" w:type="pct"/>
            <w:shd w:val="clear" w:color="auto" w:fill="auto"/>
            <w:vAlign w:val="center"/>
          </w:tcPr>
          <w:p>
            <w:pPr>
              <w:adjustRightInd w:val="0"/>
              <w:snapToGrid w:val="0"/>
              <w:spacing w:line="240" w:lineRule="auto"/>
              <w:ind w:firstLine="360" w:firstLineChars="0"/>
              <w:jc w:val="center"/>
              <w:rPr>
                <w:rFonts w:ascii="Times New Roman"/>
                <w:sz w:val="18"/>
                <w:szCs w:val="24"/>
              </w:rPr>
            </w:pPr>
            <w:r>
              <w:rPr>
                <w:rFonts w:ascii="Times New Roman"/>
                <w:sz w:val="18"/>
                <w:szCs w:val="24"/>
              </w:rPr>
              <w:t>光伏电站0.4kV逆变器并网箱</w:t>
            </w:r>
          </w:p>
        </w:tc>
        <w:tc>
          <w:tcPr>
            <w:tcW w:w="2564" w:type="pct"/>
            <w:shd w:val="clear" w:color="auto" w:fill="auto"/>
            <w:vAlign w:val="center"/>
          </w:tcPr>
          <w:p>
            <w:pPr>
              <w:adjustRightInd w:val="0"/>
              <w:snapToGrid w:val="0"/>
              <w:spacing w:line="240" w:lineRule="auto"/>
              <w:ind w:firstLine="360" w:firstLineChars="0"/>
              <w:jc w:val="center"/>
              <w:rPr>
                <w:rFonts w:ascii="Times New Roman"/>
                <w:sz w:val="18"/>
                <w:szCs w:val="24"/>
              </w:rPr>
            </w:pPr>
            <w:r>
              <w:rPr>
                <w:rFonts w:ascii="Times New Roman"/>
                <w:sz w:val="18"/>
                <w:szCs w:val="24"/>
              </w:rPr>
              <w:t>单表双向表配置，不低于0.5s级</w:t>
            </w:r>
          </w:p>
        </w:tc>
      </w:tr>
    </w:tbl>
    <w:p>
      <w:pPr>
        <w:adjustRightInd w:val="0"/>
        <w:snapToGrid w:val="0"/>
        <w:spacing w:before="156" w:beforeLines="50"/>
        <w:ind w:firstLine="560"/>
        <w:rPr>
          <w:rFonts w:ascii="Times New Roman"/>
          <w:kern w:val="2"/>
          <w:position w:val="0"/>
          <w:szCs w:val="28"/>
        </w:rPr>
      </w:pPr>
      <w:r>
        <w:rPr>
          <w:rFonts w:ascii="Times New Roman"/>
          <w:kern w:val="2"/>
          <w:position w:val="0"/>
          <w:szCs w:val="28"/>
        </w:rPr>
        <w:t>3）计量互感器要求</w:t>
      </w:r>
    </w:p>
    <w:p>
      <w:pPr>
        <w:adjustRightInd w:val="0"/>
        <w:snapToGrid w:val="0"/>
        <w:ind w:firstLine="560"/>
        <w:rPr>
          <w:rFonts w:ascii="Times New Roman"/>
          <w:kern w:val="2"/>
          <w:position w:val="0"/>
          <w:szCs w:val="28"/>
        </w:rPr>
      </w:pPr>
      <w:r>
        <w:rPr>
          <w:rFonts w:ascii="Times New Roman"/>
          <w:kern w:val="2"/>
          <w:position w:val="0"/>
        </w:rPr>
        <w:t>本期10kV计量电能表精度要求不低于0.5S级，并且要求有关电流互感器、电压互感器的精度需分别达到0.2S、0.2级。</w:t>
      </w:r>
    </w:p>
    <w:p>
      <w:pPr>
        <w:adjustRightInd w:val="0"/>
        <w:snapToGrid w:val="0"/>
        <w:ind w:firstLine="560"/>
        <w:outlineLvl w:val="6"/>
        <w:rPr>
          <w:rFonts w:ascii="Times New Roman"/>
        </w:rPr>
      </w:pPr>
      <w:r>
        <w:rPr>
          <w:rFonts w:ascii="Times New Roman"/>
        </w:rPr>
        <w:t>（5）通信</w:t>
      </w:r>
    </w:p>
    <w:p>
      <w:pPr>
        <w:adjustRightInd w:val="0"/>
        <w:snapToGrid w:val="0"/>
        <w:ind w:firstLine="560"/>
        <w:rPr>
          <w:rFonts w:ascii="Times New Roman"/>
          <w:kern w:val="2"/>
          <w:position w:val="0"/>
          <w:szCs w:val="28"/>
        </w:rPr>
      </w:pPr>
      <w:r>
        <w:rPr>
          <w:rFonts w:ascii="Times New Roman"/>
          <w:kern w:val="2"/>
          <w:position w:val="0"/>
          <w:szCs w:val="28"/>
        </w:rPr>
        <w:t>1）信息需求</w:t>
      </w:r>
    </w:p>
    <w:p>
      <w:pPr>
        <w:adjustRightInd w:val="0"/>
        <w:snapToGrid w:val="0"/>
        <w:ind w:firstLine="560"/>
        <w:rPr>
          <w:rFonts w:ascii="Times New Roman"/>
          <w:kern w:val="2"/>
          <w:position w:val="0"/>
          <w:szCs w:val="28"/>
        </w:rPr>
      </w:pPr>
      <w:r>
        <w:rPr>
          <w:rFonts w:ascii="Times New Roman"/>
          <w:kern w:val="2"/>
          <w:position w:val="0"/>
          <w:szCs w:val="28"/>
        </w:rPr>
        <w:t>本工程采用380V低压并网，本方案只需采集发电量信息。</w:t>
      </w:r>
    </w:p>
    <w:p>
      <w:pPr>
        <w:adjustRightInd w:val="0"/>
        <w:snapToGrid w:val="0"/>
        <w:ind w:firstLine="560"/>
        <w:rPr>
          <w:rFonts w:ascii="Times New Roman"/>
          <w:kern w:val="2"/>
          <w:position w:val="0"/>
          <w:szCs w:val="28"/>
        </w:rPr>
      </w:pPr>
      <w:r>
        <w:rPr>
          <w:rFonts w:ascii="Times New Roman"/>
          <w:kern w:val="2"/>
          <w:position w:val="0"/>
          <w:szCs w:val="28"/>
        </w:rPr>
        <w:t>2）通信方案</w:t>
      </w:r>
    </w:p>
    <w:p>
      <w:pPr>
        <w:adjustRightInd w:val="0"/>
        <w:snapToGrid w:val="0"/>
        <w:ind w:firstLine="560"/>
        <w:rPr>
          <w:rFonts w:ascii="Times New Roman"/>
          <w:kern w:val="2"/>
          <w:position w:val="0"/>
          <w:szCs w:val="28"/>
        </w:rPr>
      </w:pPr>
      <w:r>
        <w:rPr>
          <w:rFonts w:ascii="Times New Roman"/>
          <w:kern w:val="2"/>
          <w:position w:val="0"/>
          <w:szCs w:val="28"/>
        </w:rPr>
        <w:t>本工程信息传输通过无线方式，信息采集通过逆变器厂家数据云实现。在各个站址的并网配电室内配置1套无线采集终端装置，380V并网运行信息统一采集后，经统一的通信通道传输至监控中心。</w:t>
      </w:r>
    </w:p>
    <w:bookmarkEnd w:id="18"/>
    <w:p>
      <w:pPr>
        <w:adjustRightInd w:val="0"/>
        <w:snapToGrid w:val="0"/>
        <w:ind w:firstLine="0" w:firstLineChars="0"/>
        <w:outlineLvl w:val="3"/>
        <w:rPr>
          <w:rFonts w:ascii="Times New Roman"/>
          <w:b/>
          <w:kern w:val="2"/>
        </w:rPr>
      </w:pPr>
      <w:bookmarkStart w:id="20" w:name="_Toc422490101"/>
      <w:bookmarkStart w:id="21" w:name="_Toc420651275"/>
      <w:r>
        <w:rPr>
          <w:rFonts w:ascii="Times New Roman"/>
          <w:b/>
          <w:kern w:val="2"/>
        </w:rPr>
        <w:t>3.2 主要电气设备选择</w:t>
      </w:r>
      <w:bookmarkEnd w:id="20"/>
      <w:bookmarkEnd w:id="21"/>
      <w:r>
        <w:rPr>
          <w:rFonts w:ascii="Times New Roman"/>
          <w:b/>
          <w:kern w:val="2"/>
        </w:rPr>
        <w:t>及安装要求</w:t>
      </w:r>
    </w:p>
    <w:p>
      <w:pPr>
        <w:ind w:firstLine="560"/>
        <w:rPr>
          <w:rFonts w:ascii="Times New Roman"/>
        </w:rPr>
      </w:pPr>
      <w:r>
        <w:rPr>
          <w:rFonts w:ascii="Times New Roman"/>
        </w:rPr>
        <w:t xml:space="preserve">（1）短路电流水平 </w:t>
      </w:r>
    </w:p>
    <w:p>
      <w:pPr>
        <w:adjustRightInd w:val="0"/>
        <w:snapToGrid w:val="0"/>
        <w:ind w:firstLine="560"/>
        <w:rPr>
          <w:rFonts w:ascii="Times New Roman"/>
          <w:kern w:val="2"/>
          <w:position w:val="0"/>
          <w:szCs w:val="28"/>
        </w:rPr>
      </w:pPr>
      <w:r>
        <w:rPr>
          <w:rFonts w:ascii="Times New Roman"/>
          <w:kern w:val="2"/>
          <w:position w:val="0"/>
          <w:szCs w:val="28"/>
        </w:rPr>
        <w:t>本期工程的短路电流计算及设备选型是根据2025年系统规划容量进行计算，经计算本光伏电站10kV设备短路电流水平按20kA选择。</w:t>
      </w:r>
    </w:p>
    <w:p>
      <w:pPr>
        <w:ind w:firstLine="560"/>
        <w:rPr>
          <w:rFonts w:ascii="Times New Roman"/>
        </w:rPr>
      </w:pPr>
      <w:r>
        <w:rPr>
          <w:rFonts w:ascii="Times New Roman"/>
        </w:rPr>
        <w:t>（2）电气设备布置</w:t>
      </w:r>
    </w:p>
    <w:p>
      <w:pPr>
        <w:adjustRightInd w:val="0"/>
        <w:snapToGrid w:val="0"/>
        <w:ind w:firstLine="560"/>
        <w:rPr>
          <w:rFonts w:ascii="Times New Roman"/>
          <w:kern w:val="2"/>
          <w:position w:val="0"/>
          <w:szCs w:val="28"/>
        </w:rPr>
      </w:pPr>
      <w:r>
        <w:rPr>
          <w:rFonts w:ascii="Times New Roman"/>
          <w:kern w:val="2"/>
          <w:position w:val="0"/>
          <w:szCs w:val="28"/>
        </w:rPr>
        <w:t>1）本期工程每个光伏电站通过1回/多回电缆线送至邻近配电所。</w:t>
      </w:r>
    </w:p>
    <w:p>
      <w:pPr>
        <w:adjustRightInd w:val="0"/>
        <w:snapToGrid w:val="0"/>
        <w:ind w:firstLine="560"/>
        <w:rPr>
          <w:rFonts w:ascii="Times New Roman"/>
          <w:kern w:val="2"/>
          <w:position w:val="0"/>
          <w:szCs w:val="28"/>
        </w:rPr>
      </w:pPr>
      <w:r>
        <w:rPr>
          <w:rFonts w:ascii="Times New Roman"/>
          <w:kern w:val="2"/>
          <w:position w:val="0"/>
          <w:szCs w:val="28"/>
        </w:rPr>
        <w:t>2）电缆布置</w:t>
      </w:r>
    </w:p>
    <w:p>
      <w:pPr>
        <w:adjustRightInd w:val="0"/>
        <w:snapToGrid w:val="0"/>
        <w:ind w:firstLine="560"/>
        <w:rPr>
          <w:rFonts w:ascii="Times New Roman"/>
          <w:kern w:val="2"/>
          <w:position w:val="0"/>
          <w:szCs w:val="28"/>
        </w:rPr>
      </w:pPr>
      <w:r>
        <w:rPr>
          <w:rFonts w:ascii="Times New Roman"/>
          <w:kern w:val="2"/>
          <w:position w:val="0"/>
          <w:szCs w:val="28"/>
        </w:rPr>
        <w:t>本工程的集电电缆采用直埋敷设。</w:t>
      </w:r>
    </w:p>
    <w:p>
      <w:pPr>
        <w:adjustRightInd w:val="0"/>
        <w:snapToGrid w:val="0"/>
        <w:ind w:firstLine="0" w:firstLineChars="0"/>
        <w:outlineLvl w:val="3"/>
        <w:rPr>
          <w:rFonts w:ascii="Times New Roman"/>
          <w:b/>
          <w:kern w:val="2"/>
        </w:rPr>
      </w:pPr>
      <w:bookmarkStart w:id="22" w:name="_Toc420651278"/>
      <w:r>
        <w:rPr>
          <w:rFonts w:ascii="Times New Roman"/>
          <w:b/>
          <w:kern w:val="2"/>
        </w:rPr>
        <w:t>3.3 消防设施要求</w:t>
      </w:r>
      <w:bookmarkEnd w:id="22"/>
    </w:p>
    <w:p>
      <w:pPr>
        <w:adjustRightInd w:val="0"/>
        <w:snapToGrid w:val="0"/>
        <w:ind w:firstLine="560"/>
        <w:rPr>
          <w:rFonts w:ascii="Times New Roman"/>
          <w:kern w:val="2"/>
          <w:position w:val="0"/>
        </w:rPr>
      </w:pPr>
      <w:r>
        <w:rPr>
          <w:rFonts w:ascii="Times New Roman"/>
          <w:kern w:val="2"/>
          <w:position w:val="0"/>
        </w:rPr>
        <w:t>本工程无自建升压站，场区内采用灭火器及消防沙灭火方式，不涉及消防用水。</w:t>
      </w:r>
    </w:p>
    <w:p>
      <w:pPr>
        <w:adjustRightInd w:val="0"/>
        <w:snapToGrid w:val="0"/>
        <w:ind w:firstLine="0" w:firstLineChars="0"/>
        <w:outlineLvl w:val="3"/>
        <w:rPr>
          <w:rFonts w:ascii="Times New Roman"/>
          <w:b/>
          <w:kern w:val="2"/>
        </w:rPr>
      </w:pPr>
      <w:bookmarkStart w:id="23" w:name="_Toc422490107"/>
      <w:bookmarkStart w:id="24" w:name="_Toc420651279"/>
      <w:r>
        <w:rPr>
          <w:rFonts w:ascii="Times New Roman"/>
          <w:b/>
          <w:kern w:val="2"/>
        </w:rPr>
        <w:t>3.4 道路要求</w:t>
      </w:r>
      <w:bookmarkEnd w:id="23"/>
      <w:bookmarkEnd w:id="24"/>
    </w:p>
    <w:p>
      <w:pPr>
        <w:adjustRightInd w:val="0"/>
        <w:snapToGrid w:val="0"/>
        <w:ind w:firstLine="560"/>
        <w:rPr>
          <w:rFonts w:ascii="Times New Roman"/>
          <w:kern w:val="2"/>
          <w:position w:val="0"/>
        </w:rPr>
      </w:pPr>
      <w:r>
        <w:rPr>
          <w:rFonts w:ascii="Times New Roman"/>
          <w:kern w:val="2"/>
          <w:position w:val="0"/>
        </w:rPr>
        <w:t>光伏电场场内检修道路与施工期施工道路宜结合使用，检修道路路宽为1.2m。混凝土路面按C20砼20cm。</w:t>
      </w:r>
    </w:p>
    <w:p>
      <w:pPr>
        <w:adjustRightInd w:val="0"/>
        <w:snapToGrid w:val="0"/>
        <w:ind w:firstLine="0" w:firstLineChars="0"/>
        <w:outlineLvl w:val="3"/>
        <w:rPr>
          <w:rFonts w:ascii="Times New Roman"/>
          <w:b/>
          <w:kern w:val="2"/>
        </w:rPr>
      </w:pPr>
      <w:bookmarkStart w:id="25" w:name="_Toc420651280"/>
      <w:r>
        <w:rPr>
          <w:rFonts w:ascii="Times New Roman"/>
          <w:b/>
          <w:kern w:val="2"/>
        </w:rPr>
        <w:t>3.5 围栏要求</w:t>
      </w:r>
      <w:bookmarkEnd w:id="25"/>
    </w:p>
    <w:p>
      <w:pPr>
        <w:adjustRightInd w:val="0"/>
        <w:snapToGrid w:val="0"/>
        <w:ind w:firstLine="560"/>
        <w:rPr>
          <w:rFonts w:ascii="Times New Roman"/>
          <w:kern w:val="2"/>
          <w:position w:val="0"/>
        </w:rPr>
      </w:pPr>
      <w:r>
        <w:rPr>
          <w:rFonts w:ascii="Times New Roman"/>
          <w:kern w:val="2"/>
          <w:position w:val="0"/>
        </w:rPr>
        <w:t>本工程服务区和管理中心处光伏组件均安装在停车棚顶，不涉及围栏布置。隧道口处的光伏组件，在光伏阵列区采用2.</w:t>
      </w:r>
      <w:r>
        <w:rPr>
          <w:rFonts w:hint="eastAsia" w:ascii="Times New Roman"/>
          <w:kern w:val="2"/>
          <w:position w:val="0"/>
        </w:rPr>
        <w:t>5</w:t>
      </w:r>
      <w:r>
        <w:rPr>
          <w:rFonts w:ascii="Times New Roman"/>
          <w:kern w:val="2"/>
          <w:position w:val="0"/>
        </w:rPr>
        <w:t>m浸塑围栏及高铁丝围栏防护起来（要求光伏场区全封闭），根据现场实际情况在合适地方布置围栏大门，宽度1.5m。</w:t>
      </w:r>
    </w:p>
    <w:p>
      <w:pPr>
        <w:adjustRightInd w:val="0"/>
        <w:snapToGrid w:val="0"/>
        <w:ind w:firstLine="0" w:firstLineChars="0"/>
        <w:outlineLvl w:val="3"/>
        <w:rPr>
          <w:rFonts w:ascii="Times New Roman"/>
          <w:b/>
          <w:kern w:val="2"/>
        </w:rPr>
      </w:pPr>
      <w:r>
        <w:rPr>
          <w:rFonts w:hint="eastAsia" w:ascii="Times New Roman"/>
          <w:b/>
          <w:kern w:val="2"/>
        </w:rPr>
        <w:t>3.6 主要设备推荐清单</w:t>
      </w:r>
    </w:p>
    <w:tbl>
      <w:tblPr>
        <w:tblStyle w:val="58"/>
        <w:tblW w:w="5104" w:type="pct"/>
        <w:tblInd w:w="0" w:type="dxa"/>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Layout w:type="autofit"/>
        <w:tblCellMar>
          <w:top w:w="0" w:type="dxa"/>
          <w:left w:w="0" w:type="dxa"/>
          <w:bottom w:w="0" w:type="dxa"/>
          <w:right w:w="0" w:type="dxa"/>
        </w:tblCellMar>
      </w:tblPr>
      <w:tblGrid>
        <w:gridCol w:w="1091"/>
        <w:gridCol w:w="1184"/>
        <w:gridCol w:w="1875"/>
        <w:gridCol w:w="1204"/>
        <w:gridCol w:w="3135"/>
      </w:tblGrid>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642"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bCs/>
                <w:sz w:val="18"/>
                <w:szCs w:val="21"/>
              </w:rPr>
            </w:pPr>
            <w:r>
              <w:rPr>
                <w:rFonts w:hint="eastAsia" w:ascii="Times New Roman" w:cs="宋体"/>
                <w:bCs/>
                <w:sz w:val="18"/>
                <w:szCs w:val="21"/>
              </w:rPr>
              <w:t>序号</w:t>
            </w:r>
          </w:p>
        </w:tc>
        <w:tc>
          <w:tcPr>
            <w:tcW w:w="697"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bCs/>
                <w:sz w:val="18"/>
                <w:szCs w:val="21"/>
              </w:rPr>
            </w:pPr>
            <w:r>
              <w:rPr>
                <w:rFonts w:hint="eastAsia" w:ascii="Times New Roman" w:cs="宋体"/>
                <w:bCs/>
                <w:sz w:val="18"/>
                <w:szCs w:val="21"/>
              </w:rPr>
              <w:t>设备材料名称</w:t>
            </w:r>
          </w:p>
        </w:tc>
        <w:tc>
          <w:tcPr>
            <w:tcW w:w="1104"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bCs/>
                <w:sz w:val="18"/>
                <w:szCs w:val="21"/>
              </w:rPr>
            </w:pPr>
            <w:r>
              <w:rPr>
                <w:rFonts w:hint="eastAsia" w:ascii="Times New Roman" w:cs="宋体"/>
                <w:bCs/>
                <w:sz w:val="18"/>
                <w:szCs w:val="21"/>
              </w:rPr>
              <w:t>型号及规格</w:t>
            </w:r>
          </w:p>
        </w:tc>
        <w:tc>
          <w:tcPr>
            <w:tcW w:w="709"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bCs/>
                <w:sz w:val="18"/>
                <w:szCs w:val="21"/>
              </w:rPr>
            </w:pPr>
            <w:r>
              <w:rPr>
                <w:rFonts w:hint="eastAsia" w:ascii="Times New Roman" w:cs="宋体"/>
                <w:bCs/>
                <w:sz w:val="18"/>
                <w:szCs w:val="21"/>
              </w:rPr>
              <w:t>单位</w:t>
            </w:r>
          </w:p>
        </w:tc>
        <w:tc>
          <w:tcPr>
            <w:tcW w:w="1845"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bCs/>
                <w:sz w:val="18"/>
                <w:szCs w:val="21"/>
              </w:rPr>
            </w:pPr>
            <w:r>
              <w:rPr>
                <w:rFonts w:hint="eastAsia" w:ascii="Times New Roman" w:cs="宋体"/>
                <w:bCs/>
                <w:sz w:val="18"/>
                <w:szCs w:val="21"/>
              </w:rPr>
              <w:t>备选品牌</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642"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1</w:t>
            </w:r>
          </w:p>
        </w:tc>
        <w:tc>
          <w:tcPr>
            <w:tcW w:w="697"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组件</w:t>
            </w:r>
          </w:p>
        </w:tc>
        <w:tc>
          <w:tcPr>
            <w:tcW w:w="1104"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单晶硅540Wp</w:t>
            </w:r>
          </w:p>
        </w:tc>
        <w:tc>
          <w:tcPr>
            <w:tcW w:w="709"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ascii="Times New Roman" w:cs="宋体"/>
                <w:sz w:val="18"/>
                <w:szCs w:val="21"/>
              </w:rPr>
              <w:t>件</w:t>
            </w:r>
            <w:r>
              <w:rPr>
                <w:rFonts w:hint="eastAsia" w:ascii="Times New Roman" w:cs="宋体"/>
                <w:sz w:val="18"/>
                <w:szCs w:val="21"/>
              </w:rPr>
              <w:t>/块</w:t>
            </w:r>
          </w:p>
        </w:tc>
        <w:tc>
          <w:tcPr>
            <w:tcW w:w="1845" w:type="pct"/>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eastAsia="宋体" w:cs="宋体"/>
                <w:sz w:val="18"/>
                <w:szCs w:val="21"/>
                <w:lang w:val="en-US" w:eastAsia="zh-CN"/>
              </w:rPr>
            </w:pPr>
            <w:r>
              <w:rPr>
                <w:rFonts w:hint="eastAsia" w:ascii="Times New Roman" w:cs="宋体"/>
                <w:sz w:val="18"/>
                <w:szCs w:val="21"/>
              </w:rPr>
              <w:t>隆基、天合光能、晶科、晶澳</w:t>
            </w:r>
            <w:r>
              <w:rPr>
                <w:rFonts w:hint="eastAsia" w:ascii="Times New Roman" w:cs="宋体"/>
                <w:sz w:val="18"/>
                <w:szCs w:val="21"/>
                <w:lang w:eastAsia="zh-CN"/>
              </w:rPr>
              <w:t>、</w:t>
            </w:r>
            <w:r>
              <w:rPr>
                <w:rFonts w:hint="eastAsia" w:ascii="Times New Roman" w:cs="宋体"/>
                <w:sz w:val="18"/>
                <w:szCs w:val="21"/>
                <w:lang w:val="en-US" w:eastAsia="zh-CN"/>
              </w:rPr>
              <w:t>东方日升、通威太阳能、正泰新能源、阿特斯</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642"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2</w:t>
            </w:r>
          </w:p>
        </w:tc>
        <w:tc>
          <w:tcPr>
            <w:tcW w:w="697"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逆变器</w:t>
            </w:r>
          </w:p>
        </w:tc>
        <w:tc>
          <w:tcPr>
            <w:tcW w:w="1104"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组串式，1</w:t>
            </w:r>
            <w:r>
              <w:rPr>
                <w:rFonts w:ascii="Times New Roman" w:cs="宋体"/>
                <w:sz w:val="18"/>
                <w:szCs w:val="21"/>
              </w:rPr>
              <w:t>1</w:t>
            </w:r>
            <w:r>
              <w:rPr>
                <w:rFonts w:hint="eastAsia" w:ascii="Times New Roman" w:cs="宋体"/>
                <w:sz w:val="18"/>
                <w:szCs w:val="21"/>
              </w:rPr>
              <w:t>00V</w:t>
            </w:r>
            <w:r>
              <w:rPr>
                <w:rFonts w:ascii="Times New Roman" w:cs="宋体"/>
                <w:sz w:val="18"/>
                <w:szCs w:val="21"/>
              </w:rPr>
              <w:t>/380V</w:t>
            </w:r>
            <w:r>
              <w:rPr>
                <w:rFonts w:hint="eastAsia" w:ascii="Times New Roman" w:cs="宋体"/>
                <w:sz w:val="18"/>
                <w:szCs w:val="21"/>
              </w:rPr>
              <w:t>，含子阵控制器</w:t>
            </w:r>
          </w:p>
        </w:tc>
        <w:tc>
          <w:tcPr>
            <w:tcW w:w="709"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ascii="Times New Roman" w:cs="宋体"/>
                <w:sz w:val="18"/>
                <w:szCs w:val="21"/>
              </w:rPr>
              <w:t>k</w:t>
            </w:r>
            <w:r>
              <w:rPr>
                <w:rFonts w:hint="eastAsia" w:ascii="Times New Roman" w:cs="宋体"/>
                <w:sz w:val="18"/>
                <w:szCs w:val="21"/>
              </w:rPr>
              <w:t>W</w:t>
            </w:r>
          </w:p>
        </w:tc>
        <w:tc>
          <w:tcPr>
            <w:tcW w:w="1845" w:type="pct"/>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eastAsia="宋体" w:cs="宋体"/>
                <w:sz w:val="18"/>
                <w:szCs w:val="21"/>
                <w:lang w:val="en-US" w:eastAsia="zh-CN"/>
              </w:rPr>
            </w:pPr>
            <w:r>
              <w:rPr>
                <w:rFonts w:hint="eastAsia" w:ascii="Times New Roman" w:cs="宋体"/>
                <w:sz w:val="18"/>
                <w:szCs w:val="21"/>
              </w:rPr>
              <w:t>阳光电源、华为科技、固德威、古瑞瓦、</w:t>
            </w:r>
            <w:r>
              <w:rPr>
                <w:rFonts w:hint="eastAsia" w:ascii="Times New Roman" w:cs="宋体"/>
                <w:sz w:val="18"/>
                <w:szCs w:val="21"/>
                <w:lang w:val="en-US" w:eastAsia="zh-CN"/>
              </w:rPr>
              <w:t>上海正泰、上能</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642"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3</w:t>
            </w:r>
          </w:p>
        </w:tc>
        <w:tc>
          <w:tcPr>
            <w:tcW w:w="697"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电缆</w:t>
            </w:r>
          </w:p>
        </w:tc>
        <w:tc>
          <w:tcPr>
            <w:tcW w:w="1104"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ascii="Times New Roman" w:cs="宋体"/>
                <w:sz w:val="18"/>
                <w:szCs w:val="21"/>
              </w:rPr>
              <w:t>满足设计要求</w:t>
            </w:r>
          </w:p>
        </w:tc>
        <w:tc>
          <w:tcPr>
            <w:tcW w:w="709"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项</w:t>
            </w:r>
          </w:p>
        </w:tc>
        <w:tc>
          <w:tcPr>
            <w:tcW w:w="1845" w:type="pct"/>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eastAsia="宋体" w:cs="宋体"/>
                <w:sz w:val="18"/>
                <w:szCs w:val="21"/>
                <w:lang w:val="en-US" w:eastAsia="zh-CN"/>
              </w:rPr>
            </w:pPr>
            <w:r>
              <w:rPr>
                <w:rFonts w:hint="eastAsia" w:ascii="Times New Roman" w:cs="宋体"/>
                <w:sz w:val="18"/>
                <w:szCs w:val="21"/>
              </w:rPr>
              <w:t>鸽牌、泰山、宇邦、三峡</w:t>
            </w:r>
            <w:r>
              <w:rPr>
                <w:rFonts w:hint="eastAsia" w:ascii="Times New Roman" w:cs="宋体"/>
                <w:sz w:val="18"/>
                <w:szCs w:val="21"/>
                <w:lang w:eastAsia="zh-CN"/>
              </w:rPr>
              <w:t>、</w:t>
            </w:r>
            <w:r>
              <w:rPr>
                <w:rFonts w:hint="eastAsia" w:ascii="Times New Roman" w:cs="宋体"/>
                <w:sz w:val="18"/>
                <w:szCs w:val="21"/>
                <w:lang w:val="en-US" w:eastAsia="zh-CN"/>
              </w:rPr>
              <w:t>渝丰、科宝</w:t>
            </w:r>
          </w:p>
        </w:tc>
      </w:tr>
    </w:tbl>
    <w:p>
      <w:pPr>
        <w:pStyle w:val="4"/>
        <w:adjustRightInd w:val="0"/>
        <w:snapToGrid w:val="0"/>
        <w:spacing w:before="156" w:beforeLines="50" w:after="156" w:afterLines="50"/>
        <w:rPr>
          <w:rFonts w:ascii="Times New Roman" w:hAnsi="Times New Roman" w:eastAsia="宋体"/>
          <w:b/>
        </w:rPr>
      </w:pPr>
      <w:bookmarkStart w:id="26" w:name="_Toc503449927"/>
      <w:bookmarkStart w:id="27" w:name="_Toc419980645"/>
      <w:bookmarkStart w:id="28" w:name="_Toc449276715"/>
      <w:r>
        <w:rPr>
          <w:rFonts w:ascii="Times New Roman" w:hAnsi="Times New Roman" w:eastAsia="宋体"/>
          <w:b/>
        </w:rPr>
        <w:t>第四条  施工方面</w:t>
      </w:r>
      <w:bookmarkEnd w:id="26"/>
      <w:bookmarkEnd w:id="27"/>
      <w:bookmarkEnd w:id="28"/>
    </w:p>
    <w:p>
      <w:pPr>
        <w:adjustRightInd w:val="0"/>
        <w:snapToGrid w:val="0"/>
        <w:ind w:firstLine="560"/>
        <w:rPr>
          <w:rFonts w:ascii="Times New Roman"/>
          <w:kern w:val="2"/>
          <w:position w:val="0"/>
        </w:rPr>
      </w:pPr>
      <w:r>
        <w:rPr>
          <w:rFonts w:ascii="Times New Roman"/>
          <w:kern w:val="2"/>
          <w:position w:val="0"/>
        </w:rPr>
        <w:t>本项目所有土建及机电设备安装施工严格按照电力工程施工质量及验收规范、设计要求进行施工。承包方在工程施工项目机构中要配置足够数量的安全人员和质检人员，以满足工程施工需要。</w:t>
      </w:r>
      <w:bookmarkStart w:id="29" w:name="_Toc351203532"/>
    </w:p>
    <w:p>
      <w:pPr>
        <w:adjustRightInd w:val="0"/>
        <w:snapToGrid w:val="0"/>
        <w:ind w:firstLine="0" w:firstLineChars="0"/>
        <w:outlineLvl w:val="3"/>
        <w:rPr>
          <w:rFonts w:ascii="Times New Roman"/>
          <w:b/>
          <w:kern w:val="2"/>
        </w:rPr>
      </w:pPr>
      <w:r>
        <w:rPr>
          <w:rFonts w:ascii="Times New Roman"/>
          <w:b/>
          <w:kern w:val="2"/>
        </w:rPr>
        <w:t>4.1</w:t>
      </w:r>
      <w:bookmarkStart w:id="30" w:name="_Toc337558758"/>
      <w:r>
        <w:rPr>
          <w:rFonts w:ascii="Times New Roman"/>
          <w:b/>
          <w:kern w:val="2"/>
        </w:rPr>
        <w:t xml:space="preserve">  工程质量</w:t>
      </w:r>
      <w:bookmarkEnd w:id="29"/>
      <w:r>
        <w:rPr>
          <w:rFonts w:ascii="Times New Roman"/>
          <w:b/>
          <w:kern w:val="2"/>
        </w:rPr>
        <w:t>(不限于以下内容)</w:t>
      </w:r>
    </w:p>
    <w:bookmarkEnd w:id="30"/>
    <w:p>
      <w:pPr>
        <w:adjustRightInd w:val="0"/>
        <w:snapToGrid w:val="0"/>
        <w:ind w:firstLine="560"/>
        <w:outlineLvl w:val="4"/>
        <w:rPr>
          <w:rFonts w:ascii="Times New Roman"/>
        </w:rPr>
      </w:pPr>
      <w:bookmarkStart w:id="31" w:name="_Toc351203533"/>
      <w:bookmarkStart w:id="32" w:name="_Toc337558759"/>
      <w:r>
        <w:rPr>
          <w:rFonts w:ascii="Times New Roman"/>
        </w:rPr>
        <w:t>4.1.1  质量要求</w:t>
      </w:r>
      <w:bookmarkEnd w:id="31"/>
    </w:p>
    <w:bookmarkEnd w:id="32"/>
    <w:p>
      <w:pPr>
        <w:adjustRightInd w:val="0"/>
        <w:snapToGrid w:val="0"/>
        <w:ind w:firstLine="560"/>
        <w:rPr>
          <w:rFonts w:ascii="Times New Roman"/>
          <w:kern w:val="2"/>
          <w:position w:val="0"/>
        </w:rPr>
      </w:pPr>
      <w:r>
        <w:rPr>
          <w:rFonts w:ascii="Times New Roman"/>
          <w:kern w:val="2"/>
          <w:position w:val="0"/>
        </w:rPr>
        <w:t>4.1.1.1  工程质量标准必须符合现行国家有关工程施工质量验收规范和标准的要求。同时，根据行业和设备厂家技术要求，部分设备还要必须满足其安装及特殊检验、试验合格标准。</w:t>
      </w:r>
    </w:p>
    <w:p>
      <w:pPr>
        <w:adjustRightInd w:val="0"/>
        <w:snapToGrid w:val="0"/>
        <w:ind w:firstLine="560"/>
        <w:rPr>
          <w:rFonts w:ascii="Times New Roman"/>
          <w:kern w:val="2"/>
          <w:position w:val="0"/>
        </w:rPr>
      </w:pPr>
      <w:r>
        <w:rPr>
          <w:rFonts w:ascii="Times New Roman"/>
          <w:kern w:val="2"/>
          <w:position w:val="0"/>
        </w:rPr>
        <w:t>4.1.1.2  因发包方原因造成工程质量未达到合同约定标准的，由发包方承担由此增加的费用和（或）延误的工期，并支付承包方合理的利润。</w:t>
      </w:r>
    </w:p>
    <w:p>
      <w:pPr>
        <w:adjustRightInd w:val="0"/>
        <w:snapToGrid w:val="0"/>
        <w:ind w:firstLine="560"/>
        <w:rPr>
          <w:rFonts w:ascii="Times New Roman"/>
          <w:kern w:val="2"/>
          <w:position w:val="0"/>
        </w:rPr>
      </w:pPr>
      <w:r>
        <w:rPr>
          <w:rFonts w:ascii="Times New Roman"/>
          <w:kern w:val="2"/>
          <w:position w:val="0"/>
        </w:rPr>
        <w:t>4.1.1.3  因承包方原因造成工程质量未达到合同约定标准的，发包方有权要求承包方重新设计、返工直至工程质量达到合同约定的标准为止，并由承包方承担由此增加的费用和（或）延误的工期。</w:t>
      </w:r>
    </w:p>
    <w:p>
      <w:pPr>
        <w:adjustRightInd w:val="0"/>
        <w:snapToGrid w:val="0"/>
        <w:ind w:firstLine="560"/>
        <w:outlineLvl w:val="4"/>
        <w:rPr>
          <w:rFonts w:ascii="Times New Roman"/>
        </w:rPr>
      </w:pPr>
      <w:bookmarkStart w:id="33" w:name="_Toc351203534"/>
      <w:bookmarkStart w:id="34" w:name="_Toc337558760"/>
      <w:r>
        <w:rPr>
          <w:rFonts w:ascii="Times New Roman"/>
        </w:rPr>
        <w:t>4.1.2  质量保证措施</w:t>
      </w:r>
      <w:bookmarkEnd w:id="33"/>
    </w:p>
    <w:bookmarkEnd w:id="34"/>
    <w:p>
      <w:pPr>
        <w:adjustRightInd w:val="0"/>
        <w:snapToGrid w:val="0"/>
        <w:ind w:firstLine="560"/>
        <w:rPr>
          <w:rFonts w:ascii="Times New Roman"/>
          <w:kern w:val="2"/>
          <w:position w:val="0"/>
        </w:rPr>
      </w:pPr>
      <w:r>
        <w:rPr>
          <w:rFonts w:ascii="Times New Roman"/>
          <w:kern w:val="2"/>
          <w:position w:val="0"/>
        </w:rPr>
        <w:t>4.1.2.1  发包方的质量管理</w:t>
      </w:r>
    </w:p>
    <w:p>
      <w:pPr>
        <w:adjustRightInd w:val="0"/>
        <w:snapToGrid w:val="0"/>
        <w:ind w:firstLine="560"/>
        <w:rPr>
          <w:rFonts w:ascii="Times New Roman"/>
          <w:kern w:val="2"/>
          <w:position w:val="0"/>
        </w:rPr>
      </w:pPr>
      <w:r>
        <w:rPr>
          <w:rFonts w:ascii="Times New Roman"/>
          <w:kern w:val="2"/>
          <w:position w:val="0"/>
        </w:rPr>
        <w:t>发包方应按照法律规定及合同约定完成与工程质量有关的各项工作。</w:t>
      </w:r>
    </w:p>
    <w:p>
      <w:pPr>
        <w:adjustRightInd w:val="0"/>
        <w:snapToGrid w:val="0"/>
        <w:ind w:firstLine="560"/>
        <w:rPr>
          <w:rFonts w:ascii="Times New Roman"/>
          <w:kern w:val="2"/>
          <w:position w:val="0"/>
        </w:rPr>
      </w:pPr>
      <w:r>
        <w:rPr>
          <w:rFonts w:ascii="Times New Roman"/>
          <w:kern w:val="2"/>
          <w:position w:val="0"/>
        </w:rPr>
        <w:t>4.1.2.2  承包方的质量管理</w:t>
      </w:r>
    </w:p>
    <w:p>
      <w:pPr>
        <w:adjustRightInd w:val="0"/>
        <w:snapToGrid w:val="0"/>
        <w:ind w:firstLine="560"/>
        <w:rPr>
          <w:rFonts w:ascii="Times New Roman"/>
        </w:rPr>
      </w:pPr>
      <w:r>
        <w:rPr>
          <w:rFonts w:ascii="Times New Roman"/>
          <w:kern w:val="2"/>
          <w:position w:val="0"/>
        </w:rPr>
        <w:t>承包方按照〔施工组织设计〕约定向发包方和监理人提交工程质量保证体系及措施文件，建立完善的质量检查制度，并提交相应的工程质量文件。对于发包方和监理人违反法律规定和合同约定的错误指示，承包方有权拒绝实施。</w:t>
      </w:r>
    </w:p>
    <w:p>
      <w:pPr>
        <w:adjustRightInd w:val="0"/>
        <w:snapToGrid w:val="0"/>
        <w:ind w:firstLine="560"/>
        <w:rPr>
          <w:rFonts w:ascii="Times New Roman"/>
          <w:kern w:val="2"/>
          <w:position w:val="0"/>
        </w:rPr>
      </w:pPr>
      <w:r>
        <w:rPr>
          <w:rFonts w:ascii="Times New Roman"/>
          <w:kern w:val="2"/>
          <w:position w:val="0"/>
        </w:rPr>
        <w:t>承包方应对施工人员进行质量教育和技术培训，定期考核施工人员的劳动技能，严格执行施工规范和操作规程。</w:t>
      </w:r>
    </w:p>
    <w:p>
      <w:pPr>
        <w:adjustRightInd w:val="0"/>
        <w:snapToGrid w:val="0"/>
        <w:ind w:firstLine="560"/>
        <w:rPr>
          <w:rFonts w:ascii="Times New Roman"/>
          <w:kern w:val="2"/>
          <w:position w:val="0"/>
        </w:rPr>
      </w:pPr>
      <w:r>
        <w:rPr>
          <w:rFonts w:ascii="Times New Roman"/>
          <w:kern w:val="2"/>
          <w:position w:val="0"/>
        </w:rPr>
        <w:t>承包方应按照法律规定和发包方的要求，对材料、工程设备以及工程的所有部位及其施工工艺进行全过程的质量检查和检验，并作详细记录，编制工程质量报表，报送监理人审查。此外，承包方还应按照法律规定和发包方的要求，进行施工现场取样试验、工程复核测量和设备性能检测，提供试验样品、提交试验报告和测量成果以及其他工作。</w:t>
      </w:r>
    </w:p>
    <w:p>
      <w:pPr>
        <w:adjustRightInd w:val="0"/>
        <w:snapToGrid w:val="0"/>
        <w:ind w:firstLine="560"/>
        <w:rPr>
          <w:rFonts w:ascii="Times New Roman"/>
          <w:kern w:val="2"/>
          <w:position w:val="0"/>
        </w:rPr>
      </w:pPr>
      <w:r>
        <w:rPr>
          <w:rFonts w:ascii="Times New Roman"/>
          <w:kern w:val="2"/>
          <w:position w:val="0"/>
        </w:rPr>
        <w:t>4.1.2.3  监理人的质量检查和检验</w:t>
      </w:r>
    </w:p>
    <w:p>
      <w:pPr>
        <w:adjustRightInd w:val="0"/>
        <w:snapToGrid w:val="0"/>
        <w:ind w:firstLine="560"/>
        <w:rPr>
          <w:rFonts w:ascii="Times New Roman"/>
          <w:kern w:val="2"/>
          <w:position w:val="0"/>
        </w:rPr>
      </w:pPr>
      <w:r>
        <w:rPr>
          <w:rFonts w:ascii="Times New Roman"/>
          <w:kern w:val="2"/>
          <w:position w:val="0"/>
        </w:rPr>
        <w:t>监理人按照法律规定和发包方授权对工程的所有部位及其施工工艺、材料和工程设备进行检查和检验。承包方应为监理人的检查和检验提供方便，包括监理人到施工现场，或制造、加工地点，或合同约定的其他地方进行察看和查阅施工原始记录。监理人为此进行的检查和检验，不免除或减轻承包方按照合同约定应当承担的责任。</w:t>
      </w:r>
    </w:p>
    <w:p>
      <w:pPr>
        <w:adjustRightInd w:val="0"/>
        <w:snapToGrid w:val="0"/>
        <w:ind w:firstLine="560"/>
        <w:rPr>
          <w:rFonts w:ascii="Times New Roman"/>
          <w:kern w:val="2"/>
          <w:position w:val="0"/>
        </w:rPr>
      </w:pPr>
      <w:r>
        <w:rPr>
          <w:rFonts w:ascii="Times New Roman"/>
          <w:kern w:val="2"/>
          <w:position w:val="0"/>
        </w:rPr>
        <w:t>监理人的检查和检验不应影响施工正常进行。监理人的检查和检验影响施工正常进行的，且经检查检验不合格的，影响正常施工的费用由承包方承担，工期不予顺延；经检查检验合格的，由此增加的费用和(或)延误的工期由发包方承担。</w:t>
      </w:r>
    </w:p>
    <w:p>
      <w:pPr>
        <w:adjustRightInd w:val="0"/>
        <w:snapToGrid w:val="0"/>
        <w:ind w:firstLine="560"/>
        <w:outlineLvl w:val="4"/>
        <w:rPr>
          <w:rFonts w:ascii="Times New Roman"/>
        </w:rPr>
      </w:pPr>
      <w:bookmarkStart w:id="35" w:name="_Toc351203535"/>
      <w:bookmarkStart w:id="36" w:name="_Toc337558761"/>
      <w:r>
        <w:rPr>
          <w:rFonts w:ascii="Times New Roman"/>
        </w:rPr>
        <w:t>4.1.3  隐蔽工程检查</w:t>
      </w:r>
      <w:bookmarkEnd w:id="35"/>
    </w:p>
    <w:bookmarkEnd w:id="36"/>
    <w:p>
      <w:pPr>
        <w:adjustRightInd w:val="0"/>
        <w:snapToGrid w:val="0"/>
        <w:ind w:firstLine="560"/>
        <w:rPr>
          <w:rFonts w:ascii="Times New Roman"/>
          <w:kern w:val="2"/>
          <w:position w:val="0"/>
        </w:rPr>
      </w:pPr>
      <w:r>
        <w:rPr>
          <w:rFonts w:ascii="Times New Roman"/>
          <w:kern w:val="2"/>
          <w:position w:val="0"/>
        </w:rPr>
        <w:t>4.1.3.1  承包方自检</w:t>
      </w:r>
    </w:p>
    <w:p>
      <w:pPr>
        <w:adjustRightInd w:val="0"/>
        <w:snapToGrid w:val="0"/>
        <w:ind w:firstLine="560"/>
        <w:rPr>
          <w:rFonts w:ascii="Times New Roman"/>
          <w:kern w:val="2"/>
          <w:position w:val="0"/>
        </w:rPr>
      </w:pPr>
      <w:r>
        <w:rPr>
          <w:rFonts w:ascii="Times New Roman"/>
          <w:kern w:val="2"/>
          <w:position w:val="0"/>
        </w:rPr>
        <w:t>承包方应当对工程隐蔽部位进行自检，并经自检确认是否具备覆盖条件。</w:t>
      </w:r>
    </w:p>
    <w:p>
      <w:pPr>
        <w:adjustRightInd w:val="0"/>
        <w:snapToGrid w:val="0"/>
        <w:ind w:firstLine="560"/>
        <w:rPr>
          <w:rFonts w:ascii="Times New Roman"/>
          <w:kern w:val="2"/>
          <w:position w:val="0"/>
        </w:rPr>
      </w:pPr>
      <w:r>
        <w:rPr>
          <w:rFonts w:ascii="Times New Roman"/>
          <w:kern w:val="2"/>
          <w:position w:val="0"/>
        </w:rPr>
        <w:t>4.1.3.2  检查程序</w:t>
      </w:r>
    </w:p>
    <w:p>
      <w:pPr>
        <w:adjustRightInd w:val="0"/>
        <w:snapToGrid w:val="0"/>
        <w:ind w:firstLine="560"/>
        <w:rPr>
          <w:rFonts w:ascii="Times New Roman"/>
          <w:kern w:val="2"/>
          <w:position w:val="0"/>
        </w:rPr>
      </w:pPr>
      <w:r>
        <w:rPr>
          <w:rFonts w:ascii="Times New Roman"/>
          <w:kern w:val="2"/>
          <w:position w:val="0"/>
        </w:rPr>
        <w:t>工程隐蔽部位经承包方自检确认具备覆盖条件的，承包方应在共同检查前48小时书面通知监理人和发包方代表检查，通知中应载明隐蔽检查的内容、时间和地点，并应附有自检记录和必要的检查资料。</w:t>
      </w:r>
    </w:p>
    <w:p>
      <w:pPr>
        <w:adjustRightInd w:val="0"/>
        <w:snapToGrid w:val="0"/>
        <w:ind w:firstLine="560"/>
        <w:rPr>
          <w:rFonts w:ascii="Times New Roman"/>
          <w:kern w:val="2"/>
          <w:position w:val="0"/>
        </w:rPr>
      </w:pPr>
      <w:r>
        <w:rPr>
          <w:rFonts w:ascii="Times New Roman"/>
          <w:kern w:val="2"/>
          <w:position w:val="0"/>
        </w:rPr>
        <w:t>监理人应按时到场并对隐蔽工程及其施工工艺、材料和工程设备进行检查。经监理人和发包方</w:t>
      </w:r>
      <w:r>
        <w:rPr>
          <w:rFonts w:ascii="Times New Roman"/>
        </w:rPr>
        <w:t>代表</w:t>
      </w:r>
      <w:r>
        <w:rPr>
          <w:rFonts w:ascii="Times New Roman"/>
          <w:kern w:val="2"/>
          <w:position w:val="0"/>
        </w:rPr>
        <w:t>检查确认质量符合隐蔽要求，并在验收记录上签字后，承包方才能进行覆盖。经监理人检查质量不合格的，承包方应在监理人指示的时间内完成修复，并由监理人重新检查，由此增加的费用和(或)延误的工期由承包方承担。</w:t>
      </w:r>
    </w:p>
    <w:p>
      <w:pPr>
        <w:adjustRightInd w:val="0"/>
        <w:snapToGrid w:val="0"/>
        <w:ind w:firstLine="560"/>
        <w:rPr>
          <w:rFonts w:ascii="Times New Roman"/>
          <w:kern w:val="2"/>
          <w:position w:val="0"/>
        </w:rPr>
      </w:pPr>
      <w:r>
        <w:rPr>
          <w:rFonts w:ascii="Times New Roman"/>
          <w:kern w:val="2"/>
          <w:position w:val="0"/>
        </w:rPr>
        <w:t>监理人不能按时进行检查的，应在检查前24小时向承包方提交书面延期要求，但延期不能超过48小时，由此导致工期延误的，工期应予以顺延。监理人未按时进行检查，也未提出延期要求的，视为隐蔽工程检查合格承包方可自行完成覆盖工作，并作相应记录报送监理人，监理人应签字确认。监理人事后对检查记录有疑问的，可按第5.3本款第3)条〔重新检查〕的约定重新检查。</w:t>
      </w:r>
    </w:p>
    <w:p>
      <w:pPr>
        <w:adjustRightInd w:val="0"/>
        <w:snapToGrid w:val="0"/>
        <w:ind w:firstLine="560"/>
        <w:rPr>
          <w:rFonts w:ascii="Times New Roman"/>
          <w:kern w:val="2"/>
          <w:position w:val="0"/>
        </w:rPr>
      </w:pPr>
      <w:r>
        <w:rPr>
          <w:rFonts w:ascii="Times New Roman"/>
          <w:kern w:val="2"/>
          <w:position w:val="0"/>
        </w:rPr>
        <w:t>4.1.3.3  重新检查</w:t>
      </w:r>
    </w:p>
    <w:p>
      <w:pPr>
        <w:adjustRightInd w:val="0"/>
        <w:snapToGrid w:val="0"/>
        <w:ind w:firstLine="560"/>
        <w:rPr>
          <w:rFonts w:ascii="Times New Roman"/>
          <w:kern w:val="2"/>
          <w:position w:val="0"/>
        </w:rPr>
      </w:pPr>
      <w:r>
        <w:rPr>
          <w:rFonts w:ascii="Times New Roman"/>
          <w:kern w:val="2"/>
          <w:position w:val="0"/>
        </w:rPr>
        <w:t>承包方覆盖工程隐蔽部位后，发包方或监理人对质量有疑问的，可要求承包方对已覆盖的部位进行钻孔探测或揭开重新检查，承包方应遵照执行，并在检查后重新覆盖恢复原状。经检查证明工程质量符合合同要求的，由发包方承担由此增加的费用和（或）延误的工期，并支付承包方合理的利润；经检查证明工程质量不符合合同要求的，由此增加的费用和(或)延误的工期由承包方承担。</w:t>
      </w:r>
    </w:p>
    <w:p>
      <w:pPr>
        <w:adjustRightInd w:val="0"/>
        <w:snapToGrid w:val="0"/>
        <w:ind w:firstLine="560"/>
        <w:rPr>
          <w:rFonts w:ascii="Times New Roman"/>
          <w:kern w:val="2"/>
          <w:position w:val="0"/>
        </w:rPr>
      </w:pPr>
      <w:r>
        <w:rPr>
          <w:rFonts w:ascii="Times New Roman"/>
          <w:kern w:val="2"/>
          <w:position w:val="0"/>
        </w:rPr>
        <w:t>4.1.3.4  承包方私自覆盖</w:t>
      </w:r>
    </w:p>
    <w:p>
      <w:pPr>
        <w:adjustRightInd w:val="0"/>
        <w:snapToGrid w:val="0"/>
        <w:ind w:firstLine="560"/>
        <w:rPr>
          <w:rFonts w:ascii="Times New Roman"/>
          <w:kern w:val="2"/>
          <w:position w:val="0"/>
        </w:rPr>
      </w:pPr>
      <w:r>
        <w:rPr>
          <w:rFonts w:ascii="Times New Roman"/>
          <w:kern w:val="2"/>
          <w:position w:val="0"/>
        </w:rPr>
        <w:t>承包方未通知监理人到场检查，私自将工程隐蔽部位覆盖的，监理人有权指示承包方钻孔探测或揭开检查，无论工程隐蔽部位质量是否合格，由此增加的费用和(或)延误的工期均由承包方承担。</w:t>
      </w:r>
    </w:p>
    <w:p>
      <w:pPr>
        <w:adjustRightInd w:val="0"/>
        <w:snapToGrid w:val="0"/>
        <w:ind w:firstLine="560"/>
        <w:outlineLvl w:val="4"/>
        <w:rPr>
          <w:rFonts w:ascii="Times New Roman"/>
          <w:kern w:val="2"/>
          <w:position w:val="0"/>
        </w:rPr>
      </w:pPr>
      <w:bookmarkStart w:id="37" w:name="_Toc351203536"/>
      <w:bookmarkStart w:id="38" w:name="_Toc337558762"/>
      <w:r>
        <w:rPr>
          <w:rFonts w:ascii="Times New Roman"/>
          <w:kern w:val="2"/>
          <w:position w:val="0"/>
        </w:rPr>
        <w:t>4.1.4  不合格工程的处理</w:t>
      </w:r>
      <w:bookmarkEnd w:id="37"/>
    </w:p>
    <w:bookmarkEnd w:id="38"/>
    <w:p>
      <w:pPr>
        <w:adjustRightInd w:val="0"/>
        <w:snapToGrid w:val="0"/>
        <w:ind w:firstLine="560"/>
        <w:rPr>
          <w:rFonts w:ascii="Times New Roman"/>
          <w:kern w:val="2"/>
          <w:position w:val="0"/>
        </w:rPr>
      </w:pPr>
      <w:r>
        <w:rPr>
          <w:rFonts w:ascii="Times New Roman"/>
          <w:kern w:val="2"/>
          <w:position w:val="0"/>
        </w:rPr>
        <w:t>4.1.4.1  因承包方原因造成工程不合格的，发包方有权随时要求承包方采取补救措施，直至达到合同要求的质量标准，由此增加的费用和(或)延误的工期由承包方承担。无法补救的，按照第5.11项〔发包的人接受〕约定执行。</w:t>
      </w:r>
    </w:p>
    <w:p>
      <w:pPr>
        <w:adjustRightInd w:val="0"/>
        <w:snapToGrid w:val="0"/>
        <w:ind w:firstLine="560"/>
        <w:rPr>
          <w:rFonts w:ascii="Times New Roman"/>
          <w:kern w:val="2"/>
          <w:position w:val="0"/>
        </w:rPr>
      </w:pPr>
      <w:r>
        <w:rPr>
          <w:rFonts w:ascii="Times New Roman"/>
          <w:kern w:val="2"/>
          <w:position w:val="0"/>
        </w:rPr>
        <w:t>4.1.4.2  因发包方原因造成工程不合格的，由此增加的费用和</w:t>
      </w:r>
      <w:r>
        <w:rPr>
          <w:rFonts w:hint="eastAsia" w:ascii="Times New Roman"/>
          <w:kern w:val="2"/>
          <w:position w:val="0"/>
        </w:rPr>
        <w:t>（</w:t>
      </w:r>
      <w:r>
        <w:rPr>
          <w:rFonts w:ascii="Times New Roman"/>
          <w:kern w:val="2"/>
          <w:position w:val="0"/>
        </w:rPr>
        <w:t>或</w:t>
      </w:r>
      <w:r>
        <w:rPr>
          <w:rFonts w:hint="eastAsia" w:ascii="Times New Roman"/>
          <w:kern w:val="2"/>
          <w:position w:val="0"/>
        </w:rPr>
        <w:t>）</w:t>
      </w:r>
      <w:r>
        <w:rPr>
          <w:rFonts w:ascii="Times New Roman"/>
          <w:kern w:val="2"/>
          <w:position w:val="0"/>
        </w:rPr>
        <w:t>延误的工期由发包方承担，并支付承包方合理的利润。</w:t>
      </w:r>
    </w:p>
    <w:p>
      <w:pPr>
        <w:adjustRightInd w:val="0"/>
        <w:snapToGrid w:val="0"/>
        <w:ind w:firstLine="560"/>
        <w:outlineLvl w:val="4"/>
        <w:rPr>
          <w:rFonts w:ascii="Times New Roman"/>
          <w:kern w:val="2"/>
          <w:position w:val="0"/>
        </w:rPr>
      </w:pPr>
      <w:bookmarkStart w:id="39" w:name="_Toc351203537"/>
      <w:r>
        <w:rPr>
          <w:rFonts w:ascii="Times New Roman"/>
          <w:kern w:val="2"/>
          <w:position w:val="0"/>
        </w:rPr>
        <w:t>4.1.5  质量争议检测</w:t>
      </w:r>
      <w:bookmarkEnd w:id="39"/>
    </w:p>
    <w:p>
      <w:pPr>
        <w:adjustRightInd w:val="0"/>
        <w:snapToGrid w:val="0"/>
        <w:ind w:firstLine="560"/>
        <w:rPr>
          <w:rFonts w:ascii="Times New Roman"/>
          <w:kern w:val="2"/>
          <w:position w:val="0"/>
        </w:rPr>
      </w:pPr>
      <w:r>
        <w:rPr>
          <w:rFonts w:ascii="Times New Roman"/>
          <w:kern w:val="2"/>
          <w:position w:val="0"/>
        </w:rPr>
        <w:t>合同当事人对工程质量有争议的，由双方协商确定的工程质量检测机构鉴定，由此产生的费用及因此造成的损失，由责任方承担。</w:t>
      </w:r>
    </w:p>
    <w:p>
      <w:pPr>
        <w:adjustRightInd w:val="0"/>
        <w:snapToGrid w:val="0"/>
        <w:ind w:firstLine="560"/>
        <w:rPr>
          <w:rFonts w:ascii="Times New Roman"/>
          <w:kern w:val="2"/>
          <w:position w:val="0"/>
        </w:rPr>
      </w:pPr>
      <w:r>
        <w:rPr>
          <w:rFonts w:ascii="Times New Roman"/>
          <w:kern w:val="2"/>
          <w:position w:val="0"/>
        </w:rPr>
        <w:t>合同当事人均有责任的，由双方根据其责任分别承担。合同当事人无法达成一致的，按照第3.20.5款执行。</w:t>
      </w:r>
    </w:p>
    <w:p>
      <w:pPr>
        <w:adjustRightInd w:val="0"/>
        <w:snapToGrid w:val="0"/>
        <w:ind w:firstLine="0" w:firstLineChars="0"/>
        <w:outlineLvl w:val="3"/>
        <w:rPr>
          <w:rFonts w:ascii="Times New Roman"/>
          <w:b/>
          <w:kern w:val="2"/>
        </w:rPr>
      </w:pPr>
      <w:r>
        <w:rPr>
          <w:rFonts w:ascii="Times New Roman"/>
          <w:b/>
          <w:kern w:val="2"/>
        </w:rPr>
        <w:t>4.2  土建工程</w:t>
      </w:r>
    </w:p>
    <w:p>
      <w:pPr>
        <w:adjustRightInd w:val="0"/>
        <w:snapToGrid w:val="0"/>
        <w:ind w:firstLine="560"/>
        <w:rPr>
          <w:rFonts w:ascii="Times New Roman"/>
          <w:kern w:val="2"/>
          <w:position w:val="0"/>
        </w:rPr>
      </w:pPr>
      <w:r>
        <w:rPr>
          <w:rFonts w:ascii="Times New Roman"/>
          <w:kern w:val="2"/>
          <w:position w:val="0"/>
        </w:rPr>
        <w:t>4.2.1  承包方在工程现场必须配备相应的土建试验室和试验人员，具备土建施工中最基本的试验，如：混凝土和砂浆试块取样，砂石骨料的超逊径、含泥量试验等。</w:t>
      </w:r>
    </w:p>
    <w:p>
      <w:pPr>
        <w:adjustRightInd w:val="0"/>
        <w:snapToGrid w:val="0"/>
        <w:ind w:firstLine="560"/>
        <w:outlineLvl w:val="4"/>
        <w:rPr>
          <w:rFonts w:ascii="Times New Roman"/>
        </w:rPr>
      </w:pPr>
      <w:r>
        <w:rPr>
          <w:rFonts w:ascii="Times New Roman"/>
        </w:rPr>
        <w:t>4.2.2  质量检验及验收标准</w:t>
      </w:r>
    </w:p>
    <w:p>
      <w:pPr>
        <w:adjustRightInd w:val="0"/>
        <w:snapToGrid w:val="0"/>
        <w:ind w:firstLine="560"/>
        <w:rPr>
          <w:rFonts w:ascii="Times New Roman"/>
          <w:kern w:val="2"/>
          <w:position w:val="0"/>
        </w:rPr>
      </w:pPr>
      <w:r>
        <w:rPr>
          <w:rFonts w:ascii="Times New Roman"/>
          <w:kern w:val="2"/>
          <w:position w:val="0"/>
        </w:rPr>
        <w:t>《建筑工程施工质量验收统一标准》(GB 50300-2001)</w:t>
      </w:r>
    </w:p>
    <w:p>
      <w:pPr>
        <w:adjustRightInd w:val="0"/>
        <w:snapToGrid w:val="0"/>
        <w:ind w:firstLine="560"/>
        <w:rPr>
          <w:rFonts w:ascii="Times New Roman"/>
          <w:kern w:val="2"/>
          <w:position w:val="0"/>
        </w:rPr>
      </w:pPr>
      <w:r>
        <w:rPr>
          <w:rFonts w:ascii="Times New Roman"/>
          <w:kern w:val="2"/>
          <w:position w:val="0"/>
        </w:rPr>
        <w:t>《建筑工程施工质量评价标准》    (GB/T50375-2006)</w:t>
      </w:r>
    </w:p>
    <w:p>
      <w:pPr>
        <w:adjustRightInd w:val="0"/>
        <w:snapToGrid w:val="0"/>
        <w:ind w:firstLine="560"/>
        <w:rPr>
          <w:rFonts w:ascii="Times New Roman"/>
          <w:kern w:val="2"/>
          <w:position w:val="0"/>
        </w:rPr>
      </w:pPr>
      <w:r>
        <w:rPr>
          <w:rFonts w:ascii="Times New Roman"/>
          <w:kern w:val="2"/>
          <w:position w:val="0"/>
        </w:rPr>
        <w:t>《建筑地基基础工程施工质量验收规范》(GB 50202-2002)</w:t>
      </w:r>
    </w:p>
    <w:p>
      <w:pPr>
        <w:adjustRightInd w:val="0"/>
        <w:snapToGrid w:val="0"/>
        <w:ind w:firstLine="560"/>
        <w:rPr>
          <w:rFonts w:ascii="Times New Roman"/>
          <w:kern w:val="2"/>
          <w:position w:val="0"/>
        </w:rPr>
      </w:pPr>
      <w:r>
        <w:rPr>
          <w:rFonts w:ascii="Times New Roman"/>
          <w:kern w:val="2"/>
          <w:position w:val="0"/>
        </w:rPr>
        <w:t>《砌体工程施工质量验收规范》(GB 50203-2002)</w:t>
      </w:r>
    </w:p>
    <w:p>
      <w:pPr>
        <w:adjustRightInd w:val="0"/>
        <w:snapToGrid w:val="0"/>
        <w:ind w:firstLine="560"/>
        <w:rPr>
          <w:rFonts w:ascii="Times New Roman"/>
          <w:kern w:val="2"/>
          <w:position w:val="0"/>
        </w:rPr>
      </w:pPr>
      <w:r>
        <w:rPr>
          <w:rFonts w:ascii="Times New Roman"/>
          <w:kern w:val="2"/>
          <w:position w:val="0"/>
        </w:rPr>
        <w:t>《</w:t>
      </w:r>
      <w:r>
        <w:fldChar w:fldCharType="begin"/>
      </w:r>
      <w:r>
        <w:instrText xml:space="preserve"> HYPERLINK "http://bbs.co188.com/forum-399-1.html" \t "_blank" </w:instrText>
      </w:r>
      <w:r>
        <w:fldChar w:fldCharType="separate"/>
      </w:r>
      <w:r>
        <w:rPr>
          <w:rFonts w:ascii="Times New Roman"/>
          <w:kern w:val="2"/>
          <w:position w:val="0"/>
        </w:rPr>
        <w:t>砌体结构</w:t>
      </w:r>
      <w:r>
        <w:rPr>
          <w:rFonts w:ascii="Times New Roman"/>
          <w:kern w:val="2"/>
          <w:position w:val="0"/>
        </w:rPr>
        <w:fldChar w:fldCharType="end"/>
      </w:r>
      <w:r>
        <w:fldChar w:fldCharType="begin"/>
      </w:r>
      <w:r>
        <w:instrText xml:space="preserve"> HYPERLINK "http://www.co188.com/jh/t76304.html" \t "_blank" </w:instrText>
      </w:r>
      <w:r>
        <w:fldChar w:fldCharType="separate"/>
      </w:r>
      <w:r>
        <w:rPr>
          <w:rFonts w:ascii="Times New Roman"/>
          <w:kern w:val="2"/>
          <w:position w:val="0"/>
        </w:rPr>
        <w:t>工程</w:t>
      </w:r>
      <w:r>
        <w:rPr>
          <w:rFonts w:ascii="Times New Roman"/>
          <w:kern w:val="2"/>
          <w:position w:val="0"/>
        </w:rPr>
        <w:fldChar w:fldCharType="end"/>
      </w:r>
      <w:r>
        <w:fldChar w:fldCharType="begin"/>
      </w:r>
      <w:r>
        <w:instrText xml:space="preserve"> HYPERLINK "http://www.co188.com/jh/t87916.html" \t "_blank" </w:instrText>
      </w:r>
      <w:r>
        <w:fldChar w:fldCharType="separate"/>
      </w:r>
      <w:r>
        <w:rPr>
          <w:rFonts w:ascii="Times New Roman"/>
          <w:kern w:val="2"/>
          <w:position w:val="0"/>
        </w:rPr>
        <w:t>施工规范</w:t>
      </w:r>
      <w:r>
        <w:rPr>
          <w:rFonts w:ascii="Times New Roman"/>
          <w:kern w:val="2"/>
          <w:position w:val="0"/>
        </w:rPr>
        <w:fldChar w:fldCharType="end"/>
      </w:r>
      <w:r>
        <w:rPr>
          <w:rFonts w:ascii="Times New Roman"/>
          <w:kern w:val="2"/>
          <w:position w:val="0"/>
        </w:rPr>
        <w:t>》(GB50924-2014)</w:t>
      </w:r>
    </w:p>
    <w:p>
      <w:pPr>
        <w:adjustRightInd w:val="0"/>
        <w:snapToGrid w:val="0"/>
        <w:ind w:firstLine="560"/>
        <w:rPr>
          <w:rFonts w:ascii="Times New Roman"/>
          <w:kern w:val="2"/>
          <w:position w:val="0"/>
        </w:rPr>
      </w:pPr>
      <w:r>
        <w:rPr>
          <w:rFonts w:ascii="Times New Roman"/>
          <w:kern w:val="2"/>
          <w:position w:val="0"/>
        </w:rPr>
        <w:t>《混凝土结构工程施工质量验收规范》(GB 50204-2002)</w:t>
      </w:r>
    </w:p>
    <w:p>
      <w:pPr>
        <w:adjustRightInd w:val="0"/>
        <w:snapToGrid w:val="0"/>
        <w:ind w:firstLine="560"/>
        <w:rPr>
          <w:rFonts w:ascii="Times New Roman"/>
          <w:kern w:val="2"/>
          <w:position w:val="0"/>
        </w:rPr>
      </w:pPr>
      <w:r>
        <w:rPr>
          <w:rFonts w:ascii="Times New Roman"/>
          <w:kern w:val="2"/>
          <w:position w:val="0"/>
        </w:rPr>
        <w:t>《模板工程施工质量及验收规范》(GB 50201-2002)</w:t>
      </w:r>
    </w:p>
    <w:p>
      <w:pPr>
        <w:adjustRightInd w:val="0"/>
        <w:snapToGrid w:val="0"/>
        <w:ind w:firstLine="560"/>
        <w:rPr>
          <w:rFonts w:ascii="Times New Roman"/>
          <w:kern w:val="2"/>
          <w:position w:val="0"/>
        </w:rPr>
      </w:pPr>
      <w:r>
        <w:rPr>
          <w:rFonts w:ascii="Times New Roman"/>
          <w:kern w:val="2"/>
          <w:position w:val="0"/>
        </w:rPr>
        <w:t>《建筑装饰装修工程质量验收规范》(GB 50210-2001)</w:t>
      </w:r>
    </w:p>
    <w:p>
      <w:pPr>
        <w:adjustRightInd w:val="0"/>
        <w:snapToGrid w:val="0"/>
        <w:ind w:firstLine="560"/>
        <w:rPr>
          <w:rFonts w:ascii="Times New Roman"/>
          <w:kern w:val="2"/>
          <w:position w:val="0"/>
        </w:rPr>
      </w:pPr>
      <w:r>
        <w:rPr>
          <w:rFonts w:ascii="Times New Roman"/>
          <w:kern w:val="2"/>
          <w:position w:val="0"/>
        </w:rPr>
        <w:t>《建筑装饰装修工程施工工艺标准》</w:t>
      </w:r>
    </w:p>
    <w:p>
      <w:pPr>
        <w:adjustRightInd w:val="0"/>
        <w:snapToGrid w:val="0"/>
        <w:ind w:firstLine="560"/>
        <w:rPr>
          <w:rFonts w:ascii="Times New Roman"/>
          <w:kern w:val="2"/>
          <w:position w:val="0"/>
        </w:rPr>
      </w:pPr>
      <w:r>
        <w:rPr>
          <w:rFonts w:ascii="Times New Roman"/>
          <w:kern w:val="2"/>
          <w:position w:val="0"/>
        </w:rPr>
        <w:t>《建筑电气工程施工质量验收规范》(GB 50303-2002)</w:t>
      </w:r>
    </w:p>
    <w:p>
      <w:pPr>
        <w:adjustRightInd w:val="0"/>
        <w:snapToGrid w:val="0"/>
        <w:ind w:firstLine="560"/>
        <w:rPr>
          <w:rFonts w:ascii="Times New Roman"/>
          <w:kern w:val="2"/>
          <w:position w:val="0"/>
        </w:rPr>
      </w:pPr>
      <w:r>
        <w:rPr>
          <w:rFonts w:ascii="Times New Roman"/>
          <w:kern w:val="2"/>
          <w:position w:val="0"/>
        </w:rPr>
        <w:t>《砌体工程现场检测技术标准》(GB/T 50315-2000)</w:t>
      </w:r>
    </w:p>
    <w:p>
      <w:pPr>
        <w:adjustRightInd w:val="0"/>
        <w:snapToGrid w:val="0"/>
        <w:ind w:firstLine="560"/>
        <w:rPr>
          <w:rFonts w:ascii="Times New Roman"/>
          <w:kern w:val="2"/>
          <w:position w:val="0"/>
        </w:rPr>
      </w:pPr>
      <w:r>
        <w:rPr>
          <w:rFonts w:ascii="Times New Roman"/>
          <w:kern w:val="2"/>
          <w:position w:val="0"/>
        </w:rPr>
        <w:t>《普通混凝土拌合物性能试验方法标准》(GB/T50080-2002)</w:t>
      </w:r>
    </w:p>
    <w:p>
      <w:pPr>
        <w:adjustRightInd w:val="0"/>
        <w:snapToGrid w:val="0"/>
        <w:ind w:firstLine="560"/>
        <w:rPr>
          <w:rFonts w:ascii="Times New Roman"/>
          <w:kern w:val="2"/>
          <w:position w:val="0"/>
        </w:rPr>
      </w:pPr>
      <w:r>
        <w:rPr>
          <w:rFonts w:ascii="Times New Roman"/>
          <w:kern w:val="2"/>
          <w:position w:val="0"/>
        </w:rPr>
        <w:t>《钢筋焊接及验收规范》JGJ18-2012</w:t>
      </w:r>
    </w:p>
    <w:p>
      <w:pPr>
        <w:adjustRightInd w:val="0"/>
        <w:snapToGrid w:val="0"/>
        <w:ind w:firstLine="560"/>
        <w:rPr>
          <w:rFonts w:ascii="Times New Roman"/>
          <w:kern w:val="2"/>
          <w:position w:val="0"/>
        </w:rPr>
      </w:pPr>
      <w:r>
        <w:rPr>
          <w:rFonts w:ascii="Times New Roman"/>
          <w:kern w:val="2"/>
          <w:position w:val="0"/>
        </w:rPr>
        <w:t>《钢筋焊接接头试验方法标准》(JGJ/T 27-2001)</w:t>
      </w:r>
    </w:p>
    <w:p>
      <w:pPr>
        <w:adjustRightInd w:val="0"/>
        <w:snapToGrid w:val="0"/>
        <w:ind w:firstLine="560"/>
        <w:rPr>
          <w:rFonts w:ascii="Times New Roman"/>
          <w:kern w:val="2"/>
          <w:position w:val="0"/>
        </w:rPr>
      </w:pPr>
      <w:r>
        <w:rPr>
          <w:rFonts w:ascii="Times New Roman"/>
          <w:kern w:val="2"/>
          <w:position w:val="0"/>
        </w:rPr>
        <w:t>《混凝土强度检验评定标准》(GBJ 107-2000)</w:t>
      </w:r>
    </w:p>
    <w:p>
      <w:pPr>
        <w:adjustRightInd w:val="0"/>
        <w:snapToGrid w:val="0"/>
        <w:ind w:firstLine="560"/>
        <w:rPr>
          <w:rFonts w:ascii="Times New Roman"/>
          <w:kern w:val="2"/>
          <w:position w:val="0"/>
        </w:rPr>
      </w:pPr>
      <w:r>
        <w:rPr>
          <w:rFonts w:ascii="Times New Roman"/>
          <w:kern w:val="2"/>
          <w:position w:val="0"/>
        </w:rPr>
        <w:t>《普通混凝土用砂、石质量及检验方法标准》(JGJ52-2006)</w:t>
      </w:r>
    </w:p>
    <w:p>
      <w:pPr>
        <w:adjustRightInd w:val="0"/>
        <w:snapToGrid w:val="0"/>
        <w:ind w:firstLine="560"/>
        <w:rPr>
          <w:rFonts w:ascii="Times New Roman"/>
          <w:kern w:val="2"/>
          <w:position w:val="0"/>
        </w:rPr>
      </w:pPr>
      <w:r>
        <w:rPr>
          <w:rFonts w:ascii="Times New Roman"/>
          <w:kern w:val="2"/>
          <w:position w:val="0"/>
        </w:rPr>
        <w:t>《混凝土质量控制标准》(GB 50164-2011)</w:t>
      </w:r>
    </w:p>
    <w:p>
      <w:pPr>
        <w:adjustRightInd w:val="0"/>
        <w:snapToGrid w:val="0"/>
        <w:ind w:firstLine="560"/>
        <w:rPr>
          <w:rFonts w:ascii="Times New Roman"/>
          <w:kern w:val="2"/>
          <w:position w:val="0"/>
        </w:rPr>
      </w:pPr>
      <w:r>
        <w:rPr>
          <w:rFonts w:ascii="Times New Roman"/>
          <w:kern w:val="2"/>
          <w:position w:val="0"/>
        </w:rPr>
        <w:t>如上述规范和标准国家有最新的版本，按照最新出台的规范和标准执行。</w:t>
      </w:r>
    </w:p>
    <w:p>
      <w:pPr>
        <w:adjustRightInd w:val="0"/>
        <w:snapToGrid w:val="0"/>
        <w:ind w:firstLine="560"/>
        <w:outlineLvl w:val="4"/>
        <w:rPr>
          <w:rFonts w:ascii="Times New Roman"/>
        </w:rPr>
      </w:pPr>
      <w:r>
        <w:rPr>
          <w:rFonts w:ascii="Times New Roman"/>
        </w:rPr>
        <w:t>4.2.3  基础工程</w:t>
      </w:r>
    </w:p>
    <w:p>
      <w:pPr>
        <w:adjustRightInd w:val="0"/>
        <w:snapToGrid w:val="0"/>
        <w:ind w:firstLine="560"/>
        <w:rPr>
          <w:rFonts w:ascii="Times New Roman"/>
          <w:kern w:val="2"/>
          <w:position w:val="0"/>
        </w:rPr>
      </w:pPr>
      <w:r>
        <w:rPr>
          <w:rFonts w:ascii="Times New Roman"/>
          <w:kern w:val="2"/>
          <w:position w:val="0"/>
        </w:rPr>
        <w:t>在基础施工过程中，严格检查基础土质结构，是否符合设计勘察结果，如果出现与设计勘察不符，低于设计要求的土质时，应立即联系设计、监理人或发包方代表，进行讨论研究，采取补救措施。在基础施工过程中，严格按照设计和规范要求进行施工，如光伏组件或建筑物基础沉陷而造成损失的，承包方应负全部责任。</w:t>
      </w:r>
    </w:p>
    <w:p>
      <w:pPr>
        <w:adjustRightInd w:val="0"/>
        <w:snapToGrid w:val="0"/>
        <w:ind w:firstLine="560"/>
        <w:rPr>
          <w:rFonts w:ascii="Times New Roman"/>
          <w:kern w:val="2"/>
          <w:position w:val="0"/>
        </w:rPr>
      </w:pPr>
      <w:r>
        <w:rPr>
          <w:rFonts w:ascii="Times New Roman"/>
          <w:kern w:val="2"/>
          <w:position w:val="0"/>
        </w:rPr>
        <w:t xml:space="preserve">基础工程所有工序和工作的检查和验收，必须经过监理人和发包方、承包方共同检查、验收签字同意后方能通过， </w:t>
      </w:r>
    </w:p>
    <w:p>
      <w:pPr>
        <w:adjustRightInd w:val="0"/>
        <w:snapToGrid w:val="0"/>
        <w:ind w:firstLine="560"/>
        <w:outlineLvl w:val="4"/>
        <w:rPr>
          <w:rFonts w:ascii="Times New Roman"/>
        </w:rPr>
      </w:pPr>
      <w:r>
        <w:rPr>
          <w:rFonts w:ascii="Times New Roman"/>
        </w:rPr>
        <w:t>4.2.4  混凝土工程</w:t>
      </w:r>
    </w:p>
    <w:p>
      <w:pPr>
        <w:adjustRightInd w:val="0"/>
        <w:snapToGrid w:val="0"/>
        <w:ind w:firstLine="560"/>
        <w:rPr>
          <w:rFonts w:ascii="Times New Roman"/>
          <w:kern w:val="2"/>
          <w:position w:val="0"/>
        </w:rPr>
      </w:pPr>
      <w:r>
        <w:rPr>
          <w:rFonts w:ascii="Times New Roman"/>
          <w:kern w:val="2"/>
          <w:position w:val="0"/>
        </w:rPr>
        <w:t>4.2.4.1  原材料的使用</w:t>
      </w:r>
    </w:p>
    <w:p>
      <w:pPr>
        <w:adjustRightInd w:val="0"/>
        <w:snapToGrid w:val="0"/>
        <w:ind w:firstLine="560"/>
        <w:rPr>
          <w:rFonts w:ascii="Times New Roman"/>
          <w:kern w:val="2"/>
          <w:position w:val="0"/>
        </w:rPr>
      </w:pPr>
      <w:r>
        <w:rPr>
          <w:rFonts w:ascii="Times New Roman"/>
          <w:kern w:val="2"/>
          <w:position w:val="0"/>
        </w:rPr>
        <w:t>混凝土工程所使用的水泥、砂石骨料以及其他外加剂等所有材料，必须满足质量检验要求，水泥必须使用知名、大型水泥厂的产品，所有材料必须经过具有一级资质的第三方检测机构出具的检验合格报告，方能使用。原材料进场的每一批次必须都要进行抽样检查，满足检验合格标准后，方能进场，在原材料使用过程中，监理人和发包方有权随时进行抽查，抽查结果按合同条款中“质量保证措施”中的规定进行处理</w:t>
      </w:r>
    </w:p>
    <w:p>
      <w:pPr>
        <w:adjustRightInd w:val="0"/>
        <w:snapToGrid w:val="0"/>
        <w:ind w:firstLine="560"/>
        <w:rPr>
          <w:rFonts w:ascii="Times New Roman"/>
          <w:kern w:val="2"/>
          <w:position w:val="0"/>
        </w:rPr>
      </w:pPr>
      <w:r>
        <w:rPr>
          <w:rFonts w:ascii="Times New Roman"/>
          <w:kern w:val="2"/>
          <w:position w:val="0"/>
        </w:rPr>
        <w:t>4.2.4.2  混凝土浇筑</w:t>
      </w:r>
    </w:p>
    <w:p>
      <w:pPr>
        <w:adjustRightInd w:val="0"/>
        <w:snapToGrid w:val="0"/>
        <w:ind w:firstLine="560"/>
        <w:rPr>
          <w:rFonts w:ascii="Times New Roman"/>
          <w:kern w:val="2"/>
          <w:position w:val="0"/>
        </w:rPr>
      </w:pPr>
      <w:r>
        <w:rPr>
          <w:rFonts w:ascii="Times New Roman"/>
          <w:kern w:val="2"/>
          <w:position w:val="0"/>
        </w:rPr>
        <w:t>混凝土无论方量的多少，依据有资质的试验单位，按照设计要求出具的配合比进行拌合，必须采用机械拌合，浇筑过程中，严格控制混凝土拌合的各项指标，承包方施工技术人员、土建质检人员、安全人员必须在场，确保混凝土浇筑质量。</w:t>
      </w:r>
    </w:p>
    <w:p>
      <w:pPr>
        <w:adjustRightInd w:val="0"/>
        <w:snapToGrid w:val="0"/>
        <w:ind w:firstLine="560"/>
        <w:rPr>
          <w:rFonts w:ascii="Times New Roman"/>
          <w:kern w:val="2"/>
          <w:position w:val="0"/>
        </w:rPr>
      </w:pPr>
      <w:r>
        <w:rPr>
          <w:rFonts w:ascii="Times New Roman"/>
          <w:kern w:val="2"/>
          <w:position w:val="0"/>
        </w:rPr>
        <w:t>4.2.4.3  混凝土养护</w:t>
      </w:r>
    </w:p>
    <w:p>
      <w:pPr>
        <w:adjustRightInd w:val="0"/>
        <w:snapToGrid w:val="0"/>
        <w:ind w:firstLine="560"/>
        <w:rPr>
          <w:rFonts w:ascii="Times New Roman"/>
        </w:rPr>
      </w:pPr>
      <w:r>
        <w:rPr>
          <w:rFonts w:ascii="Times New Roman"/>
          <w:kern w:val="2"/>
          <w:position w:val="0"/>
        </w:rPr>
        <w:t>混凝土浇筑过程中，按照混凝土试验规范，按照浇筑比例，进行取样。浇筑完成后，按照《混凝土强度检验评定标准》规定的期限，对浇筑完成的混凝土进行防护和养护，养护要符合《混凝土质量控制标准》要求，同时对该批次浇筑混凝土的取样试块进行标准条件和现场分组养护，综合评定该批次混凝土的质量标准</w:t>
      </w:r>
      <w:r>
        <w:rPr>
          <w:rFonts w:ascii="Times New Roman"/>
        </w:rPr>
        <w:t>。</w:t>
      </w:r>
    </w:p>
    <w:p>
      <w:pPr>
        <w:adjustRightInd w:val="0"/>
        <w:snapToGrid w:val="0"/>
        <w:ind w:firstLine="560"/>
        <w:outlineLvl w:val="4"/>
        <w:rPr>
          <w:rFonts w:ascii="Times New Roman"/>
        </w:rPr>
      </w:pPr>
      <w:r>
        <w:rPr>
          <w:rFonts w:ascii="Times New Roman"/>
        </w:rPr>
        <w:t>4.2.5  模板工程</w:t>
      </w:r>
    </w:p>
    <w:p>
      <w:pPr>
        <w:adjustRightInd w:val="0"/>
        <w:snapToGrid w:val="0"/>
        <w:ind w:firstLine="560"/>
        <w:rPr>
          <w:rFonts w:ascii="Times New Roman"/>
          <w:kern w:val="2"/>
          <w:position w:val="0"/>
        </w:rPr>
      </w:pPr>
      <w:r>
        <w:rPr>
          <w:rFonts w:ascii="Times New Roman"/>
          <w:kern w:val="2"/>
          <w:position w:val="0"/>
        </w:rPr>
        <w:t>严格按照电力工程《模板工程施工质量及验收规范》进行施工，反复使用的模板必须采用定型模板，要确保模板的平整度和光洁度，安装模板时，要牢固稳定、横平竖直、缝隙精密，结构尺寸要符合设计要求，确保混凝土外观质量达到镜面混凝土的验收要求。</w:t>
      </w:r>
    </w:p>
    <w:p>
      <w:pPr>
        <w:adjustRightInd w:val="0"/>
        <w:snapToGrid w:val="0"/>
        <w:ind w:firstLine="560"/>
        <w:rPr>
          <w:rFonts w:ascii="Times New Roman"/>
          <w:kern w:val="2"/>
          <w:position w:val="0"/>
        </w:rPr>
      </w:pPr>
      <w:r>
        <w:rPr>
          <w:rFonts w:ascii="Times New Roman"/>
          <w:kern w:val="2"/>
          <w:position w:val="0"/>
        </w:rPr>
        <w:t>反复使用的模板不采用定型模板，监理人和发包方有权要求承包方停工，由此产生的所有损失由承包方承担。</w:t>
      </w:r>
    </w:p>
    <w:p>
      <w:pPr>
        <w:adjustRightInd w:val="0"/>
        <w:snapToGrid w:val="0"/>
        <w:ind w:firstLine="560"/>
        <w:outlineLvl w:val="4"/>
        <w:rPr>
          <w:rFonts w:ascii="Times New Roman"/>
        </w:rPr>
      </w:pPr>
      <w:r>
        <w:rPr>
          <w:rFonts w:ascii="Times New Roman"/>
        </w:rPr>
        <w:t>4.2.6  钢筋工程</w:t>
      </w:r>
    </w:p>
    <w:p>
      <w:pPr>
        <w:adjustRightInd w:val="0"/>
        <w:snapToGrid w:val="0"/>
        <w:ind w:firstLine="560"/>
        <w:rPr>
          <w:rFonts w:ascii="Times New Roman"/>
          <w:kern w:val="2"/>
          <w:position w:val="0"/>
        </w:rPr>
      </w:pPr>
      <w:r>
        <w:rPr>
          <w:rFonts w:ascii="Times New Roman"/>
          <w:kern w:val="2"/>
          <w:position w:val="0"/>
        </w:rPr>
        <w:t>承包方在采购钢筋时，必须符合设计要求，要“三证”齐全，进入现场后，在监理人和发包方的监督下，分批次进行取样，送具有一级资质的试验单位进行各项物力试验，并出具检验合格报告后，方能使用。对于检验不合格、变形严重、生锈的钢筋严禁入场。</w:t>
      </w:r>
    </w:p>
    <w:p>
      <w:pPr>
        <w:adjustRightInd w:val="0"/>
        <w:snapToGrid w:val="0"/>
        <w:ind w:firstLine="560"/>
        <w:rPr>
          <w:rFonts w:ascii="Times New Roman"/>
          <w:kern w:val="2"/>
          <w:position w:val="0"/>
        </w:rPr>
      </w:pPr>
      <w:r>
        <w:rPr>
          <w:rFonts w:ascii="Times New Roman"/>
          <w:kern w:val="2"/>
          <w:position w:val="0"/>
        </w:rPr>
        <w:t>钢筋进入施工现场后，承包方应妥善保管，如保管不善造成钢筋生锈，监理人和发包方有权要求承包方禁止使用。</w:t>
      </w:r>
    </w:p>
    <w:p>
      <w:pPr>
        <w:adjustRightInd w:val="0"/>
        <w:snapToGrid w:val="0"/>
        <w:ind w:firstLine="560"/>
        <w:rPr>
          <w:rFonts w:ascii="Times New Roman"/>
          <w:kern w:val="2"/>
          <w:position w:val="0"/>
        </w:rPr>
      </w:pPr>
      <w:r>
        <w:rPr>
          <w:rFonts w:ascii="Times New Roman"/>
          <w:kern w:val="2"/>
          <w:position w:val="0"/>
        </w:rPr>
        <w:t>钢筋在制作安装过程中，严格按照设计要求的型号和尺寸进行安装。所有焊接头必须严格按照《钢筋焊接及验收规范》进行施工，监理人和发包方可以要求承包方随机抽取已焊接好的钢筋接头，送试验单位进行抗拉试验，试验费用由承包方承担。如试验不合格，将加倍抽取试样，如还不合格，将该批次的已完工程返工处理，承包方将承担由此造成的一切损失。</w:t>
      </w:r>
    </w:p>
    <w:p>
      <w:pPr>
        <w:adjustRightInd w:val="0"/>
        <w:snapToGrid w:val="0"/>
        <w:ind w:firstLine="560"/>
        <w:outlineLvl w:val="4"/>
        <w:rPr>
          <w:rFonts w:ascii="Times New Roman"/>
        </w:rPr>
      </w:pPr>
      <w:r>
        <w:rPr>
          <w:rFonts w:ascii="Times New Roman"/>
        </w:rPr>
        <w:t>4.2.7  砌体工程</w:t>
      </w:r>
    </w:p>
    <w:p>
      <w:pPr>
        <w:adjustRightInd w:val="0"/>
        <w:snapToGrid w:val="0"/>
        <w:ind w:firstLine="560"/>
        <w:rPr>
          <w:rFonts w:ascii="Times New Roman"/>
          <w:kern w:val="2"/>
          <w:position w:val="0"/>
        </w:rPr>
      </w:pPr>
      <w:r>
        <w:rPr>
          <w:rFonts w:ascii="Times New Roman"/>
          <w:kern w:val="2"/>
          <w:position w:val="0"/>
        </w:rPr>
        <w:t>本项目承包方采购的砌体，必须经过具有一级资质的第三方检测机构出具的检验合格报告，方能使用。在砌体施工过程中，对于砌体本身和使用的砂浆或其他胶凝材料以及砌筑工序，严格按照《</w:t>
      </w:r>
      <w:r>
        <w:fldChar w:fldCharType="begin"/>
      </w:r>
      <w:r>
        <w:instrText xml:space="preserve"> HYPERLINK "http://bbs.co188.com/forum-399-1.html" \t "_blank" </w:instrText>
      </w:r>
      <w:r>
        <w:fldChar w:fldCharType="separate"/>
      </w:r>
      <w:r>
        <w:rPr>
          <w:rFonts w:ascii="Times New Roman"/>
          <w:kern w:val="2"/>
          <w:position w:val="0"/>
        </w:rPr>
        <w:t>砌体结构</w:t>
      </w:r>
      <w:r>
        <w:rPr>
          <w:rFonts w:ascii="Times New Roman"/>
          <w:kern w:val="2"/>
          <w:position w:val="0"/>
        </w:rPr>
        <w:fldChar w:fldCharType="end"/>
      </w:r>
      <w:r>
        <w:fldChar w:fldCharType="begin"/>
      </w:r>
      <w:r>
        <w:instrText xml:space="preserve"> HYPERLINK "http://www.co188.com/jh/t76304.html" \t "_blank" </w:instrText>
      </w:r>
      <w:r>
        <w:fldChar w:fldCharType="separate"/>
      </w:r>
      <w:r>
        <w:rPr>
          <w:rFonts w:ascii="Times New Roman"/>
          <w:kern w:val="2"/>
          <w:position w:val="0"/>
        </w:rPr>
        <w:t>工程</w:t>
      </w:r>
      <w:r>
        <w:rPr>
          <w:rFonts w:ascii="Times New Roman"/>
          <w:kern w:val="2"/>
          <w:position w:val="0"/>
        </w:rPr>
        <w:fldChar w:fldCharType="end"/>
      </w:r>
      <w:r>
        <w:fldChar w:fldCharType="begin"/>
      </w:r>
      <w:r>
        <w:instrText xml:space="preserve"> HYPERLINK "http://www.co188.com/jh/t87916.html" \t "_blank" </w:instrText>
      </w:r>
      <w:r>
        <w:fldChar w:fldCharType="separate"/>
      </w:r>
      <w:r>
        <w:rPr>
          <w:rFonts w:ascii="Times New Roman"/>
          <w:kern w:val="2"/>
          <w:position w:val="0"/>
        </w:rPr>
        <w:t>施工规范</w:t>
      </w:r>
      <w:r>
        <w:rPr>
          <w:rFonts w:ascii="Times New Roman"/>
          <w:kern w:val="2"/>
          <w:position w:val="0"/>
        </w:rPr>
        <w:fldChar w:fldCharType="end"/>
      </w:r>
      <w:r>
        <w:rPr>
          <w:rFonts w:ascii="Times New Roman"/>
          <w:kern w:val="2"/>
          <w:position w:val="0"/>
        </w:rPr>
        <w:t>》进行施工，整个砌体工程要横平竖直、棱角分明、错落有致、砌体灰缝砂浆应密实饱满，满足《砌体工程施工质量及验收规范》要求。</w:t>
      </w:r>
    </w:p>
    <w:p>
      <w:pPr>
        <w:adjustRightInd w:val="0"/>
        <w:snapToGrid w:val="0"/>
        <w:ind w:firstLine="560"/>
        <w:outlineLvl w:val="4"/>
        <w:rPr>
          <w:rFonts w:ascii="Times New Roman"/>
        </w:rPr>
      </w:pPr>
      <w:r>
        <w:rPr>
          <w:rFonts w:ascii="Times New Roman"/>
        </w:rPr>
        <w:t>4.2.8  装饰、装修工程</w:t>
      </w:r>
    </w:p>
    <w:p>
      <w:pPr>
        <w:adjustRightInd w:val="0"/>
        <w:snapToGrid w:val="0"/>
        <w:ind w:firstLine="560"/>
        <w:rPr>
          <w:rFonts w:ascii="Times New Roman"/>
          <w:kern w:val="2"/>
          <w:position w:val="0"/>
        </w:rPr>
      </w:pPr>
      <w:r>
        <w:rPr>
          <w:rFonts w:ascii="Times New Roman"/>
          <w:kern w:val="2"/>
          <w:position w:val="0"/>
        </w:rPr>
        <w:t>承包方在本项目拟使用的所有装饰、装修材料必须采购知名、正品材料，要“三证”齐全，并经过环保和消防验收鉴定的产品，将拟使用的材料详单报监理人和发包方审查通过后方能使用。</w:t>
      </w:r>
    </w:p>
    <w:p>
      <w:pPr>
        <w:adjustRightInd w:val="0"/>
        <w:snapToGrid w:val="0"/>
        <w:ind w:firstLine="560"/>
        <w:rPr>
          <w:rFonts w:ascii="Times New Roman"/>
          <w:kern w:val="2"/>
          <w:position w:val="0"/>
        </w:rPr>
      </w:pPr>
      <w:r>
        <w:rPr>
          <w:rFonts w:ascii="Times New Roman"/>
          <w:kern w:val="2"/>
          <w:position w:val="0"/>
        </w:rPr>
        <w:t>本项目地处要根据本项目现场实际情况进行选用，特别是长期暴露在户外的材料，如涂料和油漆等。另外还应考虑防火、防盗。</w:t>
      </w:r>
    </w:p>
    <w:p>
      <w:pPr>
        <w:adjustRightInd w:val="0"/>
        <w:snapToGrid w:val="0"/>
        <w:ind w:firstLine="560"/>
        <w:rPr>
          <w:rFonts w:ascii="Times New Roman"/>
          <w:kern w:val="2"/>
          <w:position w:val="0"/>
        </w:rPr>
      </w:pPr>
      <w:r>
        <w:rPr>
          <w:rFonts w:ascii="Times New Roman"/>
          <w:kern w:val="2"/>
          <w:position w:val="0"/>
        </w:rPr>
        <w:t>承包方在进行装饰装修工程施工时，应严格按照《建筑装饰装修工程施工工艺标准》要求进行施工：</w:t>
      </w:r>
    </w:p>
    <w:p>
      <w:pPr>
        <w:adjustRightInd w:val="0"/>
        <w:snapToGrid w:val="0"/>
        <w:ind w:firstLine="560"/>
        <w:rPr>
          <w:rFonts w:ascii="Times New Roman"/>
          <w:kern w:val="2"/>
          <w:position w:val="0"/>
        </w:rPr>
      </w:pPr>
      <w:r>
        <w:rPr>
          <w:rFonts w:ascii="Times New Roman"/>
          <w:kern w:val="2"/>
          <w:position w:val="0"/>
        </w:rPr>
        <w:t>4.2.8.1  电缆沟工程</w:t>
      </w:r>
    </w:p>
    <w:p>
      <w:pPr>
        <w:adjustRightInd w:val="0"/>
        <w:snapToGrid w:val="0"/>
        <w:ind w:firstLine="560"/>
        <w:rPr>
          <w:rFonts w:ascii="Times New Roman"/>
          <w:kern w:val="2"/>
          <w:position w:val="0"/>
        </w:rPr>
      </w:pPr>
      <w:r>
        <w:rPr>
          <w:rFonts w:ascii="Times New Roman"/>
          <w:kern w:val="2"/>
          <w:position w:val="0"/>
        </w:rPr>
        <w:t>电缆沟工程应严格按设计要求和相关施工技术要求进行施工(如建筑材料为砌体，则按《</w:t>
      </w:r>
      <w:r>
        <w:fldChar w:fldCharType="begin"/>
      </w:r>
      <w:r>
        <w:instrText xml:space="preserve"> HYPERLINK "http://bbs.co188.com/forum-399-1.html" \t "_blank" </w:instrText>
      </w:r>
      <w:r>
        <w:fldChar w:fldCharType="separate"/>
      </w:r>
      <w:r>
        <w:rPr>
          <w:rFonts w:ascii="Times New Roman"/>
          <w:kern w:val="2"/>
          <w:position w:val="0"/>
        </w:rPr>
        <w:t>砌体结构</w:t>
      </w:r>
      <w:r>
        <w:rPr>
          <w:rFonts w:ascii="Times New Roman"/>
          <w:kern w:val="2"/>
          <w:position w:val="0"/>
        </w:rPr>
        <w:fldChar w:fldCharType="end"/>
      </w:r>
      <w:r>
        <w:fldChar w:fldCharType="begin"/>
      </w:r>
      <w:r>
        <w:instrText xml:space="preserve"> HYPERLINK "http://www.co188.com/jh/t76304.html" \t "_blank" </w:instrText>
      </w:r>
      <w:r>
        <w:fldChar w:fldCharType="separate"/>
      </w:r>
      <w:r>
        <w:rPr>
          <w:rFonts w:ascii="Times New Roman"/>
          <w:kern w:val="2"/>
          <w:position w:val="0"/>
        </w:rPr>
        <w:t>工程</w:t>
      </w:r>
      <w:r>
        <w:rPr>
          <w:rFonts w:ascii="Times New Roman"/>
          <w:kern w:val="2"/>
          <w:position w:val="0"/>
        </w:rPr>
        <w:fldChar w:fldCharType="end"/>
      </w:r>
      <w:r>
        <w:fldChar w:fldCharType="begin"/>
      </w:r>
      <w:r>
        <w:instrText xml:space="preserve"> HYPERLINK "http://www.co188.com/jh/t87916.html" \t "_blank" </w:instrText>
      </w:r>
      <w:r>
        <w:fldChar w:fldCharType="separate"/>
      </w:r>
      <w:r>
        <w:rPr>
          <w:rFonts w:ascii="Times New Roman"/>
          <w:kern w:val="2"/>
          <w:position w:val="0"/>
        </w:rPr>
        <w:t>施工规范</w:t>
      </w:r>
      <w:r>
        <w:rPr>
          <w:rFonts w:ascii="Times New Roman"/>
          <w:kern w:val="2"/>
          <w:position w:val="0"/>
        </w:rPr>
        <w:fldChar w:fldCharType="end"/>
      </w:r>
      <w:r>
        <w:rPr>
          <w:rFonts w:ascii="Times New Roman"/>
          <w:kern w:val="2"/>
          <w:position w:val="0"/>
        </w:rPr>
        <w:t>》进行)。</w:t>
      </w:r>
    </w:p>
    <w:p>
      <w:pPr>
        <w:adjustRightInd w:val="0"/>
        <w:snapToGrid w:val="0"/>
        <w:ind w:firstLine="560"/>
        <w:rPr>
          <w:rFonts w:ascii="Times New Roman"/>
          <w:kern w:val="2"/>
          <w:position w:val="0"/>
        </w:rPr>
      </w:pPr>
      <w:r>
        <w:rPr>
          <w:rFonts w:ascii="Times New Roman"/>
          <w:kern w:val="2"/>
          <w:position w:val="0"/>
        </w:rPr>
        <w:t>电缆沟在施工过程中，应保持轴线垂直，电缆沟尺寸、沟道压顶截面尺寸等须符合设计要求。电缆沟沟道压顶抹灰层之间必须粘结牢固，抹灰层应无脱层、空鼓，面层应无爆灰和裂缝；压顶表面应平整、洁净、接槎平整；电缆沟底板应符合设计和地面工程质量施工要求；构件预埋根据电缆摆放形式整齐布置；</w:t>
      </w:r>
    </w:p>
    <w:p>
      <w:pPr>
        <w:adjustRightInd w:val="0"/>
        <w:snapToGrid w:val="0"/>
        <w:ind w:firstLine="560"/>
        <w:rPr>
          <w:rFonts w:ascii="Times New Roman"/>
          <w:kern w:val="2"/>
          <w:position w:val="0"/>
        </w:rPr>
      </w:pPr>
      <w:r>
        <w:rPr>
          <w:rFonts w:ascii="Times New Roman"/>
          <w:kern w:val="2"/>
          <w:position w:val="0"/>
        </w:rPr>
        <w:t>电缆沟盖板的外形不得有缺棱掉角、棱角不正、翘曲不平、飞边凸肋等质量缺陷；构件表面不得有露筋、麻面、掉皮、起砂、沾污等质量缺陷；角钢表面无毛刺、锌镏、挂锌、露铁、锌渣锌灰等附着现象。盖板安装时应平稳、顺直、无响声，表面平整度≤3mm，拼缝间隙≤3mm，室内盖板支口间隙≤1mm。</w:t>
      </w:r>
    </w:p>
    <w:p>
      <w:pPr>
        <w:adjustRightInd w:val="0"/>
        <w:snapToGrid w:val="0"/>
        <w:ind w:firstLine="560"/>
        <w:rPr>
          <w:rFonts w:ascii="Times New Roman"/>
          <w:kern w:val="2"/>
          <w:position w:val="0"/>
        </w:rPr>
      </w:pPr>
      <w:r>
        <w:rPr>
          <w:rFonts w:ascii="Times New Roman"/>
          <w:kern w:val="2"/>
          <w:position w:val="0"/>
        </w:rPr>
        <w:t>4.2.8.2  电缆直埋工程</w:t>
      </w:r>
    </w:p>
    <w:p>
      <w:pPr>
        <w:adjustRightInd w:val="0"/>
        <w:snapToGrid w:val="0"/>
        <w:ind w:firstLine="560"/>
        <w:rPr>
          <w:rFonts w:ascii="Times New Roman"/>
          <w:kern w:val="2"/>
          <w:position w:val="0"/>
        </w:rPr>
      </w:pPr>
      <w:r>
        <w:rPr>
          <w:rFonts w:ascii="Times New Roman"/>
          <w:kern w:val="2"/>
          <w:position w:val="0"/>
        </w:rPr>
        <w:t>本项目电缆直埋工程严格按照设计和规范要求，进行施工，直埋电缆施工过程中，按照要求将走向桩一同埋设完成。</w:t>
      </w:r>
    </w:p>
    <w:p>
      <w:pPr>
        <w:adjustRightInd w:val="0"/>
        <w:snapToGrid w:val="0"/>
        <w:ind w:firstLine="0" w:firstLineChars="0"/>
        <w:outlineLvl w:val="3"/>
        <w:rPr>
          <w:rFonts w:ascii="Times New Roman"/>
          <w:b/>
          <w:kern w:val="2"/>
        </w:rPr>
      </w:pPr>
      <w:r>
        <w:rPr>
          <w:rFonts w:ascii="Times New Roman"/>
          <w:b/>
          <w:kern w:val="2"/>
        </w:rPr>
        <w:t>4.3  机电工程</w:t>
      </w:r>
    </w:p>
    <w:p>
      <w:pPr>
        <w:adjustRightInd w:val="0"/>
        <w:snapToGrid w:val="0"/>
        <w:ind w:firstLine="560"/>
        <w:rPr>
          <w:rFonts w:ascii="Times New Roman"/>
          <w:kern w:val="2"/>
          <w:position w:val="0"/>
        </w:rPr>
      </w:pPr>
      <w:r>
        <w:rPr>
          <w:rFonts w:ascii="Times New Roman"/>
          <w:kern w:val="2"/>
          <w:position w:val="0"/>
        </w:rPr>
        <w:t>设备、电缆招标及工程辅助材料采购方面(不限于以下内容)</w:t>
      </w:r>
    </w:p>
    <w:p>
      <w:pPr>
        <w:adjustRightInd w:val="0"/>
        <w:snapToGrid w:val="0"/>
        <w:ind w:firstLine="560"/>
        <w:rPr>
          <w:rFonts w:ascii="Times New Roman"/>
          <w:kern w:val="2"/>
          <w:position w:val="0"/>
        </w:rPr>
      </w:pPr>
      <w:r>
        <w:rPr>
          <w:rFonts w:ascii="Times New Roman"/>
          <w:kern w:val="2"/>
          <w:position w:val="0"/>
        </w:rPr>
        <w:t>包括光伏电站所有设备、直流电缆、动力电缆、通讯电缆、光缆采购及工程辅助材料，包含各逆变器、组件方阵需要的通信电缆和光缆采购及各种施工过程中需要的金具、配件、各类器件辅材等均由承包方负责提供，发包方不提供任何设备及工程任何辅材</w:t>
      </w:r>
      <w:r>
        <w:rPr>
          <w:rFonts w:hint="eastAsia" w:ascii="Times New Roman"/>
          <w:kern w:val="2"/>
          <w:position w:val="0"/>
        </w:rPr>
        <w:t>。</w:t>
      </w:r>
    </w:p>
    <w:p>
      <w:pPr>
        <w:adjustRightInd w:val="0"/>
        <w:snapToGrid w:val="0"/>
        <w:ind w:firstLine="560"/>
        <w:rPr>
          <w:rFonts w:ascii="Times New Roman"/>
          <w:kern w:val="2"/>
          <w:position w:val="0"/>
        </w:rPr>
      </w:pPr>
      <w:r>
        <w:rPr>
          <w:rFonts w:ascii="Times New Roman"/>
          <w:kern w:val="2"/>
          <w:position w:val="0"/>
        </w:rPr>
        <w:t>全防雷和接地系统的安装施工、验收试验等，所有材料由承包方负责提供。</w:t>
      </w:r>
    </w:p>
    <w:p>
      <w:pPr>
        <w:adjustRightInd w:val="0"/>
        <w:snapToGrid w:val="0"/>
        <w:ind w:firstLine="560"/>
        <w:rPr>
          <w:rFonts w:ascii="Times New Roman"/>
          <w:kern w:val="2"/>
          <w:position w:val="0"/>
        </w:rPr>
      </w:pPr>
      <w:r>
        <w:rPr>
          <w:rFonts w:ascii="Times New Roman"/>
          <w:kern w:val="2"/>
          <w:position w:val="0"/>
        </w:rPr>
        <w:t>对设计漏项和施工漏项部分发包方有权要求增补，承包方无条件执行；设计不合理、不符合当地实际条件及不满足当地供电部分和其他部门要求的承包方无条件进行修改和完善；</w:t>
      </w:r>
    </w:p>
    <w:p>
      <w:pPr>
        <w:adjustRightInd w:val="0"/>
        <w:snapToGrid w:val="0"/>
        <w:ind w:firstLine="560"/>
        <w:rPr>
          <w:rFonts w:ascii="Times New Roman"/>
          <w:kern w:val="2"/>
          <w:position w:val="0"/>
        </w:rPr>
      </w:pPr>
      <w:r>
        <w:rPr>
          <w:rFonts w:ascii="Times New Roman"/>
          <w:kern w:val="2"/>
          <w:position w:val="0"/>
        </w:rPr>
        <w:t>安装施工过程中需要的金具、配件、各类器件辅材等均由承包方负责提供。</w:t>
      </w:r>
    </w:p>
    <w:p>
      <w:pPr>
        <w:adjustRightInd w:val="0"/>
        <w:snapToGrid w:val="0"/>
        <w:ind w:firstLine="560"/>
        <w:rPr>
          <w:rFonts w:ascii="Times New Roman"/>
          <w:kern w:val="2"/>
          <w:position w:val="0"/>
        </w:rPr>
      </w:pPr>
      <w:r>
        <w:rPr>
          <w:rFonts w:ascii="Times New Roman"/>
          <w:kern w:val="2"/>
          <w:position w:val="0"/>
        </w:rPr>
        <w:t>光伏电站变电部分光伏部分及其它所有附属设备的安装、调试及验收试验。（注：本条解释权归发包方所有）</w:t>
      </w:r>
    </w:p>
    <w:p>
      <w:pPr>
        <w:adjustRightInd w:val="0"/>
        <w:snapToGrid w:val="0"/>
        <w:ind w:firstLine="560"/>
        <w:rPr>
          <w:rFonts w:ascii="Times New Roman"/>
          <w:kern w:val="2"/>
          <w:position w:val="0"/>
        </w:rPr>
      </w:pPr>
      <w:r>
        <w:rPr>
          <w:rFonts w:ascii="Times New Roman"/>
          <w:kern w:val="2"/>
          <w:position w:val="0"/>
        </w:rPr>
        <w:t>光伏电站并网检测，通讯系统接入等；</w:t>
      </w:r>
    </w:p>
    <w:p>
      <w:pPr>
        <w:adjustRightInd w:val="0"/>
        <w:snapToGrid w:val="0"/>
        <w:ind w:firstLine="560"/>
        <w:rPr>
          <w:rFonts w:ascii="Times New Roman"/>
          <w:kern w:val="2"/>
          <w:position w:val="0"/>
        </w:rPr>
      </w:pPr>
      <w:r>
        <w:rPr>
          <w:rFonts w:ascii="Times New Roman"/>
          <w:kern w:val="2"/>
          <w:position w:val="0"/>
        </w:rPr>
        <w:t>变电部分所有设备必须符合国家和行业以及地方电力公司规定的相关交接验收试验，以及发包方认为有必要做的试验；</w:t>
      </w:r>
    </w:p>
    <w:p>
      <w:pPr>
        <w:adjustRightInd w:val="0"/>
        <w:snapToGrid w:val="0"/>
        <w:ind w:firstLine="560"/>
        <w:rPr>
          <w:rFonts w:ascii="Times New Roman"/>
          <w:kern w:val="2"/>
          <w:position w:val="0"/>
        </w:rPr>
      </w:pPr>
      <w:r>
        <w:rPr>
          <w:rFonts w:ascii="Times New Roman"/>
          <w:kern w:val="2"/>
          <w:position w:val="0"/>
        </w:rPr>
        <w:t>变电部分所有设备必须符合国家和行业以及地方电力公司规定的相关交接验收试验，以及发包方认为有必要做的试验；</w:t>
      </w:r>
    </w:p>
    <w:p>
      <w:pPr>
        <w:adjustRightInd w:val="0"/>
        <w:snapToGrid w:val="0"/>
        <w:ind w:firstLine="560"/>
        <w:rPr>
          <w:rFonts w:ascii="Times New Roman"/>
          <w:kern w:val="2"/>
          <w:position w:val="0"/>
        </w:rPr>
      </w:pPr>
      <w:r>
        <w:rPr>
          <w:rFonts w:ascii="Times New Roman"/>
          <w:kern w:val="2"/>
          <w:position w:val="0"/>
        </w:rPr>
        <w:t>负责协调解决向当地电力部提供资料及办理光伏电站并网手续事宜；同时要满足美观性、高效性、安全性等电力系统要求</w:t>
      </w:r>
    </w:p>
    <w:p>
      <w:pPr>
        <w:pStyle w:val="4"/>
        <w:adjustRightInd w:val="0"/>
        <w:snapToGrid w:val="0"/>
        <w:spacing w:before="156" w:beforeLines="50" w:after="156" w:afterLines="50"/>
        <w:rPr>
          <w:rFonts w:ascii="Times New Roman" w:hAnsi="Times New Roman" w:eastAsia="宋体"/>
          <w:b/>
        </w:rPr>
      </w:pPr>
      <w:bookmarkStart w:id="40" w:name="_Toc419980646"/>
      <w:bookmarkStart w:id="41" w:name="_Toc330899444"/>
      <w:bookmarkStart w:id="42" w:name="_Toc503449928"/>
      <w:bookmarkStart w:id="43" w:name="_Toc297649172"/>
      <w:bookmarkStart w:id="44" w:name="_Toc297829607"/>
      <w:bookmarkStart w:id="45" w:name="_Toc359425888"/>
      <w:bookmarkStart w:id="46" w:name="_Toc449276716"/>
      <w:r>
        <w:rPr>
          <w:rFonts w:ascii="Times New Roman" w:hAnsi="Times New Roman" w:eastAsia="宋体"/>
          <w:b/>
        </w:rPr>
        <w:t>第五条  设备选型</w:t>
      </w:r>
      <w:bookmarkEnd w:id="40"/>
      <w:bookmarkEnd w:id="41"/>
      <w:bookmarkEnd w:id="42"/>
      <w:bookmarkEnd w:id="43"/>
      <w:bookmarkEnd w:id="44"/>
      <w:bookmarkEnd w:id="45"/>
      <w:bookmarkEnd w:id="46"/>
    </w:p>
    <w:p>
      <w:pPr>
        <w:adjustRightInd w:val="0"/>
        <w:snapToGrid w:val="0"/>
        <w:ind w:firstLine="560"/>
        <w:rPr>
          <w:rFonts w:ascii="Times New Roman"/>
          <w:kern w:val="2"/>
          <w:position w:val="0"/>
        </w:rPr>
      </w:pPr>
      <w:r>
        <w:rPr>
          <w:rFonts w:ascii="Times New Roman"/>
          <w:kern w:val="2"/>
          <w:position w:val="0"/>
        </w:rPr>
        <w:t>在光伏电站的设备选型方面，首先需要满足发包人提供的设计文件要求，且要遵循如下原则：</w:t>
      </w:r>
    </w:p>
    <w:p>
      <w:pPr>
        <w:adjustRightInd w:val="0"/>
        <w:snapToGrid w:val="0"/>
        <w:ind w:firstLine="560"/>
        <w:rPr>
          <w:rFonts w:ascii="Times New Roman"/>
          <w:kern w:val="2"/>
          <w:position w:val="0"/>
        </w:rPr>
      </w:pPr>
      <w:r>
        <w:rPr>
          <w:rFonts w:ascii="Times New Roman"/>
          <w:kern w:val="2"/>
          <w:position w:val="0"/>
        </w:rPr>
        <w:t>可靠性高：设备余量充分，系统配置先进、合理，设备、部件质量可靠；</w:t>
      </w:r>
    </w:p>
    <w:p>
      <w:pPr>
        <w:adjustRightInd w:val="0"/>
        <w:snapToGrid w:val="0"/>
        <w:ind w:firstLine="560"/>
        <w:rPr>
          <w:rFonts w:ascii="Times New Roman"/>
          <w:kern w:val="2"/>
          <w:position w:val="0"/>
        </w:rPr>
      </w:pPr>
      <w:r>
        <w:rPr>
          <w:rFonts w:ascii="Times New Roman"/>
          <w:kern w:val="2"/>
          <w:position w:val="0"/>
        </w:rPr>
        <w:t>通用性强：设备选型尽可能一致，互换性好，维修方便。通信接口、监控软件、充电接口配置一致，兼容性好,便于管理；</w:t>
      </w:r>
    </w:p>
    <w:p>
      <w:pPr>
        <w:adjustRightInd w:val="0"/>
        <w:snapToGrid w:val="0"/>
        <w:ind w:firstLine="560"/>
        <w:rPr>
          <w:rFonts w:ascii="Times New Roman"/>
          <w:kern w:val="2"/>
          <w:position w:val="0"/>
        </w:rPr>
      </w:pPr>
      <w:r>
        <w:rPr>
          <w:rFonts w:ascii="Times New Roman"/>
          <w:kern w:val="2"/>
          <w:position w:val="0"/>
        </w:rPr>
        <w:t>安全性好：着重解决防雷击、抗大风、防火、防爆、防触电和关键设备的防寒、防人为破坏等安全问题；</w:t>
      </w:r>
    </w:p>
    <w:p>
      <w:pPr>
        <w:adjustRightInd w:val="0"/>
        <w:snapToGrid w:val="0"/>
        <w:ind w:firstLine="560"/>
        <w:rPr>
          <w:rFonts w:ascii="Times New Roman"/>
          <w:kern w:val="2"/>
          <w:position w:val="0"/>
        </w:rPr>
      </w:pPr>
      <w:r>
        <w:rPr>
          <w:rFonts w:ascii="Times New Roman"/>
          <w:kern w:val="2"/>
          <w:position w:val="0"/>
        </w:rPr>
        <w:t>操作性好：自动化程度高，监控界面好，平时能做到无人值守，设备做到免维护或少维护；</w:t>
      </w:r>
    </w:p>
    <w:p>
      <w:pPr>
        <w:adjustRightInd w:val="0"/>
        <w:snapToGrid w:val="0"/>
        <w:ind w:firstLine="560"/>
        <w:rPr>
          <w:rFonts w:ascii="Times New Roman"/>
          <w:kern w:val="2"/>
          <w:position w:val="0"/>
        </w:rPr>
      </w:pPr>
      <w:r>
        <w:rPr>
          <w:rFonts w:ascii="Times New Roman"/>
          <w:kern w:val="2"/>
          <w:position w:val="0"/>
        </w:rPr>
        <w:t>直观可视性好：现场安装有显示屏，可实时显示电站的发电量、太阳辐射、温度、瞬时功率以及二氧化碳减排量。</w:t>
      </w:r>
    </w:p>
    <w:p>
      <w:pPr>
        <w:adjustRightInd w:val="0"/>
        <w:snapToGrid w:val="0"/>
        <w:ind w:firstLine="560"/>
        <w:rPr>
          <w:rFonts w:ascii="Times New Roman"/>
          <w:kern w:val="2"/>
          <w:position w:val="0"/>
        </w:rPr>
      </w:pPr>
      <w:r>
        <w:rPr>
          <w:rFonts w:ascii="Times New Roman"/>
          <w:kern w:val="2"/>
          <w:position w:val="0"/>
        </w:rPr>
        <w:t>性能价格比高：在设备选型和土建工程设计中，在保证系统质量、性能的前提下，尽量采用性价比最优的设备，注重经济性和实用性，以节省项目费用，减少投资。</w:t>
      </w:r>
    </w:p>
    <w:p>
      <w:pPr>
        <w:adjustRightInd w:val="0"/>
        <w:snapToGrid w:val="0"/>
        <w:ind w:firstLine="560"/>
        <w:rPr>
          <w:rFonts w:ascii="Times New Roman"/>
          <w:kern w:val="2"/>
          <w:position w:val="0"/>
        </w:rPr>
      </w:pPr>
      <w:r>
        <w:rPr>
          <w:rFonts w:hint="eastAsia" w:ascii="Times New Roman"/>
          <w:kern w:val="2"/>
          <w:position w:val="0"/>
        </w:rPr>
        <w:t>5.</w:t>
      </w:r>
      <w:r>
        <w:rPr>
          <w:rFonts w:ascii="Times New Roman"/>
          <w:kern w:val="2"/>
          <w:position w:val="0"/>
        </w:rPr>
        <w:t>1 本项目电池组件性能指标要求</w:t>
      </w:r>
      <w:r>
        <w:rPr>
          <w:rFonts w:hint="eastAsia" w:ascii="Times New Roman"/>
          <w:kern w:val="2"/>
          <w:position w:val="0"/>
        </w:rPr>
        <w:t>（不限于以下内容）</w:t>
      </w:r>
    </w:p>
    <w:p>
      <w:pPr>
        <w:adjustRightInd w:val="0"/>
        <w:snapToGrid w:val="0"/>
        <w:ind w:firstLine="560"/>
        <w:rPr>
          <w:rFonts w:ascii="Times New Roman"/>
          <w:kern w:val="2"/>
          <w:position w:val="0"/>
        </w:rPr>
      </w:pPr>
      <w:r>
        <w:rPr>
          <w:rFonts w:ascii="Times New Roman"/>
          <w:kern w:val="2"/>
          <w:position w:val="0"/>
        </w:rPr>
        <w:t>本项目采用</w:t>
      </w:r>
      <w:r>
        <w:rPr>
          <w:rFonts w:hint="eastAsia" w:ascii="Times New Roman"/>
          <w:kern w:val="2"/>
          <w:position w:val="0"/>
        </w:rPr>
        <w:t>单晶硅太阳能组件，规格为单面540Wp，详细性能指标要求参考如下表5.</w:t>
      </w:r>
      <w:r>
        <w:rPr>
          <w:rFonts w:ascii="Times New Roman"/>
          <w:kern w:val="2"/>
          <w:position w:val="0"/>
        </w:rPr>
        <w:t>1-1所示</w:t>
      </w:r>
      <w:r>
        <w:rPr>
          <w:rFonts w:hint="eastAsia" w:ascii="Times New Roman"/>
          <w:kern w:val="2"/>
          <w:position w:val="0"/>
        </w:rPr>
        <w:t>（最终数据以审定版施工图为准）</w:t>
      </w:r>
      <w:r>
        <w:rPr>
          <w:rFonts w:ascii="Times New Roman"/>
          <w:kern w:val="2"/>
          <w:position w:val="0"/>
        </w:rPr>
        <w:t>：</w:t>
      </w:r>
    </w:p>
    <w:p>
      <w:pPr>
        <w:adjustRightInd w:val="0"/>
        <w:snapToGrid w:val="0"/>
        <w:ind w:firstLine="422"/>
        <w:jc w:val="center"/>
        <w:outlineLvl w:val="7"/>
        <w:rPr>
          <w:rFonts w:ascii="Times New Roman"/>
          <w:b/>
          <w:sz w:val="21"/>
          <w:szCs w:val="21"/>
        </w:rPr>
      </w:pPr>
      <w:r>
        <w:rPr>
          <w:rFonts w:ascii="Times New Roman"/>
          <w:b/>
          <w:sz w:val="21"/>
          <w:szCs w:val="21"/>
        </w:rPr>
        <w:t>表5.1-1  单面单晶硅电池组件性能指标表</w:t>
      </w:r>
    </w:p>
    <w:tbl>
      <w:tblPr>
        <w:tblStyle w:val="58"/>
        <w:tblW w:w="5000" w:type="pct"/>
        <w:jc w:val="center"/>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Layout w:type="autofit"/>
        <w:tblCellMar>
          <w:top w:w="0" w:type="dxa"/>
          <w:left w:w="0" w:type="dxa"/>
          <w:bottom w:w="0" w:type="dxa"/>
          <w:right w:w="0" w:type="dxa"/>
        </w:tblCellMar>
      </w:tblPr>
      <w:tblGrid>
        <w:gridCol w:w="1026"/>
        <w:gridCol w:w="2410"/>
        <w:gridCol w:w="1129"/>
        <w:gridCol w:w="1876"/>
        <w:gridCol w:w="1875"/>
      </w:tblGrid>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617" w:type="pct"/>
            <w:shd w:val="clear" w:color="auto" w:fill="auto"/>
            <w:vAlign w:val="center"/>
          </w:tcPr>
          <w:p>
            <w:pPr>
              <w:autoSpaceDE w:val="0"/>
              <w:autoSpaceDN w:val="0"/>
              <w:adjustRightInd w:val="0"/>
              <w:snapToGrid w:val="0"/>
              <w:spacing w:line="240" w:lineRule="auto"/>
              <w:ind w:firstLine="340" w:firstLineChars="0"/>
              <w:jc w:val="center"/>
              <w:rPr>
                <w:rFonts w:ascii="Times New Roman"/>
                <w:bCs/>
                <w:spacing w:val="-4"/>
                <w:sz w:val="18"/>
                <w:szCs w:val="21"/>
              </w:rPr>
            </w:pPr>
            <w:r>
              <w:rPr>
                <w:rFonts w:ascii="Times New Roman"/>
                <w:bCs/>
                <w:spacing w:val="-5"/>
                <w:sz w:val="18"/>
                <w:szCs w:val="21"/>
              </w:rPr>
              <w:t>序号</w:t>
            </w:r>
          </w:p>
        </w:tc>
        <w:tc>
          <w:tcPr>
            <w:tcW w:w="1449" w:type="pct"/>
            <w:shd w:val="clear" w:color="auto" w:fill="auto"/>
            <w:vAlign w:val="center"/>
          </w:tcPr>
          <w:p>
            <w:pPr>
              <w:autoSpaceDE w:val="0"/>
              <w:autoSpaceDN w:val="0"/>
              <w:adjustRightInd w:val="0"/>
              <w:snapToGrid w:val="0"/>
              <w:spacing w:line="240" w:lineRule="auto"/>
              <w:ind w:firstLine="340" w:firstLineChars="0"/>
              <w:jc w:val="center"/>
              <w:rPr>
                <w:rFonts w:ascii="Times New Roman"/>
                <w:bCs/>
                <w:spacing w:val="-4"/>
                <w:sz w:val="18"/>
                <w:szCs w:val="21"/>
              </w:rPr>
            </w:pPr>
            <w:r>
              <w:rPr>
                <w:rFonts w:ascii="Times New Roman"/>
                <w:bCs/>
                <w:spacing w:val="-5"/>
                <w:sz w:val="18"/>
                <w:szCs w:val="21"/>
              </w:rPr>
              <w:t>部件</w:t>
            </w:r>
          </w:p>
        </w:tc>
        <w:tc>
          <w:tcPr>
            <w:tcW w:w="679" w:type="pct"/>
            <w:shd w:val="clear" w:color="auto" w:fill="auto"/>
            <w:vAlign w:val="center"/>
          </w:tcPr>
          <w:p>
            <w:pPr>
              <w:autoSpaceDE w:val="0"/>
              <w:autoSpaceDN w:val="0"/>
              <w:adjustRightInd w:val="0"/>
              <w:snapToGrid w:val="0"/>
              <w:spacing w:line="240" w:lineRule="auto"/>
              <w:ind w:firstLine="340" w:firstLineChars="0"/>
              <w:jc w:val="center"/>
              <w:rPr>
                <w:rFonts w:ascii="Times New Roman"/>
                <w:bCs/>
                <w:spacing w:val="-4"/>
                <w:sz w:val="18"/>
                <w:szCs w:val="21"/>
              </w:rPr>
            </w:pPr>
            <w:r>
              <w:rPr>
                <w:rFonts w:ascii="Times New Roman"/>
                <w:bCs/>
                <w:spacing w:val="-5"/>
                <w:sz w:val="18"/>
                <w:szCs w:val="21"/>
              </w:rPr>
              <w:t>单位</w:t>
            </w:r>
          </w:p>
        </w:tc>
        <w:tc>
          <w:tcPr>
            <w:tcW w:w="1128" w:type="pct"/>
            <w:shd w:val="clear" w:color="auto" w:fill="auto"/>
            <w:vAlign w:val="center"/>
          </w:tcPr>
          <w:p>
            <w:pPr>
              <w:autoSpaceDE w:val="0"/>
              <w:autoSpaceDN w:val="0"/>
              <w:adjustRightInd w:val="0"/>
              <w:snapToGrid w:val="0"/>
              <w:spacing w:line="240" w:lineRule="auto"/>
              <w:ind w:firstLine="340" w:firstLineChars="0"/>
              <w:jc w:val="center"/>
              <w:rPr>
                <w:rFonts w:ascii="Times New Roman"/>
                <w:bCs/>
                <w:spacing w:val="-4"/>
                <w:sz w:val="18"/>
                <w:szCs w:val="21"/>
              </w:rPr>
            </w:pPr>
            <w:r>
              <w:rPr>
                <w:rFonts w:ascii="Times New Roman"/>
                <w:bCs/>
                <w:spacing w:val="-5"/>
                <w:sz w:val="18"/>
                <w:szCs w:val="21"/>
              </w:rPr>
              <w:t>发包人要求</w:t>
            </w:r>
          </w:p>
        </w:tc>
        <w:tc>
          <w:tcPr>
            <w:tcW w:w="1127" w:type="pct"/>
          </w:tcPr>
          <w:p>
            <w:pPr>
              <w:autoSpaceDE w:val="0"/>
              <w:autoSpaceDN w:val="0"/>
              <w:adjustRightInd w:val="0"/>
              <w:snapToGrid w:val="0"/>
              <w:spacing w:line="240" w:lineRule="auto"/>
              <w:ind w:firstLine="340" w:firstLineChars="0"/>
              <w:jc w:val="center"/>
              <w:rPr>
                <w:rFonts w:ascii="Times New Roman"/>
                <w:bCs/>
                <w:spacing w:val="-5"/>
                <w:sz w:val="18"/>
                <w:szCs w:val="21"/>
              </w:rPr>
            </w:pPr>
            <w:r>
              <w:rPr>
                <w:rFonts w:ascii="Times New Roman"/>
                <w:bCs/>
                <w:spacing w:val="-5"/>
                <w:sz w:val="18"/>
                <w:szCs w:val="21"/>
              </w:rPr>
              <w:t>承包人数据</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617" w:type="pct"/>
            <w:shd w:val="clear" w:color="auto" w:fill="auto"/>
            <w:vAlign w:val="center"/>
          </w:tcPr>
          <w:p>
            <w:pPr>
              <w:autoSpaceDE w:val="0"/>
              <w:autoSpaceDN w:val="0"/>
              <w:adjustRightInd w:val="0"/>
              <w:snapToGrid w:val="0"/>
              <w:spacing w:line="240" w:lineRule="auto"/>
              <w:ind w:firstLine="344" w:firstLineChars="0"/>
              <w:jc w:val="center"/>
              <w:rPr>
                <w:rFonts w:ascii="Times New Roman"/>
                <w:spacing w:val="-4"/>
                <w:sz w:val="18"/>
                <w:szCs w:val="21"/>
              </w:rPr>
            </w:pPr>
            <w:r>
              <w:rPr>
                <w:rFonts w:ascii="Times New Roman"/>
                <w:spacing w:val="-4"/>
                <w:sz w:val="18"/>
                <w:szCs w:val="21"/>
              </w:rPr>
              <w:t>1</w:t>
            </w:r>
          </w:p>
        </w:tc>
        <w:tc>
          <w:tcPr>
            <w:tcW w:w="1449"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4"/>
                <w:sz w:val="18"/>
                <w:szCs w:val="21"/>
              </w:rPr>
            </w:pPr>
            <w:r>
              <w:rPr>
                <w:rFonts w:ascii="Times New Roman"/>
                <w:spacing w:val="-5"/>
                <w:sz w:val="18"/>
                <w:szCs w:val="21"/>
              </w:rPr>
              <w:t>最大功率</w:t>
            </w:r>
            <w:r>
              <w:rPr>
                <w:rFonts w:ascii="Times New Roman"/>
                <w:sz w:val="18"/>
                <w:szCs w:val="21"/>
              </w:rPr>
              <w:t>（Pmax）</w:t>
            </w:r>
          </w:p>
        </w:tc>
        <w:tc>
          <w:tcPr>
            <w:tcW w:w="679"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4"/>
                <w:sz w:val="18"/>
                <w:szCs w:val="21"/>
              </w:rPr>
            </w:pPr>
            <w:r>
              <w:rPr>
                <w:rFonts w:ascii="Times New Roman"/>
                <w:spacing w:val="-5"/>
                <w:sz w:val="18"/>
                <w:szCs w:val="21"/>
              </w:rPr>
              <w:t>Wp</w:t>
            </w:r>
          </w:p>
        </w:tc>
        <w:tc>
          <w:tcPr>
            <w:tcW w:w="1128"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4"/>
                <w:sz w:val="18"/>
                <w:szCs w:val="21"/>
              </w:rPr>
            </w:pPr>
            <w:r>
              <w:rPr>
                <w:rFonts w:ascii="Times New Roman"/>
                <w:spacing w:val="-5"/>
                <w:sz w:val="18"/>
                <w:szCs w:val="21"/>
              </w:rPr>
              <w:t>540</w:t>
            </w:r>
          </w:p>
        </w:tc>
        <w:tc>
          <w:tcPr>
            <w:tcW w:w="1127" w:type="pct"/>
          </w:tcPr>
          <w:p>
            <w:pPr>
              <w:autoSpaceDE w:val="0"/>
              <w:autoSpaceDN w:val="0"/>
              <w:adjustRightInd w:val="0"/>
              <w:snapToGrid w:val="0"/>
              <w:spacing w:line="240" w:lineRule="auto"/>
              <w:ind w:firstLine="340" w:firstLineChars="0"/>
              <w:jc w:val="center"/>
              <w:rPr>
                <w:rFonts w:ascii="Times New Roman"/>
                <w:spacing w:val="-5"/>
                <w:sz w:val="18"/>
                <w:szCs w:val="21"/>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617" w:type="pct"/>
            <w:shd w:val="clear" w:color="auto" w:fill="auto"/>
            <w:vAlign w:val="center"/>
          </w:tcPr>
          <w:p>
            <w:pPr>
              <w:autoSpaceDE w:val="0"/>
              <w:autoSpaceDN w:val="0"/>
              <w:adjustRightInd w:val="0"/>
              <w:snapToGrid w:val="0"/>
              <w:spacing w:line="240" w:lineRule="auto"/>
              <w:ind w:firstLine="344" w:firstLineChars="0"/>
              <w:jc w:val="center"/>
              <w:rPr>
                <w:rFonts w:ascii="Times New Roman"/>
                <w:spacing w:val="-4"/>
                <w:sz w:val="18"/>
                <w:szCs w:val="21"/>
              </w:rPr>
            </w:pPr>
            <w:r>
              <w:rPr>
                <w:rFonts w:ascii="Times New Roman"/>
                <w:spacing w:val="-4"/>
                <w:sz w:val="18"/>
                <w:szCs w:val="21"/>
              </w:rPr>
              <w:t>2</w:t>
            </w:r>
          </w:p>
        </w:tc>
        <w:tc>
          <w:tcPr>
            <w:tcW w:w="1449"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position w:val="-3"/>
                <w:sz w:val="18"/>
                <w:szCs w:val="21"/>
              </w:rPr>
              <w:t>最佳工作电压</w:t>
            </w:r>
            <w:r>
              <w:rPr>
                <w:rFonts w:ascii="Times New Roman"/>
                <w:sz w:val="18"/>
                <w:szCs w:val="21"/>
              </w:rPr>
              <w:t>（Vmp）</w:t>
            </w:r>
          </w:p>
        </w:tc>
        <w:tc>
          <w:tcPr>
            <w:tcW w:w="679"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sz w:val="18"/>
                <w:szCs w:val="21"/>
              </w:rPr>
              <w:t>V</w:t>
            </w:r>
          </w:p>
        </w:tc>
        <w:tc>
          <w:tcPr>
            <w:tcW w:w="1128"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sz w:val="18"/>
                <w:szCs w:val="21"/>
              </w:rPr>
              <w:t>40.70~41.65</w:t>
            </w:r>
          </w:p>
        </w:tc>
        <w:tc>
          <w:tcPr>
            <w:tcW w:w="1127" w:type="pct"/>
          </w:tcPr>
          <w:p>
            <w:pPr>
              <w:autoSpaceDE w:val="0"/>
              <w:autoSpaceDN w:val="0"/>
              <w:adjustRightInd w:val="0"/>
              <w:snapToGrid w:val="0"/>
              <w:spacing w:line="240" w:lineRule="auto"/>
              <w:ind w:firstLine="340" w:firstLineChars="0"/>
              <w:jc w:val="center"/>
              <w:rPr>
                <w:rFonts w:ascii="Times New Roman"/>
                <w:spacing w:val="-5"/>
                <w:sz w:val="18"/>
                <w:szCs w:val="21"/>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617" w:type="pct"/>
            <w:shd w:val="clear" w:color="auto" w:fill="auto"/>
            <w:vAlign w:val="center"/>
          </w:tcPr>
          <w:p>
            <w:pPr>
              <w:autoSpaceDE w:val="0"/>
              <w:autoSpaceDN w:val="0"/>
              <w:adjustRightInd w:val="0"/>
              <w:snapToGrid w:val="0"/>
              <w:spacing w:line="240" w:lineRule="auto"/>
              <w:ind w:firstLine="344" w:firstLineChars="0"/>
              <w:jc w:val="center"/>
              <w:rPr>
                <w:rFonts w:ascii="Times New Roman"/>
                <w:spacing w:val="-4"/>
                <w:sz w:val="18"/>
                <w:szCs w:val="21"/>
              </w:rPr>
            </w:pPr>
            <w:r>
              <w:rPr>
                <w:rFonts w:ascii="Times New Roman"/>
                <w:spacing w:val="-4"/>
                <w:sz w:val="18"/>
                <w:szCs w:val="21"/>
              </w:rPr>
              <w:t>3</w:t>
            </w:r>
          </w:p>
        </w:tc>
        <w:tc>
          <w:tcPr>
            <w:tcW w:w="1449"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position w:val="-3"/>
                <w:sz w:val="18"/>
                <w:szCs w:val="21"/>
              </w:rPr>
            </w:pPr>
            <w:r>
              <w:rPr>
                <w:rFonts w:ascii="Times New Roman"/>
                <w:spacing w:val="-5"/>
                <w:position w:val="-3"/>
                <w:sz w:val="18"/>
                <w:szCs w:val="21"/>
              </w:rPr>
              <w:t>最佳</w:t>
            </w:r>
            <w:r>
              <w:rPr>
                <w:rFonts w:ascii="Times New Roman"/>
                <w:spacing w:val="-5"/>
                <w:position w:val="-4"/>
                <w:sz w:val="18"/>
                <w:szCs w:val="21"/>
              </w:rPr>
              <w:t>工作电流</w:t>
            </w:r>
            <w:r>
              <w:rPr>
                <w:rFonts w:ascii="Times New Roman"/>
                <w:sz w:val="18"/>
                <w:szCs w:val="21"/>
              </w:rPr>
              <w:t>（Imp）</w:t>
            </w:r>
          </w:p>
        </w:tc>
        <w:tc>
          <w:tcPr>
            <w:tcW w:w="679"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sz w:val="18"/>
                <w:szCs w:val="21"/>
              </w:rPr>
              <w:t>A</w:t>
            </w:r>
          </w:p>
        </w:tc>
        <w:tc>
          <w:tcPr>
            <w:tcW w:w="1128"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sz w:val="18"/>
                <w:szCs w:val="21"/>
              </w:rPr>
              <w:t>12.97~13.27</w:t>
            </w:r>
          </w:p>
        </w:tc>
        <w:tc>
          <w:tcPr>
            <w:tcW w:w="1127" w:type="pct"/>
          </w:tcPr>
          <w:p>
            <w:pPr>
              <w:autoSpaceDE w:val="0"/>
              <w:autoSpaceDN w:val="0"/>
              <w:adjustRightInd w:val="0"/>
              <w:snapToGrid w:val="0"/>
              <w:spacing w:line="240" w:lineRule="auto"/>
              <w:ind w:firstLine="340" w:firstLineChars="0"/>
              <w:jc w:val="center"/>
              <w:rPr>
                <w:rFonts w:ascii="Times New Roman"/>
                <w:spacing w:val="-5"/>
                <w:sz w:val="18"/>
                <w:szCs w:val="21"/>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617" w:type="pct"/>
            <w:shd w:val="clear" w:color="auto" w:fill="auto"/>
            <w:vAlign w:val="center"/>
          </w:tcPr>
          <w:p>
            <w:pPr>
              <w:autoSpaceDE w:val="0"/>
              <w:autoSpaceDN w:val="0"/>
              <w:adjustRightInd w:val="0"/>
              <w:snapToGrid w:val="0"/>
              <w:spacing w:line="240" w:lineRule="auto"/>
              <w:ind w:firstLine="344" w:firstLineChars="0"/>
              <w:jc w:val="center"/>
              <w:rPr>
                <w:rFonts w:ascii="Times New Roman"/>
                <w:spacing w:val="-4"/>
                <w:sz w:val="18"/>
                <w:szCs w:val="21"/>
              </w:rPr>
            </w:pPr>
            <w:r>
              <w:rPr>
                <w:rFonts w:ascii="Times New Roman"/>
                <w:spacing w:val="-4"/>
                <w:sz w:val="18"/>
                <w:szCs w:val="21"/>
              </w:rPr>
              <w:t>4</w:t>
            </w:r>
          </w:p>
        </w:tc>
        <w:tc>
          <w:tcPr>
            <w:tcW w:w="1449"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position w:val="-4"/>
                <w:sz w:val="18"/>
                <w:szCs w:val="21"/>
              </w:rPr>
            </w:pPr>
            <w:r>
              <w:rPr>
                <w:rFonts w:ascii="Times New Roman"/>
                <w:spacing w:val="-5"/>
                <w:sz w:val="18"/>
                <w:szCs w:val="21"/>
              </w:rPr>
              <w:t>开路电压</w:t>
            </w:r>
            <w:r>
              <w:rPr>
                <w:rFonts w:ascii="Times New Roman"/>
                <w:sz w:val="18"/>
                <w:szCs w:val="21"/>
              </w:rPr>
              <w:t>（Voc）</w:t>
            </w:r>
          </w:p>
        </w:tc>
        <w:tc>
          <w:tcPr>
            <w:tcW w:w="679"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sz w:val="18"/>
                <w:szCs w:val="21"/>
              </w:rPr>
              <w:t>V</w:t>
            </w:r>
          </w:p>
        </w:tc>
        <w:tc>
          <w:tcPr>
            <w:tcW w:w="1128"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sz w:val="18"/>
                <w:szCs w:val="21"/>
              </w:rPr>
              <w:t>49.42~49.50</w:t>
            </w:r>
          </w:p>
        </w:tc>
        <w:tc>
          <w:tcPr>
            <w:tcW w:w="1127" w:type="pct"/>
          </w:tcPr>
          <w:p>
            <w:pPr>
              <w:autoSpaceDE w:val="0"/>
              <w:autoSpaceDN w:val="0"/>
              <w:adjustRightInd w:val="0"/>
              <w:snapToGrid w:val="0"/>
              <w:spacing w:line="240" w:lineRule="auto"/>
              <w:ind w:firstLine="340" w:firstLineChars="0"/>
              <w:jc w:val="center"/>
              <w:rPr>
                <w:rFonts w:ascii="Times New Roman"/>
                <w:spacing w:val="-5"/>
                <w:sz w:val="18"/>
                <w:szCs w:val="21"/>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617" w:type="pct"/>
            <w:shd w:val="clear" w:color="auto" w:fill="auto"/>
            <w:vAlign w:val="center"/>
          </w:tcPr>
          <w:p>
            <w:pPr>
              <w:autoSpaceDE w:val="0"/>
              <w:autoSpaceDN w:val="0"/>
              <w:adjustRightInd w:val="0"/>
              <w:snapToGrid w:val="0"/>
              <w:spacing w:line="240" w:lineRule="auto"/>
              <w:ind w:firstLine="344" w:firstLineChars="0"/>
              <w:jc w:val="center"/>
              <w:rPr>
                <w:rFonts w:ascii="Times New Roman"/>
                <w:spacing w:val="-4"/>
                <w:sz w:val="18"/>
                <w:szCs w:val="21"/>
              </w:rPr>
            </w:pPr>
            <w:r>
              <w:rPr>
                <w:rFonts w:ascii="Times New Roman"/>
                <w:spacing w:val="-4"/>
                <w:sz w:val="18"/>
                <w:szCs w:val="21"/>
              </w:rPr>
              <w:t>5</w:t>
            </w:r>
          </w:p>
        </w:tc>
        <w:tc>
          <w:tcPr>
            <w:tcW w:w="1449"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sz w:val="18"/>
                <w:szCs w:val="21"/>
              </w:rPr>
              <w:t>短路电流</w:t>
            </w:r>
            <w:r>
              <w:rPr>
                <w:rFonts w:ascii="Times New Roman"/>
                <w:sz w:val="18"/>
                <w:szCs w:val="21"/>
              </w:rPr>
              <w:t>（Isc）</w:t>
            </w:r>
          </w:p>
        </w:tc>
        <w:tc>
          <w:tcPr>
            <w:tcW w:w="679"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sz w:val="18"/>
                <w:szCs w:val="21"/>
              </w:rPr>
              <w:t>A</w:t>
            </w:r>
          </w:p>
        </w:tc>
        <w:tc>
          <w:tcPr>
            <w:tcW w:w="1128"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sz w:val="18"/>
                <w:szCs w:val="21"/>
              </w:rPr>
              <w:t>13.79~13.85</w:t>
            </w:r>
          </w:p>
        </w:tc>
        <w:tc>
          <w:tcPr>
            <w:tcW w:w="1127" w:type="pct"/>
          </w:tcPr>
          <w:p>
            <w:pPr>
              <w:autoSpaceDE w:val="0"/>
              <w:autoSpaceDN w:val="0"/>
              <w:adjustRightInd w:val="0"/>
              <w:snapToGrid w:val="0"/>
              <w:spacing w:line="240" w:lineRule="auto"/>
              <w:ind w:firstLine="340" w:firstLineChars="0"/>
              <w:jc w:val="center"/>
              <w:rPr>
                <w:rFonts w:ascii="Times New Roman"/>
                <w:spacing w:val="-5"/>
                <w:sz w:val="18"/>
                <w:szCs w:val="21"/>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617" w:type="pct"/>
            <w:shd w:val="clear" w:color="auto" w:fill="auto"/>
            <w:vAlign w:val="center"/>
          </w:tcPr>
          <w:p>
            <w:pPr>
              <w:autoSpaceDE w:val="0"/>
              <w:autoSpaceDN w:val="0"/>
              <w:adjustRightInd w:val="0"/>
              <w:snapToGrid w:val="0"/>
              <w:spacing w:line="240" w:lineRule="auto"/>
              <w:ind w:firstLine="344" w:firstLineChars="0"/>
              <w:jc w:val="center"/>
              <w:rPr>
                <w:rFonts w:ascii="Times New Roman"/>
                <w:spacing w:val="-4"/>
                <w:sz w:val="18"/>
                <w:szCs w:val="21"/>
              </w:rPr>
            </w:pPr>
            <w:r>
              <w:rPr>
                <w:rFonts w:ascii="Times New Roman"/>
                <w:spacing w:val="-4"/>
                <w:sz w:val="18"/>
                <w:szCs w:val="21"/>
              </w:rPr>
              <w:t>6</w:t>
            </w:r>
          </w:p>
        </w:tc>
        <w:tc>
          <w:tcPr>
            <w:tcW w:w="1449"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sz w:val="18"/>
                <w:szCs w:val="21"/>
              </w:rPr>
              <w:t>组件效率</w:t>
            </w:r>
          </w:p>
        </w:tc>
        <w:tc>
          <w:tcPr>
            <w:tcW w:w="679"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sz w:val="18"/>
                <w:szCs w:val="21"/>
              </w:rPr>
              <w:t>%</w:t>
            </w:r>
          </w:p>
        </w:tc>
        <w:tc>
          <w:tcPr>
            <w:tcW w:w="1128"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sz w:val="18"/>
                <w:szCs w:val="21"/>
              </w:rPr>
              <w:t>20.7~21.1</w:t>
            </w:r>
          </w:p>
        </w:tc>
        <w:tc>
          <w:tcPr>
            <w:tcW w:w="1127" w:type="pct"/>
          </w:tcPr>
          <w:p>
            <w:pPr>
              <w:autoSpaceDE w:val="0"/>
              <w:autoSpaceDN w:val="0"/>
              <w:adjustRightInd w:val="0"/>
              <w:snapToGrid w:val="0"/>
              <w:spacing w:line="240" w:lineRule="auto"/>
              <w:ind w:firstLine="340" w:firstLineChars="0"/>
              <w:jc w:val="center"/>
              <w:rPr>
                <w:rFonts w:ascii="Times New Roman"/>
                <w:spacing w:val="-5"/>
                <w:sz w:val="18"/>
                <w:szCs w:val="21"/>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617" w:type="pct"/>
            <w:shd w:val="clear" w:color="auto" w:fill="auto"/>
            <w:vAlign w:val="center"/>
          </w:tcPr>
          <w:p>
            <w:pPr>
              <w:autoSpaceDE w:val="0"/>
              <w:autoSpaceDN w:val="0"/>
              <w:adjustRightInd w:val="0"/>
              <w:snapToGrid w:val="0"/>
              <w:spacing w:line="240" w:lineRule="auto"/>
              <w:ind w:firstLine="344" w:firstLineChars="0"/>
              <w:jc w:val="center"/>
              <w:rPr>
                <w:rFonts w:ascii="Times New Roman"/>
                <w:spacing w:val="-4"/>
                <w:sz w:val="18"/>
                <w:szCs w:val="21"/>
              </w:rPr>
            </w:pPr>
            <w:r>
              <w:rPr>
                <w:rFonts w:ascii="Times New Roman"/>
                <w:spacing w:val="-4"/>
                <w:sz w:val="18"/>
                <w:szCs w:val="21"/>
              </w:rPr>
              <w:t>7</w:t>
            </w:r>
          </w:p>
        </w:tc>
        <w:tc>
          <w:tcPr>
            <w:tcW w:w="1449"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sz w:val="18"/>
                <w:szCs w:val="21"/>
              </w:rPr>
              <w:t>工作温度范围</w:t>
            </w:r>
          </w:p>
        </w:tc>
        <w:tc>
          <w:tcPr>
            <w:tcW w:w="679" w:type="pct"/>
            <w:shd w:val="clear" w:color="auto" w:fill="auto"/>
            <w:vAlign w:val="center"/>
          </w:tcPr>
          <w:p>
            <w:pPr>
              <w:autoSpaceDE w:val="0"/>
              <w:autoSpaceDN w:val="0"/>
              <w:adjustRightInd w:val="0"/>
              <w:snapToGrid w:val="0"/>
              <w:spacing w:line="240" w:lineRule="auto"/>
              <w:ind w:firstLine="332" w:firstLineChars="0"/>
              <w:jc w:val="center"/>
              <w:rPr>
                <w:rFonts w:ascii="Times New Roman"/>
                <w:spacing w:val="-5"/>
                <w:sz w:val="18"/>
                <w:szCs w:val="21"/>
              </w:rPr>
            </w:pPr>
            <w:r>
              <w:rPr>
                <w:rFonts w:ascii="Times New Roman"/>
                <w:spacing w:val="-7"/>
                <w:sz w:val="18"/>
                <w:szCs w:val="21"/>
              </w:rPr>
              <w:t>℃</w:t>
            </w:r>
          </w:p>
        </w:tc>
        <w:tc>
          <w:tcPr>
            <w:tcW w:w="1128"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sz w:val="18"/>
                <w:szCs w:val="21"/>
              </w:rPr>
              <w:t>-40～+85</w:t>
            </w:r>
          </w:p>
        </w:tc>
        <w:tc>
          <w:tcPr>
            <w:tcW w:w="1127" w:type="pct"/>
          </w:tcPr>
          <w:p>
            <w:pPr>
              <w:autoSpaceDE w:val="0"/>
              <w:autoSpaceDN w:val="0"/>
              <w:adjustRightInd w:val="0"/>
              <w:snapToGrid w:val="0"/>
              <w:spacing w:line="240" w:lineRule="auto"/>
              <w:ind w:firstLine="340" w:firstLineChars="0"/>
              <w:jc w:val="center"/>
              <w:rPr>
                <w:rFonts w:ascii="Times New Roman"/>
                <w:spacing w:val="-5"/>
                <w:sz w:val="18"/>
                <w:szCs w:val="21"/>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617" w:type="pct"/>
            <w:shd w:val="clear" w:color="auto" w:fill="auto"/>
            <w:vAlign w:val="center"/>
          </w:tcPr>
          <w:p>
            <w:pPr>
              <w:autoSpaceDE w:val="0"/>
              <w:autoSpaceDN w:val="0"/>
              <w:adjustRightInd w:val="0"/>
              <w:snapToGrid w:val="0"/>
              <w:spacing w:line="240" w:lineRule="auto"/>
              <w:ind w:firstLine="344" w:firstLineChars="0"/>
              <w:jc w:val="center"/>
              <w:rPr>
                <w:rFonts w:ascii="Times New Roman"/>
                <w:spacing w:val="-4"/>
                <w:sz w:val="18"/>
                <w:szCs w:val="21"/>
              </w:rPr>
            </w:pPr>
            <w:r>
              <w:rPr>
                <w:rFonts w:ascii="Times New Roman"/>
                <w:spacing w:val="-4"/>
                <w:sz w:val="18"/>
                <w:szCs w:val="21"/>
              </w:rPr>
              <w:t>8</w:t>
            </w:r>
          </w:p>
        </w:tc>
        <w:tc>
          <w:tcPr>
            <w:tcW w:w="1449"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sz w:val="18"/>
                <w:szCs w:val="21"/>
              </w:rPr>
              <w:t>最大系统电压</w:t>
            </w:r>
          </w:p>
        </w:tc>
        <w:tc>
          <w:tcPr>
            <w:tcW w:w="679"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7"/>
                <w:sz w:val="18"/>
                <w:szCs w:val="21"/>
              </w:rPr>
            </w:pPr>
            <w:r>
              <w:rPr>
                <w:rFonts w:ascii="Times New Roman"/>
                <w:spacing w:val="-5"/>
                <w:sz w:val="18"/>
                <w:szCs w:val="21"/>
              </w:rPr>
              <w:t>V</w:t>
            </w:r>
          </w:p>
        </w:tc>
        <w:tc>
          <w:tcPr>
            <w:tcW w:w="1128"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sz w:val="18"/>
                <w:szCs w:val="21"/>
              </w:rPr>
              <w:t>1000/1500VDC</w:t>
            </w:r>
          </w:p>
        </w:tc>
        <w:tc>
          <w:tcPr>
            <w:tcW w:w="1127" w:type="pct"/>
          </w:tcPr>
          <w:p>
            <w:pPr>
              <w:autoSpaceDE w:val="0"/>
              <w:autoSpaceDN w:val="0"/>
              <w:adjustRightInd w:val="0"/>
              <w:snapToGrid w:val="0"/>
              <w:spacing w:line="240" w:lineRule="auto"/>
              <w:ind w:firstLine="340" w:firstLineChars="0"/>
              <w:jc w:val="center"/>
              <w:rPr>
                <w:rFonts w:ascii="Times New Roman"/>
                <w:spacing w:val="-5"/>
                <w:sz w:val="18"/>
                <w:szCs w:val="21"/>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617" w:type="pct"/>
            <w:shd w:val="clear" w:color="auto" w:fill="auto"/>
            <w:vAlign w:val="center"/>
          </w:tcPr>
          <w:p>
            <w:pPr>
              <w:autoSpaceDE w:val="0"/>
              <w:autoSpaceDN w:val="0"/>
              <w:adjustRightInd w:val="0"/>
              <w:snapToGrid w:val="0"/>
              <w:spacing w:line="240" w:lineRule="auto"/>
              <w:ind w:firstLine="344" w:firstLineChars="0"/>
              <w:jc w:val="center"/>
              <w:rPr>
                <w:rFonts w:ascii="Times New Roman"/>
                <w:spacing w:val="-4"/>
                <w:sz w:val="18"/>
                <w:szCs w:val="21"/>
              </w:rPr>
            </w:pPr>
            <w:r>
              <w:rPr>
                <w:rFonts w:ascii="Times New Roman"/>
                <w:spacing w:val="-4"/>
                <w:sz w:val="18"/>
                <w:szCs w:val="21"/>
              </w:rPr>
              <w:t>9</w:t>
            </w:r>
          </w:p>
        </w:tc>
        <w:tc>
          <w:tcPr>
            <w:tcW w:w="1449"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sz w:val="18"/>
                <w:szCs w:val="21"/>
              </w:rPr>
              <w:t>最大额定熔丝电流</w:t>
            </w:r>
          </w:p>
        </w:tc>
        <w:tc>
          <w:tcPr>
            <w:tcW w:w="679"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sz w:val="18"/>
                <w:szCs w:val="21"/>
              </w:rPr>
              <w:t>A</w:t>
            </w:r>
          </w:p>
        </w:tc>
        <w:tc>
          <w:tcPr>
            <w:tcW w:w="1128" w:type="pct"/>
            <w:shd w:val="clear" w:color="auto" w:fill="auto"/>
            <w:vAlign w:val="center"/>
          </w:tcPr>
          <w:p>
            <w:pPr>
              <w:autoSpaceDE w:val="0"/>
              <w:autoSpaceDN w:val="0"/>
              <w:adjustRightInd w:val="0"/>
              <w:snapToGrid w:val="0"/>
              <w:spacing w:line="240" w:lineRule="auto"/>
              <w:ind w:firstLine="340" w:firstLineChars="0"/>
              <w:jc w:val="center"/>
              <w:rPr>
                <w:rFonts w:ascii="Times New Roman"/>
                <w:spacing w:val="-5"/>
                <w:sz w:val="18"/>
                <w:szCs w:val="21"/>
              </w:rPr>
            </w:pPr>
            <w:r>
              <w:rPr>
                <w:rFonts w:ascii="Times New Roman"/>
                <w:spacing w:val="-5"/>
                <w:sz w:val="18"/>
                <w:szCs w:val="21"/>
              </w:rPr>
              <w:t>25~30</w:t>
            </w:r>
          </w:p>
        </w:tc>
        <w:tc>
          <w:tcPr>
            <w:tcW w:w="1127" w:type="pct"/>
          </w:tcPr>
          <w:p>
            <w:pPr>
              <w:autoSpaceDE w:val="0"/>
              <w:autoSpaceDN w:val="0"/>
              <w:adjustRightInd w:val="0"/>
              <w:snapToGrid w:val="0"/>
              <w:spacing w:line="240" w:lineRule="auto"/>
              <w:ind w:firstLine="340" w:firstLineChars="0"/>
              <w:jc w:val="center"/>
              <w:rPr>
                <w:rFonts w:ascii="Times New Roman"/>
                <w:spacing w:val="-5"/>
                <w:sz w:val="18"/>
                <w:szCs w:val="21"/>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617"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4"/>
                <w:sz w:val="18"/>
                <w:szCs w:val="21"/>
              </w:rPr>
              <w:t>10</w:t>
            </w:r>
          </w:p>
        </w:tc>
        <w:tc>
          <w:tcPr>
            <w:tcW w:w="1449"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5"/>
                <w:sz w:val="18"/>
                <w:szCs w:val="21"/>
              </w:rPr>
            </w:pPr>
            <w:r>
              <w:rPr>
                <w:rFonts w:ascii="Times New Roman"/>
                <w:spacing w:val="-5"/>
                <w:sz w:val="18"/>
                <w:szCs w:val="21"/>
              </w:rPr>
              <w:t>输出功率公差</w:t>
            </w:r>
          </w:p>
        </w:tc>
        <w:tc>
          <w:tcPr>
            <w:tcW w:w="679"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5"/>
                <w:sz w:val="18"/>
                <w:szCs w:val="21"/>
              </w:rPr>
            </w:pPr>
            <w:r>
              <w:rPr>
                <w:rFonts w:ascii="Times New Roman"/>
                <w:spacing w:val="-5"/>
                <w:sz w:val="18"/>
                <w:szCs w:val="21"/>
              </w:rPr>
              <w:t>W</w:t>
            </w:r>
          </w:p>
        </w:tc>
        <w:tc>
          <w:tcPr>
            <w:tcW w:w="1128"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5"/>
                <w:sz w:val="18"/>
                <w:szCs w:val="21"/>
              </w:rPr>
            </w:pPr>
            <w:r>
              <w:rPr>
                <w:rFonts w:ascii="Times New Roman"/>
                <w:spacing w:val="-5"/>
                <w:sz w:val="18"/>
                <w:szCs w:val="21"/>
              </w:rPr>
              <w:t>0～﹢5</w:t>
            </w:r>
          </w:p>
        </w:tc>
        <w:tc>
          <w:tcPr>
            <w:tcW w:w="1127" w:type="pct"/>
          </w:tcPr>
          <w:p>
            <w:pPr>
              <w:autoSpaceDE w:val="0"/>
              <w:autoSpaceDN w:val="0"/>
              <w:adjustRightInd w:val="0"/>
              <w:snapToGrid w:val="0"/>
              <w:spacing w:line="240" w:lineRule="auto"/>
              <w:ind w:firstLine="0" w:firstLineChars="0"/>
              <w:jc w:val="center"/>
              <w:rPr>
                <w:rFonts w:ascii="Times New Roman"/>
                <w:spacing w:val="-5"/>
                <w:sz w:val="18"/>
                <w:szCs w:val="21"/>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617"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4"/>
                <w:sz w:val="18"/>
                <w:szCs w:val="21"/>
              </w:rPr>
              <w:t>11</w:t>
            </w:r>
          </w:p>
        </w:tc>
        <w:tc>
          <w:tcPr>
            <w:tcW w:w="1449"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5"/>
                <w:sz w:val="18"/>
                <w:szCs w:val="21"/>
              </w:rPr>
            </w:pPr>
            <w:r>
              <w:rPr>
                <w:rFonts w:ascii="Times New Roman"/>
                <w:spacing w:val="-5"/>
                <w:sz w:val="18"/>
                <w:szCs w:val="21"/>
              </w:rPr>
              <w:t>最大功率(Pmax)的温度系数</w:t>
            </w:r>
          </w:p>
        </w:tc>
        <w:tc>
          <w:tcPr>
            <w:tcW w:w="679"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5"/>
                <w:sz w:val="18"/>
                <w:szCs w:val="21"/>
              </w:rPr>
            </w:pPr>
            <w:r>
              <w:rPr>
                <w:rFonts w:ascii="Times New Roman"/>
                <w:spacing w:val="-5"/>
                <w:sz w:val="18"/>
                <w:szCs w:val="21"/>
              </w:rPr>
              <w:t>%/℃</w:t>
            </w:r>
          </w:p>
        </w:tc>
        <w:tc>
          <w:tcPr>
            <w:tcW w:w="1128"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5"/>
                <w:sz w:val="18"/>
                <w:szCs w:val="21"/>
              </w:rPr>
            </w:pPr>
            <w:r>
              <w:rPr>
                <w:rFonts w:ascii="Times New Roman"/>
                <w:spacing w:val="-5"/>
                <w:sz w:val="18"/>
                <w:szCs w:val="21"/>
              </w:rPr>
              <w:t>-0.350</w:t>
            </w:r>
          </w:p>
        </w:tc>
        <w:tc>
          <w:tcPr>
            <w:tcW w:w="1127" w:type="pct"/>
          </w:tcPr>
          <w:p>
            <w:pPr>
              <w:autoSpaceDE w:val="0"/>
              <w:autoSpaceDN w:val="0"/>
              <w:adjustRightInd w:val="0"/>
              <w:snapToGrid w:val="0"/>
              <w:spacing w:line="240" w:lineRule="auto"/>
              <w:ind w:firstLine="0" w:firstLineChars="0"/>
              <w:jc w:val="center"/>
              <w:rPr>
                <w:rFonts w:ascii="Times New Roman"/>
                <w:spacing w:val="-5"/>
                <w:sz w:val="18"/>
                <w:szCs w:val="21"/>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617"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4"/>
                <w:sz w:val="18"/>
                <w:szCs w:val="21"/>
              </w:rPr>
              <w:t>12</w:t>
            </w:r>
          </w:p>
        </w:tc>
        <w:tc>
          <w:tcPr>
            <w:tcW w:w="1449"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5"/>
                <w:sz w:val="18"/>
                <w:szCs w:val="21"/>
              </w:rPr>
            </w:pPr>
            <w:r>
              <w:rPr>
                <w:rFonts w:ascii="Times New Roman"/>
                <w:spacing w:val="-5"/>
                <w:sz w:val="18"/>
                <w:szCs w:val="21"/>
              </w:rPr>
              <w:t>开路电压(Voc)的温度系数</w:t>
            </w:r>
          </w:p>
        </w:tc>
        <w:tc>
          <w:tcPr>
            <w:tcW w:w="679"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5"/>
                <w:sz w:val="18"/>
                <w:szCs w:val="21"/>
              </w:rPr>
            </w:pPr>
            <w:r>
              <w:rPr>
                <w:rFonts w:ascii="Times New Roman"/>
                <w:spacing w:val="-5"/>
                <w:sz w:val="18"/>
                <w:szCs w:val="21"/>
              </w:rPr>
              <w:t>%/℃</w:t>
            </w:r>
          </w:p>
        </w:tc>
        <w:tc>
          <w:tcPr>
            <w:tcW w:w="1128"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5"/>
                <w:sz w:val="18"/>
                <w:szCs w:val="21"/>
              </w:rPr>
            </w:pPr>
            <w:r>
              <w:rPr>
                <w:rFonts w:ascii="Times New Roman"/>
                <w:spacing w:val="-5"/>
                <w:sz w:val="18"/>
                <w:szCs w:val="21"/>
              </w:rPr>
              <w:t>-0.275~-0.284</w:t>
            </w:r>
          </w:p>
        </w:tc>
        <w:tc>
          <w:tcPr>
            <w:tcW w:w="1127" w:type="pct"/>
          </w:tcPr>
          <w:p>
            <w:pPr>
              <w:autoSpaceDE w:val="0"/>
              <w:autoSpaceDN w:val="0"/>
              <w:adjustRightInd w:val="0"/>
              <w:snapToGrid w:val="0"/>
              <w:spacing w:line="240" w:lineRule="auto"/>
              <w:ind w:firstLine="0" w:firstLineChars="0"/>
              <w:jc w:val="center"/>
              <w:rPr>
                <w:rFonts w:ascii="Times New Roman"/>
                <w:spacing w:val="-5"/>
                <w:sz w:val="18"/>
                <w:szCs w:val="21"/>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617"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4"/>
                <w:sz w:val="18"/>
                <w:szCs w:val="21"/>
              </w:rPr>
              <w:t>13</w:t>
            </w:r>
          </w:p>
        </w:tc>
        <w:tc>
          <w:tcPr>
            <w:tcW w:w="1449"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5"/>
                <w:sz w:val="18"/>
                <w:szCs w:val="21"/>
              </w:rPr>
            </w:pPr>
            <w:r>
              <w:rPr>
                <w:rFonts w:ascii="Times New Roman"/>
                <w:spacing w:val="-5"/>
                <w:sz w:val="18"/>
                <w:szCs w:val="21"/>
              </w:rPr>
              <w:t>短路电流(Isc)的温度系数</w:t>
            </w:r>
          </w:p>
        </w:tc>
        <w:tc>
          <w:tcPr>
            <w:tcW w:w="679"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5"/>
                <w:sz w:val="18"/>
                <w:szCs w:val="21"/>
              </w:rPr>
            </w:pPr>
            <w:r>
              <w:rPr>
                <w:rFonts w:ascii="Times New Roman"/>
                <w:spacing w:val="-5"/>
                <w:sz w:val="18"/>
                <w:szCs w:val="21"/>
              </w:rPr>
              <w:t>%/℃</w:t>
            </w:r>
          </w:p>
        </w:tc>
        <w:tc>
          <w:tcPr>
            <w:tcW w:w="1128"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5"/>
                <w:sz w:val="18"/>
                <w:szCs w:val="21"/>
              </w:rPr>
            </w:pPr>
            <w:r>
              <w:rPr>
                <w:rFonts w:ascii="Times New Roman"/>
                <w:spacing w:val="-5"/>
                <w:sz w:val="18"/>
                <w:szCs w:val="21"/>
              </w:rPr>
              <w:t>0.045~0.050</w:t>
            </w:r>
          </w:p>
        </w:tc>
        <w:tc>
          <w:tcPr>
            <w:tcW w:w="1127" w:type="pct"/>
          </w:tcPr>
          <w:p>
            <w:pPr>
              <w:autoSpaceDE w:val="0"/>
              <w:autoSpaceDN w:val="0"/>
              <w:adjustRightInd w:val="0"/>
              <w:snapToGrid w:val="0"/>
              <w:spacing w:line="240" w:lineRule="auto"/>
              <w:ind w:firstLine="0" w:firstLineChars="0"/>
              <w:jc w:val="center"/>
              <w:rPr>
                <w:rFonts w:ascii="Times New Roman"/>
                <w:spacing w:val="-5"/>
                <w:sz w:val="18"/>
                <w:szCs w:val="21"/>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617"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4"/>
                <w:sz w:val="18"/>
                <w:szCs w:val="21"/>
              </w:rPr>
              <w:t>14</w:t>
            </w:r>
          </w:p>
        </w:tc>
        <w:tc>
          <w:tcPr>
            <w:tcW w:w="1449"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7"/>
                <w:position w:val="-2"/>
                <w:sz w:val="18"/>
                <w:szCs w:val="21"/>
              </w:rPr>
              <w:t>10 年功率衰降</w:t>
            </w:r>
          </w:p>
        </w:tc>
        <w:tc>
          <w:tcPr>
            <w:tcW w:w="679"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7"/>
                <w:sz w:val="18"/>
                <w:szCs w:val="21"/>
              </w:rPr>
              <w:t>%</w:t>
            </w:r>
          </w:p>
        </w:tc>
        <w:tc>
          <w:tcPr>
            <w:tcW w:w="1128"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7"/>
                <w:sz w:val="18"/>
                <w:szCs w:val="21"/>
              </w:rPr>
              <w:t>＜7</w:t>
            </w:r>
          </w:p>
        </w:tc>
        <w:tc>
          <w:tcPr>
            <w:tcW w:w="1127" w:type="pct"/>
          </w:tcPr>
          <w:p>
            <w:pPr>
              <w:autoSpaceDE w:val="0"/>
              <w:autoSpaceDN w:val="0"/>
              <w:adjustRightInd w:val="0"/>
              <w:snapToGrid w:val="0"/>
              <w:spacing w:line="240" w:lineRule="auto"/>
              <w:ind w:firstLine="0" w:firstLineChars="0"/>
              <w:jc w:val="center"/>
              <w:rPr>
                <w:rFonts w:ascii="Times New Roman"/>
                <w:spacing w:val="-7"/>
                <w:sz w:val="18"/>
                <w:szCs w:val="21"/>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617"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4"/>
                <w:sz w:val="18"/>
                <w:szCs w:val="21"/>
              </w:rPr>
              <w:t>15</w:t>
            </w:r>
          </w:p>
        </w:tc>
        <w:tc>
          <w:tcPr>
            <w:tcW w:w="1449"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7"/>
                <w:position w:val="-2"/>
                <w:sz w:val="18"/>
                <w:szCs w:val="21"/>
              </w:rPr>
              <w:t>25 年功率衰降</w:t>
            </w:r>
          </w:p>
        </w:tc>
        <w:tc>
          <w:tcPr>
            <w:tcW w:w="679"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7"/>
                <w:position w:val="-2"/>
                <w:sz w:val="18"/>
                <w:szCs w:val="21"/>
              </w:rPr>
              <w:t>%</w:t>
            </w:r>
          </w:p>
        </w:tc>
        <w:tc>
          <w:tcPr>
            <w:tcW w:w="1128"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7"/>
                <w:sz w:val="18"/>
                <w:szCs w:val="21"/>
              </w:rPr>
              <w:t>＜16</w:t>
            </w:r>
          </w:p>
        </w:tc>
        <w:tc>
          <w:tcPr>
            <w:tcW w:w="1127" w:type="pct"/>
          </w:tcPr>
          <w:p>
            <w:pPr>
              <w:autoSpaceDE w:val="0"/>
              <w:autoSpaceDN w:val="0"/>
              <w:adjustRightInd w:val="0"/>
              <w:snapToGrid w:val="0"/>
              <w:spacing w:line="240" w:lineRule="auto"/>
              <w:ind w:firstLine="0" w:firstLineChars="0"/>
              <w:jc w:val="center"/>
              <w:rPr>
                <w:rFonts w:ascii="Times New Roman"/>
                <w:spacing w:val="-7"/>
                <w:sz w:val="18"/>
                <w:szCs w:val="21"/>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617"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4"/>
                <w:sz w:val="18"/>
                <w:szCs w:val="21"/>
              </w:rPr>
              <w:t>16</w:t>
            </w:r>
          </w:p>
        </w:tc>
        <w:tc>
          <w:tcPr>
            <w:tcW w:w="1449"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7"/>
                <w:sz w:val="18"/>
                <w:szCs w:val="21"/>
              </w:rPr>
              <w:t>重量</w:t>
            </w:r>
          </w:p>
        </w:tc>
        <w:tc>
          <w:tcPr>
            <w:tcW w:w="679"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7"/>
                <w:sz w:val="18"/>
                <w:szCs w:val="21"/>
              </w:rPr>
              <w:t>kg</w:t>
            </w:r>
          </w:p>
        </w:tc>
        <w:tc>
          <w:tcPr>
            <w:tcW w:w="1128"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7"/>
                <w:sz w:val="18"/>
                <w:szCs w:val="21"/>
              </w:rPr>
              <w:t>≤32.3kg</w:t>
            </w:r>
          </w:p>
        </w:tc>
        <w:tc>
          <w:tcPr>
            <w:tcW w:w="1127" w:type="pct"/>
          </w:tcPr>
          <w:p>
            <w:pPr>
              <w:autoSpaceDE w:val="0"/>
              <w:autoSpaceDN w:val="0"/>
              <w:adjustRightInd w:val="0"/>
              <w:snapToGrid w:val="0"/>
              <w:spacing w:line="240" w:lineRule="auto"/>
              <w:ind w:firstLine="0" w:firstLineChars="0"/>
              <w:jc w:val="center"/>
              <w:rPr>
                <w:rFonts w:ascii="Times New Roman"/>
                <w:spacing w:val="-7"/>
                <w:sz w:val="18"/>
                <w:szCs w:val="21"/>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617"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4"/>
                <w:sz w:val="18"/>
                <w:szCs w:val="21"/>
              </w:rPr>
              <w:t>17</w:t>
            </w:r>
          </w:p>
        </w:tc>
        <w:tc>
          <w:tcPr>
            <w:tcW w:w="1449"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7"/>
                <w:sz w:val="18"/>
                <w:szCs w:val="21"/>
              </w:rPr>
              <w:t>光伏组件尺寸结构</w:t>
            </w:r>
          </w:p>
        </w:tc>
        <w:tc>
          <w:tcPr>
            <w:tcW w:w="679"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7"/>
                <w:sz w:val="18"/>
                <w:szCs w:val="21"/>
              </w:rPr>
              <w:t>mm</w:t>
            </w:r>
          </w:p>
        </w:tc>
        <w:tc>
          <w:tcPr>
            <w:tcW w:w="1128" w:type="pct"/>
            <w:shd w:val="clear" w:color="auto" w:fill="auto"/>
            <w:vAlign w:val="center"/>
          </w:tcPr>
          <w:p>
            <w:pPr>
              <w:autoSpaceDE w:val="0"/>
              <w:autoSpaceDN w:val="0"/>
              <w:adjustRightInd w:val="0"/>
              <w:snapToGrid w:val="0"/>
              <w:spacing w:line="240" w:lineRule="auto"/>
              <w:ind w:firstLine="0" w:firstLineChars="0"/>
              <w:jc w:val="center"/>
              <w:rPr>
                <w:rFonts w:ascii="Times New Roman"/>
                <w:spacing w:val="-4"/>
                <w:sz w:val="18"/>
                <w:szCs w:val="21"/>
              </w:rPr>
            </w:pPr>
            <w:r>
              <w:rPr>
                <w:rFonts w:ascii="Times New Roman"/>
                <w:spacing w:val="-7"/>
                <w:sz w:val="18"/>
                <w:szCs w:val="21"/>
              </w:rPr>
              <w:t>2278±2×1134±2×35±1</w:t>
            </w:r>
          </w:p>
        </w:tc>
        <w:tc>
          <w:tcPr>
            <w:tcW w:w="1127" w:type="pct"/>
          </w:tcPr>
          <w:p>
            <w:pPr>
              <w:autoSpaceDE w:val="0"/>
              <w:autoSpaceDN w:val="0"/>
              <w:adjustRightInd w:val="0"/>
              <w:snapToGrid w:val="0"/>
              <w:spacing w:line="240" w:lineRule="auto"/>
              <w:ind w:firstLine="0" w:firstLineChars="0"/>
              <w:jc w:val="center"/>
              <w:rPr>
                <w:rFonts w:ascii="Times New Roman"/>
                <w:spacing w:val="-7"/>
                <w:sz w:val="18"/>
                <w:szCs w:val="21"/>
              </w:rPr>
            </w:pPr>
          </w:p>
        </w:tc>
      </w:tr>
    </w:tbl>
    <w:p>
      <w:pPr>
        <w:adjustRightInd w:val="0"/>
        <w:snapToGrid w:val="0"/>
        <w:spacing w:before="156" w:beforeLines="50"/>
        <w:ind w:firstLine="560"/>
        <w:rPr>
          <w:rFonts w:ascii="Times New Roman"/>
          <w:kern w:val="2"/>
          <w:position w:val="0"/>
        </w:rPr>
      </w:pPr>
      <w:r>
        <w:rPr>
          <w:rFonts w:hint="eastAsia" w:ascii="Times New Roman"/>
          <w:kern w:val="2"/>
          <w:position w:val="0"/>
        </w:rPr>
        <w:t>5.</w:t>
      </w:r>
      <w:r>
        <w:rPr>
          <w:rFonts w:ascii="Times New Roman"/>
          <w:kern w:val="2"/>
          <w:position w:val="0"/>
        </w:rPr>
        <w:t>2 本项目</w:t>
      </w:r>
      <w:r>
        <w:rPr>
          <w:rFonts w:hint="eastAsia" w:ascii="Times New Roman"/>
          <w:kern w:val="2"/>
          <w:position w:val="0"/>
        </w:rPr>
        <w:t>组串式逆变器</w:t>
      </w:r>
      <w:r>
        <w:rPr>
          <w:rFonts w:ascii="Times New Roman"/>
          <w:kern w:val="2"/>
          <w:position w:val="0"/>
        </w:rPr>
        <w:t>性能指标要求</w:t>
      </w:r>
      <w:r>
        <w:rPr>
          <w:rFonts w:hint="eastAsia" w:ascii="Times New Roman"/>
          <w:kern w:val="2"/>
          <w:position w:val="0"/>
        </w:rPr>
        <w:t>（不限于以下内容）</w:t>
      </w:r>
    </w:p>
    <w:p>
      <w:pPr>
        <w:adjustRightInd w:val="0"/>
        <w:snapToGrid w:val="0"/>
        <w:ind w:firstLine="560"/>
        <w:rPr>
          <w:rFonts w:ascii="Times New Roman"/>
          <w:kern w:val="2"/>
          <w:position w:val="0"/>
        </w:rPr>
      </w:pPr>
      <w:r>
        <w:rPr>
          <w:rFonts w:hint="eastAsia" w:ascii="Times New Roman"/>
          <w:kern w:val="2"/>
          <w:position w:val="0"/>
        </w:rPr>
        <w:t>本项目采用50～1</w:t>
      </w:r>
      <w:r>
        <w:rPr>
          <w:rFonts w:ascii="Times New Roman"/>
          <w:kern w:val="2"/>
          <w:position w:val="0"/>
        </w:rPr>
        <w:t>00</w:t>
      </w:r>
      <w:r>
        <w:rPr>
          <w:rFonts w:hint="eastAsia" w:ascii="Times New Roman"/>
          <w:kern w:val="2"/>
          <w:position w:val="0"/>
        </w:rPr>
        <w:t>kW组串式逆变器。主要逆变器技术参数参考如表</w:t>
      </w:r>
      <w:r>
        <w:rPr>
          <w:rFonts w:ascii="Times New Roman"/>
          <w:kern w:val="2"/>
          <w:position w:val="0"/>
        </w:rPr>
        <w:t>5.2-1</w:t>
      </w:r>
      <w:r>
        <w:rPr>
          <w:rFonts w:hint="eastAsia" w:ascii="Times New Roman"/>
          <w:kern w:val="2"/>
          <w:position w:val="0"/>
        </w:rPr>
        <w:t>（最终数据以审定版施工图为准）</w:t>
      </w:r>
      <w:r>
        <w:rPr>
          <w:rFonts w:ascii="Times New Roman"/>
          <w:kern w:val="2"/>
          <w:position w:val="0"/>
        </w:rPr>
        <w:t>：</w:t>
      </w:r>
    </w:p>
    <w:p>
      <w:pPr>
        <w:adjustRightInd w:val="0"/>
        <w:snapToGrid w:val="0"/>
        <w:ind w:firstLine="422"/>
        <w:jc w:val="center"/>
        <w:outlineLvl w:val="7"/>
        <w:rPr>
          <w:rFonts w:ascii="Times New Roman"/>
          <w:b/>
          <w:sz w:val="21"/>
          <w:szCs w:val="21"/>
        </w:rPr>
      </w:pPr>
      <w:r>
        <w:rPr>
          <w:rFonts w:ascii="Times New Roman"/>
          <w:b/>
          <w:sz w:val="21"/>
          <w:szCs w:val="21"/>
        </w:rPr>
        <w:t>表5.2-1组串式逆变器技术参数表</w:t>
      </w:r>
    </w:p>
    <w:tbl>
      <w:tblPr>
        <w:tblStyle w:val="58"/>
        <w:tblW w:w="5000" w:type="pct"/>
        <w:tblInd w:w="0" w:type="dxa"/>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Layout w:type="fixed"/>
        <w:tblCellMar>
          <w:top w:w="0" w:type="dxa"/>
          <w:left w:w="0" w:type="dxa"/>
          <w:bottom w:w="0" w:type="dxa"/>
          <w:right w:w="0" w:type="dxa"/>
        </w:tblCellMar>
      </w:tblPr>
      <w:tblGrid>
        <w:gridCol w:w="1556"/>
        <w:gridCol w:w="1137"/>
        <w:gridCol w:w="1136"/>
        <w:gridCol w:w="1136"/>
        <w:gridCol w:w="1056"/>
        <w:gridCol w:w="642"/>
        <w:gridCol w:w="551"/>
        <w:gridCol w:w="551"/>
        <w:gridCol w:w="551"/>
      </w:tblGrid>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tblHeader/>
        </w:trPr>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bookmarkStart w:id="47" w:name="_Toc297829608"/>
            <w:bookmarkStart w:id="48" w:name="_Toc359425889"/>
            <w:bookmarkStart w:id="49" w:name="_Toc449276717"/>
            <w:bookmarkStart w:id="50" w:name="_Toc503449929"/>
            <w:bookmarkStart w:id="51" w:name="_Toc297649173"/>
            <w:bookmarkStart w:id="52" w:name="_Toc330899445"/>
            <w:bookmarkStart w:id="53" w:name="_Toc419980647"/>
            <w:r>
              <w:rPr>
                <w:rFonts w:hint="eastAsia" w:ascii="Times New Roman"/>
                <w:kern w:val="2"/>
                <w:position w:val="0"/>
                <w:sz w:val="18"/>
                <w:szCs w:val="18"/>
              </w:rPr>
              <w:t>分项</w:t>
            </w:r>
          </w:p>
        </w:tc>
        <w:tc>
          <w:tcPr>
            <w:tcW w:w="2685" w:type="pct"/>
            <w:gridSpan w:val="4"/>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发包人要求</w:t>
            </w:r>
          </w:p>
        </w:tc>
        <w:tc>
          <w:tcPr>
            <w:tcW w:w="1379" w:type="pct"/>
            <w:gridSpan w:val="4"/>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承包人数据</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组串式逆变器容量</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100 kW</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70 kW</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60 kW</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50 kW</w:t>
            </w:r>
          </w:p>
        </w:tc>
        <w:tc>
          <w:tcPr>
            <w:tcW w:w="38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100 kW</w:t>
            </w:r>
          </w:p>
        </w:tc>
        <w:tc>
          <w:tcPr>
            <w:tcW w:w="331"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70 kW</w:t>
            </w:r>
          </w:p>
        </w:tc>
        <w:tc>
          <w:tcPr>
            <w:tcW w:w="331"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60 kW</w:t>
            </w:r>
          </w:p>
        </w:tc>
        <w:tc>
          <w:tcPr>
            <w:tcW w:w="330"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50 kW</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输入</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最大输入电压</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1100V</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1100V</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1100V</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1100V</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每路</w:t>
            </w:r>
            <w:r>
              <w:rPr>
                <w:rFonts w:ascii="Times New Roman"/>
                <w:kern w:val="2"/>
                <w:position w:val="0"/>
                <w:sz w:val="18"/>
                <w:szCs w:val="18"/>
              </w:rPr>
              <w:t>MPPT</w:t>
            </w:r>
            <w:r>
              <w:rPr>
                <w:rFonts w:hint="eastAsia" w:ascii="Times New Roman"/>
                <w:kern w:val="2"/>
                <w:position w:val="0"/>
                <w:sz w:val="18"/>
                <w:szCs w:val="18"/>
              </w:rPr>
              <w:t>最大输入电流</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≤32A</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≤32A</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≤32A</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≤32A</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每路</w:t>
            </w:r>
            <w:r>
              <w:rPr>
                <w:rFonts w:ascii="Times New Roman"/>
                <w:kern w:val="2"/>
                <w:position w:val="0"/>
                <w:sz w:val="18"/>
                <w:szCs w:val="18"/>
              </w:rPr>
              <w:t>MPPT</w:t>
            </w:r>
            <w:r>
              <w:rPr>
                <w:rFonts w:hint="eastAsia" w:ascii="Times New Roman"/>
                <w:kern w:val="2"/>
                <w:position w:val="0"/>
                <w:sz w:val="18"/>
                <w:szCs w:val="18"/>
              </w:rPr>
              <w:t>最大短路电流</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≤50A</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≤50A</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≤50A</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≤50A</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满载</w:t>
            </w:r>
            <w:r>
              <w:rPr>
                <w:rFonts w:ascii="Times New Roman"/>
                <w:kern w:val="2"/>
                <w:position w:val="0"/>
                <w:sz w:val="18"/>
                <w:szCs w:val="18"/>
              </w:rPr>
              <w:t>MPPT</w:t>
            </w:r>
            <w:r>
              <w:rPr>
                <w:rFonts w:hint="eastAsia" w:ascii="Times New Roman"/>
                <w:kern w:val="2"/>
                <w:position w:val="0"/>
                <w:sz w:val="18"/>
                <w:szCs w:val="18"/>
              </w:rPr>
              <w:t>电压范围</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180-1000V</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180-1000V</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180-1000V</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180-1000V</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额定输入电压</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600V</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720V</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600V</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600V</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最大输入路数</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20</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12</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12</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10</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MPPT</w:t>
            </w:r>
            <w:r>
              <w:rPr>
                <w:rFonts w:hint="eastAsia" w:ascii="Times New Roman"/>
                <w:kern w:val="2"/>
                <w:position w:val="0"/>
                <w:sz w:val="18"/>
                <w:szCs w:val="18"/>
              </w:rPr>
              <w:t>数量</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10</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6</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6</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5</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输出</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额定输出功率</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100 kW</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70 kW</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60kW</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50 kW</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最大输出功率</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110 kW</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77kW</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66kW</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55kW</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最大输出视在功率</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110 kVA</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77kVA</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66kVA</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55kVA</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额定输出电压</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220/380V</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480V</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220/380V</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220/380V</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输出电压频率</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50Hz</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50Hz</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50Hz</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50Hz</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最大输出电流</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≤167.1A</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≤92.6A</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≤100.3A</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≤83.6A</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功率因数</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0.8</w:t>
            </w:r>
            <w:r>
              <w:rPr>
                <w:rFonts w:hint="eastAsia" w:ascii="Times New Roman"/>
                <w:kern w:val="2"/>
                <w:position w:val="0"/>
                <w:sz w:val="18"/>
                <w:szCs w:val="18"/>
              </w:rPr>
              <w:t>（超前）</w:t>
            </w:r>
            <w:r>
              <w:rPr>
                <w:rFonts w:ascii="Times New Roman"/>
                <w:kern w:val="2"/>
                <w:position w:val="0"/>
                <w:sz w:val="18"/>
                <w:szCs w:val="18"/>
              </w:rPr>
              <w:t>~0.8</w:t>
            </w:r>
            <w:r>
              <w:rPr>
                <w:rFonts w:hint="eastAsia" w:ascii="Times New Roman"/>
                <w:kern w:val="2"/>
                <w:position w:val="0"/>
                <w:sz w:val="18"/>
                <w:szCs w:val="18"/>
              </w:rPr>
              <w:t>（滞后）</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0.8</w:t>
            </w:r>
            <w:r>
              <w:rPr>
                <w:rFonts w:hint="eastAsia" w:ascii="Times New Roman"/>
                <w:kern w:val="2"/>
                <w:position w:val="0"/>
                <w:sz w:val="18"/>
                <w:szCs w:val="18"/>
              </w:rPr>
              <w:t>（超前）</w:t>
            </w:r>
            <w:r>
              <w:rPr>
                <w:rFonts w:ascii="Times New Roman"/>
                <w:kern w:val="2"/>
                <w:position w:val="0"/>
                <w:sz w:val="18"/>
                <w:szCs w:val="18"/>
              </w:rPr>
              <w:t>~0.8</w:t>
            </w:r>
            <w:r>
              <w:rPr>
                <w:rFonts w:hint="eastAsia" w:ascii="Times New Roman"/>
                <w:kern w:val="2"/>
                <w:position w:val="0"/>
                <w:sz w:val="18"/>
                <w:szCs w:val="18"/>
              </w:rPr>
              <w:t>（滞后）</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0.8</w:t>
            </w:r>
            <w:r>
              <w:rPr>
                <w:rFonts w:hint="eastAsia" w:ascii="Times New Roman"/>
                <w:kern w:val="2"/>
                <w:position w:val="0"/>
                <w:sz w:val="18"/>
                <w:szCs w:val="18"/>
              </w:rPr>
              <w:t>（超前）</w:t>
            </w:r>
            <w:r>
              <w:rPr>
                <w:rFonts w:ascii="Times New Roman"/>
                <w:kern w:val="2"/>
                <w:position w:val="0"/>
                <w:sz w:val="18"/>
                <w:szCs w:val="18"/>
              </w:rPr>
              <w:t>~0.8</w:t>
            </w:r>
            <w:r>
              <w:rPr>
                <w:rFonts w:hint="eastAsia" w:ascii="Times New Roman"/>
                <w:kern w:val="2"/>
                <w:position w:val="0"/>
                <w:sz w:val="18"/>
                <w:szCs w:val="18"/>
              </w:rPr>
              <w:t>（滞后）</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0.8</w:t>
            </w:r>
            <w:r>
              <w:rPr>
                <w:rFonts w:hint="eastAsia" w:ascii="Times New Roman"/>
                <w:kern w:val="2"/>
                <w:position w:val="0"/>
                <w:sz w:val="18"/>
                <w:szCs w:val="18"/>
              </w:rPr>
              <w:t>（超前）</w:t>
            </w:r>
            <w:r>
              <w:rPr>
                <w:rFonts w:ascii="Times New Roman"/>
                <w:kern w:val="2"/>
                <w:position w:val="0"/>
                <w:sz w:val="18"/>
                <w:szCs w:val="18"/>
              </w:rPr>
              <w:t>~0.8</w:t>
            </w:r>
            <w:r>
              <w:rPr>
                <w:rFonts w:hint="eastAsia" w:ascii="Times New Roman"/>
                <w:kern w:val="2"/>
                <w:position w:val="0"/>
                <w:sz w:val="18"/>
                <w:szCs w:val="18"/>
              </w:rPr>
              <w:t>（滞后）</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最大总谐波失真</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3%</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3%</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3%</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3%</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效率</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最大效率</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≥98.70%</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≥98.70%</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≥98.70%</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≥98.70%</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中国效率</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≥98.10%</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≥98.30%</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≥98.10%</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≥98.10%</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保护</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输入直流开关</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防孤岛保护</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输出过流保护</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输入反接保护</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组串故障检测</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直流浪涌保护</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Ⅱ</w:t>
            </w:r>
            <w:r>
              <w:rPr>
                <w:rFonts w:hint="eastAsia" w:ascii="Times New Roman"/>
                <w:kern w:val="2"/>
                <w:position w:val="0"/>
                <w:sz w:val="18"/>
                <w:szCs w:val="18"/>
              </w:rPr>
              <w:t>级</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Ⅱ</w:t>
            </w:r>
            <w:r>
              <w:rPr>
                <w:rFonts w:hint="eastAsia" w:ascii="Times New Roman"/>
                <w:kern w:val="2"/>
                <w:position w:val="0"/>
                <w:sz w:val="18"/>
                <w:szCs w:val="18"/>
              </w:rPr>
              <w:t>级</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Ⅱ</w:t>
            </w:r>
            <w:r>
              <w:rPr>
                <w:rFonts w:hint="eastAsia" w:ascii="Times New Roman"/>
                <w:kern w:val="2"/>
                <w:position w:val="0"/>
                <w:sz w:val="18"/>
                <w:szCs w:val="18"/>
              </w:rPr>
              <w:t>级</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Ⅱ</w:t>
            </w:r>
            <w:r>
              <w:rPr>
                <w:rFonts w:hint="eastAsia" w:ascii="Times New Roman"/>
                <w:kern w:val="2"/>
                <w:position w:val="0"/>
                <w:sz w:val="18"/>
                <w:szCs w:val="18"/>
              </w:rPr>
              <w:t>级</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交流浪涌保护</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Ⅱ</w:t>
            </w:r>
            <w:r>
              <w:rPr>
                <w:rFonts w:hint="eastAsia" w:ascii="Times New Roman"/>
                <w:kern w:val="2"/>
                <w:position w:val="0"/>
                <w:sz w:val="18"/>
                <w:szCs w:val="18"/>
              </w:rPr>
              <w:t>级</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Ⅱ</w:t>
            </w:r>
            <w:r>
              <w:rPr>
                <w:rFonts w:hint="eastAsia" w:ascii="Times New Roman"/>
                <w:kern w:val="2"/>
                <w:position w:val="0"/>
                <w:sz w:val="18"/>
                <w:szCs w:val="18"/>
              </w:rPr>
              <w:t>级</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Ⅱ</w:t>
            </w:r>
            <w:r>
              <w:rPr>
                <w:rFonts w:hint="eastAsia" w:ascii="Times New Roman"/>
                <w:kern w:val="2"/>
                <w:position w:val="0"/>
                <w:sz w:val="18"/>
                <w:szCs w:val="18"/>
              </w:rPr>
              <w:t>级</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Ⅱ</w:t>
            </w:r>
            <w:r>
              <w:rPr>
                <w:rFonts w:hint="eastAsia" w:ascii="Times New Roman"/>
                <w:kern w:val="2"/>
                <w:position w:val="0"/>
                <w:sz w:val="18"/>
                <w:szCs w:val="18"/>
              </w:rPr>
              <w:t>级</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绝缘阻抗检测</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残余电流监测</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显示与通信</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显示</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LED</w:t>
            </w:r>
            <w:r>
              <w:rPr>
                <w:rFonts w:hint="eastAsia" w:ascii="Times New Roman"/>
                <w:kern w:val="2"/>
                <w:position w:val="0"/>
                <w:sz w:val="18"/>
                <w:szCs w:val="18"/>
              </w:rPr>
              <w:t>指示灯，蓝牙</w:t>
            </w:r>
            <w:r>
              <w:rPr>
                <w:rFonts w:ascii="Times New Roman"/>
                <w:kern w:val="2"/>
                <w:position w:val="0"/>
                <w:sz w:val="18"/>
                <w:szCs w:val="18"/>
              </w:rPr>
              <w:t>+APP</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LED</w:t>
            </w:r>
            <w:r>
              <w:rPr>
                <w:rFonts w:hint="eastAsia" w:ascii="Times New Roman"/>
                <w:kern w:val="2"/>
                <w:position w:val="0"/>
                <w:sz w:val="18"/>
                <w:szCs w:val="18"/>
              </w:rPr>
              <w:t>指示灯，蓝牙</w:t>
            </w:r>
            <w:r>
              <w:rPr>
                <w:rFonts w:ascii="Times New Roman"/>
                <w:kern w:val="2"/>
                <w:position w:val="0"/>
                <w:sz w:val="18"/>
                <w:szCs w:val="18"/>
              </w:rPr>
              <w:t>+APP</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LED</w:t>
            </w:r>
            <w:r>
              <w:rPr>
                <w:rFonts w:hint="eastAsia" w:ascii="Times New Roman"/>
                <w:kern w:val="2"/>
                <w:position w:val="0"/>
                <w:sz w:val="18"/>
                <w:szCs w:val="18"/>
              </w:rPr>
              <w:t>指示灯，蓝牙</w:t>
            </w:r>
            <w:r>
              <w:rPr>
                <w:rFonts w:ascii="Times New Roman"/>
                <w:kern w:val="2"/>
                <w:position w:val="0"/>
                <w:sz w:val="18"/>
                <w:szCs w:val="18"/>
              </w:rPr>
              <w:t>+APP</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LED</w:t>
            </w:r>
            <w:r>
              <w:rPr>
                <w:rFonts w:hint="eastAsia" w:ascii="Times New Roman"/>
                <w:kern w:val="2"/>
                <w:position w:val="0"/>
                <w:sz w:val="18"/>
                <w:szCs w:val="18"/>
              </w:rPr>
              <w:t>指示灯，蓝牙</w:t>
            </w:r>
            <w:r>
              <w:rPr>
                <w:rFonts w:ascii="Times New Roman"/>
                <w:kern w:val="2"/>
                <w:position w:val="0"/>
                <w:sz w:val="18"/>
                <w:szCs w:val="18"/>
              </w:rPr>
              <w:t>+APP</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RS485</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USB</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MBUS</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支持</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常规参数</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　</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尺寸（宽</w:t>
            </w:r>
            <w:r>
              <w:rPr>
                <w:rFonts w:ascii="Times New Roman"/>
                <w:kern w:val="2"/>
                <w:position w:val="0"/>
                <w:sz w:val="18"/>
                <w:szCs w:val="18"/>
              </w:rPr>
              <w:t>/</w:t>
            </w:r>
            <w:r>
              <w:rPr>
                <w:rFonts w:hint="eastAsia" w:ascii="Times New Roman"/>
                <w:kern w:val="2"/>
                <w:position w:val="0"/>
                <w:sz w:val="18"/>
                <w:szCs w:val="18"/>
              </w:rPr>
              <w:t>高</w:t>
            </w:r>
            <w:r>
              <w:rPr>
                <w:rFonts w:ascii="Times New Roman"/>
                <w:kern w:val="2"/>
                <w:position w:val="0"/>
                <w:sz w:val="18"/>
                <w:szCs w:val="18"/>
              </w:rPr>
              <w:t>/</w:t>
            </w:r>
            <w:r>
              <w:rPr>
                <w:rFonts w:hint="eastAsia" w:ascii="Times New Roman"/>
                <w:kern w:val="2"/>
                <w:position w:val="0"/>
                <w:sz w:val="18"/>
                <w:szCs w:val="18"/>
              </w:rPr>
              <w:t>厚）</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重量（含挂架）</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工作环境温度范围</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-25°C~60°C</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-25°C~60°C</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-25°C~60°C</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-25°C~60°C</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最高工作海拔</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4000m</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4000m</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4000m</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4000m</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相对湿度</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0~100%</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0~100%</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0~100%</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0~100%</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防护等级</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IP66</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IP66</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IP66</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ascii="Times New Roman"/>
                <w:kern w:val="2"/>
                <w:position w:val="0"/>
                <w:sz w:val="18"/>
                <w:szCs w:val="18"/>
              </w:rPr>
              <w:t>IP66</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936"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拓扑</w:t>
            </w:r>
          </w:p>
        </w:tc>
        <w:tc>
          <w:tcPr>
            <w:tcW w:w="684"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无变压器</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无变压器</w:t>
            </w:r>
          </w:p>
        </w:tc>
        <w:tc>
          <w:tcPr>
            <w:tcW w:w="683"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无变压器</w:t>
            </w:r>
          </w:p>
        </w:tc>
        <w:tc>
          <w:tcPr>
            <w:tcW w:w="635" w:type="pct"/>
            <w:shd w:val="clear" w:color="auto" w:fill="auto"/>
            <w:vAlign w:val="center"/>
          </w:tcPr>
          <w:p>
            <w:pPr>
              <w:adjustRightInd w:val="0"/>
              <w:snapToGrid w:val="0"/>
              <w:spacing w:line="240" w:lineRule="auto"/>
              <w:ind w:firstLine="0" w:firstLineChars="0"/>
              <w:jc w:val="center"/>
              <w:rPr>
                <w:rFonts w:ascii="Times New Roman"/>
                <w:kern w:val="2"/>
                <w:position w:val="0"/>
                <w:sz w:val="18"/>
                <w:szCs w:val="18"/>
              </w:rPr>
            </w:pPr>
            <w:r>
              <w:rPr>
                <w:rFonts w:hint="eastAsia" w:ascii="Times New Roman"/>
                <w:kern w:val="2"/>
                <w:position w:val="0"/>
                <w:sz w:val="18"/>
                <w:szCs w:val="18"/>
              </w:rPr>
              <w:t>无变压器</w:t>
            </w:r>
          </w:p>
        </w:tc>
        <w:tc>
          <w:tcPr>
            <w:tcW w:w="386"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1"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c>
          <w:tcPr>
            <w:tcW w:w="330" w:type="pct"/>
            <w:shd w:val="clear" w:color="auto" w:fill="auto"/>
            <w:noWrap/>
            <w:vAlign w:val="center"/>
          </w:tcPr>
          <w:p>
            <w:pPr>
              <w:adjustRightInd w:val="0"/>
              <w:snapToGrid w:val="0"/>
              <w:spacing w:line="240" w:lineRule="auto"/>
              <w:ind w:firstLine="0" w:firstLineChars="0"/>
              <w:jc w:val="center"/>
              <w:rPr>
                <w:rFonts w:ascii="Times New Roman"/>
                <w:kern w:val="2"/>
                <w:position w:val="0"/>
                <w:sz w:val="18"/>
                <w:szCs w:val="22"/>
              </w:rPr>
            </w:pPr>
            <w:r>
              <w:rPr>
                <w:rFonts w:hint="eastAsia" w:ascii="Times New Roman"/>
                <w:kern w:val="2"/>
                <w:position w:val="0"/>
                <w:sz w:val="18"/>
                <w:szCs w:val="22"/>
              </w:rPr>
              <w:t>　</w:t>
            </w:r>
          </w:p>
        </w:tc>
      </w:tr>
    </w:tbl>
    <w:p>
      <w:pPr>
        <w:pStyle w:val="4"/>
        <w:adjustRightInd w:val="0"/>
        <w:snapToGrid w:val="0"/>
        <w:spacing w:before="156" w:beforeLines="50" w:after="156" w:afterLines="50"/>
        <w:rPr>
          <w:rFonts w:ascii="Times New Roman" w:hAnsi="Times New Roman" w:eastAsia="宋体"/>
          <w:b/>
        </w:rPr>
      </w:pPr>
      <w:r>
        <w:rPr>
          <w:rFonts w:ascii="Times New Roman" w:hAnsi="Times New Roman" w:eastAsia="宋体"/>
          <w:b/>
        </w:rPr>
        <w:t>第六条  技术资料、产品样品</w:t>
      </w:r>
      <w:bookmarkEnd w:id="47"/>
      <w:bookmarkEnd w:id="48"/>
      <w:bookmarkEnd w:id="49"/>
      <w:bookmarkEnd w:id="50"/>
      <w:bookmarkEnd w:id="51"/>
      <w:bookmarkEnd w:id="52"/>
      <w:bookmarkEnd w:id="53"/>
    </w:p>
    <w:p>
      <w:pPr>
        <w:adjustRightInd w:val="0"/>
        <w:snapToGrid w:val="0"/>
        <w:ind w:firstLine="560"/>
        <w:rPr>
          <w:rFonts w:ascii="Times New Roman"/>
          <w:kern w:val="2"/>
          <w:position w:val="0"/>
        </w:rPr>
      </w:pPr>
      <w:r>
        <w:rPr>
          <w:rFonts w:ascii="Times New Roman"/>
          <w:kern w:val="2"/>
          <w:position w:val="0"/>
        </w:rPr>
        <w:t>6.1  承包方向发包方提供的技术文件及图纸等资料费用计入合同总价。</w:t>
      </w:r>
    </w:p>
    <w:p>
      <w:pPr>
        <w:adjustRightInd w:val="0"/>
        <w:snapToGrid w:val="0"/>
        <w:ind w:firstLine="560"/>
        <w:rPr>
          <w:rFonts w:ascii="Times New Roman"/>
          <w:kern w:val="2"/>
          <w:position w:val="0"/>
        </w:rPr>
      </w:pPr>
      <w:r>
        <w:rPr>
          <w:rFonts w:ascii="Times New Roman"/>
          <w:kern w:val="2"/>
          <w:position w:val="0"/>
        </w:rPr>
        <w:t>6.2  承包方所提供的各种技术资料能满足采购人对电站设计以及安装调试、运行试验和维护的要求。</w:t>
      </w:r>
    </w:p>
    <w:p>
      <w:pPr>
        <w:adjustRightInd w:val="0"/>
        <w:snapToGrid w:val="0"/>
        <w:ind w:firstLine="560"/>
        <w:rPr>
          <w:rFonts w:ascii="Times New Roman"/>
          <w:kern w:val="2"/>
          <w:position w:val="0"/>
        </w:rPr>
      </w:pPr>
      <w:r>
        <w:rPr>
          <w:rFonts w:ascii="Times New Roman"/>
          <w:kern w:val="2"/>
          <w:position w:val="0"/>
        </w:rPr>
        <w:t>6.3  承包方保证技术文件及图纸清除污物、封装良好、并按系统分类提供给发包方。</w:t>
      </w:r>
    </w:p>
    <w:p>
      <w:pPr>
        <w:adjustRightInd w:val="0"/>
        <w:snapToGrid w:val="0"/>
        <w:ind w:firstLine="560"/>
        <w:rPr>
          <w:rFonts w:ascii="Times New Roman"/>
          <w:kern w:val="2"/>
          <w:position w:val="0"/>
        </w:rPr>
      </w:pPr>
      <w:r>
        <w:rPr>
          <w:rFonts w:ascii="Times New Roman"/>
          <w:kern w:val="2"/>
          <w:position w:val="0"/>
        </w:rPr>
        <w:t>6.4  承包方保证随最后一批资料供给一套完整的全套图纸、资料和手册的总清单。</w:t>
      </w:r>
    </w:p>
    <w:p>
      <w:pPr>
        <w:adjustRightInd w:val="0"/>
        <w:snapToGrid w:val="0"/>
        <w:ind w:firstLine="560"/>
        <w:rPr>
          <w:rFonts w:ascii="Times New Roman"/>
          <w:kern w:val="2"/>
          <w:position w:val="0"/>
        </w:rPr>
      </w:pPr>
      <w:r>
        <w:rPr>
          <w:rFonts w:ascii="Times New Roman"/>
          <w:kern w:val="2"/>
          <w:position w:val="0"/>
        </w:rPr>
        <w:t>6.5  承包方提供的技术文件及图纸：</w:t>
      </w:r>
    </w:p>
    <w:p>
      <w:pPr>
        <w:adjustRightInd w:val="0"/>
        <w:snapToGrid w:val="0"/>
        <w:ind w:firstLine="560"/>
        <w:rPr>
          <w:rFonts w:ascii="Times New Roman"/>
          <w:kern w:val="2"/>
          <w:position w:val="0"/>
        </w:rPr>
      </w:pPr>
      <w:r>
        <w:rPr>
          <w:rFonts w:ascii="Times New Roman"/>
          <w:kern w:val="2"/>
          <w:position w:val="0"/>
        </w:rPr>
        <w:t>6.5.1  企业概况、资质、证书；</w:t>
      </w:r>
    </w:p>
    <w:p>
      <w:pPr>
        <w:adjustRightInd w:val="0"/>
        <w:snapToGrid w:val="0"/>
        <w:ind w:firstLine="560"/>
        <w:rPr>
          <w:rFonts w:ascii="Times New Roman"/>
          <w:kern w:val="2"/>
          <w:position w:val="0"/>
        </w:rPr>
      </w:pPr>
      <w:r>
        <w:rPr>
          <w:rFonts w:ascii="Times New Roman"/>
          <w:kern w:val="2"/>
          <w:position w:val="0"/>
        </w:rPr>
        <w:t>6.5.2  主要设备供应商概况；</w:t>
      </w:r>
    </w:p>
    <w:p>
      <w:pPr>
        <w:adjustRightInd w:val="0"/>
        <w:snapToGrid w:val="0"/>
        <w:ind w:firstLine="560"/>
        <w:rPr>
          <w:rFonts w:ascii="Times New Roman"/>
          <w:kern w:val="2"/>
          <w:position w:val="0"/>
        </w:rPr>
      </w:pPr>
      <w:r>
        <w:rPr>
          <w:rFonts w:ascii="Times New Roman"/>
          <w:kern w:val="2"/>
          <w:position w:val="0"/>
        </w:rPr>
        <w:t>6.5.3  产品外形图片、尺寸图纸和安装指导书；</w:t>
      </w:r>
    </w:p>
    <w:p>
      <w:pPr>
        <w:adjustRightInd w:val="0"/>
        <w:snapToGrid w:val="0"/>
        <w:ind w:firstLine="560"/>
        <w:rPr>
          <w:rFonts w:ascii="Times New Roman"/>
          <w:kern w:val="2"/>
          <w:position w:val="0"/>
        </w:rPr>
      </w:pPr>
      <w:r>
        <w:rPr>
          <w:rFonts w:ascii="Times New Roman"/>
          <w:kern w:val="2"/>
          <w:position w:val="0"/>
        </w:rPr>
        <w:t>6.5.4  产品参数表；</w:t>
      </w:r>
    </w:p>
    <w:p>
      <w:pPr>
        <w:adjustRightInd w:val="0"/>
        <w:snapToGrid w:val="0"/>
        <w:ind w:firstLine="560"/>
        <w:rPr>
          <w:rFonts w:ascii="Times New Roman"/>
          <w:kern w:val="2"/>
          <w:position w:val="0"/>
        </w:rPr>
      </w:pPr>
      <w:r>
        <w:rPr>
          <w:rFonts w:ascii="Times New Roman"/>
          <w:kern w:val="2"/>
          <w:position w:val="0"/>
        </w:rPr>
        <w:t>6.5.5  技术方案</w:t>
      </w:r>
    </w:p>
    <w:p>
      <w:pPr>
        <w:adjustRightInd w:val="0"/>
        <w:snapToGrid w:val="0"/>
        <w:ind w:firstLine="560"/>
        <w:rPr>
          <w:rFonts w:ascii="Times New Roman"/>
          <w:kern w:val="2"/>
          <w:position w:val="0"/>
        </w:rPr>
      </w:pPr>
      <w:r>
        <w:rPr>
          <w:rFonts w:ascii="Times New Roman"/>
          <w:kern w:val="2"/>
          <w:position w:val="0"/>
        </w:rPr>
        <w:t>6.6  发包方提供的技术文件</w:t>
      </w:r>
    </w:p>
    <w:p>
      <w:pPr>
        <w:adjustRightInd w:val="0"/>
        <w:snapToGrid w:val="0"/>
        <w:ind w:firstLine="560"/>
        <w:rPr>
          <w:rFonts w:ascii="Times New Roman"/>
          <w:kern w:val="2"/>
          <w:position w:val="0"/>
        </w:rPr>
      </w:pPr>
      <w:r>
        <w:rPr>
          <w:rFonts w:ascii="Times New Roman"/>
          <w:kern w:val="2"/>
          <w:position w:val="0"/>
        </w:rPr>
        <w:t>发包方提供的技术文件在技术谈判时，供、需双方根据设计条件共同商定。</w:t>
      </w:r>
      <w:bookmarkStart w:id="54" w:name="_Toc179565548"/>
    </w:p>
    <w:p>
      <w:pPr>
        <w:adjustRightInd w:val="0"/>
        <w:snapToGrid w:val="0"/>
        <w:ind w:firstLine="560"/>
        <w:rPr>
          <w:rFonts w:ascii="Times New Roman"/>
          <w:kern w:val="2"/>
          <w:position w:val="0"/>
        </w:rPr>
      </w:pPr>
      <w:bookmarkStart w:id="55" w:name="_Toc359425890"/>
      <w:bookmarkStart w:id="56" w:name="_Toc297649174"/>
      <w:bookmarkStart w:id="57" w:name="_Toc330899446"/>
      <w:bookmarkStart w:id="58" w:name="_Toc419980648"/>
      <w:bookmarkStart w:id="59" w:name="_Toc297829609"/>
      <w:r>
        <w:rPr>
          <w:rFonts w:ascii="Times New Roman"/>
          <w:kern w:val="2"/>
          <w:position w:val="0"/>
        </w:rPr>
        <w:t>6.7  供货及工程范围及交付进度和要求</w:t>
      </w:r>
      <w:bookmarkEnd w:id="55"/>
      <w:bookmarkEnd w:id="56"/>
      <w:bookmarkEnd w:id="57"/>
      <w:bookmarkEnd w:id="58"/>
      <w:bookmarkEnd w:id="59"/>
    </w:p>
    <w:p>
      <w:pPr>
        <w:adjustRightInd w:val="0"/>
        <w:snapToGrid w:val="0"/>
        <w:ind w:firstLine="560"/>
        <w:rPr>
          <w:rFonts w:ascii="Times New Roman"/>
          <w:kern w:val="2"/>
          <w:position w:val="0"/>
        </w:rPr>
      </w:pPr>
      <w:r>
        <w:rPr>
          <w:rFonts w:ascii="Times New Roman"/>
          <w:kern w:val="2"/>
          <w:position w:val="0"/>
        </w:rPr>
        <w:t>6.7.1  供货及工程范围：</w:t>
      </w:r>
    </w:p>
    <w:p>
      <w:pPr>
        <w:adjustRightInd w:val="0"/>
        <w:snapToGrid w:val="0"/>
        <w:ind w:firstLine="560"/>
        <w:rPr>
          <w:rFonts w:ascii="Times New Roman"/>
          <w:kern w:val="2"/>
          <w:position w:val="0"/>
        </w:rPr>
      </w:pPr>
      <w:r>
        <w:rPr>
          <w:rFonts w:ascii="Times New Roman"/>
          <w:kern w:val="2"/>
          <w:position w:val="0"/>
        </w:rPr>
        <w:t>6.7.1.1  光伏发电所有系统设备。</w:t>
      </w:r>
    </w:p>
    <w:p>
      <w:pPr>
        <w:adjustRightInd w:val="0"/>
        <w:snapToGrid w:val="0"/>
        <w:ind w:firstLine="560"/>
        <w:rPr>
          <w:rFonts w:ascii="Times New Roman"/>
          <w:kern w:val="2"/>
          <w:position w:val="0"/>
        </w:rPr>
      </w:pPr>
      <w:r>
        <w:rPr>
          <w:rFonts w:ascii="Times New Roman"/>
          <w:kern w:val="2"/>
          <w:position w:val="0"/>
        </w:rPr>
        <w:t>6.7.1.2  接入系统、通信、系统保护等装置设备</w:t>
      </w:r>
    </w:p>
    <w:p>
      <w:pPr>
        <w:adjustRightInd w:val="0"/>
        <w:snapToGrid w:val="0"/>
        <w:ind w:firstLine="560"/>
        <w:rPr>
          <w:rFonts w:ascii="Times New Roman"/>
          <w:kern w:val="2"/>
          <w:position w:val="0"/>
        </w:rPr>
      </w:pPr>
      <w:r>
        <w:rPr>
          <w:rFonts w:ascii="Times New Roman"/>
          <w:kern w:val="2"/>
          <w:position w:val="0"/>
        </w:rPr>
        <w:t>6.7.1.3  随机备品备件。</w:t>
      </w:r>
    </w:p>
    <w:p>
      <w:pPr>
        <w:adjustRightInd w:val="0"/>
        <w:snapToGrid w:val="0"/>
        <w:ind w:firstLine="560"/>
        <w:rPr>
          <w:rFonts w:ascii="Times New Roman"/>
          <w:kern w:val="2"/>
          <w:position w:val="0"/>
        </w:rPr>
      </w:pPr>
      <w:r>
        <w:rPr>
          <w:rFonts w:ascii="Times New Roman"/>
          <w:kern w:val="2"/>
          <w:position w:val="0"/>
        </w:rPr>
        <w:t>6.7.1.4  安装、检修专用工具。</w:t>
      </w:r>
    </w:p>
    <w:p>
      <w:pPr>
        <w:adjustRightInd w:val="0"/>
        <w:snapToGrid w:val="0"/>
        <w:ind w:firstLine="560"/>
        <w:rPr>
          <w:rFonts w:ascii="Times New Roman"/>
          <w:kern w:val="2"/>
          <w:position w:val="0"/>
        </w:rPr>
      </w:pPr>
      <w:r>
        <w:rPr>
          <w:rFonts w:ascii="Times New Roman"/>
          <w:kern w:val="2"/>
          <w:position w:val="0"/>
        </w:rPr>
        <w:t>6.7.1.5  光伏设备的电气安装。</w:t>
      </w:r>
    </w:p>
    <w:p>
      <w:pPr>
        <w:adjustRightInd w:val="0"/>
        <w:snapToGrid w:val="0"/>
        <w:ind w:firstLine="560"/>
        <w:rPr>
          <w:rFonts w:ascii="Times New Roman"/>
          <w:kern w:val="2"/>
          <w:position w:val="0"/>
        </w:rPr>
      </w:pPr>
      <w:r>
        <w:rPr>
          <w:rFonts w:ascii="Times New Roman"/>
          <w:kern w:val="2"/>
          <w:position w:val="0"/>
        </w:rPr>
        <w:t>6.7.1.6  系统整套的设备说明书、图纸和使用维护手册。</w:t>
      </w:r>
    </w:p>
    <w:p>
      <w:pPr>
        <w:adjustRightInd w:val="0"/>
        <w:snapToGrid w:val="0"/>
        <w:ind w:firstLine="560"/>
        <w:rPr>
          <w:rFonts w:ascii="Times New Roman"/>
          <w:kern w:val="2"/>
          <w:position w:val="0"/>
        </w:rPr>
      </w:pPr>
      <w:r>
        <w:rPr>
          <w:rFonts w:ascii="Times New Roman"/>
          <w:kern w:val="2"/>
          <w:position w:val="0"/>
        </w:rPr>
        <w:t>6 2  承包方为本工程提供至少以下技术服务内容:</w:t>
      </w:r>
    </w:p>
    <w:p>
      <w:pPr>
        <w:adjustRightInd w:val="0"/>
        <w:snapToGrid w:val="0"/>
        <w:ind w:firstLine="560"/>
        <w:rPr>
          <w:rFonts w:ascii="Times New Roman"/>
          <w:kern w:val="2"/>
          <w:position w:val="0"/>
        </w:rPr>
      </w:pPr>
      <w:r>
        <w:rPr>
          <w:rFonts w:ascii="Times New Roman"/>
          <w:kern w:val="2"/>
          <w:position w:val="0"/>
        </w:rPr>
        <w:t>6.2.1  系统安装；</w:t>
      </w:r>
    </w:p>
    <w:p>
      <w:pPr>
        <w:adjustRightInd w:val="0"/>
        <w:snapToGrid w:val="0"/>
        <w:ind w:firstLine="560"/>
        <w:rPr>
          <w:rFonts w:ascii="Times New Roman"/>
          <w:kern w:val="2"/>
          <w:position w:val="0"/>
        </w:rPr>
      </w:pPr>
      <w:r>
        <w:rPr>
          <w:rFonts w:ascii="Times New Roman"/>
          <w:kern w:val="2"/>
          <w:position w:val="0"/>
        </w:rPr>
        <w:t>6.2.2  系统调试；</w:t>
      </w:r>
    </w:p>
    <w:p>
      <w:pPr>
        <w:adjustRightInd w:val="0"/>
        <w:snapToGrid w:val="0"/>
        <w:ind w:firstLine="560"/>
        <w:rPr>
          <w:rFonts w:ascii="Times New Roman"/>
          <w:kern w:val="2"/>
          <w:position w:val="0"/>
        </w:rPr>
      </w:pPr>
      <w:r>
        <w:rPr>
          <w:rFonts w:ascii="Times New Roman"/>
          <w:kern w:val="2"/>
          <w:position w:val="0"/>
        </w:rPr>
        <w:t>6.2.3  验收测试；</w:t>
      </w:r>
    </w:p>
    <w:p>
      <w:pPr>
        <w:adjustRightInd w:val="0"/>
        <w:snapToGrid w:val="0"/>
        <w:ind w:firstLine="560"/>
        <w:rPr>
          <w:rFonts w:ascii="Times New Roman"/>
          <w:kern w:val="2"/>
          <w:position w:val="0"/>
        </w:rPr>
      </w:pPr>
      <w:r>
        <w:rPr>
          <w:rFonts w:ascii="Times New Roman"/>
          <w:kern w:val="2"/>
          <w:position w:val="0"/>
        </w:rPr>
        <w:t>6.2.4  工厂检验；</w:t>
      </w:r>
    </w:p>
    <w:p>
      <w:pPr>
        <w:adjustRightInd w:val="0"/>
        <w:snapToGrid w:val="0"/>
        <w:ind w:firstLine="560"/>
        <w:rPr>
          <w:rFonts w:ascii="Times New Roman"/>
          <w:kern w:val="2"/>
          <w:position w:val="0"/>
        </w:rPr>
      </w:pPr>
      <w:r>
        <w:rPr>
          <w:rFonts w:ascii="Times New Roman"/>
          <w:kern w:val="2"/>
          <w:position w:val="0"/>
        </w:rPr>
        <w:t>6.2.5  培训；</w:t>
      </w:r>
    </w:p>
    <w:p>
      <w:pPr>
        <w:adjustRightInd w:val="0"/>
        <w:snapToGrid w:val="0"/>
        <w:ind w:firstLine="560"/>
        <w:rPr>
          <w:rFonts w:ascii="Times New Roman"/>
          <w:kern w:val="2"/>
          <w:position w:val="0"/>
        </w:rPr>
      </w:pPr>
      <w:r>
        <w:rPr>
          <w:rFonts w:ascii="Times New Roman"/>
          <w:kern w:val="2"/>
          <w:position w:val="0"/>
        </w:rPr>
        <w:t>6.2.6  售后服务；</w:t>
      </w:r>
    </w:p>
    <w:p>
      <w:pPr>
        <w:adjustRightInd w:val="0"/>
        <w:snapToGrid w:val="0"/>
        <w:ind w:firstLine="560"/>
        <w:rPr>
          <w:rFonts w:ascii="Times New Roman"/>
          <w:kern w:val="2"/>
          <w:position w:val="0"/>
        </w:rPr>
      </w:pPr>
      <w:r>
        <w:rPr>
          <w:rFonts w:ascii="Times New Roman"/>
          <w:kern w:val="2"/>
          <w:position w:val="0"/>
        </w:rPr>
        <w:t>6.3  承包方须提供一份《供货范围明细表(不含价格)》。</w:t>
      </w:r>
    </w:p>
    <w:p>
      <w:pPr>
        <w:adjustRightInd w:val="0"/>
        <w:snapToGrid w:val="0"/>
        <w:ind w:firstLine="560"/>
        <w:rPr>
          <w:rFonts w:ascii="Times New Roman"/>
          <w:kern w:val="2"/>
          <w:position w:val="0"/>
        </w:rPr>
      </w:pPr>
      <w:r>
        <w:rPr>
          <w:rFonts w:ascii="Times New Roman"/>
          <w:kern w:val="2"/>
          <w:position w:val="0"/>
        </w:rPr>
        <w:t>6.4  承包方须提供一份《工程实施进度表》(含图纸供应)。</w:t>
      </w:r>
    </w:p>
    <w:p>
      <w:pPr>
        <w:adjustRightInd w:val="0"/>
        <w:snapToGrid w:val="0"/>
        <w:ind w:firstLine="560"/>
        <w:rPr>
          <w:rFonts w:ascii="Times New Roman"/>
          <w:kern w:val="2"/>
          <w:position w:val="0"/>
        </w:rPr>
      </w:pPr>
      <w:r>
        <w:rPr>
          <w:rFonts w:ascii="Times New Roman"/>
          <w:kern w:val="2"/>
          <w:position w:val="0"/>
        </w:rPr>
        <w:t>6.5  本合同所需设备能满足工程进度，分期分批交付。</w:t>
      </w:r>
    </w:p>
    <w:p>
      <w:pPr>
        <w:adjustRightInd w:val="0"/>
        <w:snapToGrid w:val="0"/>
        <w:ind w:firstLine="560"/>
        <w:rPr>
          <w:rFonts w:ascii="Times New Roman"/>
          <w:kern w:val="2"/>
          <w:position w:val="0"/>
        </w:rPr>
      </w:pPr>
      <w:r>
        <w:rPr>
          <w:rFonts w:ascii="Times New Roman"/>
          <w:kern w:val="2"/>
          <w:position w:val="0"/>
        </w:rPr>
        <w:t>6.6  承包方交付的所有货物符合通用的包装储运指示标志的规定及具有适合长途运输、多次搬运和装卸的坚固包装。包装保证在运输、装卸过程中完好无损，并有防雨、减震、防冲击的措施。包装能防止运输、装卸过程中垂直、水平加速度引起的设备损坏。包装按设备特点，按需要分别加上防潮、防霉、防锈、防腐蚀的保护措施，保证货物在没有任何损坏和腐蚀的情况下安全运抵指定现场。产品包装前，承包方负责按部套进行检查清理，不留异物，并保证零部件齐全。</w:t>
      </w:r>
    </w:p>
    <w:p>
      <w:pPr>
        <w:adjustRightInd w:val="0"/>
        <w:snapToGrid w:val="0"/>
        <w:ind w:firstLine="560"/>
        <w:rPr>
          <w:rFonts w:ascii="Times New Roman"/>
          <w:kern w:val="2"/>
          <w:position w:val="0"/>
        </w:rPr>
      </w:pPr>
      <w:r>
        <w:rPr>
          <w:rFonts w:ascii="Times New Roman"/>
          <w:kern w:val="2"/>
          <w:position w:val="0"/>
        </w:rPr>
        <w:t>6.7  承包方对包装箱内的各散装部件在装配图中的部件号、零件号标记清楚。</w:t>
      </w:r>
    </w:p>
    <w:p>
      <w:pPr>
        <w:adjustRightInd w:val="0"/>
        <w:snapToGrid w:val="0"/>
        <w:ind w:firstLine="560"/>
        <w:rPr>
          <w:rFonts w:ascii="Times New Roman"/>
          <w:kern w:val="2"/>
          <w:position w:val="0"/>
        </w:rPr>
      </w:pPr>
      <w:r>
        <w:rPr>
          <w:rFonts w:ascii="Times New Roman"/>
          <w:kern w:val="2"/>
          <w:position w:val="0"/>
        </w:rPr>
        <w:t>6.8 承包方在组件货品外包装上标明每块电池板的编号、参数和主要性能指标。</w:t>
      </w:r>
    </w:p>
    <w:p>
      <w:pPr>
        <w:adjustRightInd w:val="0"/>
        <w:snapToGrid w:val="0"/>
        <w:ind w:firstLine="560"/>
        <w:rPr>
          <w:rFonts w:ascii="Times New Roman"/>
          <w:kern w:val="2"/>
          <w:position w:val="0"/>
        </w:rPr>
      </w:pPr>
      <w:r>
        <w:rPr>
          <w:rFonts w:ascii="Times New Roman"/>
          <w:kern w:val="2"/>
          <w:position w:val="0"/>
        </w:rPr>
        <w:t>6.9  承包方在每件包装箱的两个侧面上，采用不褪色的油漆以明显易见的中文印刷唛头，唛头有以下内容：</w:t>
      </w:r>
    </w:p>
    <w:p>
      <w:pPr>
        <w:adjustRightInd w:val="0"/>
        <w:snapToGrid w:val="0"/>
        <w:ind w:firstLine="560"/>
        <w:rPr>
          <w:rFonts w:ascii="Times New Roman"/>
          <w:kern w:val="2"/>
          <w:position w:val="0"/>
        </w:rPr>
      </w:pPr>
      <w:r>
        <w:rPr>
          <w:rFonts w:ascii="Times New Roman"/>
          <w:kern w:val="2"/>
          <w:position w:val="0"/>
        </w:rPr>
        <w:t>6.9.1  收货单位名称；</w:t>
      </w:r>
    </w:p>
    <w:p>
      <w:pPr>
        <w:adjustRightInd w:val="0"/>
        <w:snapToGrid w:val="0"/>
        <w:ind w:firstLine="560"/>
        <w:rPr>
          <w:rFonts w:ascii="Times New Roman"/>
          <w:kern w:val="2"/>
          <w:position w:val="0"/>
        </w:rPr>
      </w:pPr>
      <w:r>
        <w:rPr>
          <w:rFonts w:ascii="Times New Roman"/>
          <w:kern w:val="2"/>
          <w:position w:val="0"/>
        </w:rPr>
        <w:t>6.9.2  发货单位名称；</w:t>
      </w:r>
    </w:p>
    <w:p>
      <w:pPr>
        <w:adjustRightInd w:val="0"/>
        <w:snapToGrid w:val="0"/>
        <w:ind w:firstLine="560"/>
        <w:rPr>
          <w:rFonts w:ascii="Times New Roman"/>
          <w:kern w:val="2"/>
          <w:position w:val="0"/>
        </w:rPr>
      </w:pPr>
      <w:r>
        <w:rPr>
          <w:rFonts w:ascii="Times New Roman"/>
          <w:kern w:val="2"/>
          <w:position w:val="0"/>
        </w:rPr>
        <w:t>6.9.3  设备名称或代号；</w:t>
      </w:r>
    </w:p>
    <w:p>
      <w:pPr>
        <w:adjustRightInd w:val="0"/>
        <w:snapToGrid w:val="0"/>
        <w:ind w:firstLine="560"/>
        <w:rPr>
          <w:rFonts w:ascii="Times New Roman"/>
          <w:kern w:val="2"/>
          <w:position w:val="0"/>
        </w:rPr>
      </w:pPr>
      <w:r>
        <w:rPr>
          <w:rFonts w:ascii="Times New Roman"/>
          <w:kern w:val="2"/>
          <w:position w:val="0"/>
        </w:rPr>
        <w:t>6.9.4  箱号；</w:t>
      </w:r>
    </w:p>
    <w:p>
      <w:pPr>
        <w:adjustRightInd w:val="0"/>
        <w:snapToGrid w:val="0"/>
        <w:ind w:firstLine="560"/>
        <w:rPr>
          <w:rFonts w:ascii="Times New Roman"/>
          <w:kern w:val="2"/>
          <w:position w:val="0"/>
        </w:rPr>
      </w:pPr>
      <w:r>
        <w:rPr>
          <w:rFonts w:ascii="Times New Roman"/>
          <w:kern w:val="2"/>
          <w:position w:val="0"/>
        </w:rPr>
        <w:t>6.9.5  毛重／净重</w:t>
      </w:r>
      <w:r>
        <w:rPr>
          <w:rFonts w:hint="eastAsia" w:ascii="Times New Roman"/>
          <w:kern w:val="2"/>
          <w:position w:val="0"/>
        </w:rPr>
        <w:t>（</w:t>
      </w:r>
      <w:r>
        <w:rPr>
          <w:rFonts w:ascii="Times New Roman"/>
          <w:kern w:val="2"/>
          <w:position w:val="0"/>
        </w:rPr>
        <w:t>公斤</w:t>
      </w:r>
      <w:r>
        <w:rPr>
          <w:rFonts w:hint="eastAsia" w:ascii="Times New Roman"/>
          <w:kern w:val="2"/>
          <w:position w:val="0"/>
        </w:rPr>
        <w:t>）</w:t>
      </w:r>
      <w:r>
        <w:rPr>
          <w:rFonts w:ascii="Times New Roman"/>
          <w:kern w:val="2"/>
          <w:position w:val="0"/>
        </w:rPr>
        <w:t>；</w:t>
      </w:r>
    </w:p>
    <w:p>
      <w:pPr>
        <w:adjustRightInd w:val="0"/>
        <w:snapToGrid w:val="0"/>
        <w:ind w:firstLine="560"/>
        <w:rPr>
          <w:rFonts w:ascii="Times New Roman"/>
          <w:kern w:val="2"/>
          <w:position w:val="0"/>
        </w:rPr>
      </w:pPr>
      <w:r>
        <w:rPr>
          <w:rFonts w:ascii="Times New Roman"/>
          <w:kern w:val="2"/>
          <w:position w:val="0"/>
        </w:rPr>
        <w:t>6.9.6  体积</w:t>
      </w:r>
      <w:r>
        <w:rPr>
          <w:rFonts w:hint="eastAsia" w:ascii="Times New Roman"/>
          <w:kern w:val="2"/>
          <w:position w:val="0"/>
        </w:rPr>
        <w:t>（</w:t>
      </w:r>
      <w:r>
        <w:rPr>
          <w:rFonts w:ascii="Times New Roman"/>
          <w:kern w:val="2"/>
          <w:position w:val="0"/>
        </w:rPr>
        <w:t>长×宽×高，以毫米表示</w:t>
      </w:r>
      <w:r>
        <w:rPr>
          <w:rFonts w:hint="eastAsia" w:ascii="Times New Roman"/>
          <w:kern w:val="2"/>
          <w:position w:val="0"/>
        </w:rPr>
        <w:t>）</w:t>
      </w:r>
      <w:r>
        <w:rPr>
          <w:rFonts w:ascii="Times New Roman"/>
          <w:kern w:val="2"/>
          <w:position w:val="0"/>
        </w:rPr>
        <w:t>）。</w:t>
      </w:r>
    </w:p>
    <w:p>
      <w:pPr>
        <w:adjustRightInd w:val="0"/>
        <w:snapToGrid w:val="0"/>
        <w:ind w:firstLine="560"/>
        <w:rPr>
          <w:rFonts w:ascii="Times New Roman"/>
          <w:kern w:val="2"/>
          <w:position w:val="0"/>
        </w:rPr>
      </w:pPr>
      <w:r>
        <w:rPr>
          <w:rFonts w:ascii="Times New Roman"/>
          <w:kern w:val="2"/>
          <w:position w:val="0"/>
        </w:rPr>
        <w:t>注：凡重量为二吨或二吨以上的货物，在包装箱的侧面以运输常用的标记和图案标明重心位置及起吊点，以便装卸搬运。按照货物特点，装卸和运输上的不同要求，包装箱上相应明显地印有“轻放”、“勿倒置”和“防雨”字样。</w:t>
      </w:r>
    </w:p>
    <w:p>
      <w:pPr>
        <w:adjustRightInd w:val="0"/>
        <w:snapToGrid w:val="0"/>
        <w:ind w:firstLine="560"/>
        <w:rPr>
          <w:rFonts w:ascii="Times New Roman"/>
          <w:kern w:val="2"/>
          <w:position w:val="0"/>
        </w:rPr>
      </w:pPr>
      <w:r>
        <w:rPr>
          <w:rFonts w:ascii="Times New Roman"/>
          <w:kern w:val="2"/>
          <w:position w:val="0"/>
        </w:rPr>
        <w:t>6.10  对裸装货物以金属标签或直接在设备本身上标明上述有关内容。大件货物带有足够的货物支架或包装垫木。</w:t>
      </w:r>
    </w:p>
    <w:p>
      <w:pPr>
        <w:adjustRightInd w:val="0"/>
        <w:snapToGrid w:val="0"/>
        <w:ind w:firstLine="560"/>
        <w:rPr>
          <w:rFonts w:ascii="Times New Roman"/>
          <w:kern w:val="2"/>
          <w:position w:val="0"/>
        </w:rPr>
      </w:pPr>
      <w:r>
        <w:rPr>
          <w:rFonts w:ascii="Times New Roman"/>
          <w:kern w:val="2"/>
          <w:position w:val="0"/>
        </w:rPr>
        <w:t>6.11  每件包装箱内，附有包装分件名称、图号、数量的详细装箱单、合格证。外购件包装箱内有产品出厂质量合格证明书、技术说明书各一份。</w:t>
      </w:r>
    </w:p>
    <w:p>
      <w:pPr>
        <w:adjustRightInd w:val="0"/>
        <w:snapToGrid w:val="0"/>
        <w:ind w:firstLine="560"/>
        <w:rPr>
          <w:rFonts w:ascii="Times New Roman"/>
          <w:kern w:val="2"/>
          <w:position w:val="0"/>
        </w:rPr>
      </w:pPr>
      <w:r>
        <w:rPr>
          <w:rFonts w:ascii="Times New Roman"/>
          <w:kern w:val="2"/>
          <w:position w:val="0"/>
        </w:rPr>
        <w:t>6.12  各种设备的松散零星部件采用好的包装方式，装入尺寸适当的箱内。</w:t>
      </w:r>
    </w:p>
    <w:p>
      <w:pPr>
        <w:adjustRightInd w:val="0"/>
        <w:snapToGrid w:val="0"/>
        <w:ind w:firstLine="560"/>
        <w:rPr>
          <w:rFonts w:ascii="Times New Roman"/>
          <w:kern w:val="2"/>
          <w:position w:val="0"/>
        </w:rPr>
      </w:pPr>
      <w:r>
        <w:rPr>
          <w:rFonts w:ascii="Times New Roman"/>
          <w:kern w:val="2"/>
          <w:position w:val="0"/>
        </w:rPr>
        <w:t>6.13  承包方和／或其分包商不用同一箱号标明任何两个箱件。</w:t>
      </w:r>
    </w:p>
    <w:p>
      <w:pPr>
        <w:adjustRightInd w:val="0"/>
        <w:snapToGrid w:val="0"/>
        <w:ind w:firstLine="560"/>
        <w:rPr>
          <w:rFonts w:ascii="Times New Roman"/>
          <w:kern w:val="2"/>
          <w:position w:val="0"/>
        </w:rPr>
      </w:pPr>
      <w:r>
        <w:rPr>
          <w:rFonts w:ascii="Times New Roman"/>
          <w:kern w:val="2"/>
          <w:position w:val="0"/>
        </w:rPr>
        <w:t>6.14  对于需要精确装配的明亮洁净加工面的货物，加工面采用优良、耐久的保护层（不得用油漆）以防止在安装前发生锈蚀和损坏。</w:t>
      </w:r>
    </w:p>
    <w:p>
      <w:pPr>
        <w:adjustRightInd w:val="0"/>
        <w:snapToGrid w:val="0"/>
        <w:ind w:firstLine="560"/>
        <w:rPr>
          <w:rFonts w:ascii="Times New Roman"/>
          <w:kern w:val="2"/>
          <w:position w:val="0"/>
        </w:rPr>
      </w:pPr>
      <w:r>
        <w:rPr>
          <w:rFonts w:ascii="Times New Roman"/>
          <w:kern w:val="2"/>
          <w:position w:val="0"/>
        </w:rPr>
        <w:t>6.15  承包方交付的技术资料使用适合于长途运输、多次搬运、防雨和防潮的包装。每包技术资料著名收货单位，每包资料内附有技术资料的详细清单一份。</w:t>
      </w:r>
    </w:p>
    <w:p>
      <w:pPr>
        <w:pStyle w:val="4"/>
        <w:adjustRightInd w:val="0"/>
        <w:snapToGrid w:val="0"/>
        <w:spacing w:before="156" w:beforeLines="50" w:after="156" w:afterLines="50"/>
        <w:rPr>
          <w:rFonts w:ascii="Times New Roman" w:hAnsi="Times New Roman" w:eastAsia="宋体"/>
          <w:b/>
        </w:rPr>
      </w:pPr>
      <w:bookmarkStart w:id="60" w:name="_Toc419980649"/>
      <w:bookmarkStart w:id="61" w:name="_Toc449276718"/>
      <w:bookmarkStart w:id="62" w:name="_Toc297649175"/>
      <w:bookmarkStart w:id="63" w:name="_Toc297829610"/>
      <w:bookmarkStart w:id="64" w:name="_Toc503449930"/>
      <w:bookmarkStart w:id="65" w:name="_Toc359425891"/>
      <w:bookmarkStart w:id="66" w:name="_Toc330899447"/>
      <w:r>
        <w:rPr>
          <w:rFonts w:ascii="Times New Roman" w:hAnsi="Times New Roman" w:eastAsia="宋体"/>
          <w:b/>
        </w:rPr>
        <w:t>第七条  检验和性能试验</w:t>
      </w:r>
      <w:bookmarkEnd w:id="60"/>
      <w:bookmarkEnd w:id="61"/>
      <w:bookmarkEnd w:id="62"/>
      <w:bookmarkEnd w:id="63"/>
      <w:bookmarkEnd w:id="64"/>
      <w:bookmarkEnd w:id="65"/>
      <w:bookmarkEnd w:id="66"/>
    </w:p>
    <w:p>
      <w:pPr>
        <w:adjustRightInd w:val="0"/>
        <w:snapToGrid w:val="0"/>
        <w:ind w:firstLine="560"/>
        <w:rPr>
          <w:rFonts w:ascii="Times New Roman"/>
          <w:kern w:val="2"/>
          <w:position w:val="0"/>
        </w:rPr>
      </w:pPr>
      <w:r>
        <w:rPr>
          <w:rFonts w:ascii="Times New Roman"/>
          <w:kern w:val="2"/>
          <w:position w:val="0"/>
        </w:rPr>
        <w:t>7.1  承包方向发包方保证所供设备是技术先进成熟可靠的全新产品。在图纸设计和材料选择方面准确无误，加工工艺无任何缺陷和差错。技术文件及图纸清晰、正确、完整，能满足正常运行和维护的要求。</w:t>
      </w:r>
    </w:p>
    <w:p>
      <w:pPr>
        <w:adjustRightInd w:val="0"/>
        <w:snapToGrid w:val="0"/>
        <w:ind w:firstLine="560"/>
        <w:rPr>
          <w:rFonts w:ascii="Times New Roman"/>
          <w:kern w:val="2"/>
          <w:position w:val="0"/>
        </w:rPr>
      </w:pPr>
      <w:r>
        <w:rPr>
          <w:rFonts w:ascii="Times New Roman"/>
          <w:kern w:val="2"/>
          <w:position w:val="0"/>
        </w:rPr>
        <w:t>7.2  承包方具备有效方法、控制所有外协、外购件的质量和服务，使其符合本规范的要求。</w:t>
      </w:r>
    </w:p>
    <w:p>
      <w:pPr>
        <w:adjustRightInd w:val="0"/>
        <w:snapToGrid w:val="0"/>
        <w:ind w:firstLine="560"/>
        <w:rPr>
          <w:rFonts w:ascii="Times New Roman"/>
          <w:kern w:val="2"/>
          <w:position w:val="0"/>
        </w:rPr>
      </w:pPr>
      <w:r>
        <w:rPr>
          <w:rFonts w:ascii="Times New Roman"/>
          <w:kern w:val="2"/>
          <w:position w:val="0"/>
        </w:rPr>
        <w:t>7.3  发包方有权派代表到承包方制造工厂和分包及外购件工厂检查制造过程，检查按合同交付的货物质量，检查按合同交付的元件、组件及使用材料是否符合标准及其合同上规定的要求，并参加合同规定由承包方进行的一些元件试验和整个装配件的试验。承包方提供给发包方代表相关技术文件及图纸查阅，试验及检验所必需的仪器工具、办公用具。</w:t>
      </w:r>
    </w:p>
    <w:p>
      <w:pPr>
        <w:adjustRightInd w:val="0"/>
        <w:snapToGrid w:val="0"/>
        <w:ind w:firstLine="560"/>
        <w:rPr>
          <w:rFonts w:ascii="Times New Roman"/>
          <w:kern w:val="2"/>
          <w:position w:val="0"/>
        </w:rPr>
      </w:pPr>
      <w:r>
        <w:rPr>
          <w:rFonts w:ascii="Times New Roman"/>
          <w:kern w:val="2"/>
          <w:position w:val="0"/>
        </w:rPr>
        <w:t>7.4  如在运行期间发现部件的缺陷、损坏情况，在证实设备储存安装、维护和运行都符合要求时，承包方将尽快免费更换。</w:t>
      </w:r>
    </w:p>
    <w:p>
      <w:pPr>
        <w:adjustRightInd w:val="0"/>
        <w:snapToGrid w:val="0"/>
        <w:ind w:firstLine="560"/>
        <w:rPr>
          <w:rFonts w:ascii="Times New Roman"/>
          <w:kern w:val="2"/>
          <w:position w:val="0"/>
        </w:rPr>
      </w:pPr>
      <w:r>
        <w:rPr>
          <w:rFonts w:ascii="Times New Roman"/>
          <w:kern w:val="2"/>
          <w:position w:val="0"/>
        </w:rPr>
        <w:t>7.5  在保证期内，承包方产品各部件因制造不良或设计不当而发生损坏或未能达到合同规定的各项指标时，承包方无偿地为发包方修理或更换部件，直至改进设备结构并无偿供货。　</w:t>
      </w:r>
    </w:p>
    <w:p>
      <w:pPr>
        <w:adjustRightInd w:val="0"/>
        <w:snapToGrid w:val="0"/>
        <w:ind w:firstLine="560"/>
        <w:rPr>
          <w:rFonts w:ascii="Times New Roman"/>
        </w:rPr>
      </w:pPr>
      <w:r>
        <w:rPr>
          <w:rFonts w:ascii="Times New Roman"/>
          <w:kern w:val="2"/>
          <w:position w:val="0"/>
        </w:rPr>
        <w:t>7.6  设备在验收试验时达不到合同规定的一个或多个技术指标保证值而属于承包方责任时，承包方自费采用有效措施在商定的时间内，使之达到保证指标。</w:t>
      </w:r>
    </w:p>
    <w:p>
      <w:pPr>
        <w:pStyle w:val="4"/>
        <w:adjustRightInd w:val="0"/>
        <w:snapToGrid w:val="0"/>
        <w:spacing w:before="156" w:beforeLines="50" w:after="156" w:afterLines="50"/>
        <w:rPr>
          <w:rFonts w:ascii="Times New Roman" w:hAnsi="Times New Roman" w:eastAsia="宋体"/>
          <w:b/>
        </w:rPr>
      </w:pPr>
      <w:bookmarkStart w:id="67" w:name="_Toc503449931"/>
      <w:bookmarkStart w:id="68" w:name="_Toc419980650"/>
      <w:bookmarkStart w:id="69" w:name="_Toc359425892"/>
      <w:bookmarkStart w:id="70" w:name="_Toc449276719"/>
      <w:bookmarkStart w:id="71" w:name="_Toc330899448"/>
      <w:bookmarkStart w:id="72" w:name="_Toc297829611"/>
      <w:bookmarkStart w:id="73" w:name="_Toc297649176"/>
      <w:r>
        <w:rPr>
          <w:rFonts w:ascii="Times New Roman" w:hAnsi="Times New Roman" w:eastAsia="宋体"/>
          <w:b/>
        </w:rPr>
        <w:t>第八条  工厂检验</w:t>
      </w:r>
      <w:bookmarkEnd w:id="67"/>
      <w:bookmarkEnd w:id="68"/>
      <w:bookmarkEnd w:id="69"/>
      <w:bookmarkEnd w:id="70"/>
      <w:bookmarkEnd w:id="71"/>
      <w:bookmarkEnd w:id="72"/>
      <w:bookmarkEnd w:id="73"/>
    </w:p>
    <w:p>
      <w:pPr>
        <w:adjustRightInd w:val="0"/>
        <w:snapToGrid w:val="0"/>
        <w:ind w:firstLine="560"/>
        <w:rPr>
          <w:rFonts w:ascii="Times New Roman"/>
          <w:kern w:val="2"/>
          <w:position w:val="0"/>
        </w:rPr>
      </w:pPr>
      <w:r>
        <w:rPr>
          <w:rFonts w:ascii="Times New Roman"/>
          <w:kern w:val="2"/>
          <w:position w:val="0"/>
        </w:rPr>
        <w:t>8.1  工厂检验是质量控制的一个重要组成部分。承包方严格进行厂内各生产环节的检验和试验。承包方提供合同设备的质量证明、检验记录和测试报告，并且作为交货时质量证明文件的组成部分。</w:t>
      </w:r>
    </w:p>
    <w:p>
      <w:pPr>
        <w:adjustRightInd w:val="0"/>
        <w:snapToGrid w:val="0"/>
        <w:ind w:firstLine="560"/>
        <w:rPr>
          <w:rFonts w:ascii="Times New Roman"/>
          <w:kern w:val="2"/>
          <w:position w:val="0"/>
        </w:rPr>
      </w:pPr>
      <w:r>
        <w:rPr>
          <w:rFonts w:ascii="Times New Roman"/>
          <w:kern w:val="2"/>
          <w:position w:val="0"/>
        </w:rPr>
        <w:t>8.2  检验的部分包括原材料和元器件的进厂，部分的加工组装试验至出厂试验。</w:t>
      </w:r>
    </w:p>
    <w:p>
      <w:pPr>
        <w:adjustRightInd w:val="0"/>
        <w:snapToGrid w:val="0"/>
        <w:ind w:firstLine="560"/>
        <w:rPr>
          <w:rFonts w:ascii="Times New Roman"/>
          <w:kern w:val="2"/>
          <w:position w:val="0"/>
        </w:rPr>
      </w:pPr>
      <w:r>
        <w:rPr>
          <w:rFonts w:ascii="Times New Roman"/>
          <w:kern w:val="2"/>
          <w:position w:val="0"/>
        </w:rPr>
        <w:t>8.3  工厂检验的结果满足招标文件和合同规定的要求，如有不符之处或达不到标准要求，承包方采取措施处理直至满足要求。承包方发生重大质量问题时须将情况及时通知发包方。</w:t>
      </w:r>
    </w:p>
    <w:p>
      <w:pPr>
        <w:adjustRightInd w:val="0"/>
        <w:snapToGrid w:val="0"/>
        <w:ind w:firstLine="560"/>
        <w:rPr>
          <w:rFonts w:ascii="Times New Roman"/>
          <w:kern w:val="2"/>
          <w:position w:val="0"/>
        </w:rPr>
      </w:pPr>
      <w:r>
        <w:rPr>
          <w:rFonts w:ascii="Times New Roman"/>
          <w:kern w:val="2"/>
          <w:position w:val="0"/>
        </w:rPr>
        <w:t>8.4  工厂检验的所有费用包括在所有合同总价之中（含通讯接口、电站测试、线路测试及当地电力部门要求的测试及实验和有关部门办理手续证件和验收等费用）。</w:t>
      </w:r>
    </w:p>
    <w:p>
      <w:pPr>
        <w:pStyle w:val="4"/>
        <w:adjustRightInd w:val="0"/>
        <w:snapToGrid w:val="0"/>
        <w:spacing w:before="156" w:beforeLines="50" w:after="156" w:afterLines="50"/>
        <w:rPr>
          <w:rFonts w:ascii="Times New Roman" w:hAnsi="Times New Roman" w:eastAsia="宋体"/>
          <w:b/>
        </w:rPr>
      </w:pPr>
      <w:bookmarkStart w:id="74" w:name="_Toc297649177"/>
      <w:bookmarkStart w:id="75" w:name="_Toc419980651"/>
      <w:bookmarkStart w:id="76" w:name="_Toc330899449"/>
      <w:bookmarkStart w:id="77" w:name="_Toc449276720"/>
      <w:bookmarkStart w:id="78" w:name="_Toc297829612"/>
      <w:bookmarkStart w:id="79" w:name="_Toc359425893"/>
      <w:bookmarkStart w:id="80" w:name="_Toc503449932"/>
      <w:r>
        <w:rPr>
          <w:rFonts w:ascii="Times New Roman" w:hAnsi="Times New Roman" w:eastAsia="宋体"/>
          <w:b/>
        </w:rPr>
        <w:t>第九条  设备验收</w:t>
      </w:r>
      <w:bookmarkEnd w:id="74"/>
      <w:bookmarkEnd w:id="75"/>
      <w:bookmarkEnd w:id="76"/>
      <w:bookmarkEnd w:id="77"/>
      <w:bookmarkEnd w:id="78"/>
      <w:bookmarkEnd w:id="79"/>
      <w:bookmarkEnd w:id="80"/>
    </w:p>
    <w:p>
      <w:pPr>
        <w:adjustRightInd w:val="0"/>
        <w:snapToGrid w:val="0"/>
        <w:ind w:firstLine="560"/>
        <w:rPr>
          <w:rFonts w:ascii="Times New Roman"/>
          <w:kern w:val="2"/>
          <w:position w:val="0"/>
        </w:rPr>
      </w:pPr>
      <w:r>
        <w:rPr>
          <w:rFonts w:ascii="Times New Roman"/>
          <w:kern w:val="2"/>
          <w:position w:val="0"/>
        </w:rPr>
        <w:t>9.1  设备到达安装现场后，承包方组织验收，对照装箱清单逐件清点，进行检查和验收。</w:t>
      </w:r>
    </w:p>
    <w:p>
      <w:pPr>
        <w:adjustRightInd w:val="0"/>
        <w:snapToGrid w:val="0"/>
        <w:ind w:firstLine="560"/>
        <w:rPr>
          <w:rFonts w:ascii="Times New Roman"/>
          <w:kern w:val="2"/>
          <w:position w:val="0"/>
        </w:rPr>
      </w:pPr>
      <w:r>
        <w:rPr>
          <w:rFonts w:ascii="Times New Roman"/>
          <w:kern w:val="2"/>
          <w:position w:val="0"/>
        </w:rPr>
        <w:t>9.2  由承包方外包生产的设备（部件）到达安装现场后，仍由发包方会同承包方进行检查和验收。</w:t>
      </w:r>
    </w:p>
    <w:p>
      <w:pPr>
        <w:adjustRightInd w:val="0"/>
        <w:snapToGrid w:val="0"/>
        <w:ind w:firstLine="560"/>
        <w:rPr>
          <w:rFonts w:ascii="Times New Roman"/>
          <w:kern w:val="2"/>
          <w:position w:val="0"/>
        </w:rPr>
      </w:pPr>
      <w:r>
        <w:rPr>
          <w:rFonts w:ascii="Times New Roman"/>
          <w:kern w:val="2"/>
          <w:position w:val="0"/>
        </w:rPr>
        <w:t>9.3  主要的产品验收标准：IEC，TUV，CCC和GB相关标准。</w:t>
      </w:r>
    </w:p>
    <w:bookmarkEnd w:id="54"/>
    <w:p>
      <w:pPr>
        <w:pStyle w:val="4"/>
        <w:adjustRightInd w:val="0"/>
        <w:snapToGrid w:val="0"/>
        <w:spacing w:before="156" w:beforeLines="50" w:after="156" w:afterLines="50"/>
        <w:rPr>
          <w:rFonts w:ascii="Times New Roman" w:hAnsi="Times New Roman" w:eastAsia="宋体"/>
          <w:b/>
        </w:rPr>
      </w:pPr>
      <w:bookmarkStart w:id="81" w:name="_Toc449276721"/>
      <w:bookmarkStart w:id="82" w:name="_Toc419980652"/>
      <w:bookmarkStart w:id="83" w:name="_Toc330899450"/>
      <w:bookmarkStart w:id="84" w:name="_Toc503449933"/>
      <w:bookmarkStart w:id="85" w:name="_Toc297829613"/>
      <w:bookmarkStart w:id="86" w:name="_Toc297649178"/>
      <w:bookmarkStart w:id="87" w:name="_Toc359425894"/>
      <w:r>
        <w:rPr>
          <w:rFonts w:ascii="Times New Roman" w:hAnsi="Times New Roman" w:eastAsia="宋体"/>
          <w:b/>
        </w:rPr>
        <w:t>第十条  培训</w:t>
      </w:r>
      <w:bookmarkEnd w:id="81"/>
      <w:bookmarkEnd w:id="82"/>
      <w:bookmarkEnd w:id="83"/>
      <w:bookmarkEnd w:id="84"/>
      <w:bookmarkEnd w:id="85"/>
      <w:bookmarkEnd w:id="86"/>
      <w:bookmarkEnd w:id="87"/>
    </w:p>
    <w:p>
      <w:pPr>
        <w:adjustRightInd w:val="0"/>
        <w:snapToGrid w:val="0"/>
        <w:ind w:firstLine="560"/>
        <w:rPr>
          <w:rFonts w:ascii="Times New Roman"/>
          <w:kern w:val="2"/>
          <w:position w:val="0"/>
        </w:rPr>
      </w:pPr>
      <w:r>
        <w:rPr>
          <w:rFonts w:ascii="Times New Roman"/>
          <w:kern w:val="2"/>
          <w:position w:val="0"/>
        </w:rPr>
        <w:t>10.1  承包方应对发包方人员进行全面的技术培训。使发包方人员达到能独立进行管理、运营、故障处理、日常测试维护等工作，以便承包方所提供的设备能够正常、安全地运行。</w:t>
      </w:r>
    </w:p>
    <w:p>
      <w:pPr>
        <w:adjustRightInd w:val="0"/>
        <w:snapToGrid w:val="0"/>
        <w:ind w:firstLine="560"/>
        <w:rPr>
          <w:rFonts w:ascii="Times New Roman"/>
          <w:kern w:val="2"/>
          <w:position w:val="0"/>
        </w:rPr>
      </w:pPr>
      <w:r>
        <w:rPr>
          <w:rFonts w:ascii="Times New Roman"/>
          <w:kern w:val="2"/>
          <w:position w:val="0"/>
        </w:rPr>
        <w:t>10.2  培训内容应包括：监控系统、逆变器等主要设备系统厂家培训。承包方所提供设备的性能、技术原理和操作使用方法，维护管理的技术，实际操作练习。</w:t>
      </w:r>
    </w:p>
    <w:p>
      <w:pPr>
        <w:adjustRightInd w:val="0"/>
        <w:snapToGrid w:val="0"/>
        <w:ind w:firstLine="560"/>
        <w:rPr>
          <w:rFonts w:ascii="Times New Roman"/>
          <w:kern w:val="2"/>
          <w:position w:val="0"/>
        </w:rPr>
      </w:pPr>
      <w:r>
        <w:rPr>
          <w:rFonts w:ascii="Times New Roman"/>
          <w:kern w:val="2"/>
          <w:position w:val="0"/>
        </w:rPr>
        <w:t>10.3  承包方应列出具体的培训计划。</w:t>
      </w:r>
    </w:p>
    <w:p>
      <w:pPr>
        <w:adjustRightInd w:val="0"/>
        <w:snapToGrid w:val="0"/>
        <w:ind w:firstLine="560"/>
        <w:rPr>
          <w:rFonts w:ascii="Times New Roman"/>
          <w:kern w:val="2"/>
          <w:position w:val="0"/>
        </w:rPr>
      </w:pPr>
      <w:r>
        <w:rPr>
          <w:rFonts w:ascii="Times New Roman"/>
          <w:kern w:val="2"/>
          <w:position w:val="0"/>
        </w:rPr>
        <w:t>10.4  厂验及培训人数、时间等事宜在谈判时再由双方商定，承包方先报出人·天单价。</w:t>
      </w:r>
    </w:p>
    <w:p>
      <w:pPr>
        <w:ind w:firstLine="560"/>
        <w:rPr>
          <w:rFonts w:ascii="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长城仿宋">
    <w:altName w:val="宋体"/>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å®ä½">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ZTMxOTE5M2MxYmQ5Y2FhNzY1Mzc5ODhiZGRjYmIifQ=="/>
    <w:docVar w:name="KSO_WPS_MARK_KEY" w:val="e043e64e-e274-4fe3-91b9-5eb82718af78"/>
  </w:docVars>
  <w:rsids>
    <w:rsidRoot w:val="007273AE"/>
    <w:rsid w:val="00006656"/>
    <w:rsid w:val="00006E20"/>
    <w:rsid w:val="00015200"/>
    <w:rsid w:val="0003028B"/>
    <w:rsid w:val="0003029E"/>
    <w:rsid w:val="00036BFE"/>
    <w:rsid w:val="00045F9E"/>
    <w:rsid w:val="000502F5"/>
    <w:rsid w:val="00064346"/>
    <w:rsid w:val="00072ED3"/>
    <w:rsid w:val="000823AE"/>
    <w:rsid w:val="000863A3"/>
    <w:rsid w:val="000900FA"/>
    <w:rsid w:val="000A3550"/>
    <w:rsid w:val="000B3B92"/>
    <w:rsid w:val="000B42E8"/>
    <w:rsid w:val="000C26E6"/>
    <w:rsid w:val="000D2E73"/>
    <w:rsid w:val="000D45CC"/>
    <w:rsid w:val="000E15FF"/>
    <w:rsid w:val="000F5FD5"/>
    <w:rsid w:val="000F6510"/>
    <w:rsid w:val="001072C7"/>
    <w:rsid w:val="001207E5"/>
    <w:rsid w:val="0014271F"/>
    <w:rsid w:val="00144C00"/>
    <w:rsid w:val="00155AD4"/>
    <w:rsid w:val="0017026A"/>
    <w:rsid w:val="0017260D"/>
    <w:rsid w:val="001730E7"/>
    <w:rsid w:val="00191820"/>
    <w:rsid w:val="00196E14"/>
    <w:rsid w:val="001A0119"/>
    <w:rsid w:val="001A5F5F"/>
    <w:rsid w:val="001B4696"/>
    <w:rsid w:val="001D7131"/>
    <w:rsid w:val="001D7A71"/>
    <w:rsid w:val="001E681D"/>
    <w:rsid w:val="001F6315"/>
    <w:rsid w:val="00200396"/>
    <w:rsid w:val="00202C1D"/>
    <w:rsid w:val="00207120"/>
    <w:rsid w:val="002108AC"/>
    <w:rsid w:val="00213961"/>
    <w:rsid w:val="00222289"/>
    <w:rsid w:val="002431B3"/>
    <w:rsid w:val="0024680C"/>
    <w:rsid w:val="002547E6"/>
    <w:rsid w:val="00254FA4"/>
    <w:rsid w:val="00262204"/>
    <w:rsid w:val="00266AD3"/>
    <w:rsid w:val="00266E9F"/>
    <w:rsid w:val="00267B3A"/>
    <w:rsid w:val="00274B2F"/>
    <w:rsid w:val="00284DCA"/>
    <w:rsid w:val="002A3A03"/>
    <w:rsid w:val="002D1CE0"/>
    <w:rsid w:val="002D2C9E"/>
    <w:rsid w:val="003024AE"/>
    <w:rsid w:val="00312EFE"/>
    <w:rsid w:val="00372A77"/>
    <w:rsid w:val="00373CC5"/>
    <w:rsid w:val="00395296"/>
    <w:rsid w:val="003A32C3"/>
    <w:rsid w:val="003A6F71"/>
    <w:rsid w:val="003C6542"/>
    <w:rsid w:val="003D2B7E"/>
    <w:rsid w:val="003E713D"/>
    <w:rsid w:val="00401080"/>
    <w:rsid w:val="004061E7"/>
    <w:rsid w:val="00413F2F"/>
    <w:rsid w:val="0042042D"/>
    <w:rsid w:val="00421F68"/>
    <w:rsid w:val="00425FAE"/>
    <w:rsid w:val="0043142C"/>
    <w:rsid w:val="00432C81"/>
    <w:rsid w:val="00451E07"/>
    <w:rsid w:val="0046185F"/>
    <w:rsid w:val="004A11D1"/>
    <w:rsid w:val="004D4239"/>
    <w:rsid w:val="004E0B17"/>
    <w:rsid w:val="004E5B71"/>
    <w:rsid w:val="004E6AFC"/>
    <w:rsid w:val="004F55B8"/>
    <w:rsid w:val="00500849"/>
    <w:rsid w:val="00505D23"/>
    <w:rsid w:val="00525782"/>
    <w:rsid w:val="005342DA"/>
    <w:rsid w:val="00535924"/>
    <w:rsid w:val="00555380"/>
    <w:rsid w:val="00576C1A"/>
    <w:rsid w:val="00577D2C"/>
    <w:rsid w:val="005909F6"/>
    <w:rsid w:val="00592147"/>
    <w:rsid w:val="005A3876"/>
    <w:rsid w:val="005A442D"/>
    <w:rsid w:val="005B1246"/>
    <w:rsid w:val="005B4EED"/>
    <w:rsid w:val="005C1E96"/>
    <w:rsid w:val="005C32FD"/>
    <w:rsid w:val="005D112C"/>
    <w:rsid w:val="005D5DAF"/>
    <w:rsid w:val="005E631A"/>
    <w:rsid w:val="005E7C1C"/>
    <w:rsid w:val="005E7F52"/>
    <w:rsid w:val="006067B0"/>
    <w:rsid w:val="00656E0E"/>
    <w:rsid w:val="00674F37"/>
    <w:rsid w:val="00676AEB"/>
    <w:rsid w:val="006A0219"/>
    <w:rsid w:val="006A2552"/>
    <w:rsid w:val="006A2840"/>
    <w:rsid w:val="006A4435"/>
    <w:rsid w:val="006C162F"/>
    <w:rsid w:val="006D0818"/>
    <w:rsid w:val="006E1817"/>
    <w:rsid w:val="007021C2"/>
    <w:rsid w:val="007076D4"/>
    <w:rsid w:val="007273AE"/>
    <w:rsid w:val="007352BA"/>
    <w:rsid w:val="00740030"/>
    <w:rsid w:val="00743B7B"/>
    <w:rsid w:val="0074630F"/>
    <w:rsid w:val="0075701C"/>
    <w:rsid w:val="007655D6"/>
    <w:rsid w:val="0077221C"/>
    <w:rsid w:val="007913F2"/>
    <w:rsid w:val="007B443C"/>
    <w:rsid w:val="007C5556"/>
    <w:rsid w:val="007C7ACD"/>
    <w:rsid w:val="007D0ADF"/>
    <w:rsid w:val="007D0FC4"/>
    <w:rsid w:val="007D24B9"/>
    <w:rsid w:val="007D71DE"/>
    <w:rsid w:val="007E3B73"/>
    <w:rsid w:val="007E6AC9"/>
    <w:rsid w:val="00871E94"/>
    <w:rsid w:val="00881440"/>
    <w:rsid w:val="00881E4D"/>
    <w:rsid w:val="00886558"/>
    <w:rsid w:val="00890B19"/>
    <w:rsid w:val="008A15C7"/>
    <w:rsid w:val="008A3640"/>
    <w:rsid w:val="008C0A5A"/>
    <w:rsid w:val="008D21EC"/>
    <w:rsid w:val="008D4C34"/>
    <w:rsid w:val="008E7F92"/>
    <w:rsid w:val="008F57EF"/>
    <w:rsid w:val="00915FF3"/>
    <w:rsid w:val="00920289"/>
    <w:rsid w:val="009247D1"/>
    <w:rsid w:val="00932AFB"/>
    <w:rsid w:val="009472F0"/>
    <w:rsid w:val="00952FBD"/>
    <w:rsid w:val="00961B59"/>
    <w:rsid w:val="0097771C"/>
    <w:rsid w:val="00986700"/>
    <w:rsid w:val="009921F0"/>
    <w:rsid w:val="009A041B"/>
    <w:rsid w:val="009A4568"/>
    <w:rsid w:val="009C0351"/>
    <w:rsid w:val="009D2D9C"/>
    <w:rsid w:val="009E29C1"/>
    <w:rsid w:val="009F15B8"/>
    <w:rsid w:val="00A015A5"/>
    <w:rsid w:val="00A06010"/>
    <w:rsid w:val="00A11166"/>
    <w:rsid w:val="00A14B1C"/>
    <w:rsid w:val="00A33571"/>
    <w:rsid w:val="00A33DCF"/>
    <w:rsid w:val="00A51522"/>
    <w:rsid w:val="00A522E6"/>
    <w:rsid w:val="00A6017B"/>
    <w:rsid w:val="00A76001"/>
    <w:rsid w:val="00A94E79"/>
    <w:rsid w:val="00AA24A0"/>
    <w:rsid w:val="00AF400D"/>
    <w:rsid w:val="00AF5594"/>
    <w:rsid w:val="00AF6A41"/>
    <w:rsid w:val="00B06B85"/>
    <w:rsid w:val="00B1468F"/>
    <w:rsid w:val="00B40F0C"/>
    <w:rsid w:val="00B82003"/>
    <w:rsid w:val="00B870F0"/>
    <w:rsid w:val="00B979FF"/>
    <w:rsid w:val="00BA2A9E"/>
    <w:rsid w:val="00BA38AE"/>
    <w:rsid w:val="00BA7902"/>
    <w:rsid w:val="00BC2FDC"/>
    <w:rsid w:val="00BE373C"/>
    <w:rsid w:val="00BE7B52"/>
    <w:rsid w:val="00C14472"/>
    <w:rsid w:val="00C15E48"/>
    <w:rsid w:val="00C34DEC"/>
    <w:rsid w:val="00C36D46"/>
    <w:rsid w:val="00C62384"/>
    <w:rsid w:val="00C648B3"/>
    <w:rsid w:val="00C96DB6"/>
    <w:rsid w:val="00CC3E24"/>
    <w:rsid w:val="00CC4ABD"/>
    <w:rsid w:val="00CC6E1D"/>
    <w:rsid w:val="00CE03E9"/>
    <w:rsid w:val="00CE2515"/>
    <w:rsid w:val="00CE712A"/>
    <w:rsid w:val="00CF6430"/>
    <w:rsid w:val="00D2164C"/>
    <w:rsid w:val="00D33B6F"/>
    <w:rsid w:val="00D34CDE"/>
    <w:rsid w:val="00D453A6"/>
    <w:rsid w:val="00D55D4C"/>
    <w:rsid w:val="00D82050"/>
    <w:rsid w:val="00D93A3A"/>
    <w:rsid w:val="00DA3A7B"/>
    <w:rsid w:val="00DB7812"/>
    <w:rsid w:val="00DC3995"/>
    <w:rsid w:val="00DD6A1F"/>
    <w:rsid w:val="00DD75B6"/>
    <w:rsid w:val="00DF1CDA"/>
    <w:rsid w:val="00DF689A"/>
    <w:rsid w:val="00E06948"/>
    <w:rsid w:val="00E10B0C"/>
    <w:rsid w:val="00E11CBC"/>
    <w:rsid w:val="00E13DA8"/>
    <w:rsid w:val="00E23E19"/>
    <w:rsid w:val="00E510FC"/>
    <w:rsid w:val="00E51817"/>
    <w:rsid w:val="00EA6719"/>
    <w:rsid w:val="00EA7852"/>
    <w:rsid w:val="00EC0806"/>
    <w:rsid w:val="00ED0C84"/>
    <w:rsid w:val="00EE7B3A"/>
    <w:rsid w:val="00EF0081"/>
    <w:rsid w:val="00F03228"/>
    <w:rsid w:val="00F11D07"/>
    <w:rsid w:val="00F17078"/>
    <w:rsid w:val="00F22CEC"/>
    <w:rsid w:val="00F42926"/>
    <w:rsid w:val="00F569DF"/>
    <w:rsid w:val="00FD227C"/>
    <w:rsid w:val="00FE37ED"/>
    <w:rsid w:val="00FF1B32"/>
    <w:rsid w:val="0A2102BA"/>
    <w:rsid w:val="0AAC3EFB"/>
    <w:rsid w:val="15F15A54"/>
    <w:rsid w:val="19B632AC"/>
    <w:rsid w:val="27D26ED3"/>
    <w:rsid w:val="34DA0FE3"/>
    <w:rsid w:val="3E433F38"/>
    <w:rsid w:val="40E1035D"/>
    <w:rsid w:val="486F4FEF"/>
    <w:rsid w:val="58C06366"/>
    <w:rsid w:val="5F061764"/>
    <w:rsid w:val="64B72E5B"/>
    <w:rsid w:val="6E0D11F6"/>
    <w:rsid w:val="72FA60EB"/>
    <w:rsid w:val="74EA3052"/>
    <w:rsid w:val="7B2714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宋体" w:hAnsi="Times New Roman" w:eastAsia="宋体" w:cs="Times New Roman"/>
      <w:position w:val="-6"/>
      <w:sz w:val="28"/>
      <w:lang w:val="en-US" w:eastAsia="zh-CN" w:bidi="ar-SA"/>
    </w:rPr>
  </w:style>
  <w:style w:type="paragraph" w:styleId="2">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7"/>
    <w:qFormat/>
    <w:uiPriority w:val="0"/>
    <w:pPr>
      <w:keepNext/>
      <w:keepLines/>
      <w:ind w:firstLine="0" w:firstLineChars="0"/>
      <w:outlineLvl w:val="2"/>
    </w:pPr>
    <w:rPr>
      <w:rFonts w:ascii="Calibri" w:hAnsi="宋体" w:eastAsia="黑体"/>
      <w:kern w:val="2"/>
      <w:position w:val="0"/>
      <w:szCs w:val="24"/>
    </w:rPr>
  </w:style>
  <w:style w:type="paragraph" w:styleId="5">
    <w:name w:val="heading 4"/>
    <w:basedOn w:val="1"/>
    <w:next w:val="1"/>
    <w:link w:val="70"/>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7"/>
    <w:link w:val="71"/>
    <w:qFormat/>
    <w:uiPriority w:val="0"/>
    <w:pPr>
      <w:keepNext/>
      <w:keepLines/>
      <w:tabs>
        <w:tab w:val="left" w:pos="737"/>
      </w:tabs>
      <w:adjustRightInd w:val="0"/>
      <w:spacing w:before="280" w:after="290" w:line="376" w:lineRule="atLeast"/>
      <w:jc w:val="left"/>
      <w:textAlignment w:val="baseline"/>
      <w:outlineLvl w:val="4"/>
    </w:pPr>
    <w:rPr>
      <w:rFonts w:ascii="Arial" w:hAnsi="Arial"/>
      <w:b/>
      <w:position w:val="0"/>
      <w:lang w:val="zh-CN"/>
    </w:rPr>
  </w:style>
  <w:style w:type="paragraph" w:styleId="8">
    <w:name w:val="heading 6"/>
    <w:basedOn w:val="1"/>
    <w:next w:val="7"/>
    <w:link w:val="72"/>
    <w:qFormat/>
    <w:uiPriority w:val="0"/>
    <w:pPr>
      <w:keepNext/>
      <w:keepLines/>
      <w:tabs>
        <w:tab w:val="left" w:pos="737"/>
      </w:tabs>
      <w:adjustRightInd w:val="0"/>
      <w:spacing w:before="240" w:after="64" w:line="320" w:lineRule="atLeast"/>
      <w:jc w:val="left"/>
      <w:textAlignment w:val="baseline"/>
      <w:outlineLvl w:val="5"/>
    </w:pPr>
    <w:rPr>
      <w:rFonts w:ascii="Arial" w:hAnsi="Arial" w:eastAsia="黑体"/>
      <w:b/>
      <w:position w:val="0"/>
      <w:sz w:val="24"/>
      <w:lang w:val="zh-CN"/>
    </w:rPr>
  </w:style>
  <w:style w:type="paragraph" w:styleId="9">
    <w:name w:val="heading 7"/>
    <w:basedOn w:val="1"/>
    <w:next w:val="7"/>
    <w:link w:val="73"/>
    <w:qFormat/>
    <w:uiPriority w:val="0"/>
    <w:pPr>
      <w:keepNext/>
      <w:keepLines/>
      <w:tabs>
        <w:tab w:val="left" w:pos="737"/>
      </w:tabs>
      <w:adjustRightInd w:val="0"/>
      <w:spacing w:before="240" w:after="64" w:line="320" w:lineRule="atLeast"/>
      <w:jc w:val="left"/>
      <w:textAlignment w:val="baseline"/>
      <w:outlineLvl w:val="6"/>
    </w:pPr>
    <w:rPr>
      <w:rFonts w:ascii="Arial" w:hAnsi="Arial"/>
      <w:b/>
      <w:sz w:val="24"/>
      <w:lang w:val="zh-CN"/>
    </w:rPr>
  </w:style>
  <w:style w:type="paragraph" w:styleId="10">
    <w:name w:val="heading 8"/>
    <w:basedOn w:val="1"/>
    <w:next w:val="7"/>
    <w:link w:val="74"/>
    <w:qFormat/>
    <w:uiPriority w:val="0"/>
    <w:pPr>
      <w:keepNext/>
      <w:keepLines/>
      <w:tabs>
        <w:tab w:val="left" w:pos="737"/>
      </w:tabs>
      <w:adjustRightInd w:val="0"/>
      <w:spacing w:before="240" w:after="64" w:line="320" w:lineRule="atLeast"/>
      <w:jc w:val="left"/>
      <w:textAlignment w:val="baseline"/>
      <w:outlineLvl w:val="7"/>
    </w:pPr>
    <w:rPr>
      <w:rFonts w:ascii="Arial" w:hAnsi="Arial" w:eastAsia="黑体"/>
      <w:sz w:val="24"/>
      <w:lang w:val="zh-CN"/>
    </w:rPr>
  </w:style>
  <w:style w:type="paragraph" w:styleId="11">
    <w:name w:val="heading 9"/>
    <w:basedOn w:val="1"/>
    <w:next w:val="7"/>
    <w:link w:val="75"/>
    <w:qFormat/>
    <w:uiPriority w:val="0"/>
    <w:pPr>
      <w:keepNext/>
      <w:keepLines/>
      <w:tabs>
        <w:tab w:val="left" w:pos="737"/>
      </w:tabs>
      <w:adjustRightInd w:val="0"/>
      <w:spacing w:before="240" w:after="64" w:line="320" w:lineRule="atLeast"/>
      <w:jc w:val="left"/>
      <w:textAlignment w:val="baseline"/>
      <w:outlineLvl w:val="8"/>
    </w:pPr>
    <w:rPr>
      <w:rFonts w:ascii="Arial" w:hAnsi="Arial" w:eastAsia="黑体"/>
      <w:position w:val="0"/>
      <w:sz w:val="20"/>
      <w:lang w:val="zh-CN"/>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3"/>
    <w:qFormat/>
    <w:uiPriority w:val="0"/>
    <w:pPr>
      <w:adjustRightInd w:val="0"/>
      <w:spacing w:line="315" w:lineRule="atLeast"/>
      <w:ind w:firstLine="420"/>
      <w:textAlignment w:val="baseline"/>
    </w:pPr>
    <w:rPr>
      <w:rFonts w:ascii="黑体" w:eastAsia="黑体" w:hAnsiTheme="minorHAnsi" w:cstheme="minorBidi"/>
      <w:color w:val="000000"/>
      <w:kern w:val="2"/>
      <w:position w:val="0"/>
      <w:sz w:val="32"/>
      <w:szCs w:val="22"/>
    </w:rPr>
  </w:style>
  <w:style w:type="paragraph" w:styleId="12">
    <w:name w:val="toc 7"/>
    <w:basedOn w:val="1"/>
    <w:next w:val="1"/>
    <w:qFormat/>
    <w:uiPriority w:val="39"/>
    <w:pPr>
      <w:ind w:left="2520" w:leftChars="1200"/>
    </w:pPr>
  </w:style>
  <w:style w:type="paragraph" w:styleId="13">
    <w:name w:val="table of authorities"/>
    <w:basedOn w:val="1"/>
    <w:next w:val="1"/>
    <w:qFormat/>
    <w:uiPriority w:val="0"/>
    <w:pPr>
      <w:adjustRightInd w:val="0"/>
      <w:spacing w:before="80" w:line="440" w:lineRule="atLeast"/>
      <w:ind w:left="420" w:leftChars="200"/>
      <w:jc w:val="left"/>
      <w:textAlignment w:val="baseline"/>
    </w:pPr>
  </w:style>
  <w:style w:type="paragraph" w:styleId="14">
    <w:name w:val="index 8"/>
    <w:basedOn w:val="1"/>
    <w:next w:val="1"/>
    <w:qFormat/>
    <w:uiPriority w:val="0"/>
    <w:pPr>
      <w:adjustRightInd w:val="0"/>
      <w:spacing w:line="240" w:lineRule="atLeast"/>
      <w:ind w:left="1920" w:hanging="240"/>
      <w:jc w:val="left"/>
      <w:textAlignment w:val="baseline"/>
    </w:pPr>
    <w:rPr>
      <w:sz w:val="24"/>
      <w:szCs w:val="21"/>
    </w:rPr>
  </w:style>
  <w:style w:type="paragraph" w:styleId="15">
    <w:name w:val="caption"/>
    <w:basedOn w:val="1"/>
    <w:next w:val="1"/>
    <w:qFormat/>
    <w:uiPriority w:val="0"/>
    <w:pPr>
      <w:spacing w:before="152" w:after="160"/>
    </w:pPr>
    <w:rPr>
      <w:rFonts w:ascii="Arial" w:hAnsi="Arial" w:eastAsia="黑体" w:cs="Arial"/>
      <w:sz w:val="20"/>
    </w:rPr>
  </w:style>
  <w:style w:type="paragraph" w:styleId="16">
    <w:name w:val="index 5"/>
    <w:basedOn w:val="1"/>
    <w:next w:val="1"/>
    <w:qFormat/>
    <w:uiPriority w:val="0"/>
    <w:pPr>
      <w:adjustRightInd w:val="0"/>
      <w:spacing w:line="240" w:lineRule="atLeast"/>
      <w:ind w:left="1200" w:hanging="240"/>
      <w:jc w:val="left"/>
      <w:textAlignment w:val="baseline"/>
    </w:pPr>
    <w:rPr>
      <w:sz w:val="24"/>
      <w:szCs w:val="21"/>
    </w:rPr>
  </w:style>
  <w:style w:type="paragraph" w:styleId="17">
    <w:name w:val="List Bullet"/>
    <w:basedOn w:val="1"/>
    <w:qFormat/>
    <w:uiPriority w:val="0"/>
    <w:pPr>
      <w:tabs>
        <w:tab w:val="left" w:pos="360"/>
      </w:tabs>
      <w:ind w:left="360" w:hanging="360" w:hangingChars="200"/>
    </w:pPr>
    <w:rPr>
      <w:sz w:val="24"/>
      <w:szCs w:val="24"/>
    </w:rPr>
  </w:style>
  <w:style w:type="paragraph" w:styleId="18">
    <w:name w:val="Document Map"/>
    <w:basedOn w:val="1"/>
    <w:link w:val="166"/>
    <w:qFormat/>
    <w:uiPriority w:val="99"/>
    <w:pPr>
      <w:shd w:val="clear" w:color="auto" w:fill="000080"/>
    </w:pPr>
    <w:rPr>
      <w:sz w:val="18"/>
      <w:szCs w:val="18"/>
    </w:rPr>
  </w:style>
  <w:style w:type="paragraph" w:styleId="19">
    <w:name w:val="annotation text"/>
    <w:basedOn w:val="1"/>
    <w:link w:val="229"/>
    <w:unhideWhenUsed/>
    <w:qFormat/>
    <w:uiPriority w:val="99"/>
    <w:pPr>
      <w:jc w:val="left"/>
    </w:pPr>
  </w:style>
  <w:style w:type="paragraph" w:styleId="20">
    <w:name w:val="index 6"/>
    <w:basedOn w:val="1"/>
    <w:next w:val="1"/>
    <w:qFormat/>
    <w:uiPriority w:val="0"/>
    <w:pPr>
      <w:adjustRightInd w:val="0"/>
      <w:spacing w:line="240" w:lineRule="atLeast"/>
      <w:ind w:left="1440" w:hanging="240"/>
      <w:jc w:val="left"/>
      <w:textAlignment w:val="baseline"/>
    </w:pPr>
    <w:rPr>
      <w:sz w:val="24"/>
      <w:szCs w:val="21"/>
    </w:rPr>
  </w:style>
  <w:style w:type="paragraph" w:styleId="21">
    <w:name w:val="Salutation"/>
    <w:basedOn w:val="1"/>
    <w:next w:val="1"/>
    <w:link w:val="176"/>
    <w:qFormat/>
    <w:uiPriority w:val="0"/>
    <w:rPr>
      <w:rFonts w:ascii="Times New Roman"/>
      <w:kern w:val="2"/>
      <w:position w:val="0"/>
      <w:sz w:val="21"/>
      <w:szCs w:val="24"/>
    </w:rPr>
  </w:style>
  <w:style w:type="paragraph" w:styleId="22">
    <w:name w:val="Body Text 3"/>
    <w:basedOn w:val="1"/>
    <w:link w:val="141"/>
    <w:qFormat/>
    <w:uiPriority w:val="99"/>
    <w:pPr>
      <w:spacing w:after="120"/>
    </w:pPr>
    <w:rPr>
      <w:sz w:val="16"/>
      <w:szCs w:val="16"/>
    </w:rPr>
  </w:style>
  <w:style w:type="paragraph" w:styleId="23">
    <w:name w:val="Body Text"/>
    <w:basedOn w:val="1"/>
    <w:link w:val="233"/>
    <w:unhideWhenUsed/>
    <w:qFormat/>
    <w:uiPriority w:val="99"/>
    <w:pPr>
      <w:spacing w:after="120"/>
    </w:pPr>
  </w:style>
  <w:style w:type="paragraph" w:styleId="24">
    <w:name w:val="Body Text Indent"/>
    <w:basedOn w:val="1"/>
    <w:link w:val="197"/>
    <w:qFormat/>
    <w:uiPriority w:val="99"/>
    <w:pPr>
      <w:spacing w:line="300" w:lineRule="auto"/>
      <w:ind w:firstLine="420"/>
    </w:pPr>
    <w:rPr>
      <w:sz w:val="32"/>
    </w:rPr>
  </w:style>
  <w:style w:type="paragraph" w:styleId="25">
    <w:name w:val="List 2"/>
    <w:basedOn w:val="1"/>
    <w:qFormat/>
    <w:uiPriority w:val="0"/>
    <w:pPr>
      <w:ind w:left="100" w:leftChars="200" w:hanging="200" w:hangingChars="200"/>
    </w:pPr>
    <w:rPr>
      <w:szCs w:val="24"/>
    </w:rPr>
  </w:style>
  <w:style w:type="paragraph" w:styleId="26">
    <w:name w:val="index 4"/>
    <w:basedOn w:val="1"/>
    <w:next w:val="1"/>
    <w:qFormat/>
    <w:uiPriority w:val="0"/>
    <w:pPr>
      <w:adjustRightInd w:val="0"/>
      <w:spacing w:line="240" w:lineRule="atLeast"/>
      <w:ind w:left="960" w:hanging="240"/>
      <w:jc w:val="left"/>
      <w:textAlignment w:val="baseline"/>
    </w:pPr>
    <w:rPr>
      <w:sz w:val="24"/>
      <w:szCs w:val="21"/>
    </w:r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link w:val="78"/>
    <w:qFormat/>
    <w:uiPriority w:val="99"/>
    <w:rPr>
      <w:rFonts w:hAnsi="Courier New" w:cs="Courier New"/>
      <w:sz w:val="21"/>
      <w:szCs w:val="21"/>
    </w:rPr>
  </w:style>
  <w:style w:type="paragraph" w:styleId="30">
    <w:name w:val="toc 8"/>
    <w:basedOn w:val="1"/>
    <w:next w:val="1"/>
    <w:qFormat/>
    <w:uiPriority w:val="39"/>
    <w:pPr>
      <w:ind w:left="2940" w:leftChars="1400"/>
    </w:pPr>
  </w:style>
  <w:style w:type="paragraph" w:styleId="31">
    <w:name w:val="index 3"/>
    <w:basedOn w:val="1"/>
    <w:next w:val="1"/>
    <w:qFormat/>
    <w:uiPriority w:val="0"/>
    <w:pPr>
      <w:adjustRightInd w:val="0"/>
      <w:spacing w:line="240" w:lineRule="atLeast"/>
      <w:ind w:left="720" w:hanging="240"/>
      <w:jc w:val="left"/>
      <w:textAlignment w:val="baseline"/>
    </w:pPr>
    <w:rPr>
      <w:sz w:val="24"/>
      <w:szCs w:val="21"/>
    </w:rPr>
  </w:style>
  <w:style w:type="paragraph" w:styleId="32">
    <w:name w:val="Date"/>
    <w:basedOn w:val="1"/>
    <w:next w:val="1"/>
    <w:link w:val="174"/>
    <w:qFormat/>
    <w:uiPriority w:val="99"/>
    <w:pPr>
      <w:ind w:left="100" w:leftChars="2500"/>
    </w:pPr>
    <w:rPr>
      <w:sz w:val="32"/>
    </w:rPr>
  </w:style>
  <w:style w:type="paragraph" w:styleId="33">
    <w:name w:val="Body Text Indent 2"/>
    <w:basedOn w:val="1"/>
    <w:link w:val="222"/>
    <w:qFormat/>
    <w:uiPriority w:val="99"/>
    <w:pPr>
      <w:ind w:firstLine="480"/>
    </w:pPr>
    <w:rPr>
      <w:sz w:val="32"/>
    </w:rPr>
  </w:style>
  <w:style w:type="paragraph" w:styleId="34">
    <w:name w:val="Balloon Text"/>
    <w:basedOn w:val="1"/>
    <w:link w:val="178"/>
    <w:qFormat/>
    <w:uiPriority w:val="99"/>
    <w:rPr>
      <w:sz w:val="18"/>
      <w:szCs w:val="18"/>
    </w:rPr>
  </w:style>
  <w:style w:type="paragraph" w:styleId="35">
    <w:name w:val="footer"/>
    <w:basedOn w:val="1"/>
    <w:link w:val="148"/>
    <w:qFormat/>
    <w:uiPriority w:val="99"/>
    <w:pPr>
      <w:tabs>
        <w:tab w:val="center" w:pos="4153"/>
        <w:tab w:val="right" w:pos="8306"/>
      </w:tabs>
      <w:snapToGrid w:val="0"/>
      <w:jc w:val="left"/>
    </w:pPr>
    <w:rPr>
      <w:sz w:val="18"/>
      <w:szCs w:val="18"/>
    </w:rPr>
  </w:style>
  <w:style w:type="paragraph" w:styleId="36">
    <w:name w:val="header"/>
    <w:basedOn w:val="1"/>
    <w:link w:val="194"/>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style>
  <w:style w:type="paragraph" w:styleId="38">
    <w:name w:val="toc 4"/>
    <w:basedOn w:val="1"/>
    <w:next w:val="1"/>
    <w:qFormat/>
    <w:uiPriority w:val="39"/>
    <w:pPr>
      <w:ind w:left="1260" w:leftChars="600"/>
    </w:pPr>
  </w:style>
  <w:style w:type="paragraph" w:styleId="39">
    <w:name w:val="index heading"/>
    <w:basedOn w:val="1"/>
    <w:next w:val="40"/>
    <w:qFormat/>
    <w:uiPriority w:val="0"/>
    <w:pPr>
      <w:pBdr>
        <w:top w:val="single" w:color="auto" w:sz="12" w:space="0"/>
      </w:pBdr>
      <w:tabs>
        <w:tab w:val="right" w:pos="737"/>
      </w:tabs>
      <w:adjustRightInd w:val="0"/>
      <w:spacing w:before="360" w:after="240" w:line="240" w:lineRule="atLeast"/>
      <w:jc w:val="left"/>
      <w:textAlignment w:val="baseline"/>
    </w:pPr>
    <w:rPr>
      <w:b/>
      <w:bCs/>
      <w:i/>
      <w:iCs/>
      <w:sz w:val="24"/>
      <w:szCs w:val="31"/>
    </w:rPr>
  </w:style>
  <w:style w:type="paragraph" w:styleId="40">
    <w:name w:val="index 1"/>
    <w:basedOn w:val="1"/>
    <w:next w:val="1"/>
    <w:link w:val="111"/>
    <w:qFormat/>
    <w:uiPriority w:val="0"/>
    <w:rPr>
      <w:rFonts w:asciiTheme="minorHAnsi" w:hAnsiTheme="minorHAnsi" w:eastAsiaTheme="minorEastAsia" w:cstheme="minorBidi"/>
      <w:kern w:val="2"/>
      <w:position w:val="0"/>
      <w:sz w:val="21"/>
      <w:szCs w:val="24"/>
    </w:rPr>
  </w:style>
  <w:style w:type="paragraph" w:styleId="41">
    <w:name w:val="Subtitle"/>
    <w:basedOn w:val="1"/>
    <w:next w:val="1"/>
    <w:link w:val="221"/>
    <w:qFormat/>
    <w:uiPriority w:val="11"/>
    <w:pPr>
      <w:widowControl/>
      <w:adjustRightInd w:val="0"/>
      <w:snapToGrid w:val="0"/>
      <w:spacing w:before="240" w:after="60" w:line="312" w:lineRule="auto"/>
      <w:ind w:firstLine="0" w:firstLineChars="0"/>
      <w:jc w:val="center"/>
      <w:outlineLvl w:val="1"/>
    </w:pPr>
    <w:rPr>
      <w:rFonts w:ascii="Cambria" w:hAnsi="Cambria"/>
      <w:b/>
      <w:bCs/>
      <w:kern w:val="28"/>
      <w:position w:val="0"/>
      <w:sz w:val="32"/>
      <w:szCs w:val="32"/>
    </w:rPr>
  </w:style>
  <w:style w:type="paragraph" w:styleId="42">
    <w:name w:val="List"/>
    <w:basedOn w:val="1"/>
    <w:qFormat/>
    <w:uiPriority w:val="0"/>
    <w:pPr>
      <w:ind w:left="200" w:hanging="200" w:hangingChars="200"/>
    </w:pPr>
    <w:rPr>
      <w:szCs w:val="24"/>
    </w:rPr>
  </w:style>
  <w:style w:type="paragraph" w:styleId="43">
    <w:name w:val="footnote text"/>
    <w:basedOn w:val="1"/>
    <w:link w:val="136"/>
    <w:qFormat/>
    <w:uiPriority w:val="99"/>
    <w:pPr>
      <w:snapToGrid w:val="0"/>
      <w:jc w:val="left"/>
    </w:pPr>
    <w:rPr>
      <w:sz w:val="18"/>
      <w:szCs w:val="18"/>
    </w:rPr>
  </w:style>
  <w:style w:type="paragraph" w:styleId="44">
    <w:name w:val="toc 6"/>
    <w:basedOn w:val="1"/>
    <w:next w:val="1"/>
    <w:qFormat/>
    <w:uiPriority w:val="39"/>
    <w:pPr>
      <w:ind w:left="2100" w:leftChars="1000"/>
    </w:pPr>
  </w:style>
  <w:style w:type="paragraph" w:styleId="45">
    <w:name w:val="Body Text Indent 3"/>
    <w:basedOn w:val="1"/>
    <w:link w:val="175"/>
    <w:qFormat/>
    <w:uiPriority w:val="99"/>
    <w:pPr>
      <w:tabs>
        <w:tab w:val="left" w:pos="0"/>
      </w:tabs>
      <w:adjustRightInd w:val="0"/>
      <w:ind w:firstLine="359"/>
      <w:textAlignment w:val="baseline"/>
    </w:pPr>
    <w:rPr>
      <w:sz w:val="16"/>
      <w:szCs w:val="16"/>
    </w:rPr>
  </w:style>
  <w:style w:type="paragraph" w:styleId="46">
    <w:name w:val="index 7"/>
    <w:basedOn w:val="1"/>
    <w:next w:val="1"/>
    <w:qFormat/>
    <w:uiPriority w:val="0"/>
    <w:pPr>
      <w:adjustRightInd w:val="0"/>
      <w:spacing w:line="240" w:lineRule="atLeast"/>
      <w:ind w:left="1680" w:hanging="240"/>
      <w:jc w:val="left"/>
      <w:textAlignment w:val="baseline"/>
    </w:pPr>
    <w:rPr>
      <w:sz w:val="24"/>
      <w:szCs w:val="21"/>
    </w:rPr>
  </w:style>
  <w:style w:type="paragraph" w:styleId="47">
    <w:name w:val="index 9"/>
    <w:basedOn w:val="1"/>
    <w:next w:val="1"/>
    <w:qFormat/>
    <w:uiPriority w:val="0"/>
    <w:pPr>
      <w:adjustRightInd w:val="0"/>
      <w:spacing w:line="240" w:lineRule="atLeast"/>
      <w:ind w:left="2160" w:hanging="240"/>
      <w:jc w:val="left"/>
      <w:textAlignment w:val="baseline"/>
    </w:pPr>
    <w:rPr>
      <w:sz w:val="24"/>
      <w:szCs w:val="21"/>
    </w:rPr>
  </w:style>
  <w:style w:type="paragraph" w:styleId="48">
    <w:name w:val="table of figures"/>
    <w:basedOn w:val="1"/>
    <w:next w:val="1"/>
    <w:qFormat/>
    <w:uiPriority w:val="0"/>
    <w:pPr>
      <w:ind w:left="840" w:leftChars="200" w:hanging="420" w:hangingChars="200"/>
    </w:pPr>
  </w:style>
  <w:style w:type="paragraph" w:styleId="49">
    <w:name w:val="toc 2"/>
    <w:basedOn w:val="1"/>
    <w:next w:val="1"/>
    <w:qFormat/>
    <w:uiPriority w:val="39"/>
    <w:pPr>
      <w:ind w:left="420" w:leftChars="200"/>
    </w:pPr>
  </w:style>
  <w:style w:type="paragraph" w:styleId="50">
    <w:name w:val="toc 9"/>
    <w:basedOn w:val="1"/>
    <w:next w:val="1"/>
    <w:qFormat/>
    <w:uiPriority w:val="39"/>
    <w:pPr>
      <w:ind w:left="3360" w:leftChars="1600"/>
    </w:pPr>
  </w:style>
  <w:style w:type="paragraph" w:styleId="51">
    <w:name w:val="Body Text 2"/>
    <w:basedOn w:val="1"/>
    <w:link w:val="143"/>
    <w:qFormat/>
    <w:uiPriority w:val="99"/>
    <w:pPr>
      <w:adjustRightInd w:val="0"/>
      <w:snapToGrid w:val="0"/>
      <w:spacing w:beforeLines="50" w:afterLines="50"/>
    </w:pPr>
    <w:rPr>
      <w:sz w:val="32"/>
    </w:rPr>
  </w:style>
  <w:style w:type="paragraph" w:styleId="52">
    <w:name w:val="HTML Preformatted"/>
    <w:basedOn w:val="1"/>
    <w:link w:val="167"/>
    <w:qFormat/>
    <w:uiPriority w:val="99"/>
    <w:pPr>
      <w:spacing w:line="240" w:lineRule="auto"/>
      <w:ind w:firstLine="0" w:firstLineChars="0"/>
    </w:pPr>
    <w:rPr>
      <w:rFonts w:ascii="Courier New" w:hAnsi="Courier New"/>
      <w:kern w:val="2"/>
      <w:position w:val="0"/>
      <w:sz w:val="21"/>
      <w:szCs w:val="22"/>
    </w:rPr>
  </w:style>
  <w:style w:type="paragraph" w:styleId="53">
    <w:name w:val="Normal (Web)"/>
    <w:basedOn w:val="1"/>
    <w:qFormat/>
    <w:uiPriority w:val="99"/>
    <w:pPr>
      <w:widowControl/>
      <w:spacing w:before="100" w:beforeAutospacing="1" w:after="100" w:afterAutospacing="1"/>
      <w:jc w:val="left"/>
    </w:pPr>
    <w:rPr>
      <w:rFonts w:hAnsi="宋体"/>
      <w:sz w:val="24"/>
      <w:szCs w:val="24"/>
    </w:rPr>
  </w:style>
  <w:style w:type="paragraph" w:styleId="54">
    <w:name w:val="index 2"/>
    <w:basedOn w:val="1"/>
    <w:next w:val="1"/>
    <w:qFormat/>
    <w:uiPriority w:val="0"/>
    <w:pPr>
      <w:adjustRightInd w:val="0"/>
      <w:spacing w:line="240" w:lineRule="atLeast"/>
      <w:ind w:left="480" w:hanging="240"/>
      <w:jc w:val="left"/>
      <w:textAlignment w:val="baseline"/>
    </w:pPr>
    <w:rPr>
      <w:sz w:val="24"/>
      <w:szCs w:val="21"/>
    </w:rPr>
  </w:style>
  <w:style w:type="paragraph" w:styleId="55">
    <w:name w:val="Title"/>
    <w:basedOn w:val="1"/>
    <w:link w:val="104"/>
    <w:qFormat/>
    <w:uiPriority w:val="10"/>
    <w:pPr>
      <w:keepNext/>
      <w:tabs>
        <w:tab w:val="left" w:pos="737"/>
      </w:tabs>
      <w:adjustRightInd w:val="0"/>
      <w:spacing w:before="240" w:after="60" w:line="240" w:lineRule="atLeast"/>
      <w:jc w:val="left"/>
      <w:textAlignment w:val="baseline"/>
      <w:outlineLvl w:val="0"/>
    </w:pPr>
    <w:rPr>
      <w:rFonts w:ascii="Cambria" w:hAnsi="Cambria"/>
      <w:b/>
      <w:bCs/>
      <w:sz w:val="32"/>
      <w:szCs w:val="32"/>
    </w:rPr>
  </w:style>
  <w:style w:type="paragraph" w:styleId="56">
    <w:name w:val="annotation subject"/>
    <w:basedOn w:val="19"/>
    <w:next w:val="19"/>
    <w:link w:val="173"/>
    <w:qFormat/>
    <w:uiPriority w:val="99"/>
    <w:rPr>
      <w:b/>
      <w:bCs/>
      <w:sz w:val="32"/>
    </w:rPr>
  </w:style>
  <w:style w:type="paragraph" w:styleId="57">
    <w:name w:val="Body Text First Indent"/>
    <w:basedOn w:val="23"/>
    <w:link w:val="203"/>
    <w:qFormat/>
    <w:uiPriority w:val="99"/>
    <w:pPr>
      <w:adjustRightInd w:val="0"/>
      <w:ind w:left="340" w:firstLine="420" w:firstLineChars="100"/>
      <w:textAlignment w:val="baseline"/>
    </w:pPr>
    <w:rPr>
      <w:sz w:val="32"/>
    </w:rPr>
  </w:style>
  <w:style w:type="table" w:styleId="59">
    <w:name w:val="Table Grid"/>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page number"/>
    <w:basedOn w:val="60"/>
    <w:qFormat/>
    <w:uiPriority w:val="0"/>
  </w:style>
  <w:style w:type="character" w:styleId="63">
    <w:name w:val="FollowedHyperlink"/>
    <w:basedOn w:val="60"/>
    <w:semiHidden/>
    <w:unhideWhenUsed/>
    <w:qFormat/>
    <w:uiPriority w:val="99"/>
    <w:rPr>
      <w:color w:val="954F72" w:themeColor="followedHyperlink"/>
      <w:u w:val="single"/>
      <w14:textFill>
        <w14:solidFill>
          <w14:schemeClr w14:val="folHlink"/>
        </w14:solidFill>
      </w14:textFill>
    </w:rPr>
  </w:style>
  <w:style w:type="character" w:styleId="64">
    <w:name w:val="Hyperlink"/>
    <w:qFormat/>
    <w:uiPriority w:val="99"/>
    <w:rPr>
      <w:rFonts w:ascii="宋体" w:hAnsi="宋体"/>
      <w:color w:val="0000FF"/>
      <w:sz w:val="24"/>
      <w:szCs w:val="24"/>
      <w:u w:val="single"/>
      <w:lang w:val="en-US" w:eastAsia="zh-CN"/>
    </w:rPr>
  </w:style>
  <w:style w:type="character" w:styleId="65">
    <w:name w:val="annotation reference"/>
    <w:qFormat/>
    <w:uiPriority w:val="0"/>
    <w:rPr>
      <w:sz w:val="21"/>
      <w:szCs w:val="21"/>
    </w:rPr>
  </w:style>
  <w:style w:type="character" w:styleId="66">
    <w:name w:val="footnote reference"/>
    <w:qFormat/>
    <w:uiPriority w:val="0"/>
    <w:rPr>
      <w:rFonts w:ascii="宋体" w:hAnsi="宋体"/>
      <w:color w:val="auto"/>
      <w:sz w:val="24"/>
      <w:vertAlign w:val="superscript"/>
    </w:rPr>
  </w:style>
  <w:style w:type="character" w:customStyle="1" w:styleId="67">
    <w:name w:val="标题 3 Char"/>
    <w:basedOn w:val="60"/>
    <w:link w:val="4"/>
    <w:qFormat/>
    <w:uiPriority w:val="0"/>
    <w:rPr>
      <w:rFonts w:ascii="Calibri" w:hAnsi="宋体" w:eastAsia="黑体" w:cs="Times New Roman"/>
      <w:sz w:val="28"/>
      <w:szCs w:val="24"/>
    </w:rPr>
  </w:style>
  <w:style w:type="character" w:customStyle="1" w:styleId="68">
    <w:name w:val="标题 1 Char"/>
    <w:basedOn w:val="60"/>
    <w:link w:val="2"/>
    <w:qFormat/>
    <w:uiPriority w:val="0"/>
    <w:rPr>
      <w:rFonts w:ascii="宋体" w:hAnsi="Times New Roman" w:eastAsia="宋体" w:cs="Times New Roman"/>
      <w:b/>
      <w:bCs/>
      <w:kern w:val="44"/>
      <w:position w:val="-6"/>
      <w:sz w:val="44"/>
      <w:szCs w:val="44"/>
    </w:rPr>
  </w:style>
  <w:style w:type="character" w:customStyle="1" w:styleId="69">
    <w:name w:val="标题 2 Char"/>
    <w:basedOn w:val="60"/>
    <w:link w:val="3"/>
    <w:qFormat/>
    <w:uiPriority w:val="0"/>
    <w:rPr>
      <w:rFonts w:asciiTheme="majorHAnsi" w:hAnsiTheme="majorHAnsi" w:eastAsiaTheme="majorEastAsia" w:cstheme="majorBidi"/>
      <w:b/>
      <w:bCs/>
      <w:kern w:val="0"/>
      <w:position w:val="-6"/>
      <w:sz w:val="32"/>
      <w:szCs w:val="32"/>
    </w:rPr>
  </w:style>
  <w:style w:type="character" w:customStyle="1" w:styleId="70">
    <w:name w:val="标题 4 Char"/>
    <w:basedOn w:val="60"/>
    <w:link w:val="5"/>
    <w:qFormat/>
    <w:uiPriority w:val="0"/>
    <w:rPr>
      <w:rFonts w:asciiTheme="majorHAnsi" w:hAnsiTheme="majorHAnsi" w:eastAsiaTheme="majorEastAsia" w:cstheme="majorBidi"/>
      <w:b/>
      <w:bCs/>
      <w:kern w:val="0"/>
      <w:position w:val="-6"/>
      <w:sz w:val="28"/>
      <w:szCs w:val="28"/>
    </w:rPr>
  </w:style>
  <w:style w:type="character" w:customStyle="1" w:styleId="71">
    <w:name w:val="标题 5 Char"/>
    <w:basedOn w:val="60"/>
    <w:link w:val="6"/>
    <w:qFormat/>
    <w:uiPriority w:val="0"/>
    <w:rPr>
      <w:rFonts w:ascii="Arial" w:hAnsi="Arial" w:eastAsia="宋体" w:cs="Times New Roman"/>
      <w:b/>
      <w:kern w:val="0"/>
      <w:sz w:val="28"/>
      <w:szCs w:val="20"/>
      <w:lang w:val="zh-CN" w:eastAsia="zh-CN"/>
    </w:rPr>
  </w:style>
  <w:style w:type="character" w:customStyle="1" w:styleId="72">
    <w:name w:val="标题 6 Char"/>
    <w:basedOn w:val="60"/>
    <w:link w:val="8"/>
    <w:qFormat/>
    <w:uiPriority w:val="0"/>
    <w:rPr>
      <w:rFonts w:ascii="Arial" w:hAnsi="Arial" w:eastAsia="黑体" w:cs="Times New Roman"/>
      <w:b/>
      <w:kern w:val="0"/>
      <w:sz w:val="24"/>
      <w:szCs w:val="20"/>
      <w:lang w:val="zh-CN" w:eastAsia="zh-CN"/>
    </w:rPr>
  </w:style>
  <w:style w:type="character" w:customStyle="1" w:styleId="73">
    <w:name w:val="标题 7 Char"/>
    <w:basedOn w:val="60"/>
    <w:link w:val="9"/>
    <w:qFormat/>
    <w:uiPriority w:val="0"/>
    <w:rPr>
      <w:rFonts w:ascii="Arial" w:hAnsi="Arial" w:eastAsia="宋体" w:cs="Times New Roman"/>
      <w:b/>
      <w:kern w:val="0"/>
      <w:position w:val="-6"/>
      <w:sz w:val="24"/>
      <w:szCs w:val="20"/>
      <w:lang w:val="zh-CN" w:eastAsia="zh-CN"/>
    </w:rPr>
  </w:style>
  <w:style w:type="character" w:customStyle="1" w:styleId="74">
    <w:name w:val="标题 8 Char"/>
    <w:basedOn w:val="60"/>
    <w:link w:val="10"/>
    <w:qFormat/>
    <w:uiPriority w:val="0"/>
    <w:rPr>
      <w:rFonts w:ascii="Arial" w:hAnsi="Arial" w:eastAsia="黑体" w:cs="Times New Roman"/>
      <w:kern w:val="0"/>
      <w:position w:val="-6"/>
      <w:sz w:val="24"/>
      <w:szCs w:val="20"/>
      <w:lang w:val="zh-CN" w:eastAsia="zh-CN"/>
    </w:rPr>
  </w:style>
  <w:style w:type="character" w:customStyle="1" w:styleId="75">
    <w:name w:val="标题 9 Char"/>
    <w:basedOn w:val="60"/>
    <w:link w:val="11"/>
    <w:qFormat/>
    <w:uiPriority w:val="0"/>
    <w:rPr>
      <w:rFonts w:ascii="Arial" w:hAnsi="Arial" w:eastAsia="黑体" w:cs="Times New Roman"/>
      <w:kern w:val="0"/>
      <w:sz w:val="20"/>
      <w:szCs w:val="20"/>
      <w:lang w:val="zh-CN" w:eastAsia="zh-CN"/>
    </w:rPr>
  </w:style>
  <w:style w:type="paragraph" w:customStyle="1" w:styleId="76">
    <w:name w:val="_Style 21"/>
    <w:qFormat/>
    <w:uiPriority w:val="99"/>
    <w:pPr>
      <w:widowControl w:val="0"/>
      <w:spacing w:line="360" w:lineRule="auto"/>
      <w:ind w:firstLine="200" w:firstLineChars="200"/>
      <w:jc w:val="both"/>
    </w:pPr>
    <w:rPr>
      <w:rFonts w:ascii="宋体" w:hAnsi="Times New Roman" w:eastAsia="宋体" w:cs="Times New Roman"/>
      <w:position w:val="-6"/>
      <w:sz w:val="28"/>
      <w:lang w:val="en-US" w:eastAsia="zh-CN" w:bidi="ar-SA"/>
    </w:rPr>
  </w:style>
  <w:style w:type="character" w:customStyle="1" w:styleId="77">
    <w:name w:val="正文文本15"/>
    <w:qFormat/>
    <w:uiPriority w:val="0"/>
    <w:rPr>
      <w:rFonts w:ascii="MingLiU" w:hAnsi="MingLiU" w:eastAsia="MingLiU" w:cs="MingLiU"/>
      <w:color w:val="000000"/>
      <w:spacing w:val="0"/>
      <w:w w:val="100"/>
      <w:position w:val="0"/>
      <w:sz w:val="23"/>
      <w:szCs w:val="23"/>
      <w:u w:val="none"/>
      <w:shd w:val="clear" w:color="auto" w:fill="FFFFFF"/>
      <w:lang w:val="zh-CN"/>
    </w:rPr>
  </w:style>
  <w:style w:type="character" w:customStyle="1" w:styleId="78">
    <w:name w:val="纯文本 Char3"/>
    <w:link w:val="29"/>
    <w:qFormat/>
    <w:uiPriority w:val="99"/>
    <w:rPr>
      <w:rFonts w:ascii="宋体" w:hAnsi="Courier New" w:eastAsia="宋体" w:cs="Courier New"/>
      <w:kern w:val="0"/>
      <w:position w:val="-6"/>
      <w:szCs w:val="21"/>
    </w:rPr>
  </w:style>
  <w:style w:type="character" w:customStyle="1" w:styleId="79">
    <w:name w:val="正文文本缩进 3 Char"/>
    <w:qFormat/>
    <w:uiPriority w:val="0"/>
    <w:rPr>
      <w:rFonts w:ascii="宋体"/>
      <w:color w:val="FF0000"/>
      <w:position w:val="-6"/>
      <w:sz w:val="32"/>
    </w:rPr>
  </w:style>
  <w:style w:type="character" w:customStyle="1" w:styleId="80">
    <w:name w:val="页眉 Char"/>
    <w:qFormat/>
    <w:uiPriority w:val="99"/>
    <w:rPr>
      <w:rFonts w:ascii="宋体"/>
      <w:position w:val="-6"/>
      <w:sz w:val="18"/>
      <w:szCs w:val="18"/>
    </w:rPr>
  </w:style>
  <w:style w:type="character" w:customStyle="1" w:styleId="81">
    <w:name w:val="引用 Char1"/>
    <w:qFormat/>
    <w:uiPriority w:val="29"/>
    <w:rPr>
      <w:rFonts w:ascii="宋体"/>
      <w:i/>
      <w:iCs/>
      <w:color w:val="000000"/>
      <w:position w:val="-6"/>
      <w:sz w:val="32"/>
    </w:rPr>
  </w:style>
  <w:style w:type="character" w:customStyle="1" w:styleId="82">
    <w:name w:val="文档正文 Char"/>
    <w:link w:val="83"/>
    <w:qFormat/>
    <w:uiPriority w:val="0"/>
    <w:rPr>
      <w:rFonts w:ascii="长城仿宋" w:eastAsia="长城仿宋"/>
      <w:position w:val="-6"/>
      <w:sz w:val="28"/>
    </w:rPr>
  </w:style>
  <w:style w:type="paragraph" w:customStyle="1" w:styleId="83">
    <w:name w:val="文档正文"/>
    <w:basedOn w:val="1"/>
    <w:link w:val="82"/>
    <w:qFormat/>
    <w:uiPriority w:val="0"/>
    <w:pPr>
      <w:adjustRightInd w:val="0"/>
      <w:spacing w:line="312" w:lineRule="atLeast"/>
      <w:ind w:firstLine="567"/>
      <w:textAlignment w:val="baseline"/>
    </w:pPr>
    <w:rPr>
      <w:rFonts w:ascii="长城仿宋" w:eastAsia="长城仿宋" w:hAnsiTheme="minorHAnsi" w:cstheme="minorBidi"/>
      <w:kern w:val="2"/>
      <w:szCs w:val="22"/>
    </w:rPr>
  </w:style>
  <w:style w:type="character" w:customStyle="1" w:styleId="84">
    <w:name w:val="样式 表格1 + (西文) 宋体 Char Char Char"/>
    <w:qFormat/>
    <w:uiPriority w:val="0"/>
    <w:rPr>
      <w:rFonts w:eastAsia="宋体"/>
      <w:kern w:val="24"/>
      <w:sz w:val="21"/>
      <w:szCs w:val="21"/>
      <w:lang w:val="en-US" w:eastAsia="zh-CN" w:bidi="ar-SA"/>
    </w:rPr>
  </w:style>
  <w:style w:type="character" w:customStyle="1" w:styleId="85">
    <w:name w:val="A标题6 Char Char"/>
    <w:link w:val="86"/>
    <w:qFormat/>
    <w:uiPriority w:val="0"/>
    <w:rPr>
      <w:sz w:val="24"/>
    </w:rPr>
  </w:style>
  <w:style w:type="paragraph" w:customStyle="1" w:styleId="86">
    <w:name w:val="A标题6"/>
    <w:basedOn w:val="1"/>
    <w:next w:val="1"/>
    <w:link w:val="85"/>
    <w:qFormat/>
    <w:uiPriority w:val="0"/>
    <w:pPr>
      <w:tabs>
        <w:tab w:val="left" w:pos="820"/>
      </w:tabs>
      <w:ind w:left="820" w:hanging="340"/>
      <w:outlineLvl w:val="5"/>
    </w:pPr>
    <w:rPr>
      <w:rFonts w:asciiTheme="minorHAnsi" w:hAnsiTheme="minorHAnsi" w:eastAsiaTheme="minorEastAsia" w:cstheme="minorBidi"/>
      <w:kern w:val="2"/>
      <w:position w:val="0"/>
      <w:sz w:val="24"/>
      <w:szCs w:val="22"/>
    </w:rPr>
  </w:style>
  <w:style w:type="character" w:customStyle="1" w:styleId="87">
    <w:name w:val="A标题3 Char Char Char Char"/>
    <w:qFormat/>
    <w:uiPriority w:val="0"/>
    <w:rPr>
      <w:rFonts w:eastAsia="宋体"/>
      <w:sz w:val="24"/>
      <w:lang w:val="en-US" w:eastAsia="zh-CN" w:bidi="ar-SA"/>
    </w:rPr>
  </w:style>
  <w:style w:type="character" w:customStyle="1" w:styleId="88">
    <w:name w:val="全文正文 Char Char"/>
    <w:link w:val="89"/>
    <w:qFormat/>
    <w:uiPriority w:val="0"/>
    <w:rPr>
      <w:rFonts w:eastAsia="宋体" w:cs="宋体"/>
      <w:sz w:val="24"/>
      <w:szCs w:val="24"/>
    </w:rPr>
  </w:style>
  <w:style w:type="paragraph" w:customStyle="1" w:styleId="89">
    <w:name w:val="全文正文"/>
    <w:basedOn w:val="1"/>
    <w:link w:val="88"/>
    <w:qFormat/>
    <w:uiPriority w:val="0"/>
    <w:pPr>
      <w:ind w:firstLine="480"/>
    </w:pPr>
    <w:rPr>
      <w:rFonts w:cs="宋体" w:asciiTheme="minorHAnsi" w:hAnsiTheme="minorHAnsi"/>
      <w:kern w:val="2"/>
      <w:position w:val="0"/>
      <w:sz w:val="24"/>
      <w:szCs w:val="24"/>
    </w:rPr>
  </w:style>
  <w:style w:type="character" w:customStyle="1" w:styleId="90">
    <w:name w:val="04正文 Char Char Char"/>
    <w:qFormat/>
    <w:uiPriority w:val="0"/>
    <w:rPr>
      <w:rFonts w:eastAsia="方正书宋简体" w:cs="方正书宋简体"/>
      <w:kern w:val="2"/>
      <w:sz w:val="18"/>
      <w:szCs w:val="24"/>
      <w:lang w:val="en-US" w:eastAsia="zh-CN" w:bidi="ar-SA"/>
    </w:rPr>
  </w:style>
  <w:style w:type="character" w:customStyle="1" w:styleId="91">
    <w:name w:val="引用 Char"/>
    <w:qFormat/>
    <w:uiPriority w:val="0"/>
    <w:rPr>
      <w:rFonts w:ascii="宋体" w:hAnsi="宋体"/>
      <w:sz w:val="24"/>
    </w:rPr>
  </w:style>
  <w:style w:type="character" w:customStyle="1" w:styleId="92">
    <w:name w:val="批注文字 Char1"/>
    <w:qFormat/>
    <w:uiPriority w:val="0"/>
    <w:rPr>
      <w:rFonts w:ascii="宋体"/>
      <w:position w:val="-6"/>
      <w:sz w:val="32"/>
    </w:rPr>
  </w:style>
  <w:style w:type="character" w:customStyle="1" w:styleId="93">
    <w:name w:val="批注文字 Char2"/>
    <w:semiHidden/>
    <w:qFormat/>
    <w:uiPriority w:val="99"/>
    <w:rPr>
      <w:rFonts w:ascii="宋体" w:hAnsi="Times New Roman" w:eastAsia="宋体" w:cs="Times New Roman"/>
      <w:kern w:val="0"/>
      <w:position w:val="-6"/>
      <w:sz w:val="32"/>
      <w:szCs w:val="20"/>
    </w:rPr>
  </w:style>
  <w:style w:type="character" w:customStyle="1" w:styleId="94">
    <w:name w:val="表格1 Char Char"/>
    <w:qFormat/>
    <w:uiPriority w:val="0"/>
    <w:rPr>
      <w:rFonts w:eastAsia="宋体"/>
      <w:kern w:val="24"/>
      <w:sz w:val="21"/>
      <w:szCs w:val="21"/>
      <w:lang w:val="en-US" w:eastAsia="zh-CN" w:bidi="ar-SA"/>
    </w:rPr>
  </w:style>
  <w:style w:type="character" w:customStyle="1" w:styleId="95">
    <w:name w:val="正文首行缩进 Char1"/>
    <w:qFormat/>
    <w:uiPriority w:val="0"/>
    <w:rPr>
      <w:rFonts w:ascii="宋体"/>
      <w:position w:val="-6"/>
      <w:sz w:val="32"/>
    </w:rPr>
  </w:style>
  <w:style w:type="character" w:customStyle="1" w:styleId="96">
    <w:name w:val="文档结构图 Char"/>
    <w:qFormat/>
    <w:uiPriority w:val="0"/>
    <w:rPr>
      <w:rFonts w:eastAsia="宋体"/>
      <w:shd w:val="clear" w:color="auto" w:fill="000080"/>
    </w:rPr>
  </w:style>
  <w:style w:type="character" w:customStyle="1" w:styleId="97">
    <w:name w:val="正文缩进 Char1"/>
    <w:qFormat/>
    <w:uiPriority w:val="0"/>
    <w:rPr>
      <w:rFonts w:ascii="黑体" w:eastAsia="黑体"/>
      <w:color w:val="000000"/>
      <w:sz w:val="32"/>
      <w:lang w:val="en-US" w:eastAsia="zh-CN" w:bidi="ar-SA"/>
    </w:rPr>
  </w:style>
  <w:style w:type="character" w:customStyle="1" w:styleId="98">
    <w:name w:val="A标题3 Char Char Char"/>
    <w:qFormat/>
    <w:uiPriority w:val="0"/>
    <w:rPr>
      <w:rFonts w:eastAsia="宋体"/>
      <w:sz w:val="24"/>
      <w:lang w:val="en-US" w:eastAsia="zh-CN" w:bidi="ar-SA"/>
    </w:rPr>
  </w:style>
  <w:style w:type="character" w:customStyle="1" w:styleId="99">
    <w:name w:val="正文文本1"/>
    <w:qFormat/>
    <w:uiPriority w:val="0"/>
    <w:rPr>
      <w:rFonts w:ascii="MingLiU" w:hAnsi="MingLiU" w:eastAsia="MingLiU" w:cs="MingLiU"/>
      <w:color w:val="000000"/>
      <w:spacing w:val="0"/>
      <w:w w:val="100"/>
      <w:position w:val="0"/>
      <w:sz w:val="23"/>
      <w:szCs w:val="23"/>
      <w:shd w:val="clear" w:color="auto" w:fill="FFFFFF"/>
      <w:lang w:val="en-US"/>
    </w:rPr>
  </w:style>
  <w:style w:type="character" w:customStyle="1" w:styleId="100">
    <w:name w:val="样式 表格1 + (西文) 宋体1 Char Char Char"/>
    <w:qFormat/>
    <w:uiPriority w:val="0"/>
    <w:rPr>
      <w:rFonts w:eastAsia="宋体"/>
      <w:kern w:val="24"/>
      <w:sz w:val="21"/>
      <w:szCs w:val="21"/>
      <w:lang w:val="en-US" w:eastAsia="zh-CN" w:bidi="ar-SA"/>
    </w:rPr>
  </w:style>
  <w:style w:type="character" w:customStyle="1" w:styleId="101">
    <w:name w:val="图表名称 Char"/>
    <w:link w:val="102"/>
    <w:qFormat/>
    <w:uiPriority w:val="0"/>
    <w:rPr>
      <w:rFonts w:ascii="Times New Roman" w:hAnsi="Times New Roman" w:eastAsia="楷体_GB2312"/>
      <w:szCs w:val="21"/>
    </w:rPr>
  </w:style>
  <w:style w:type="paragraph" w:customStyle="1" w:styleId="102">
    <w:name w:val="图表名称"/>
    <w:link w:val="101"/>
    <w:qFormat/>
    <w:uiPriority w:val="0"/>
    <w:pPr>
      <w:spacing w:afterLines="50"/>
      <w:jc w:val="center"/>
    </w:pPr>
    <w:rPr>
      <w:rFonts w:ascii="Times New Roman" w:hAnsi="Times New Roman" w:eastAsia="楷体_GB2312" w:cstheme="minorBidi"/>
      <w:kern w:val="2"/>
      <w:sz w:val="21"/>
      <w:szCs w:val="21"/>
      <w:lang w:val="en-US" w:eastAsia="zh-CN" w:bidi="ar-SA"/>
    </w:rPr>
  </w:style>
  <w:style w:type="character" w:customStyle="1" w:styleId="103">
    <w:name w:val="正文首行缩进 Char"/>
    <w:qFormat/>
    <w:uiPriority w:val="0"/>
    <w:rPr>
      <w:rFonts w:ascii="宋体"/>
      <w:sz w:val="24"/>
    </w:rPr>
  </w:style>
  <w:style w:type="character" w:customStyle="1" w:styleId="104">
    <w:name w:val="标题 Char2"/>
    <w:link w:val="55"/>
    <w:qFormat/>
    <w:uiPriority w:val="10"/>
    <w:rPr>
      <w:rFonts w:ascii="Cambria" w:hAnsi="Cambria" w:eastAsia="宋体" w:cs="Times New Roman"/>
      <w:b/>
      <w:bCs/>
      <w:kern w:val="0"/>
      <w:position w:val="-6"/>
      <w:sz w:val="32"/>
      <w:szCs w:val="32"/>
    </w:rPr>
  </w:style>
  <w:style w:type="character" w:customStyle="1" w:styleId="105">
    <w:name w:val="正文文本 2 Char"/>
    <w:qFormat/>
    <w:uiPriority w:val="0"/>
    <w:rPr>
      <w:rFonts w:ascii="宋体"/>
      <w:position w:val="-6"/>
      <w:sz w:val="24"/>
      <w:szCs w:val="24"/>
    </w:rPr>
  </w:style>
  <w:style w:type="character" w:customStyle="1" w:styleId="106">
    <w:name w:val="日期 Char1"/>
    <w:qFormat/>
    <w:uiPriority w:val="0"/>
    <w:rPr>
      <w:rFonts w:ascii="宋体"/>
      <w:position w:val="-6"/>
      <w:sz w:val="32"/>
    </w:rPr>
  </w:style>
  <w:style w:type="character" w:customStyle="1" w:styleId="107">
    <w:name w:val="封面5"/>
    <w:qFormat/>
    <w:uiPriority w:val="0"/>
    <w:rPr>
      <w:b/>
      <w:bCs/>
      <w:sz w:val="32"/>
    </w:rPr>
  </w:style>
  <w:style w:type="character" w:customStyle="1" w:styleId="108">
    <w:name w:val="正文文本 (6) + 非粗体"/>
    <w:qFormat/>
    <w:uiPriority w:val="0"/>
    <w:rPr>
      <w:rFonts w:ascii="MingLiU" w:hAnsi="MingLiU" w:eastAsia="MingLiU" w:cs="MingLiU"/>
      <w:b/>
      <w:bCs/>
      <w:color w:val="000000"/>
      <w:spacing w:val="0"/>
      <w:w w:val="100"/>
      <w:position w:val="0"/>
      <w:sz w:val="23"/>
      <w:szCs w:val="23"/>
      <w:u w:val="none"/>
      <w:lang w:val="zh-CN"/>
    </w:rPr>
  </w:style>
  <w:style w:type="character" w:customStyle="1" w:styleId="109">
    <w:name w:val="标题 4 Char1"/>
    <w:qFormat/>
    <w:uiPriority w:val="0"/>
    <w:rPr>
      <w:rFonts w:ascii="Cambria" w:hAnsi="Cambria" w:eastAsia="宋体" w:cs="Times New Roman"/>
      <w:b/>
      <w:bCs/>
      <w:kern w:val="2"/>
      <w:sz w:val="28"/>
      <w:szCs w:val="28"/>
    </w:rPr>
  </w:style>
  <w:style w:type="character" w:customStyle="1" w:styleId="110">
    <w:name w:val="批注主题 Char"/>
    <w:qFormat/>
    <w:uiPriority w:val="0"/>
    <w:rPr>
      <w:rFonts w:ascii="宋体"/>
      <w:b/>
      <w:bCs/>
      <w:position w:val="-6"/>
    </w:rPr>
  </w:style>
  <w:style w:type="character" w:customStyle="1" w:styleId="111">
    <w:name w:val="索引 1 Char"/>
    <w:link w:val="40"/>
    <w:qFormat/>
    <w:uiPriority w:val="0"/>
    <w:rPr>
      <w:szCs w:val="24"/>
    </w:rPr>
  </w:style>
  <w:style w:type="character" w:customStyle="1" w:styleId="112">
    <w:name w:val="彩色网格 - 强调文字颜色 1 Char"/>
    <w:qFormat/>
    <w:uiPriority w:val="0"/>
    <w:rPr>
      <w:rFonts w:ascii="宋体" w:hAnsi="宋体"/>
      <w:kern w:val="2"/>
      <w:sz w:val="24"/>
    </w:rPr>
  </w:style>
  <w:style w:type="character" w:customStyle="1" w:styleId="113">
    <w:name w:val="样式 标题 3 + (符号) Times New Roman Char"/>
    <w:link w:val="114"/>
    <w:qFormat/>
    <w:uiPriority w:val="0"/>
    <w:rPr>
      <w:rFonts w:hAnsi="宋体" w:eastAsia="黑体"/>
      <w:bCs/>
      <w:sz w:val="28"/>
      <w:szCs w:val="24"/>
    </w:rPr>
  </w:style>
  <w:style w:type="paragraph" w:customStyle="1" w:styleId="114">
    <w:name w:val="样式 标题 3 + (符号) Times New Roman"/>
    <w:basedOn w:val="4"/>
    <w:link w:val="113"/>
    <w:qFormat/>
    <w:uiPriority w:val="0"/>
    <w:rPr>
      <w:rFonts w:asciiTheme="minorHAnsi" w:cstheme="minorBidi"/>
      <w:bCs/>
    </w:rPr>
  </w:style>
  <w:style w:type="character" w:customStyle="1" w:styleId="115">
    <w:name w:val="A工程量清单 Char Char"/>
    <w:link w:val="116"/>
    <w:qFormat/>
    <w:uiPriority w:val="0"/>
    <w:rPr>
      <w:rFonts w:eastAsia="黑体"/>
      <w:color w:val="000000"/>
      <w:spacing w:val="40"/>
      <w:sz w:val="24"/>
      <w:szCs w:val="24"/>
    </w:rPr>
  </w:style>
  <w:style w:type="paragraph" w:customStyle="1" w:styleId="116">
    <w:name w:val="A工程量清单"/>
    <w:basedOn w:val="1"/>
    <w:link w:val="115"/>
    <w:qFormat/>
    <w:uiPriority w:val="0"/>
    <w:pPr>
      <w:adjustRightInd w:val="0"/>
      <w:jc w:val="center"/>
      <w:textAlignment w:val="baseline"/>
    </w:pPr>
    <w:rPr>
      <w:rFonts w:eastAsia="黑体" w:asciiTheme="minorHAnsi" w:hAnsiTheme="minorHAnsi" w:cstheme="minorBidi"/>
      <w:color w:val="000000"/>
      <w:spacing w:val="40"/>
      <w:kern w:val="2"/>
      <w:position w:val="0"/>
      <w:sz w:val="24"/>
      <w:szCs w:val="24"/>
    </w:rPr>
  </w:style>
  <w:style w:type="character" w:customStyle="1" w:styleId="117">
    <w:name w:val="页脚 Char1"/>
    <w:qFormat/>
    <w:uiPriority w:val="0"/>
    <w:rPr>
      <w:rFonts w:ascii="宋体"/>
      <w:position w:val="-6"/>
      <w:sz w:val="18"/>
      <w:szCs w:val="18"/>
    </w:rPr>
  </w:style>
  <w:style w:type="character" w:customStyle="1" w:styleId="118">
    <w:name w:val="批注框文本 Char"/>
    <w:qFormat/>
    <w:uiPriority w:val="0"/>
    <w:rPr>
      <w:rFonts w:eastAsia="宋体"/>
      <w:sz w:val="18"/>
      <w:szCs w:val="18"/>
    </w:rPr>
  </w:style>
  <w:style w:type="character" w:customStyle="1" w:styleId="119">
    <w:name w:val="ITTHEADER Char"/>
    <w:qFormat/>
    <w:uiPriority w:val="0"/>
    <w:rPr>
      <w:rFonts w:eastAsia="宋体"/>
      <w:kern w:val="2"/>
      <w:sz w:val="18"/>
      <w:szCs w:val="18"/>
      <w:lang w:val="en-US" w:eastAsia="zh-CN" w:bidi="ar-SA"/>
    </w:rPr>
  </w:style>
  <w:style w:type="character" w:customStyle="1" w:styleId="120">
    <w:name w:val="表格文字 Char Char Char"/>
    <w:qFormat/>
    <w:uiPriority w:val="0"/>
    <w:rPr>
      <w:kern w:val="21"/>
      <w:sz w:val="21"/>
    </w:rPr>
  </w:style>
  <w:style w:type="character" w:customStyle="1" w:styleId="121">
    <w:name w:val="标题 Char"/>
    <w:qFormat/>
    <w:uiPriority w:val="0"/>
    <w:rPr>
      <w:rFonts w:ascii="Arial" w:hAnsi="Arial" w:eastAsia="宋体" w:cs="Arial"/>
      <w:b/>
      <w:bCs/>
      <w:color w:val="FF0000"/>
      <w:sz w:val="32"/>
      <w:szCs w:val="32"/>
    </w:rPr>
  </w:style>
  <w:style w:type="character" w:customStyle="1" w:styleId="122">
    <w:name w:val="Char Char9"/>
    <w:qFormat/>
    <w:uiPriority w:val="0"/>
    <w:rPr>
      <w:rFonts w:eastAsia="宋体"/>
      <w:kern w:val="2"/>
      <w:sz w:val="18"/>
      <w:szCs w:val="18"/>
      <w:lang w:val="en-US" w:eastAsia="zh-CN" w:bidi="ar-SA"/>
    </w:rPr>
  </w:style>
  <w:style w:type="character" w:customStyle="1" w:styleId="123">
    <w:name w:val="纯文本 Char1"/>
    <w:qFormat/>
    <w:uiPriority w:val="0"/>
    <w:rPr>
      <w:rFonts w:ascii="宋体" w:hAnsi="Courier New" w:eastAsia="宋体"/>
      <w:kern w:val="2"/>
      <w:sz w:val="21"/>
      <w:lang w:val="en-US" w:eastAsia="zh-CN" w:bidi="ar-SA"/>
    </w:rPr>
  </w:style>
  <w:style w:type="character" w:customStyle="1" w:styleId="124">
    <w:name w:val="正文文本 Char"/>
    <w:qFormat/>
    <w:uiPriority w:val="0"/>
    <w:rPr>
      <w:rFonts w:ascii="宋体"/>
      <w:sz w:val="28"/>
    </w:rPr>
  </w:style>
  <w:style w:type="character" w:customStyle="1" w:styleId="125">
    <w:name w:val="普通文字 Char1 Char"/>
    <w:qFormat/>
    <w:uiPriority w:val="0"/>
    <w:rPr>
      <w:rFonts w:ascii="宋体" w:hAnsi="Courier New" w:eastAsia="宋体" w:cs="Courier New"/>
      <w:sz w:val="21"/>
      <w:szCs w:val="21"/>
      <w:lang w:val="en-US" w:eastAsia="zh-CN" w:bidi="ar-SA"/>
    </w:rPr>
  </w:style>
  <w:style w:type="character" w:customStyle="1" w:styleId="126">
    <w:name w:val="A表格文字居中 Char Char Char"/>
    <w:qFormat/>
    <w:uiPriority w:val="0"/>
    <w:rPr>
      <w:kern w:val="21"/>
      <w:sz w:val="21"/>
    </w:rPr>
  </w:style>
  <w:style w:type="character" w:customStyle="1" w:styleId="127">
    <w:name w:val="纯文本 Char"/>
    <w:qFormat/>
    <w:uiPriority w:val="0"/>
    <w:rPr>
      <w:rFonts w:ascii="宋体" w:hAnsi="Courier New" w:eastAsia="宋体"/>
    </w:rPr>
  </w:style>
  <w:style w:type="character" w:customStyle="1" w:styleId="128">
    <w:name w:val="批注框文本 Char1"/>
    <w:qFormat/>
    <w:uiPriority w:val="0"/>
    <w:rPr>
      <w:rFonts w:ascii="宋体"/>
      <w:position w:val="-6"/>
      <w:sz w:val="18"/>
      <w:szCs w:val="18"/>
    </w:rPr>
  </w:style>
  <w:style w:type="character" w:customStyle="1" w:styleId="129">
    <w:name w:val="正文文本 Char2"/>
    <w:semiHidden/>
    <w:qFormat/>
    <w:uiPriority w:val="99"/>
    <w:rPr>
      <w:rFonts w:ascii="宋体" w:hAnsi="Times New Roman" w:eastAsia="宋体" w:cs="Times New Roman"/>
      <w:kern w:val="0"/>
      <w:position w:val="-6"/>
      <w:sz w:val="32"/>
      <w:szCs w:val="20"/>
    </w:rPr>
  </w:style>
  <w:style w:type="character" w:customStyle="1" w:styleId="130">
    <w:name w:val="A表格文字左对齐 Char Char Char"/>
    <w:qFormat/>
    <w:uiPriority w:val="0"/>
    <w:rPr>
      <w:sz w:val="21"/>
    </w:rPr>
  </w:style>
  <w:style w:type="character" w:customStyle="1" w:styleId="131">
    <w:name w:val="Char Char3"/>
    <w:qFormat/>
    <w:uiPriority w:val="0"/>
    <w:rPr>
      <w:rFonts w:ascii="宋体" w:hAnsi="宋体" w:eastAsia="宋体"/>
      <w:kern w:val="2"/>
      <w:sz w:val="24"/>
      <w:szCs w:val="24"/>
      <w:lang w:val="en-US" w:eastAsia="zh-CN" w:bidi="ar-SA"/>
    </w:rPr>
  </w:style>
  <w:style w:type="character" w:customStyle="1" w:styleId="132">
    <w:name w:val="正文文本缩进 Char"/>
    <w:qFormat/>
    <w:uiPriority w:val="0"/>
    <w:rPr>
      <w:rFonts w:ascii="宋体" w:hAnsi="宋体"/>
      <w:color w:val="FF0000"/>
    </w:rPr>
  </w:style>
  <w:style w:type="character" w:customStyle="1" w:styleId="133">
    <w:name w:val="表格 Char Char"/>
    <w:qFormat/>
    <w:uiPriority w:val="0"/>
    <w:rPr>
      <w:rFonts w:hint="eastAsia" w:ascii="宋体" w:hAnsi="宋体" w:eastAsia="宋体"/>
      <w:kern w:val="2"/>
      <w:sz w:val="24"/>
      <w:szCs w:val="24"/>
      <w:lang w:val="en-US" w:eastAsia="zh-CN" w:bidi="ar-SA"/>
    </w:rPr>
  </w:style>
  <w:style w:type="character" w:customStyle="1" w:styleId="134">
    <w:name w:val="彩色列表 - 强调文字颜色 1 Char"/>
    <w:qFormat/>
    <w:uiPriority w:val="0"/>
    <w:rPr>
      <w:rFonts w:ascii="宋体"/>
      <w:position w:val="-6"/>
      <w:sz w:val="32"/>
      <w:szCs w:val="24"/>
    </w:rPr>
  </w:style>
  <w:style w:type="character" w:customStyle="1" w:styleId="135">
    <w:name w:val="页脚 Char"/>
    <w:qFormat/>
    <w:uiPriority w:val="99"/>
    <w:rPr>
      <w:rFonts w:ascii="宋体"/>
      <w:position w:val="-6"/>
      <w:sz w:val="18"/>
      <w:szCs w:val="18"/>
    </w:rPr>
  </w:style>
  <w:style w:type="character" w:customStyle="1" w:styleId="136">
    <w:name w:val="脚注文本 Char1"/>
    <w:link w:val="43"/>
    <w:qFormat/>
    <w:uiPriority w:val="99"/>
    <w:rPr>
      <w:rFonts w:ascii="宋体" w:hAnsi="Times New Roman" w:eastAsia="宋体" w:cs="Times New Roman"/>
      <w:kern w:val="0"/>
      <w:position w:val="-6"/>
      <w:sz w:val="18"/>
      <w:szCs w:val="18"/>
    </w:rPr>
  </w:style>
  <w:style w:type="character" w:customStyle="1" w:styleId="137">
    <w:name w:val="标题 3 Char2"/>
    <w:qFormat/>
    <w:uiPriority w:val="0"/>
    <w:rPr>
      <w:b/>
      <w:bCs/>
      <w:kern w:val="2"/>
      <w:sz w:val="32"/>
      <w:szCs w:val="32"/>
    </w:rPr>
  </w:style>
  <w:style w:type="character" w:customStyle="1" w:styleId="138">
    <w:name w:val="正文文本 (4) + 间距 1 pt"/>
    <w:qFormat/>
    <w:uiPriority w:val="0"/>
    <w:rPr>
      <w:rFonts w:ascii="MingLiU" w:hAnsi="MingLiU" w:eastAsia="MingLiU" w:cs="MingLiU"/>
      <w:color w:val="000000"/>
      <w:spacing w:val="30"/>
      <w:w w:val="100"/>
      <w:position w:val="0"/>
      <w:sz w:val="23"/>
      <w:szCs w:val="23"/>
      <w:shd w:val="clear" w:color="auto" w:fill="FFFFFF"/>
      <w:lang w:val="zh-CN"/>
    </w:rPr>
  </w:style>
  <w:style w:type="character" w:customStyle="1" w:styleId="139">
    <w:name w:val="正文文本14"/>
    <w:qFormat/>
    <w:uiPriority w:val="0"/>
    <w:rPr>
      <w:rFonts w:ascii="MingLiU" w:hAnsi="MingLiU" w:eastAsia="MingLiU" w:cs="MingLiU"/>
      <w:color w:val="000000"/>
      <w:spacing w:val="0"/>
      <w:w w:val="100"/>
      <w:position w:val="0"/>
      <w:sz w:val="23"/>
      <w:szCs w:val="23"/>
      <w:u w:val="none"/>
      <w:shd w:val="clear" w:color="auto" w:fill="FFFFFF"/>
      <w:lang w:val="zh-CN"/>
    </w:rPr>
  </w:style>
  <w:style w:type="character" w:customStyle="1" w:styleId="140">
    <w:name w:val="样式 样式6 正文 + (符号) 宋体 Char"/>
    <w:qFormat/>
    <w:uiPriority w:val="0"/>
    <w:rPr>
      <w:rFonts w:eastAsia="宋体"/>
      <w:sz w:val="24"/>
      <w:lang w:val="en-US" w:eastAsia="zh-CN" w:bidi="ar-SA"/>
    </w:rPr>
  </w:style>
  <w:style w:type="character" w:customStyle="1" w:styleId="141">
    <w:name w:val="正文文本 3 Char1"/>
    <w:link w:val="22"/>
    <w:qFormat/>
    <w:uiPriority w:val="99"/>
    <w:rPr>
      <w:rFonts w:ascii="宋体" w:hAnsi="Times New Roman" w:eastAsia="宋体" w:cs="Times New Roman"/>
      <w:kern w:val="0"/>
      <w:position w:val="-6"/>
      <w:sz w:val="16"/>
      <w:szCs w:val="16"/>
    </w:rPr>
  </w:style>
  <w:style w:type="character" w:customStyle="1" w:styleId="142">
    <w:name w:val="样式 表格1 + (西文) 宋体 Char Char"/>
    <w:qFormat/>
    <w:uiPriority w:val="0"/>
    <w:rPr>
      <w:rFonts w:eastAsia="宋体"/>
      <w:kern w:val="24"/>
      <w:sz w:val="21"/>
      <w:szCs w:val="21"/>
      <w:lang w:val="en-US" w:eastAsia="zh-CN" w:bidi="ar-SA"/>
    </w:rPr>
  </w:style>
  <w:style w:type="character" w:customStyle="1" w:styleId="143">
    <w:name w:val="正文文本 2 Char1"/>
    <w:link w:val="51"/>
    <w:qFormat/>
    <w:uiPriority w:val="99"/>
    <w:rPr>
      <w:rFonts w:ascii="宋体" w:hAnsi="Times New Roman" w:eastAsia="宋体" w:cs="Times New Roman"/>
      <w:kern w:val="0"/>
      <w:position w:val="-6"/>
      <w:sz w:val="32"/>
      <w:szCs w:val="20"/>
    </w:rPr>
  </w:style>
  <w:style w:type="character" w:customStyle="1" w:styleId="144">
    <w:name w:val="正文文本8"/>
    <w:qFormat/>
    <w:uiPriority w:val="0"/>
    <w:rPr>
      <w:rFonts w:ascii="MingLiU" w:hAnsi="MingLiU" w:eastAsia="MingLiU" w:cs="MingLiU"/>
      <w:color w:val="000000"/>
      <w:spacing w:val="0"/>
      <w:w w:val="100"/>
      <w:position w:val="0"/>
      <w:sz w:val="23"/>
      <w:szCs w:val="23"/>
      <w:shd w:val="clear" w:color="auto" w:fill="FFFFFF"/>
      <w:lang w:val="zh-CN"/>
    </w:rPr>
  </w:style>
  <w:style w:type="character" w:customStyle="1" w:styleId="145">
    <w:name w:val="A标题5 Char1"/>
    <w:qFormat/>
    <w:uiPriority w:val="0"/>
    <w:rPr>
      <w:rFonts w:eastAsia="宋体"/>
      <w:sz w:val="24"/>
      <w:szCs w:val="24"/>
      <w:lang w:val="en-US" w:eastAsia="zh-CN" w:bidi="ar-SA"/>
    </w:rPr>
  </w:style>
  <w:style w:type="character" w:customStyle="1" w:styleId="146">
    <w:name w:val="页眉2 Char Char"/>
    <w:qFormat/>
    <w:uiPriority w:val="0"/>
    <w:rPr>
      <w:rFonts w:eastAsia="宋体"/>
      <w:kern w:val="2"/>
      <w:sz w:val="18"/>
      <w:szCs w:val="18"/>
      <w:lang w:val="en-US" w:eastAsia="zh-CN" w:bidi="ar-SA"/>
    </w:rPr>
  </w:style>
  <w:style w:type="character" w:customStyle="1" w:styleId="147">
    <w:name w:val="A表格文字 Char Char Char"/>
    <w:qFormat/>
    <w:uiPriority w:val="0"/>
    <w:rPr>
      <w:kern w:val="21"/>
      <w:sz w:val="21"/>
    </w:rPr>
  </w:style>
  <w:style w:type="character" w:customStyle="1" w:styleId="148">
    <w:name w:val="页脚 Char2"/>
    <w:link w:val="35"/>
    <w:qFormat/>
    <w:uiPriority w:val="99"/>
    <w:rPr>
      <w:rFonts w:ascii="宋体" w:hAnsi="Times New Roman" w:eastAsia="宋体" w:cs="Times New Roman"/>
      <w:kern w:val="0"/>
      <w:position w:val="-6"/>
      <w:sz w:val="18"/>
      <w:szCs w:val="18"/>
    </w:rPr>
  </w:style>
  <w:style w:type="character" w:customStyle="1" w:styleId="149">
    <w:name w:val="正文文本13"/>
    <w:qFormat/>
    <w:uiPriority w:val="0"/>
    <w:rPr>
      <w:rFonts w:ascii="MingLiU" w:hAnsi="MingLiU" w:eastAsia="MingLiU" w:cs="MingLiU"/>
      <w:color w:val="000000"/>
      <w:spacing w:val="0"/>
      <w:w w:val="100"/>
      <w:position w:val="0"/>
      <w:sz w:val="23"/>
      <w:szCs w:val="23"/>
      <w:u w:val="none"/>
      <w:shd w:val="clear" w:color="auto" w:fill="FFFFFF"/>
      <w:lang w:val="zh-CN"/>
    </w:rPr>
  </w:style>
  <w:style w:type="character" w:customStyle="1" w:styleId="150">
    <w:name w:val="正文文本 + 间距 1 pt"/>
    <w:qFormat/>
    <w:uiPriority w:val="0"/>
    <w:rPr>
      <w:rFonts w:ascii="MingLiU" w:hAnsi="MingLiU" w:eastAsia="MingLiU" w:cs="MingLiU"/>
      <w:color w:val="000000"/>
      <w:spacing w:val="30"/>
      <w:w w:val="100"/>
      <w:position w:val="0"/>
      <w:sz w:val="23"/>
      <w:szCs w:val="23"/>
      <w:shd w:val="clear" w:color="auto" w:fill="FFFFFF"/>
      <w:lang w:val="zh-CN"/>
    </w:rPr>
  </w:style>
  <w:style w:type="character" w:customStyle="1" w:styleId="151">
    <w:name w:val="A标题5 Char Char"/>
    <w:link w:val="152"/>
    <w:qFormat/>
    <w:uiPriority w:val="0"/>
    <w:rPr>
      <w:sz w:val="24"/>
      <w:szCs w:val="24"/>
    </w:rPr>
  </w:style>
  <w:style w:type="paragraph" w:customStyle="1" w:styleId="152">
    <w:name w:val="A标题5"/>
    <w:basedOn w:val="1"/>
    <w:next w:val="1"/>
    <w:link w:val="151"/>
    <w:qFormat/>
    <w:uiPriority w:val="0"/>
    <w:pPr>
      <w:tabs>
        <w:tab w:val="left" w:pos="888"/>
      </w:tabs>
      <w:ind w:left="888" w:hanging="408"/>
      <w:outlineLvl w:val="4"/>
    </w:pPr>
    <w:rPr>
      <w:rFonts w:asciiTheme="minorHAnsi" w:hAnsiTheme="minorHAnsi" w:eastAsiaTheme="minorEastAsia" w:cstheme="minorBidi"/>
      <w:kern w:val="2"/>
      <w:position w:val="0"/>
      <w:sz w:val="24"/>
      <w:szCs w:val="24"/>
    </w:rPr>
  </w:style>
  <w:style w:type="character" w:customStyle="1" w:styleId="153">
    <w:name w:val="标题 Char1"/>
    <w:qFormat/>
    <w:uiPriority w:val="0"/>
    <w:rPr>
      <w:rFonts w:ascii="Cambria" w:hAnsi="Cambria" w:cs="Times New Roman"/>
      <w:b/>
      <w:bCs/>
      <w:position w:val="-6"/>
      <w:sz w:val="32"/>
      <w:szCs w:val="32"/>
    </w:rPr>
  </w:style>
  <w:style w:type="character" w:customStyle="1" w:styleId="154">
    <w:name w:val="A表格文字左对齐 Char Char"/>
    <w:link w:val="155"/>
    <w:qFormat/>
    <w:uiPriority w:val="0"/>
  </w:style>
  <w:style w:type="paragraph" w:customStyle="1" w:styleId="155">
    <w:name w:val="A表格文字左对齐"/>
    <w:basedOn w:val="1"/>
    <w:link w:val="154"/>
    <w:qFormat/>
    <w:uiPriority w:val="0"/>
    <w:pPr>
      <w:adjustRightInd w:val="0"/>
      <w:spacing w:before="100" w:after="4"/>
      <w:jc w:val="left"/>
    </w:pPr>
    <w:rPr>
      <w:rFonts w:asciiTheme="minorHAnsi" w:hAnsiTheme="minorHAnsi" w:eastAsiaTheme="minorEastAsia" w:cstheme="minorBidi"/>
      <w:kern w:val="2"/>
      <w:position w:val="0"/>
      <w:sz w:val="21"/>
      <w:szCs w:val="22"/>
    </w:rPr>
  </w:style>
  <w:style w:type="character" w:customStyle="1" w:styleId="156">
    <w:name w:val="全文正文 Char Char Char"/>
    <w:qFormat/>
    <w:uiPriority w:val="0"/>
    <w:rPr>
      <w:rFonts w:eastAsia="宋体" w:cs="宋体"/>
      <w:kern w:val="2"/>
      <w:sz w:val="24"/>
      <w:szCs w:val="24"/>
      <w:lang w:val="en-US" w:eastAsia="zh-CN" w:bidi="ar-SA"/>
    </w:rPr>
  </w:style>
  <w:style w:type="character" w:customStyle="1" w:styleId="157">
    <w:name w:val="脚注文本 Char"/>
    <w:qFormat/>
    <w:uiPriority w:val="0"/>
    <w:rPr>
      <w:rFonts w:ascii="宋体"/>
      <w:position w:val="-6"/>
      <w:sz w:val="18"/>
      <w:szCs w:val="18"/>
    </w:rPr>
  </w:style>
  <w:style w:type="character" w:customStyle="1" w:styleId="158">
    <w:name w:val="Default Char Char"/>
    <w:link w:val="159"/>
    <w:qFormat/>
    <w:uiPriority w:val="0"/>
    <w:rPr>
      <w:rFonts w:ascii="宋体" w:cs="宋体"/>
      <w:color w:val="000000"/>
      <w:sz w:val="24"/>
      <w:szCs w:val="24"/>
    </w:rPr>
  </w:style>
  <w:style w:type="paragraph" w:customStyle="1" w:styleId="159">
    <w:name w:val="Default"/>
    <w:link w:val="158"/>
    <w:qFormat/>
    <w:uiPriority w:val="0"/>
    <w:pPr>
      <w:widowControl w:val="0"/>
      <w:autoSpaceDE w:val="0"/>
      <w:autoSpaceDN w:val="0"/>
      <w:adjustRightInd w:val="0"/>
    </w:pPr>
    <w:rPr>
      <w:rFonts w:ascii="宋体" w:cs="宋体" w:hAnsiTheme="minorHAnsi" w:eastAsiaTheme="minorEastAsia"/>
      <w:color w:val="000000"/>
      <w:kern w:val="2"/>
      <w:sz w:val="24"/>
      <w:szCs w:val="24"/>
      <w:lang w:val="en-US" w:eastAsia="zh-CN" w:bidi="ar-SA"/>
    </w:rPr>
  </w:style>
  <w:style w:type="character" w:customStyle="1" w:styleId="160">
    <w:name w:val="扉页 Char Char"/>
    <w:qFormat/>
    <w:uiPriority w:val="0"/>
    <w:rPr>
      <w:rFonts w:eastAsia="黑体" w:cs="宋体"/>
      <w:sz w:val="36"/>
      <w:lang w:val="en-US" w:eastAsia="zh-CN" w:bidi="ar-SA"/>
    </w:rPr>
  </w:style>
  <w:style w:type="character" w:customStyle="1" w:styleId="161">
    <w:name w:val="正文文本 (4) + 间距 0 pt"/>
    <w:qFormat/>
    <w:uiPriority w:val="0"/>
    <w:rPr>
      <w:rFonts w:ascii="MingLiU" w:hAnsi="MingLiU" w:eastAsia="MingLiU" w:cs="MingLiU"/>
      <w:color w:val="000000"/>
      <w:spacing w:val="0"/>
      <w:w w:val="100"/>
      <w:position w:val="0"/>
      <w:sz w:val="23"/>
      <w:szCs w:val="23"/>
      <w:shd w:val="clear" w:color="auto" w:fill="FFFFFF"/>
      <w:lang w:val="zh-CN"/>
    </w:rPr>
  </w:style>
  <w:style w:type="character" w:customStyle="1" w:styleId="162">
    <w:name w:val="标题 #5 (2) + MingLiU"/>
    <w:qFormat/>
    <w:uiPriority w:val="0"/>
    <w:rPr>
      <w:rFonts w:ascii="MingLiU" w:hAnsi="MingLiU" w:eastAsia="MingLiU" w:cs="MingLiU"/>
      <w:color w:val="000000"/>
      <w:spacing w:val="10"/>
      <w:w w:val="100"/>
      <w:position w:val="0"/>
      <w:sz w:val="22"/>
      <w:szCs w:val="22"/>
      <w:shd w:val="clear" w:color="auto" w:fill="FFFFFF"/>
      <w:lang w:val="zh-TW"/>
    </w:rPr>
  </w:style>
  <w:style w:type="character" w:customStyle="1" w:styleId="163">
    <w:name w:val="正文缩进 Char"/>
    <w:link w:val="7"/>
    <w:qFormat/>
    <w:uiPriority w:val="0"/>
    <w:rPr>
      <w:rFonts w:ascii="黑体" w:eastAsia="黑体"/>
      <w:color w:val="000000"/>
      <w:sz w:val="32"/>
    </w:rPr>
  </w:style>
  <w:style w:type="character" w:customStyle="1" w:styleId="164">
    <w:name w:val="标题 2 Char1"/>
    <w:qFormat/>
    <w:uiPriority w:val="0"/>
    <w:rPr>
      <w:rFonts w:ascii="Cambria" w:hAnsi="Cambria" w:eastAsia="宋体" w:cs="Times New Roman"/>
      <w:b/>
      <w:bCs/>
      <w:kern w:val="2"/>
      <w:sz w:val="32"/>
      <w:szCs w:val="32"/>
    </w:rPr>
  </w:style>
  <w:style w:type="character" w:customStyle="1" w:styleId="165">
    <w:name w:val="con"/>
    <w:basedOn w:val="60"/>
    <w:qFormat/>
    <w:uiPriority w:val="0"/>
  </w:style>
  <w:style w:type="character" w:customStyle="1" w:styleId="166">
    <w:name w:val="文档结构图 Char2"/>
    <w:link w:val="18"/>
    <w:qFormat/>
    <w:uiPriority w:val="99"/>
    <w:rPr>
      <w:rFonts w:ascii="宋体" w:hAnsi="Times New Roman" w:eastAsia="宋体" w:cs="Times New Roman"/>
      <w:kern w:val="0"/>
      <w:position w:val="-6"/>
      <w:sz w:val="18"/>
      <w:szCs w:val="18"/>
      <w:shd w:val="clear" w:color="auto" w:fill="000080"/>
    </w:rPr>
  </w:style>
  <w:style w:type="character" w:customStyle="1" w:styleId="167">
    <w:name w:val="HTML 预设格式 Char"/>
    <w:link w:val="52"/>
    <w:qFormat/>
    <w:uiPriority w:val="99"/>
    <w:rPr>
      <w:rFonts w:ascii="Courier New" w:hAnsi="Courier New" w:eastAsia="宋体" w:cs="Times New Roman"/>
    </w:rPr>
  </w:style>
  <w:style w:type="character" w:customStyle="1" w:styleId="168">
    <w:name w:val="引用 Char2"/>
    <w:link w:val="169"/>
    <w:qFormat/>
    <w:uiPriority w:val="29"/>
    <w:rPr>
      <w:rFonts w:ascii="宋体" w:hAnsi="Times New Roman" w:eastAsia="宋体" w:cs="Times New Roman"/>
      <w:i/>
      <w:iCs/>
      <w:color w:val="000000"/>
      <w:kern w:val="0"/>
      <w:position w:val="-6"/>
      <w:sz w:val="28"/>
      <w:szCs w:val="20"/>
    </w:rPr>
  </w:style>
  <w:style w:type="paragraph" w:styleId="169">
    <w:name w:val="Quote"/>
    <w:basedOn w:val="170"/>
    <w:next w:val="1"/>
    <w:link w:val="168"/>
    <w:qFormat/>
    <w:uiPriority w:val="29"/>
    <w:pPr>
      <w:spacing w:beforeLines="0" w:afterLines="0" w:line="360" w:lineRule="auto"/>
      <w:ind w:firstLine="480"/>
    </w:pPr>
    <w:rPr>
      <w:rFonts w:ascii="宋体" w:hAnsi="Times New Roman" w:eastAsia="宋体"/>
      <w:i/>
      <w:iCs/>
      <w:color w:val="000000"/>
      <w:sz w:val="28"/>
    </w:rPr>
  </w:style>
  <w:style w:type="paragraph" w:customStyle="1" w:styleId="170">
    <w:name w:val="标书正文"/>
    <w:basedOn w:val="24"/>
    <w:qFormat/>
    <w:uiPriority w:val="0"/>
    <w:pPr>
      <w:widowControl/>
      <w:snapToGrid w:val="0"/>
      <w:spacing w:beforeLines="25" w:afterLines="25" w:line="240" w:lineRule="auto"/>
      <w:ind w:firstLine="0"/>
    </w:pPr>
    <w:rPr>
      <w:rFonts w:ascii="华文细黑" w:hAnsi="华文细黑" w:eastAsia="华文细黑"/>
      <w:sz w:val="24"/>
    </w:rPr>
  </w:style>
  <w:style w:type="character" w:customStyle="1" w:styleId="171">
    <w:name w:val="样式 标题 4 + (西文) Times New Roman10 Char"/>
    <w:link w:val="172"/>
    <w:qFormat/>
    <w:uiPriority w:val="0"/>
    <w:rPr>
      <w:rFonts w:ascii="宋体" w:eastAsia="黑体"/>
      <w:position w:val="-6"/>
      <w:sz w:val="24"/>
    </w:rPr>
  </w:style>
  <w:style w:type="paragraph" w:customStyle="1" w:styleId="172">
    <w:name w:val="样式 标题 4 + (西文) Times New Roman10"/>
    <w:basedOn w:val="5"/>
    <w:link w:val="171"/>
    <w:qFormat/>
    <w:uiPriority w:val="0"/>
    <w:pPr>
      <w:keepLines w:val="0"/>
      <w:adjustRightInd w:val="0"/>
      <w:spacing w:before="0" w:after="0" w:line="360" w:lineRule="auto"/>
      <w:ind w:firstLine="0" w:firstLineChars="0"/>
      <w:jc w:val="left"/>
      <w:textAlignment w:val="baseline"/>
    </w:pPr>
    <w:rPr>
      <w:rFonts w:ascii="宋体" w:eastAsia="黑体" w:hAnsiTheme="minorHAnsi" w:cstheme="minorBidi"/>
      <w:b w:val="0"/>
      <w:bCs w:val="0"/>
      <w:kern w:val="2"/>
      <w:sz w:val="24"/>
      <w:szCs w:val="22"/>
    </w:rPr>
  </w:style>
  <w:style w:type="character" w:customStyle="1" w:styleId="173">
    <w:name w:val="批注主题 Char1"/>
    <w:link w:val="56"/>
    <w:qFormat/>
    <w:uiPriority w:val="99"/>
    <w:rPr>
      <w:rFonts w:ascii="宋体" w:hAnsi="Times New Roman" w:eastAsia="宋体" w:cs="Times New Roman"/>
      <w:b/>
      <w:bCs/>
      <w:kern w:val="0"/>
      <w:position w:val="-6"/>
      <w:sz w:val="32"/>
      <w:szCs w:val="20"/>
    </w:rPr>
  </w:style>
  <w:style w:type="character" w:customStyle="1" w:styleId="174">
    <w:name w:val="日期 Char2"/>
    <w:link w:val="32"/>
    <w:qFormat/>
    <w:uiPriority w:val="99"/>
    <w:rPr>
      <w:rFonts w:ascii="宋体" w:hAnsi="Times New Roman" w:eastAsia="宋体" w:cs="Times New Roman"/>
      <w:kern w:val="0"/>
      <w:position w:val="-6"/>
      <w:sz w:val="32"/>
      <w:szCs w:val="20"/>
    </w:rPr>
  </w:style>
  <w:style w:type="character" w:customStyle="1" w:styleId="175">
    <w:name w:val="正文文本缩进 3 Char1"/>
    <w:link w:val="45"/>
    <w:qFormat/>
    <w:uiPriority w:val="99"/>
    <w:rPr>
      <w:rFonts w:ascii="宋体" w:hAnsi="Times New Roman" w:eastAsia="宋体" w:cs="Times New Roman"/>
      <w:kern w:val="0"/>
      <w:position w:val="-6"/>
      <w:sz w:val="16"/>
      <w:szCs w:val="16"/>
    </w:rPr>
  </w:style>
  <w:style w:type="character" w:customStyle="1" w:styleId="176">
    <w:name w:val="称呼 Char"/>
    <w:link w:val="21"/>
    <w:qFormat/>
    <w:uiPriority w:val="0"/>
    <w:rPr>
      <w:rFonts w:ascii="Times New Roman" w:hAnsi="Times New Roman" w:eastAsia="宋体" w:cs="Times New Roman"/>
      <w:szCs w:val="24"/>
    </w:rPr>
  </w:style>
  <w:style w:type="character" w:customStyle="1" w:styleId="177">
    <w:name w:val="正文文本9"/>
    <w:qFormat/>
    <w:uiPriority w:val="0"/>
    <w:rPr>
      <w:rFonts w:ascii="MingLiU" w:hAnsi="MingLiU" w:eastAsia="MingLiU" w:cs="MingLiU"/>
      <w:color w:val="000000"/>
      <w:spacing w:val="0"/>
      <w:w w:val="100"/>
      <w:position w:val="0"/>
      <w:sz w:val="23"/>
      <w:szCs w:val="23"/>
      <w:shd w:val="clear" w:color="auto" w:fill="FFFFFF"/>
      <w:lang w:val="zh-CN"/>
    </w:rPr>
  </w:style>
  <w:style w:type="character" w:customStyle="1" w:styleId="178">
    <w:name w:val="批注框文本 Char2"/>
    <w:link w:val="34"/>
    <w:qFormat/>
    <w:uiPriority w:val="99"/>
    <w:rPr>
      <w:rFonts w:ascii="宋体" w:hAnsi="Times New Roman" w:eastAsia="宋体" w:cs="Times New Roman"/>
      <w:kern w:val="0"/>
      <w:position w:val="-6"/>
      <w:sz w:val="18"/>
      <w:szCs w:val="18"/>
    </w:rPr>
  </w:style>
  <w:style w:type="character" w:customStyle="1" w:styleId="179">
    <w:name w:val="扉页 Char Char Char"/>
    <w:qFormat/>
    <w:uiPriority w:val="0"/>
    <w:rPr>
      <w:rFonts w:eastAsia="黑体" w:cs="宋体"/>
      <w:sz w:val="36"/>
      <w:lang w:val="en-US" w:eastAsia="zh-CN" w:bidi="ar-SA"/>
    </w:rPr>
  </w:style>
  <w:style w:type="character" w:customStyle="1" w:styleId="180">
    <w:name w:val="正文文本 (4)_"/>
    <w:link w:val="181"/>
    <w:qFormat/>
    <w:uiPriority w:val="0"/>
    <w:rPr>
      <w:rFonts w:ascii="MingLiU" w:hAnsi="MingLiU" w:eastAsia="MingLiU" w:cs="MingLiU"/>
      <w:spacing w:val="-30"/>
      <w:sz w:val="23"/>
      <w:szCs w:val="23"/>
      <w:shd w:val="clear" w:color="auto" w:fill="FFFFFF"/>
    </w:rPr>
  </w:style>
  <w:style w:type="paragraph" w:customStyle="1" w:styleId="181">
    <w:name w:val="正文文本 (4)"/>
    <w:basedOn w:val="1"/>
    <w:link w:val="180"/>
    <w:qFormat/>
    <w:uiPriority w:val="0"/>
    <w:pPr>
      <w:shd w:val="clear" w:color="auto" w:fill="FFFFFF"/>
      <w:spacing w:line="0" w:lineRule="atLeast"/>
      <w:jc w:val="right"/>
    </w:pPr>
    <w:rPr>
      <w:rFonts w:ascii="MingLiU" w:hAnsi="MingLiU" w:eastAsia="MingLiU" w:cs="MingLiU"/>
      <w:spacing w:val="-30"/>
      <w:kern w:val="2"/>
      <w:position w:val="0"/>
      <w:sz w:val="23"/>
      <w:szCs w:val="23"/>
    </w:rPr>
  </w:style>
  <w:style w:type="character" w:customStyle="1" w:styleId="182">
    <w:name w:val="全文正文 Char"/>
    <w:qFormat/>
    <w:uiPriority w:val="0"/>
    <w:rPr>
      <w:rFonts w:eastAsia="宋体"/>
      <w:kern w:val="2"/>
      <w:sz w:val="24"/>
      <w:szCs w:val="24"/>
      <w:lang w:bidi="ar-SA"/>
    </w:rPr>
  </w:style>
  <w:style w:type="character" w:customStyle="1" w:styleId="183">
    <w:name w:val="纯文本 Char2"/>
    <w:qFormat/>
    <w:uiPriority w:val="0"/>
    <w:rPr>
      <w:rFonts w:ascii="宋体" w:hAnsi="Courier New" w:cs="Courier New"/>
      <w:position w:val="-6"/>
      <w:sz w:val="21"/>
      <w:szCs w:val="21"/>
    </w:rPr>
  </w:style>
  <w:style w:type="character" w:customStyle="1" w:styleId="184">
    <w:name w:val="正文文本 + 间距 3 pt"/>
    <w:qFormat/>
    <w:uiPriority w:val="0"/>
    <w:rPr>
      <w:rFonts w:ascii="MingLiU" w:hAnsi="MingLiU" w:eastAsia="MingLiU" w:cs="MingLiU"/>
      <w:color w:val="000000"/>
      <w:spacing w:val="70"/>
      <w:w w:val="100"/>
      <w:position w:val="0"/>
      <w:sz w:val="23"/>
      <w:szCs w:val="23"/>
      <w:u w:val="none"/>
      <w:shd w:val="clear" w:color="auto" w:fill="FFFFFF"/>
      <w:lang w:val="zh-CN"/>
    </w:rPr>
  </w:style>
  <w:style w:type="character" w:customStyle="1" w:styleId="185">
    <w:name w:val="A表格文字居中 Char Char"/>
    <w:link w:val="186"/>
    <w:qFormat/>
    <w:uiPriority w:val="0"/>
    <w:rPr>
      <w:kern w:val="21"/>
    </w:rPr>
  </w:style>
  <w:style w:type="paragraph" w:customStyle="1" w:styleId="186">
    <w:name w:val="A表格文字居中"/>
    <w:basedOn w:val="187"/>
    <w:link w:val="185"/>
    <w:qFormat/>
    <w:uiPriority w:val="0"/>
    <w:pPr>
      <w:jc w:val="center"/>
    </w:pPr>
  </w:style>
  <w:style w:type="paragraph" w:customStyle="1" w:styleId="187">
    <w:name w:val="表格文字"/>
    <w:basedOn w:val="1"/>
    <w:link w:val="204"/>
    <w:qFormat/>
    <w:uiPriority w:val="0"/>
    <w:pPr>
      <w:adjustRightInd w:val="0"/>
      <w:spacing w:before="60" w:after="60"/>
      <w:jc w:val="left"/>
    </w:pPr>
    <w:rPr>
      <w:rFonts w:asciiTheme="minorHAnsi" w:hAnsiTheme="minorHAnsi" w:eastAsiaTheme="minorEastAsia" w:cstheme="minorBidi"/>
      <w:kern w:val="21"/>
      <w:position w:val="0"/>
      <w:sz w:val="21"/>
      <w:szCs w:val="22"/>
    </w:rPr>
  </w:style>
  <w:style w:type="character" w:customStyle="1" w:styleId="188">
    <w:name w:val="正文文本缩进 Char1"/>
    <w:qFormat/>
    <w:uiPriority w:val="0"/>
    <w:rPr>
      <w:rFonts w:ascii="宋体"/>
      <w:position w:val="-6"/>
      <w:sz w:val="32"/>
    </w:rPr>
  </w:style>
  <w:style w:type="character" w:customStyle="1" w:styleId="189">
    <w:name w:val="A工程量清单 Char Char Char"/>
    <w:qFormat/>
    <w:uiPriority w:val="0"/>
    <w:rPr>
      <w:rFonts w:eastAsia="黑体"/>
      <w:color w:val="000000"/>
      <w:spacing w:val="40"/>
      <w:sz w:val="24"/>
      <w:szCs w:val="24"/>
    </w:rPr>
  </w:style>
  <w:style w:type="character" w:customStyle="1" w:styleId="190">
    <w:name w:val="日期 Char"/>
    <w:qFormat/>
    <w:uiPriority w:val="0"/>
    <w:rPr>
      <w:rFonts w:ascii="宋体" w:eastAsia="宋体"/>
    </w:rPr>
  </w:style>
  <w:style w:type="character" w:customStyle="1" w:styleId="191">
    <w:name w:val="正文文本缩进 2 Char"/>
    <w:qFormat/>
    <w:uiPriority w:val="0"/>
    <w:rPr>
      <w:rFonts w:ascii="仿宋_GB2312" w:hAnsi="宋体" w:eastAsia="仿宋_GB2312"/>
      <w:position w:val="-6"/>
      <w:sz w:val="24"/>
      <w:szCs w:val="24"/>
    </w:rPr>
  </w:style>
  <w:style w:type="character" w:customStyle="1" w:styleId="192">
    <w:name w:val="样式 表格1 + (西文) 宋体1 Char Char"/>
    <w:qFormat/>
    <w:uiPriority w:val="0"/>
    <w:rPr>
      <w:rFonts w:eastAsia="宋体"/>
      <w:kern w:val="24"/>
      <w:sz w:val="21"/>
      <w:szCs w:val="21"/>
      <w:lang w:val="en-US" w:eastAsia="zh-CN" w:bidi="ar-SA"/>
    </w:rPr>
  </w:style>
  <w:style w:type="character" w:styleId="193">
    <w:name w:val="Placeholder Text"/>
    <w:qFormat/>
    <w:uiPriority w:val="99"/>
    <w:rPr>
      <w:color w:val="808080"/>
    </w:rPr>
  </w:style>
  <w:style w:type="character" w:customStyle="1" w:styleId="194">
    <w:name w:val="页眉 Char2"/>
    <w:link w:val="36"/>
    <w:qFormat/>
    <w:uiPriority w:val="99"/>
    <w:rPr>
      <w:rFonts w:ascii="宋体" w:hAnsi="Times New Roman" w:eastAsia="宋体" w:cs="Times New Roman"/>
      <w:kern w:val="0"/>
      <w:position w:val="-6"/>
      <w:sz w:val="18"/>
      <w:szCs w:val="18"/>
    </w:rPr>
  </w:style>
  <w:style w:type="character" w:customStyle="1" w:styleId="195">
    <w:name w:val="04正文 Char Char"/>
    <w:link w:val="196"/>
    <w:qFormat/>
    <w:uiPriority w:val="0"/>
    <w:rPr>
      <w:rFonts w:eastAsia="方正书宋简体" w:cs="方正书宋简体"/>
      <w:sz w:val="18"/>
      <w:szCs w:val="24"/>
    </w:rPr>
  </w:style>
  <w:style w:type="paragraph" w:customStyle="1" w:styleId="196">
    <w:name w:val="04正文"/>
    <w:basedOn w:val="1"/>
    <w:next w:val="29"/>
    <w:link w:val="195"/>
    <w:qFormat/>
    <w:uiPriority w:val="0"/>
    <w:pPr>
      <w:topLinePunct/>
      <w:autoSpaceDN w:val="0"/>
    </w:pPr>
    <w:rPr>
      <w:rFonts w:eastAsia="方正书宋简体" w:cs="方正书宋简体" w:asciiTheme="minorHAnsi" w:hAnsiTheme="minorHAnsi"/>
      <w:kern w:val="2"/>
      <w:position w:val="0"/>
      <w:sz w:val="18"/>
      <w:szCs w:val="24"/>
    </w:rPr>
  </w:style>
  <w:style w:type="character" w:customStyle="1" w:styleId="197">
    <w:name w:val="正文文本缩进 Char2"/>
    <w:link w:val="24"/>
    <w:qFormat/>
    <w:uiPriority w:val="99"/>
    <w:rPr>
      <w:rFonts w:ascii="宋体" w:hAnsi="Times New Roman" w:eastAsia="宋体" w:cs="Times New Roman"/>
      <w:kern w:val="0"/>
      <w:position w:val="-6"/>
      <w:sz w:val="32"/>
      <w:szCs w:val="20"/>
    </w:rPr>
  </w:style>
  <w:style w:type="character" w:customStyle="1" w:styleId="198">
    <w:name w:val="正文文本 3 Char"/>
    <w:qFormat/>
    <w:uiPriority w:val="0"/>
    <w:rPr>
      <w:rFonts w:ascii="宋体"/>
      <w:position w:val="-6"/>
      <w:sz w:val="16"/>
      <w:szCs w:val="16"/>
    </w:rPr>
  </w:style>
  <w:style w:type="character" w:customStyle="1" w:styleId="199">
    <w:name w:val="样式 标题 2 + Times New Roman 四号 非加粗 段前: 5 磅 段后: 0 磅 行距: 固定值 20... Char"/>
    <w:link w:val="200"/>
    <w:qFormat/>
    <w:uiPriority w:val="0"/>
    <w:rPr>
      <w:rFonts w:ascii="Times New Roman" w:hAnsi="Times New Roman" w:eastAsia="黑体" w:cs="宋体"/>
      <w:sz w:val="28"/>
    </w:rPr>
  </w:style>
  <w:style w:type="paragraph" w:customStyle="1" w:styleId="200">
    <w:name w:val="样式 标题 2 + Times New Roman 四号 非加粗 段前: 5 磅 段后: 0 磅 行距: 固定值 20..."/>
    <w:basedOn w:val="3"/>
    <w:link w:val="199"/>
    <w:qFormat/>
    <w:uiPriority w:val="0"/>
    <w:pPr>
      <w:spacing w:before="100" w:after="0" w:line="400" w:lineRule="exact"/>
      <w:ind w:firstLine="0" w:firstLineChars="0"/>
    </w:pPr>
    <w:rPr>
      <w:rFonts w:ascii="Times New Roman" w:hAnsi="Times New Roman" w:eastAsia="黑体" w:cs="宋体"/>
      <w:b w:val="0"/>
      <w:bCs w:val="0"/>
      <w:kern w:val="2"/>
      <w:position w:val="0"/>
      <w:sz w:val="28"/>
      <w:szCs w:val="22"/>
    </w:rPr>
  </w:style>
  <w:style w:type="character" w:customStyle="1" w:styleId="201">
    <w:name w:val="A表格文字 Char Char"/>
    <w:link w:val="202"/>
    <w:qFormat/>
    <w:uiPriority w:val="0"/>
    <w:rPr>
      <w:kern w:val="21"/>
    </w:rPr>
  </w:style>
  <w:style w:type="paragraph" w:customStyle="1" w:styleId="202">
    <w:name w:val="A表格文字"/>
    <w:basedOn w:val="186"/>
    <w:link w:val="201"/>
    <w:qFormat/>
    <w:uiPriority w:val="0"/>
    <w:pPr>
      <w:snapToGrid w:val="0"/>
      <w:spacing w:before="40" w:after="40"/>
      <w:jc w:val="left"/>
    </w:pPr>
  </w:style>
  <w:style w:type="character" w:customStyle="1" w:styleId="203">
    <w:name w:val="正文首行缩进 Char2"/>
    <w:link w:val="57"/>
    <w:qFormat/>
    <w:uiPriority w:val="99"/>
    <w:rPr>
      <w:rFonts w:ascii="宋体" w:hAnsi="Times New Roman" w:eastAsia="宋体" w:cs="Times New Roman"/>
      <w:kern w:val="0"/>
      <w:position w:val="-6"/>
      <w:sz w:val="32"/>
      <w:szCs w:val="20"/>
    </w:rPr>
  </w:style>
  <w:style w:type="character" w:customStyle="1" w:styleId="204">
    <w:name w:val="表格文字 Char Char"/>
    <w:link w:val="187"/>
    <w:qFormat/>
    <w:uiPriority w:val="0"/>
    <w:rPr>
      <w:kern w:val="21"/>
    </w:rPr>
  </w:style>
  <w:style w:type="character" w:customStyle="1" w:styleId="205">
    <w:name w:val="正文文本 + 间距 -2 pt"/>
    <w:qFormat/>
    <w:uiPriority w:val="0"/>
    <w:rPr>
      <w:rFonts w:ascii="MingLiU" w:hAnsi="MingLiU" w:eastAsia="MingLiU" w:cs="MingLiU"/>
      <w:color w:val="000000"/>
      <w:spacing w:val="-40"/>
      <w:w w:val="100"/>
      <w:position w:val="0"/>
      <w:sz w:val="23"/>
      <w:szCs w:val="23"/>
      <w:u w:val="none"/>
      <w:shd w:val="clear" w:color="auto" w:fill="FFFFFF"/>
      <w:lang w:val="zh-CN"/>
    </w:rPr>
  </w:style>
  <w:style w:type="character" w:customStyle="1" w:styleId="206">
    <w:name w:val="批注文字 Char"/>
    <w:qFormat/>
    <w:uiPriority w:val="0"/>
    <w:rPr>
      <w:kern w:val="2"/>
      <w:sz w:val="21"/>
    </w:rPr>
  </w:style>
  <w:style w:type="character" w:customStyle="1" w:styleId="207">
    <w:name w:val="A标题3 Char Char"/>
    <w:link w:val="208"/>
    <w:qFormat/>
    <w:uiPriority w:val="0"/>
    <w:rPr>
      <w:spacing w:val="-4"/>
      <w:sz w:val="24"/>
      <w:szCs w:val="24"/>
    </w:rPr>
  </w:style>
  <w:style w:type="paragraph" w:customStyle="1" w:styleId="208">
    <w:name w:val="A标题3"/>
    <w:basedOn w:val="4"/>
    <w:next w:val="1"/>
    <w:link w:val="207"/>
    <w:qFormat/>
    <w:uiPriority w:val="0"/>
    <w:pPr>
      <w:keepNext w:val="0"/>
      <w:keepLines w:val="0"/>
      <w:tabs>
        <w:tab w:val="left" w:pos="851"/>
      </w:tabs>
      <w:adjustRightInd w:val="0"/>
      <w:ind w:left="851" w:hanging="851"/>
      <w:textAlignment w:val="baseline"/>
    </w:pPr>
    <w:rPr>
      <w:rFonts w:asciiTheme="minorHAnsi" w:hAnsiTheme="minorHAnsi" w:eastAsiaTheme="minorEastAsia" w:cstheme="minorBidi"/>
      <w:spacing w:val="-4"/>
      <w:sz w:val="24"/>
    </w:rPr>
  </w:style>
  <w:style w:type="character" w:customStyle="1" w:styleId="209">
    <w:name w:val="A标题6 Char Char Char"/>
    <w:qFormat/>
    <w:uiPriority w:val="0"/>
    <w:rPr>
      <w:sz w:val="24"/>
    </w:rPr>
  </w:style>
  <w:style w:type="character" w:customStyle="1" w:styleId="210">
    <w:name w:val="正文文本2"/>
    <w:qFormat/>
    <w:uiPriority w:val="0"/>
    <w:rPr>
      <w:rFonts w:ascii="MingLiU" w:hAnsi="MingLiU" w:eastAsia="MingLiU" w:cs="MingLiU"/>
      <w:color w:val="000000"/>
      <w:spacing w:val="10"/>
      <w:w w:val="100"/>
      <w:position w:val="0"/>
      <w:sz w:val="22"/>
      <w:szCs w:val="22"/>
      <w:u w:val="none"/>
      <w:shd w:val="clear" w:color="auto" w:fill="FFFFFF"/>
      <w:lang w:val="zh-TW"/>
    </w:rPr>
  </w:style>
  <w:style w:type="character" w:customStyle="1" w:styleId="211">
    <w:name w:val="表格1 Char Char Char"/>
    <w:qFormat/>
    <w:uiPriority w:val="0"/>
    <w:rPr>
      <w:rFonts w:eastAsia="宋体"/>
      <w:kern w:val="24"/>
      <w:sz w:val="21"/>
      <w:szCs w:val="21"/>
      <w:lang w:val="en-US" w:eastAsia="zh-CN" w:bidi="ar-SA"/>
    </w:rPr>
  </w:style>
  <w:style w:type="character" w:customStyle="1" w:styleId="212">
    <w:name w:val="A标题4 Char Char"/>
    <w:link w:val="213"/>
    <w:qFormat/>
    <w:uiPriority w:val="0"/>
    <w:rPr>
      <w:sz w:val="24"/>
    </w:rPr>
  </w:style>
  <w:style w:type="paragraph" w:customStyle="1" w:styleId="213">
    <w:name w:val="A标题4"/>
    <w:basedOn w:val="5"/>
    <w:next w:val="1"/>
    <w:link w:val="212"/>
    <w:qFormat/>
    <w:uiPriority w:val="0"/>
    <w:pPr>
      <w:keepNext w:val="0"/>
      <w:keepLines w:val="0"/>
      <w:tabs>
        <w:tab w:val="left" w:pos="851"/>
      </w:tabs>
      <w:spacing w:before="0" w:after="80" w:line="360" w:lineRule="auto"/>
      <w:ind w:left="851" w:hanging="851" w:firstLineChars="0"/>
    </w:pPr>
    <w:rPr>
      <w:rFonts w:asciiTheme="minorHAnsi" w:hAnsiTheme="minorHAnsi" w:eastAsiaTheme="minorEastAsia" w:cstheme="minorBidi"/>
      <w:b w:val="0"/>
      <w:bCs w:val="0"/>
      <w:kern w:val="2"/>
      <w:position w:val="0"/>
      <w:sz w:val="24"/>
      <w:szCs w:val="22"/>
    </w:rPr>
  </w:style>
  <w:style w:type="character" w:customStyle="1" w:styleId="214">
    <w:name w:val="标题 1 Char2"/>
    <w:qFormat/>
    <w:uiPriority w:val="0"/>
    <w:rPr>
      <w:b/>
      <w:bCs/>
      <w:kern w:val="44"/>
      <w:sz w:val="44"/>
      <w:szCs w:val="44"/>
    </w:rPr>
  </w:style>
  <w:style w:type="character" w:customStyle="1" w:styleId="215">
    <w:name w:val="正文文本_"/>
    <w:link w:val="216"/>
    <w:qFormat/>
    <w:uiPriority w:val="0"/>
    <w:rPr>
      <w:rFonts w:ascii="MingLiU" w:hAnsi="MingLiU" w:eastAsia="MingLiU" w:cs="MingLiU"/>
      <w:sz w:val="23"/>
      <w:szCs w:val="23"/>
      <w:shd w:val="clear" w:color="auto" w:fill="FFFFFF"/>
    </w:rPr>
  </w:style>
  <w:style w:type="paragraph" w:customStyle="1" w:styleId="216">
    <w:name w:val="正文文本4"/>
    <w:basedOn w:val="1"/>
    <w:link w:val="215"/>
    <w:qFormat/>
    <w:uiPriority w:val="0"/>
    <w:pPr>
      <w:shd w:val="clear" w:color="auto" w:fill="FFFFFF"/>
      <w:spacing w:before="300" w:line="480" w:lineRule="exact"/>
      <w:jc w:val="distribute"/>
    </w:pPr>
    <w:rPr>
      <w:rFonts w:ascii="MingLiU" w:hAnsi="MingLiU" w:eastAsia="MingLiU" w:cs="MingLiU"/>
      <w:kern w:val="2"/>
      <w:position w:val="0"/>
      <w:sz w:val="23"/>
      <w:szCs w:val="23"/>
    </w:rPr>
  </w:style>
  <w:style w:type="character" w:customStyle="1" w:styleId="217">
    <w:name w:val="正文文本 Char1"/>
    <w:qFormat/>
    <w:uiPriority w:val="0"/>
    <w:rPr>
      <w:rFonts w:ascii="宋体"/>
      <w:position w:val="-6"/>
      <w:sz w:val="32"/>
    </w:rPr>
  </w:style>
  <w:style w:type="character" w:customStyle="1" w:styleId="218">
    <w:name w:val="Default Char Char Char"/>
    <w:qFormat/>
    <w:uiPriority w:val="0"/>
    <w:rPr>
      <w:rFonts w:ascii="宋体" w:cs="宋体"/>
      <w:color w:val="000000"/>
      <w:sz w:val="24"/>
      <w:szCs w:val="24"/>
      <w:lang w:val="en-US" w:eastAsia="zh-CN" w:bidi="ar-SA"/>
    </w:rPr>
  </w:style>
  <w:style w:type="character" w:customStyle="1" w:styleId="219">
    <w:name w:val="无间隔 Char"/>
    <w:link w:val="220"/>
    <w:qFormat/>
    <w:uiPriority w:val="1"/>
    <w:rPr>
      <w:sz w:val="22"/>
    </w:rPr>
  </w:style>
  <w:style w:type="paragraph" w:styleId="220">
    <w:name w:val="No Spacing"/>
    <w:link w:val="219"/>
    <w:qFormat/>
    <w:uiPriority w:val="1"/>
    <w:rPr>
      <w:rFonts w:asciiTheme="minorHAnsi" w:hAnsiTheme="minorHAnsi" w:eastAsiaTheme="minorEastAsia" w:cstheme="minorBidi"/>
      <w:kern w:val="2"/>
      <w:sz w:val="22"/>
      <w:szCs w:val="22"/>
      <w:lang w:val="en-US" w:eastAsia="zh-CN" w:bidi="ar-SA"/>
    </w:rPr>
  </w:style>
  <w:style w:type="character" w:customStyle="1" w:styleId="221">
    <w:name w:val="副标题 Char"/>
    <w:link w:val="41"/>
    <w:qFormat/>
    <w:uiPriority w:val="11"/>
    <w:rPr>
      <w:rFonts w:ascii="Cambria" w:hAnsi="Cambria" w:eastAsia="宋体" w:cs="Times New Roman"/>
      <w:b/>
      <w:bCs/>
      <w:kern w:val="28"/>
      <w:sz w:val="32"/>
      <w:szCs w:val="32"/>
    </w:rPr>
  </w:style>
  <w:style w:type="character" w:customStyle="1" w:styleId="222">
    <w:name w:val="正文文本缩进 2 Char1"/>
    <w:link w:val="33"/>
    <w:qFormat/>
    <w:uiPriority w:val="99"/>
    <w:rPr>
      <w:rFonts w:ascii="宋体" w:hAnsi="Times New Roman" w:eastAsia="宋体" w:cs="Times New Roman"/>
      <w:kern w:val="0"/>
      <w:position w:val="-6"/>
      <w:sz w:val="32"/>
      <w:szCs w:val="20"/>
    </w:rPr>
  </w:style>
  <w:style w:type="character" w:customStyle="1" w:styleId="223">
    <w:name w:val="正文文本 (6)"/>
    <w:qFormat/>
    <w:uiPriority w:val="0"/>
    <w:rPr>
      <w:rFonts w:ascii="MingLiU" w:hAnsi="MingLiU" w:eastAsia="MingLiU" w:cs="MingLiU"/>
      <w:b/>
      <w:bCs/>
      <w:color w:val="000000"/>
      <w:spacing w:val="0"/>
      <w:w w:val="100"/>
      <w:position w:val="0"/>
      <w:sz w:val="23"/>
      <w:szCs w:val="23"/>
      <w:u w:val="none"/>
      <w:lang w:val="zh-CN"/>
    </w:rPr>
  </w:style>
  <w:style w:type="character" w:customStyle="1" w:styleId="224">
    <w:name w:val="正文文本 + 5 pt"/>
    <w:qFormat/>
    <w:uiPriority w:val="0"/>
    <w:rPr>
      <w:rFonts w:ascii="MingLiU" w:hAnsi="MingLiU" w:eastAsia="MingLiU" w:cs="MingLiU"/>
      <w:color w:val="000000"/>
      <w:spacing w:val="0"/>
      <w:w w:val="100"/>
      <w:position w:val="0"/>
      <w:sz w:val="10"/>
      <w:szCs w:val="10"/>
      <w:u w:val="none"/>
      <w:shd w:val="clear" w:color="auto" w:fill="FFFFFF"/>
    </w:rPr>
  </w:style>
  <w:style w:type="character" w:customStyle="1" w:styleId="225">
    <w:name w:val="文档结构图 Char1"/>
    <w:qFormat/>
    <w:uiPriority w:val="0"/>
    <w:rPr>
      <w:rFonts w:ascii="宋体"/>
      <w:position w:val="-6"/>
      <w:sz w:val="18"/>
      <w:szCs w:val="18"/>
    </w:rPr>
  </w:style>
  <w:style w:type="character" w:customStyle="1" w:styleId="226">
    <w:name w:val="emtidy-1"/>
    <w:qFormat/>
    <w:uiPriority w:val="0"/>
    <w:rPr>
      <w:rFonts w:hint="default" w:ascii="å®ä½" w:hAnsi="å®ä½" w:cs="å®ä½"/>
      <w:position w:val="-6"/>
      <w:sz w:val="21"/>
      <w:szCs w:val="21"/>
      <w:lang w:val="en-US" w:eastAsia="zh-CN" w:bidi="ar-SA"/>
    </w:rPr>
  </w:style>
  <w:style w:type="character" w:customStyle="1" w:styleId="227">
    <w:name w:val="页眉 Char1"/>
    <w:qFormat/>
    <w:uiPriority w:val="0"/>
    <w:rPr>
      <w:rFonts w:ascii="宋体"/>
      <w:position w:val="-6"/>
      <w:sz w:val="18"/>
      <w:szCs w:val="18"/>
    </w:rPr>
  </w:style>
  <w:style w:type="character" w:customStyle="1" w:styleId="228">
    <w:name w:val="标题 Char3"/>
    <w:basedOn w:val="60"/>
    <w:qFormat/>
    <w:uiPriority w:val="10"/>
    <w:rPr>
      <w:rFonts w:eastAsia="宋体" w:asciiTheme="majorHAnsi" w:hAnsiTheme="majorHAnsi" w:cstheme="majorBidi"/>
      <w:b/>
      <w:bCs/>
      <w:kern w:val="0"/>
      <w:position w:val="-6"/>
      <w:sz w:val="32"/>
      <w:szCs w:val="32"/>
    </w:rPr>
  </w:style>
  <w:style w:type="character" w:customStyle="1" w:styleId="229">
    <w:name w:val="批注文字 Char3"/>
    <w:basedOn w:val="60"/>
    <w:link w:val="19"/>
    <w:semiHidden/>
    <w:qFormat/>
    <w:uiPriority w:val="99"/>
    <w:rPr>
      <w:rFonts w:ascii="宋体" w:hAnsi="Times New Roman" w:eastAsia="宋体" w:cs="Times New Roman"/>
      <w:kern w:val="0"/>
      <w:position w:val="-6"/>
      <w:sz w:val="28"/>
      <w:szCs w:val="20"/>
    </w:rPr>
  </w:style>
  <w:style w:type="character" w:customStyle="1" w:styleId="230">
    <w:name w:val="批注主题 Char2"/>
    <w:basedOn w:val="229"/>
    <w:semiHidden/>
    <w:qFormat/>
    <w:uiPriority w:val="99"/>
    <w:rPr>
      <w:rFonts w:ascii="宋体" w:hAnsi="Times New Roman" w:eastAsia="宋体" w:cs="Times New Roman"/>
      <w:b/>
      <w:bCs/>
      <w:kern w:val="0"/>
      <w:position w:val="-6"/>
      <w:sz w:val="28"/>
      <w:szCs w:val="20"/>
    </w:rPr>
  </w:style>
  <w:style w:type="character" w:customStyle="1" w:styleId="231">
    <w:name w:val="纯文本 Char4"/>
    <w:basedOn w:val="60"/>
    <w:semiHidden/>
    <w:qFormat/>
    <w:uiPriority w:val="99"/>
    <w:rPr>
      <w:rFonts w:ascii="宋体" w:hAnsi="Courier New" w:eastAsia="宋体" w:cs="Courier New"/>
      <w:kern w:val="0"/>
      <w:position w:val="-6"/>
      <w:szCs w:val="21"/>
    </w:rPr>
  </w:style>
  <w:style w:type="character" w:customStyle="1" w:styleId="232">
    <w:name w:val="HTML 预设格式 Char1"/>
    <w:basedOn w:val="60"/>
    <w:semiHidden/>
    <w:qFormat/>
    <w:uiPriority w:val="99"/>
    <w:rPr>
      <w:rFonts w:ascii="Courier New" w:hAnsi="Courier New" w:eastAsia="宋体" w:cs="Courier New"/>
      <w:kern w:val="0"/>
      <w:position w:val="-6"/>
      <w:sz w:val="20"/>
      <w:szCs w:val="20"/>
    </w:rPr>
  </w:style>
  <w:style w:type="character" w:customStyle="1" w:styleId="233">
    <w:name w:val="正文文本 Char3"/>
    <w:basedOn w:val="60"/>
    <w:link w:val="23"/>
    <w:semiHidden/>
    <w:qFormat/>
    <w:uiPriority w:val="99"/>
    <w:rPr>
      <w:rFonts w:ascii="宋体" w:hAnsi="Times New Roman" w:eastAsia="宋体" w:cs="Times New Roman"/>
      <w:kern w:val="0"/>
      <w:position w:val="-6"/>
      <w:sz w:val="28"/>
      <w:szCs w:val="20"/>
    </w:rPr>
  </w:style>
  <w:style w:type="character" w:customStyle="1" w:styleId="234">
    <w:name w:val="正文首行缩进 Char3"/>
    <w:basedOn w:val="233"/>
    <w:semiHidden/>
    <w:qFormat/>
    <w:uiPriority w:val="99"/>
    <w:rPr>
      <w:rFonts w:ascii="宋体" w:hAnsi="Times New Roman" w:eastAsia="宋体" w:cs="Times New Roman"/>
      <w:kern w:val="0"/>
      <w:position w:val="-6"/>
      <w:sz w:val="28"/>
      <w:szCs w:val="20"/>
    </w:rPr>
  </w:style>
  <w:style w:type="character" w:customStyle="1" w:styleId="235">
    <w:name w:val="正文文本 2 Char2"/>
    <w:basedOn w:val="60"/>
    <w:semiHidden/>
    <w:qFormat/>
    <w:uiPriority w:val="99"/>
    <w:rPr>
      <w:rFonts w:ascii="宋体" w:hAnsi="Times New Roman" w:eastAsia="宋体" w:cs="Times New Roman"/>
      <w:kern w:val="0"/>
      <w:position w:val="-6"/>
      <w:sz w:val="28"/>
      <w:szCs w:val="20"/>
    </w:rPr>
  </w:style>
  <w:style w:type="character" w:customStyle="1" w:styleId="236">
    <w:name w:val="副标题 Char1"/>
    <w:basedOn w:val="60"/>
    <w:qFormat/>
    <w:uiPriority w:val="11"/>
    <w:rPr>
      <w:rFonts w:eastAsia="宋体" w:asciiTheme="majorHAnsi" w:hAnsiTheme="majorHAnsi" w:cstheme="majorBidi"/>
      <w:b/>
      <w:bCs/>
      <w:kern w:val="28"/>
      <w:position w:val="-6"/>
      <w:sz w:val="32"/>
      <w:szCs w:val="32"/>
    </w:rPr>
  </w:style>
  <w:style w:type="character" w:customStyle="1" w:styleId="237">
    <w:name w:val="批注框文本 Char3"/>
    <w:basedOn w:val="60"/>
    <w:semiHidden/>
    <w:qFormat/>
    <w:uiPriority w:val="99"/>
    <w:rPr>
      <w:rFonts w:ascii="宋体" w:hAnsi="Times New Roman" w:eastAsia="宋体" w:cs="Times New Roman"/>
      <w:kern w:val="0"/>
      <w:position w:val="-6"/>
      <w:sz w:val="18"/>
      <w:szCs w:val="18"/>
    </w:rPr>
  </w:style>
  <w:style w:type="character" w:customStyle="1" w:styleId="238">
    <w:name w:val="正文文本缩进 3 Char2"/>
    <w:basedOn w:val="60"/>
    <w:semiHidden/>
    <w:qFormat/>
    <w:uiPriority w:val="99"/>
    <w:rPr>
      <w:rFonts w:ascii="宋体" w:hAnsi="Times New Roman" w:eastAsia="宋体" w:cs="Times New Roman"/>
      <w:kern w:val="0"/>
      <w:position w:val="-6"/>
      <w:sz w:val="16"/>
      <w:szCs w:val="16"/>
    </w:rPr>
  </w:style>
  <w:style w:type="character" w:customStyle="1" w:styleId="239">
    <w:name w:val="称呼 Char1"/>
    <w:basedOn w:val="60"/>
    <w:semiHidden/>
    <w:qFormat/>
    <w:uiPriority w:val="99"/>
    <w:rPr>
      <w:rFonts w:ascii="宋体" w:hAnsi="Times New Roman" w:eastAsia="宋体" w:cs="Times New Roman"/>
      <w:kern w:val="0"/>
      <w:position w:val="-6"/>
      <w:sz w:val="28"/>
      <w:szCs w:val="20"/>
    </w:rPr>
  </w:style>
  <w:style w:type="character" w:customStyle="1" w:styleId="240">
    <w:name w:val="文档结构图 Char3"/>
    <w:basedOn w:val="60"/>
    <w:semiHidden/>
    <w:qFormat/>
    <w:uiPriority w:val="99"/>
    <w:rPr>
      <w:rFonts w:ascii="Microsoft YaHei UI" w:hAnsi="Times New Roman" w:eastAsia="Microsoft YaHei UI" w:cs="Times New Roman"/>
      <w:kern w:val="0"/>
      <w:position w:val="-6"/>
      <w:sz w:val="18"/>
      <w:szCs w:val="18"/>
    </w:rPr>
  </w:style>
  <w:style w:type="character" w:customStyle="1" w:styleId="241">
    <w:name w:val="页眉 Char3"/>
    <w:basedOn w:val="60"/>
    <w:semiHidden/>
    <w:qFormat/>
    <w:uiPriority w:val="99"/>
    <w:rPr>
      <w:rFonts w:ascii="宋体" w:hAnsi="Times New Roman" w:eastAsia="宋体" w:cs="Times New Roman"/>
      <w:kern w:val="0"/>
      <w:position w:val="-6"/>
      <w:sz w:val="18"/>
      <w:szCs w:val="18"/>
    </w:rPr>
  </w:style>
  <w:style w:type="character" w:customStyle="1" w:styleId="242">
    <w:name w:val="日期 Char3"/>
    <w:basedOn w:val="60"/>
    <w:semiHidden/>
    <w:qFormat/>
    <w:uiPriority w:val="99"/>
    <w:rPr>
      <w:rFonts w:ascii="宋体" w:hAnsi="Times New Roman" w:eastAsia="宋体" w:cs="Times New Roman"/>
      <w:kern w:val="0"/>
      <w:position w:val="-6"/>
      <w:sz w:val="28"/>
      <w:szCs w:val="20"/>
    </w:rPr>
  </w:style>
  <w:style w:type="character" w:customStyle="1" w:styleId="243">
    <w:name w:val="正文文本缩进 Char3"/>
    <w:basedOn w:val="60"/>
    <w:semiHidden/>
    <w:qFormat/>
    <w:uiPriority w:val="99"/>
    <w:rPr>
      <w:rFonts w:ascii="宋体" w:hAnsi="Times New Roman" w:eastAsia="宋体" w:cs="Times New Roman"/>
      <w:kern w:val="0"/>
      <w:position w:val="-6"/>
      <w:sz w:val="28"/>
      <w:szCs w:val="20"/>
    </w:rPr>
  </w:style>
  <w:style w:type="character" w:customStyle="1" w:styleId="244">
    <w:name w:val="脚注文本 Char2"/>
    <w:basedOn w:val="60"/>
    <w:semiHidden/>
    <w:qFormat/>
    <w:uiPriority w:val="99"/>
    <w:rPr>
      <w:rFonts w:ascii="宋体" w:hAnsi="Times New Roman" w:eastAsia="宋体" w:cs="Times New Roman"/>
      <w:kern w:val="0"/>
      <w:position w:val="-6"/>
      <w:sz w:val="18"/>
      <w:szCs w:val="18"/>
    </w:rPr>
  </w:style>
  <w:style w:type="character" w:customStyle="1" w:styleId="245">
    <w:name w:val="正文文本缩进 2 Char2"/>
    <w:basedOn w:val="60"/>
    <w:semiHidden/>
    <w:qFormat/>
    <w:uiPriority w:val="99"/>
    <w:rPr>
      <w:rFonts w:ascii="宋体" w:hAnsi="Times New Roman" w:eastAsia="宋体" w:cs="Times New Roman"/>
      <w:kern w:val="0"/>
      <w:position w:val="-6"/>
      <w:sz w:val="28"/>
      <w:szCs w:val="20"/>
    </w:rPr>
  </w:style>
  <w:style w:type="character" w:customStyle="1" w:styleId="246">
    <w:name w:val="正文文本 3 Char2"/>
    <w:basedOn w:val="60"/>
    <w:semiHidden/>
    <w:qFormat/>
    <w:uiPriority w:val="99"/>
    <w:rPr>
      <w:rFonts w:ascii="宋体" w:hAnsi="Times New Roman" w:eastAsia="宋体" w:cs="Times New Roman"/>
      <w:kern w:val="0"/>
      <w:position w:val="-6"/>
      <w:sz w:val="16"/>
      <w:szCs w:val="16"/>
    </w:rPr>
  </w:style>
  <w:style w:type="character" w:customStyle="1" w:styleId="247">
    <w:name w:val="页脚 Char3"/>
    <w:basedOn w:val="60"/>
    <w:semiHidden/>
    <w:qFormat/>
    <w:uiPriority w:val="99"/>
    <w:rPr>
      <w:rFonts w:ascii="宋体" w:hAnsi="Times New Roman" w:eastAsia="宋体" w:cs="Times New Roman"/>
      <w:kern w:val="0"/>
      <w:position w:val="-6"/>
      <w:sz w:val="18"/>
      <w:szCs w:val="18"/>
    </w:rPr>
  </w:style>
  <w:style w:type="paragraph" w:customStyle="1" w:styleId="248">
    <w:name w:val="xl19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249">
    <w:name w:val="书目1"/>
    <w:basedOn w:val="1"/>
    <w:next w:val="1"/>
    <w:qFormat/>
    <w:uiPriority w:val="0"/>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000000"/>
      <w:position w:val="0"/>
      <w:sz w:val="24"/>
      <w:szCs w:val="24"/>
    </w:rPr>
  </w:style>
  <w:style w:type="paragraph" w:customStyle="1" w:styleId="251">
    <w:name w:val="A目录"/>
    <w:basedOn w:val="1"/>
    <w:qFormat/>
    <w:uiPriority w:val="0"/>
    <w:pPr>
      <w:adjustRightInd w:val="0"/>
      <w:jc w:val="center"/>
      <w:textAlignment w:val="baseline"/>
    </w:pPr>
    <w:rPr>
      <w:rFonts w:eastAsia="黑体" w:cs="宋体"/>
    </w:rPr>
  </w:style>
  <w:style w:type="paragraph" w:customStyle="1" w:styleId="252">
    <w:name w:val="TOC 标题1"/>
    <w:basedOn w:val="2"/>
    <w:next w:val="1"/>
    <w:qFormat/>
    <w:uiPriority w:val="0"/>
    <w:pPr>
      <w:widowControl/>
      <w:spacing w:before="480" w:after="0" w:line="276" w:lineRule="auto"/>
      <w:ind w:firstLine="0" w:firstLineChars="0"/>
      <w:jc w:val="left"/>
      <w:outlineLvl w:val="9"/>
    </w:pPr>
    <w:rPr>
      <w:rFonts w:ascii="Cambria" w:hAnsi="Cambria" w:eastAsia="黑体"/>
      <w:color w:val="365F91"/>
      <w:kern w:val="0"/>
      <w:position w:val="0"/>
      <w:sz w:val="28"/>
      <w:szCs w:val="28"/>
    </w:rPr>
  </w:style>
  <w:style w:type="paragraph" w:customStyle="1" w:styleId="253">
    <w:name w:val="标书6-正文"/>
    <w:basedOn w:val="1"/>
    <w:qFormat/>
    <w:uiPriority w:val="0"/>
    <w:pPr>
      <w:tabs>
        <w:tab w:val="left" w:pos="420"/>
      </w:tabs>
      <w:ind w:firstLine="482" w:firstLineChars="0"/>
    </w:pPr>
    <w:rPr>
      <w:rFonts w:ascii="Times New Roman"/>
      <w:position w:val="0"/>
      <w:sz w:val="24"/>
    </w:rPr>
  </w:style>
  <w:style w:type="paragraph" w:customStyle="1" w:styleId="254">
    <w:name w:val="默认段落字体 Para Char Char Char Char"/>
    <w:basedOn w:val="1"/>
    <w:qFormat/>
    <w:uiPriority w:val="0"/>
    <w:rPr>
      <w:szCs w:val="24"/>
    </w:rPr>
  </w:style>
  <w:style w:type="paragraph" w:customStyle="1" w:styleId="255">
    <w:name w:val="页眉1"/>
    <w:basedOn w:val="36"/>
    <w:qFormat/>
    <w:uiPriority w:val="0"/>
    <w:pPr>
      <w:pBdr>
        <w:bottom w:val="none" w:color="auto" w:sz="0" w:space="0"/>
      </w:pBdr>
      <w:adjustRightInd w:val="0"/>
      <w:snapToGrid/>
      <w:spacing w:line="240" w:lineRule="atLeast"/>
    </w:pPr>
    <w:rPr>
      <w:rFonts w:eastAsia="楷体_GB2312"/>
      <w:szCs w:val="20"/>
    </w:rPr>
  </w:style>
  <w:style w:type="paragraph" w:customStyle="1" w:styleId="256">
    <w:name w:val="A表名"/>
    <w:basedOn w:val="257"/>
    <w:next w:val="257"/>
    <w:qFormat/>
    <w:uiPriority w:val="0"/>
    <w:pPr>
      <w:jc w:val="center"/>
    </w:pPr>
    <w:rPr>
      <w:rFonts w:eastAsia="黑体"/>
      <w:spacing w:val="40"/>
      <w:kern w:val="2"/>
      <w:szCs w:val="24"/>
    </w:rPr>
  </w:style>
  <w:style w:type="paragraph" w:customStyle="1" w:styleId="257">
    <w:name w:val="A表头"/>
    <w:basedOn w:val="1"/>
    <w:qFormat/>
    <w:uiPriority w:val="0"/>
    <w:pPr>
      <w:keepNext/>
      <w:jc w:val="left"/>
    </w:pPr>
    <w:rPr>
      <w:sz w:val="24"/>
    </w:rPr>
  </w:style>
  <w:style w:type="paragraph" w:customStyle="1" w:styleId="25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4"/>
      <w:szCs w:val="24"/>
    </w:rPr>
  </w:style>
  <w:style w:type="paragraph" w:customStyle="1" w:styleId="259">
    <w:name w:val="样式4"/>
    <w:basedOn w:val="260"/>
    <w:qFormat/>
    <w:uiPriority w:val="0"/>
    <w:pPr>
      <w:spacing w:before="20" w:after="20"/>
      <w:ind w:left="420" w:hanging="420"/>
      <w:jc w:val="both"/>
    </w:pPr>
    <w:rPr>
      <w:rFonts w:hAnsi="宋体"/>
      <w:color w:val="000000"/>
    </w:rPr>
  </w:style>
  <w:style w:type="paragraph" w:customStyle="1" w:styleId="260">
    <w:name w:val="表格1"/>
    <w:basedOn w:val="1"/>
    <w:qFormat/>
    <w:uiPriority w:val="0"/>
    <w:pPr>
      <w:adjustRightInd w:val="0"/>
      <w:snapToGrid w:val="0"/>
      <w:spacing w:before="60" w:after="60"/>
      <w:jc w:val="left"/>
      <w:textAlignment w:val="baseline"/>
    </w:pPr>
    <w:rPr>
      <w:kern w:val="24"/>
      <w:szCs w:val="21"/>
    </w:rPr>
  </w:style>
  <w:style w:type="paragraph" w:customStyle="1" w:styleId="261">
    <w:name w:val="Table Paragraph"/>
    <w:basedOn w:val="1"/>
    <w:qFormat/>
    <w:uiPriority w:val="1"/>
  </w:style>
  <w:style w:type="paragraph" w:customStyle="1" w:styleId="262">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263">
    <w:name w:val="xl19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hAnsi="宋体" w:cs="宋体"/>
      <w:position w:val="0"/>
      <w:sz w:val="20"/>
    </w:rPr>
  </w:style>
  <w:style w:type="paragraph" w:customStyle="1" w:styleId="264">
    <w:name w:val="目录"/>
    <w:basedOn w:val="1"/>
    <w:qFormat/>
    <w:uiPriority w:val="0"/>
    <w:pPr>
      <w:adjustRightInd w:val="0"/>
      <w:ind w:left="340" w:firstLine="510"/>
      <w:jc w:val="center"/>
      <w:textAlignment w:val="baseline"/>
    </w:pPr>
    <w:rPr>
      <w:rFonts w:eastAsia="黑体" w:cs="宋体"/>
    </w:rPr>
  </w:style>
  <w:style w:type="paragraph" w:customStyle="1" w:styleId="265">
    <w:name w:val="样式 标题 3 + (符号) Times New Roman1"/>
    <w:basedOn w:val="4"/>
    <w:qFormat/>
    <w:uiPriority w:val="0"/>
    <w:rPr>
      <w:rFonts w:hAnsi="Times New Roman"/>
      <w:b/>
      <w:bCs/>
      <w:szCs w:val="28"/>
    </w:rPr>
  </w:style>
  <w:style w:type="paragraph" w:customStyle="1" w:styleId="266">
    <w:name w:val="xl201"/>
    <w:basedOn w:val="1"/>
    <w:qFormat/>
    <w:uiPriority w:val="0"/>
    <w:pPr>
      <w:widowControl/>
      <w:shd w:val="clear" w:color="000000" w:fill="FFFFFF"/>
      <w:spacing w:before="100" w:beforeAutospacing="1" w:after="100" w:afterAutospacing="1" w:line="240" w:lineRule="auto"/>
      <w:ind w:firstLine="0" w:firstLineChars="0"/>
      <w:jc w:val="center"/>
    </w:pPr>
    <w:rPr>
      <w:rFonts w:hAnsi="宋体" w:cs="宋体"/>
      <w:color w:val="FF0000"/>
      <w:position w:val="0"/>
      <w:sz w:val="20"/>
    </w:rPr>
  </w:style>
  <w:style w:type="paragraph" w:customStyle="1" w:styleId="267">
    <w:name w:val="xl13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1"/>
      <w:szCs w:val="21"/>
    </w:rPr>
  </w:style>
  <w:style w:type="paragraph" w:customStyle="1" w:styleId="268">
    <w:name w:val="slStyle10"/>
    <w:basedOn w:val="1"/>
    <w:next w:val="1"/>
    <w:qFormat/>
    <w:uiPriority w:val="0"/>
    <w:pPr>
      <w:ind w:firstLine="420"/>
    </w:pPr>
    <w:rPr>
      <w:rFonts w:hAnsi="宋体"/>
      <w:kern w:val="2"/>
      <w:position w:val="0"/>
      <w:szCs w:val="24"/>
    </w:rPr>
  </w:style>
  <w:style w:type="paragraph" w:customStyle="1" w:styleId="269">
    <w:name w:val="样式 A通用5 + 宋体"/>
    <w:basedOn w:val="270"/>
    <w:qFormat/>
    <w:uiPriority w:val="0"/>
    <w:pPr>
      <w:tabs>
        <w:tab w:val="left" w:pos="851"/>
      </w:tabs>
    </w:pPr>
    <w:rPr>
      <w:rFonts w:eastAsia="宋体"/>
    </w:rPr>
  </w:style>
  <w:style w:type="paragraph" w:customStyle="1" w:styleId="270">
    <w:name w:val="A通用5"/>
    <w:basedOn w:val="1"/>
    <w:qFormat/>
    <w:uiPriority w:val="0"/>
    <w:pPr>
      <w:tabs>
        <w:tab w:val="left" w:pos="851"/>
      </w:tabs>
      <w:adjustRightInd w:val="0"/>
      <w:ind w:left="170" w:firstLine="511"/>
      <w:jc w:val="left"/>
      <w:textAlignment w:val="baseline"/>
      <w:outlineLvl w:val="5"/>
    </w:pPr>
    <w:rPr>
      <w:rFonts w:eastAsia="Times New Roman"/>
      <w:sz w:val="24"/>
      <w:szCs w:val="24"/>
    </w:rPr>
  </w:style>
  <w:style w:type="paragraph" w:customStyle="1" w:styleId="271">
    <w:name w:val="样式 表格1 + 两端对齐"/>
    <w:basedOn w:val="260"/>
    <w:qFormat/>
    <w:uiPriority w:val="0"/>
    <w:pPr>
      <w:adjustRightInd/>
      <w:jc w:val="both"/>
      <w:textAlignment w:val="auto"/>
    </w:pPr>
    <w:rPr>
      <w:rFonts w:cs="宋体"/>
      <w:kern w:val="2"/>
      <w:szCs w:val="20"/>
    </w:rPr>
  </w:style>
  <w:style w:type="paragraph" w:customStyle="1" w:styleId="272">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273">
    <w:name w:val="Char11"/>
    <w:basedOn w:val="1"/>
    <w:qFormat/>
    <w:uiPriority w:val="0"/>
    <w:rPr>
      <w:szCs w:val="24"/>
    </w:rPr>
  </w:style>
  <w:style w:type="paragraph" w:customStyle="1" w:styleId="274">
    <w:name w:val="xl102"/>
    <w:basedOn w:val="1"/>
    <w:qFormat/>
    <w:uiPriority w:val="0"/>
    <w:pPr>
      <w:widowControl/>
      <w:spacing w:before="100" w:beforeAutospacing="1" w:after="100" w:afterAutospacing="1" w:line="240" w:lineRule="auto"/>
      <w:ind w:firstLine="0" w:firstLineChars="0"/>
      <w:jc w:val="left"/>
    </w:pPr>
    <w:rPr>
      <w:rFonts w:hAnsi="宋体" w:cs="宋体"/>
      <w:position w:val="0"/>
      <w:sz w:val="21"/>
      <w:szCs w:val="21"/>
    </w:rPr>
  </w:style>
  <w:style w:type="paragraph" w:customStyle="1" w:styleId="275">
    <w:name w:val="正文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276">
    <w:name w:val="封面3"/>
    <w:basedOn w:val="1"/>
    <w:qFormat/>
    <w:uiPriority w:val="0"/>
    <w:pPr>
      <w:adjustRightInd w:val="0"/>
      <w:ind w:left="340" w:firstLine="510"/>
      <w:jc w:val="center"/>
      <w:textAlignment w:val="baseline"/>
    </w:pPr>
    <w:rPr>
      <w:rFonts w:cs="宋体"/>
      <w:b/>
      <w:bCs/>
      <w:sz w:val="72"/>
    </w:rPr>
  </w:style>
  <w:style w:type="paragraph" w:customStyle="1" w:styleId="27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position w:val="0"/>
      <w:sz w:val="24"/>
      <w:szCs w:val="24"/>
    </w:rPr>
  </w:style>
  <w:style w:type="paragraph" w:customStyle="1" w:styleId="27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18"/>
      <w:szCs w:val="18"/>
    </w:rPr>
  </w:style>
  <w:style w:type="paragraph" w:customStyle="1" w:styleId="279">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b/>
      <w:bCs/>
      <w:position w:val="0"/>
      <w:sz w:val="24"/>
      <w:szCs w:val="24"/>
    </w:rPr>
  </w:style>
  <w:style w:type="paragraph" w:customStyle="1" w:styleId="280">
    <w:name w:val="样式 表格1 + (西文) 宋体1"/>
    <w:basedOn w:val="260"/>
    <w:qFormat/>
    <w:uiPriority w:val="0"/>
  </w:style>
  <w:style w:type="paragraph" w:customStyle="1" w:styleId="281">
    <w:name w:val="xl178"/>
    <w:basedOn w:val="1"/>
    <w:qFormat/>
    <w:uiPriority w:val="0"/>
    <w:pPr>
      <w:widowControl/>
      <w:shd w:val="clear" w:color="000000" w:fill="FFC000"/>
      <w:spacing w:before="100" w:beforeAutospacing="1" w:after="100" w:afterAutospacing="1" w:line="240" w:lineRule="auto"/>
      <w:ind w:firstLine="0" w:firstLineChars="0"/>
      <w:jc w:val="left"/>
    </w:pPr>
    <w:rPr>
      <w:rFonts w:hAnsi="宋体" w:cs="宋体"/>
      <w:position w:val="0"/>
      <w:sz w:val="20"/>
    </w:rPr>
  </w:style>
  <w:style w:type="paragraph" w:customStyle="1" w:styleId="282">
    <w:name w:val="样式 (西文) 宋体 加粗 居中 左侧:  0 厘米 首行缩进:  0 厘米 段后: 6 磅 行距: 单倍行距"/>
    <w:basedOn w:val="1"/>
    <w:qFormat/>
    <w:uiPriority w:val="0"/>
    <w:pPr>
      <w:adjustRightInd w:val="0"/>
      <w:spacing w:after="120"/>
      <w:jc w:val="center"/>
      <w:textAlignment w:val="baseline"/>
    </w:pPr>
    <w:rPr>
      <w:rFonts w:hAnsi="宋体" w:cs="宋体"/>
      <w:b/>
      <w:bCs/>
      <w:sz w:val="24"/>
    </w:rPr>
  </w:style>
  <w:style w:type="paragraph" w:customStyle="1" w:styleId="283">
    <w:name w:val="样式 目录 3A目录 3 +"/>
    <w:basedOn w:val="28"/>
    <w:qFormat/>
    <w:uiPriority w:val="0"/>
    <w:pPr>
      <w:tabs>
        <w:tab w:val="right" w:leader="dot" w:pos="9072"/>
      </w:tabs>
      <w:adjustRightInd w:val="0"/>
      <w:snapToGrid w:val="0"/>
      <w:ind w:left="465" w:right="29" w:firstLine="284"/>
      <w:textAlignment w:val="baseline"/>
    </w:pPr>
    <w:rPr>
      <w:rFonts w:cs="宋体"/>
      <w:i/>
      <w:iCs/>
      <w:sz w:val="21"/>
    </w:rPr>
  </w:style>
  <w:style w:type="paragraph" w:customStyle="1" w:styleId="284">
    <w:name w:val="xl199"/>
    <w:basedOn w:val="1"/>
    <w:qFormat/>
    <w:uiPriority w:val="0"/>
    <w:pPr>
      <w:widowControl/>
      <w:pBdr>
        <w:top w:val="single" w:color="auto" w:sz="4" w:space="0"/>
        <w:left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position w:val="0"/>
      <w:sz w:val="24"/>
      <w:szCs w:val="24"/>
    </w:rPr>
  </w:style>
  <w:style w:type="paragraph" w:customStyle="1" w:styleId="286">
    <w:name w:val="标题1"/>
    <w:basedOn w:val="2"/>
    <w:qFormat/>
    <w:uiPriority w:val="0"/>
    <w:pPr>
      <w:tabs>
        <w:tab w:val="left" w:pos="435"/>
        <w:tab w:val="left" w:pos="480"/>
      </w:tabs>
      <w:adjustRightInd w:val="0"/>
      <w:spacing w:before="120" w:after="0" w:line="360" w:lineRule="auto"/>
      <w:ind w:left="435" w:hanging="435" w:firstLineChars="0"/>
      <w:jc w:val="left"/>
      <w:textAlignment w:val="baseline"/>
    </w:pPr>
    <w:rPr>
      <w:rFonts w:ascii="Calibri" w:hAnsi="Arial" w:eastAsia="黑体"/>
      <w:bCs w:val="0"/>
      <w:position w:val="0"/>
      <w:sz w:val="28"/>
      <w:szCs w:val="20"/>
    </w:rPr>
  </w:style>
  <w:style w:type="paragraph" w:customStyle="1" w:styleId="287">
    <w:name w:val="xl212"/>
    <w:basedOn w:val="1"/>
    <w:qFormat/>
    <w:uiPriority w:val="0"/>
    <w:pPr>
      <w:widowControl/>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288">
    <w:name w:val="样式 标题 4 + (西文) Times New Roman2"/>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sz w:val="24"/>
      <w:szCs w:val="24"/>
    </w:rPr>
  </w:style>
  <w:style w:type="paragraph" w:customStyle="1" w:styleId="289">
    <w:name w:val="xl107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color w:val="000000"/>
      <w:position w:val="0"/>
      <w:sz w:val="20"/>
    </w:rPr>
  </w:style>
  <w:style w:type="paragraph" w:customStyle="1" w:styleId="290">
    <w:name w:val="表格"/>
    <w:basedOn w:val="1"/>
    <w:next w:val="1"/>
    <w:qFormat/>
    <w:uiPriority w:val="0"/>
    <w:pPr>
      <w:adjustRightInd w:val="0"/>
      <w:jc w:val="center"/>
      <w:textAlignment w:val="baseline"/>
    </w:pPr>
    <w:rPr>
      <w:rFonts w:ascii="长城仿宋" w:eastAsia="长城仿宋"/>
    </w:rPr>
  </w:style>
  <w:style w:type="paragraph" w:customStyle="1" w:styleId="291">
    <w:name w:val="Char"/>
    <w:basedOn w:val="1"/>
    <w:qFormat/>
    <w:uiPriority w:val="0"/>
    <w:rPr>
      <w:szCs w:val="24"/>
    </w:rPr>
  </w:style>
  <w:style w:type="paragraph" w:customStyle="1" w:styleId="292">
    <w:name w:val="xl20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left"/>
    </w:pPr>
    <w:rPr>
      <w:rFonts w:hAnsi="宋体" w:cs="宋体"/>
      <w:position w:val="0"/>
      <w:sz w:val="20"/>
    </w:rPr>
  </w:style>
  <w:style w:type="paragraph" w:customStyle="1" w:styleId="293">
    <w:name w:val="1 Char Char Char Char"/>
    <w:basedOn w:val="1"/>
    <w:qFormat/>
    <w:uiPriority w:val="0"/>
    <w:pPr>
      <w:snapToGrid w:val="0"/>
      <w:spacing w:line="440" w:lineRule="atLeast"/>
    </w:pPr>
    <w:rPr>
      <w:sz w:val="24"/>
      <w:szCs w:val="24"/>
    </w:rPr>
  </w:style>
  <w:style w:type="paragraph" w:customStyle="1" w:styleId="294">
    <w:name w:val="封面6"/>
    <w:basedOn w:val="1"/>
    <w:qFormat/>
    <w:uiPriority w:val="0"/>
    <w:pPr>
      <w:adjustRightInd w:val="0"/>
      <w:spacing w:line="400" w:lineRule="exact"/>
      <w:ind w:left="340"/>
      <w:jc w:val="distribute"/>
      <w:textAlignment w:val="baseline"/>
    </w:pPr>
    <w:rPr>
      <w:rFonts w:cs="宋体"/>
      <w:b/>
      <w:bCs/>
      <w:spacing w:val="36"/>
    </w:rPr>
  </w:style>
  <w:style w:type="paragraph" w:customStyle="1" w:styleId="295">
    <w:name w:val="样式 标题 3 + (符号) Times New Roman 首行缩进:  2 字符1"/>
    <w:basedOn w:val="4"/>
    <w:qFormat/>
    <w:uiPriority w:val="0"/>
    <w:rPr>
      <w:rFonts w:hAnsi="Times New Roman" w:cs="宋体"/>
      <w:b/>
      <w:bCs/>
      <w:szCs w:val="28"/>
    </w:rPr>
  </w:style>
  <w:style w:type="paragraph" w:customStyle="1" w:styleId="296">
    <w:name w:val="1.1.1.1A"/>
    <w:basedOn w:val="1"/>
    <w:qFormat/>
    <w:uiPriority w:val="0"/>
    <w:pPr>
      <w:tabs>
        <w:tab w:val="left" w:pos="1843"/>
        <w:tab w:val="left" w:pos="26875"/>
      </w:tabs>
      <w:autoSpaceDE w:val="0"/>
      <w:autoSpaceDN w:val="0"/>
      <w:adjustRightInd w:val="0"/>
      <w:spacing w:before="60" w:after="60" w:line="360" w:lineRule="atLeast"/>
      <w:ind w:left="1560" w:hanging="426" w:firstLineChars="0"/>
    </w:pPr>
    <w:rPr>
      <w:position w:val="0"/>
      <w:sz w:val="24"/>
    </w:rPr>
  </w:style>
  <w:style w:type="paragraph" w:customStyle="1" w:styleId="29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position w:val="0"/>
      <w:sz w:val="24"/>
      <w:szCs w:val="24"/>
    </w:rPr>
  </w:style>
  <w:style w:type="paragraph" w:customStyle="1" w:styleId="298">
    <w:name w:val="样式 标题 4 + (西文) Times New Roman3"/>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sz w:val="24"/>
      <w:szCs w:val="24"/>
    </w:rPr>
  </w:style>
  <w:style w:type="paragraph" w:customStyle="1" w:styleId="29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0"/>
    </w:rPr>
  </w:style>
  <w:style w:type="paragraph" w:customStyle="1" w:styleId="300">
    <w:name w:val="样式 标题 4 + (西文) Times New Roman"/>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kern w:val="2"/>
      <w:sz w:val="24"/>
      <w:szCs w:val="24"/>
    </w:rPr>
  </w:style>
  <w:style w:type="paragraph" w:customStyle="1" w:styleId="301">
    <w:name w:val="A表格文字右对齐"/>
    <w:basedOn w:val="155"/>
    <w:qFormat/>
    <w:uiPriority w:val="0"/>
    <w:pPr>
      <w:spacing w:beforeLines="20" w:afterLines="20"/>
      <w:jc w:val="right"/>
    </w:pPr>
    <w:rPr>
      <w:kern w:val="21"/>
      <w:szCs w:val="21"/>
    </w:rPr>
  </w:style>
  <w:style w:type="paragraph" w:customStyle="1" w:styleId="302">
    <w:name w:val="Char Char Char Char"/>
    <w:basedOn w:val="1"/>
    <w:qFormat/>
    <w:uiPriority w:val="0"/>
    <w:rPr>
      <w:szCs w:val="24"/>
    </w:rPr>
  </w:style>
  <w:style w:type="paragraph" w:customStyle="1" w:styleId="303">
    <w:name w:val="xl184"/>
    <w:basedOn w:val="1"/>
    <w:qFormat/>
    <w:uiPriority w:val="0"/>
    <w:pPr>
      <w:widowControl/>
      <w:spacing w:before="100" w:beforeAutospacing="1" w:after="100" w:afterAutospacing="1" w:line="240" w:lineRule="auto"/>
      <w:ind w:firstLine="0" w:firstLineChars="0"/>
      <w:jc w:val="center"/>
    </w:pPr>
    <w:rPr>
      <w:rFonts w:hAnsi="宋体" w:cs="宋体"/>
      <w:position w:val="0"/>
      <w:sz w:val="20"/>
    </w:rPr>
  </w:style>
  <w:style w:type="paragraph" w:customStyle="1" w:styleId="304">
    <w:name w:val="封面1"/>
    <w:basedOn w:val="1"/>
    <w:qFormat/>
    <w:uiPriority w:val="0"/>
    <w:pPr>
      <w:adjustRightInd w:val="0"/>
      <w:spacing w:line="480" w:lineRule="auto"/>
      <w:ind w:left="340" w:firstLine="510"/>
      <w:jc w:val="center"/>
      <w:textAlignment w:val="baseline"/>
    </w:pPr>
    <w:rPr>
      <w:rFonts w:cs="宋体"/>
      <w:b/>
      <w:bCs/>
      <w:spacing w:val="50"/>
      <w:sz w:val="36"/>
    </w:rPr>
  </w:style>
  <w:style w:type="paragraph" w:customStyle="1" w:styleId="305">
    <w:name w:val="xl21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pPr>
    <w:rPr>
      <w:rFonts w:hAnsi="宋体" w:cs="宋体"/>
      <w:color w:val="FF0000"/>
      <w:position w:val="0"/>
      <w:sz w:val="20"/>
    </w:rPr>
  </w:style>
  <w:style w:type="paragraph" w:customStyle="1" w:styleId="30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Ansi="宋体" w:cs="宋体"/>
      <w:b/>
      <w:bCs/>
      <w:position w:val="0"/>
      <w:sz w:val="24"/>
      <w:szCs w:val="24"/>
    </w:rPr>
  </w:style>
  <w:style w:type="paragraph" w:customStyle="1" w:styleId="307">
    <w:name w:val="样式 标题 4 + (西文) Times New Roman5"/>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sz w:val="24"/>
      <w:szCs w:val="20"/>
    </w:rPr>
  </w:style>
  <w:style w:type="paragraph" w:customStyle="1" w:styleId="308">
    <w:name w:val="xl139"/>
    <w:basedOn w:val="1"/>
    <w:qFormat/>
    <w:uiPriority w:val="0"/>
    <w:pPr>
      <w:widowControl/>
      <w:spacing w:before="100" w:beforeAutospacing="1" w:after="100" w:afterAutospacing="1" w:line="240" w:lineRule="auto"/>
      <w:ind w:firstLine="0" w:firstLineChars="0"/>
      <w:jc w:val="left"/>
    </w:pPr>
    <w:rPr>
      <w:rFonts w:hAnsi="宋体" w:cs="宋体"/>
      <w:color w:val="000000"/>
      <w:position w:val="0"/>
      <w:sz w:val="21"/>
      <w:szCs w:val="21"/>
    </w:rPr>
  </w:style>
  <w:style w:type="paragraph" w:customStyle="1" w:styleId="309">
    <w:name w:val="xl1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hAnsi="宋体" w:cs="宋体"/>
      <w:position w:val="0"/>
      <w:sz w:val="20"/>
    </w:rPr>
  </w:style>
  <w:style w:type="paragraph" w:customStyle="1" w:styleId="310">
    <w:name w:val="样式 标题 3 + (符号) Times New Roman 首行缩进:  2 字符"/>
    <w:basedOn w:val="4"/>
    <w:qFormat/>
    <w:uiPriority w:val="0"/>
    <w:rPr>
      <w:rFonts w:hAnsi="Times New Roman" w:cs="宋体"/>
      <w:b/>
      <w:bCs/>
      <w:szCs w:val="28"/>
    </w:rPr>
  </w:style>
  <w:style w:type="paragraph" w:customStyle="1" w:styleId="311">
    <w:name w:val="XW正文"/>
    <w:basedOn w:val="1"/>
    <w:qFormat/>
    <w:uiPriority w:val="0"/>
    <w:pPr>
      <w:adjustRightInd w:val="0"/>
      <w:snapToGrid w:val="0"/>
      <w:ind w:firstLine="454"/>
      <w:jc w:val="left"/>
      <w:textAlignment w:val="baseline"/>
    </w:pPr>
    <w:rPr>
      <w:color w:val="000000"/>
      <w:spacing w:val="10"/>
      <w:sz w:val="24"/>
    </w:rPr>
  </w:style>
  <w:style w:type="paragraph" w:customStyle="1" w:styleId="312">
    <w:name w:val="xl10757"/>
    <w:basedOn w:val="1"/>
    <w:qFormat/>
    <w:uiPriority w:val="0"/>
    <w:pPr>
      <w:widowControl/>
      <w:spacing w:before="100" w:beforeAutospacing="1" w:after="100" w:afterAutospacing="1" w:line="240" w:lineRule="auto"/>
      <w:ind w:firstLine="0" w:firstLineChars="0"/>
      <w:jc w:val="left"/>
    </w:pPr>
    <w:rPr>
      <w:rFonts w:hAnsi="宋体" w:cs="宋体"/>
      <w:position w:val="0"/>
      <w:sz w:val="24"/>
      <w:szCs w:val="24"/>
    </w:rPr>
  </w:style>
  <w:style w:type="paragraph" w:customStyle="1" w:styleId="31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0"/>
    </w:rPr>
  </w:style>
  <w:style w:type="paragraph" w:customStyle="1" w:styleId="314">
    <w:name w:val="Char3"/>
    <w:basedOn w:val="1"/>
    <w:qFormat/>
    <w:uiPriority w:val="0"/>
    <w:rPr>
      <w:rFonts w:ascii="Times New Roman"/>
      <w:kern w:val="2"/>
      <w:position w:val="0"/>
      <w:sz w:val="21"/>
    </w:rPr>
  </w:style>
  <w:style w:type="paragraph" w:customStyle="1" w:styleId="315">
    <w:name w:val="样式 标题 2 + (符号) 宋体 三号 黑色 居中 行距: 最小值 12 磅 首行缩进:  0 字符"/>
    <w:basedOn w:val="3"/>
    <w:qFormat/>
    <w:uiPriority w:val="0"/>
    <w:pPr>
      <w:adjustRightInd w:val="0"/>
      <w:spacing w:before="300" w:after="120" w:line="360" w:lineRule="auto"/>
      <w:ind w:firstLine="0" w:firstLineChars="0"/>
      <w:jc w:val="center"/>
      <w:textAlignment w:val="baseline"/>
    </w:pPr>
    <w:rPr>
      <w:rFonts w:ascii="Times New Roman" w:hAnsi="Times New Roman" w:eastAsia="黑体" w:cs="宋体"/>
      <w:color w:val="000000"/>
      <w:position w:val="0"/>
    </w:rPr>
  </w:style>
  <w:style w:type="paragraph" w:customStyle="1" w:styleId="316">
    <w:name w:val="样式 标题 4 + (西文) Times New Roman6"/>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sz w:val="24"/>
      <w:szCs w:val="20"/>
    </w:rPr>
  </w:style>
  <w:style w:type="paragraph" w:customStyle="1" w:styleId="317">
    <w:name w:val="样式3"/>
    <w:basedOn w:val="260"/>
    <w:qFormat/>
    <w:uiPriority w:val="0"/>
    <w:pPr>
      <w:spacing w:before="20" w:after="20"/>
      <w:ind w:left="420" w:hanging="420"/>
      <w:jc w:val="both"/>
    </w:pPr>
    <w:rPr>
      <w:rFonts w:hAnsi="宋体"/>
      <w:color w:val="000000"/>
    </w:rPr>
  </w:style>
  <w:style w:type="paragraph" w:customStyle="1" w:styleId="318">
    <w:name w:val="黑"/>
    <w:basedOn w:val="1"/>
    <w:qFormat/>
    <w:uiPriority w:val="0"/>
    <w:pPr>
      <w:adjustRightInd w:val="0"/>
      <w:spacing w:line="560" w:lineRule="exact"/>
      <w:ind w:firstLine="556"/>
      <w:textAlignment w:val="baseline"/>
    </w:pPr>
    <w:rPr>
      <w:rFonts w:ascii="黑体" w:eastAsia="黑体" w:cs="黑体"/>
      <w:b/>
      <w:bCs/>
      <w:color w:val="000000"/>
      <w:spacing w:val="20"/>
      <w:sz w:val="30"/>
      <w:szCs w:val="30"/>
    </w:rPr>
  </w:style>
  <w:style w:type="paragraph" w:customStyle="1" w:styleId="319">
    <w:name w:val="A标题7"/>
    <w:basedOn w:val="86"/>
    <w:qFormat/>
    <w:uiPriority w:val="0"/>
  </w:style>
  <w:style w:type="paragraph" w:customStyle="1" w:styleId="320">
    <w:name w:val="XW图名表名"/>
    <w:basedOn w:val="1"/>
    <w:qFormat/>
    <w:uiPriority w:val="0"/>
    <w:pPr>
      <w:adjustRightInd w:val="0"/>
      <w:spacing w:before="360"/>
      <w:jc w:val="center"/>
      <w:textAlignment w:val="baseline"/>
    </w:pPr>
    <w:rPr>
      <w:rFonts w:eastAsia="黑体"/>
      <w:sz w:val="24"/>
    </w:rPr>
  </w:style>
  <w:style w:type="paragraph" w:customStyle="1" w:styleId="32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Ansi="宋体" w:cs="宋体"/>
      <w:color w:val="000000"/>
      <w:position w:val="0"/>
      <w:sz w:val="24"/>
      <w:szCs w:val="24"/>
    </w:rPr>
  </w:style>
  <w:style w:type="paragraph" w:customStyle="1" w:styleId="322">
    <w:name w:val="xl71"/>
    <w:basedOn w:val="1"/>
    <w:qFormat/>
    <w:uiPriority w:val="0"/>
    <w:pPr>
      <w:widowControl/>
      <w:pBdr>
        <w:bottom w:val="single" w:color="auto" w:sz="4" w:space="0"/>
      </w:pBdr>
      <w:spacing w:before="100" w:beforeAutospacing="1" w:after="100" w:afterAutospacing="1"/>
      <w:jc w:val="center"/>
      <w:textAlignment w:val="center"/>
    </w:pPr>
    <w:rPr>
      <w:rFonts w:hAnsi="宋体" w:cs="宋体"/>
      <w:b/>
      <w:bCs/>
      <w:color w:val="000000"/>
      <w:position w:val="0"/>
      <w:sz w:val="24"/>
      <w:szCs w:val="24"/>
    </w:rPr>
  </w:style>
  <w:style w:type="paragraph" w:customStyle="1" w:styleId="323">
    <w:name w:val="XW表内文字"/>
    <w:basedOn w:val="1"/>
    <w:qFormat/>
    <w:uiPriority w:val="0"/>
    <w:pPr>
      <w:adjustRightInd w:val="0"/>
      <w:spacing w:before="40" w:after="40"/>
      <w:jc w:val="center"/>
      <w:textAlignment w:val="baseline"/>
    </w:pPr>
  </w:style>
  <w:style w:type="paragraph" w:customStyle="1" w:styleId="324">
    <w:name w:val="样式 (西文) 宋体 加粗 居中 左侧:  0 厘米 首行缩进:  0 厘米 段后: 6 磅 行距: 单倍行距2"/>
    <w:basedOn w:val="1"/>
    <w:qFormat/>
    <w:uiPriority w:val="0"/>
    <w:pPr>
      <w:adjustRightInd w:val="0"/>
      <w:jc w:val="center"/>
      <w:textAlignment w:val="baseline"/>
    </w:pPr>
    <w:rPr>
      <w:rFonts w:hAnsi="宋体" w:cs="宋体"/>
      <w:b/>
      <w:bCs/>
      <w:sz w:val="24"/>
    </w:rPr>
  </w:style>
  <w:style w:type="paragraph" w:customStyle="1" w:styleId="325">
    <w:name w:val="xl75"/>
    <w:basedOn w:val="1"/>
    <w:qFormat/>
    <w:uiPriority w:val="0"/>
    <w:pPr>
      <w:widowControl/>
      <w:shd w:val="clear" w:color="000000" w:fill="FFFFFF"/>
      <w:spacing w:before="100" w:beforeAutospacing="1" w:after="100" w:afterAutospacing="1"/>
      <w:jc w:val="center"/>
    </w:pPr>
    <w:rPr>
      <w:rFonts w:hAnsi="宋体" w:cs="宋体"/>
      <w:position w:val="0"/>
      <w:sz w:val="24"/>
      <w:szCs w:val="24"/>
    </w:rPr>
  </w:style>
  <w:style w:type="paragraph" w:customStyle="1" w:styleId="326">
    <w:name w:val="A工程量清单表名"/>
    <w:basedOn w:val="1"/>
    <w:qFormat/>
    <w:uiPriority w:val="0"/>
    <w:pPr>
      <w:keepNext/>
      <w:adjustRightInd w:val="0"/>
      <w:jc w:val="left"/>
      <w:textAlignment w:val="baseline"/>
    </w:pPr>
    <w:rPr>
      <w:kern w:val="24"/>
      <w:sz w:val="24"/>
    </w:rPr>
  </w:style>
  <w:style w:type="paragraph" w:customStyle="1" w:styleId="327">
    <w:name w:val="专用3"/>
    <w:basedOn w:val="1"/>
    <w:qFormat/>
    <w:uiPriority w:val="0"/>
    <w:pPr>
      <w:tabs>
        <w:tab w:val="left" w:pos="686"/>
      </w:tabs>
      <w:adjustRightInd w:val="0"/>
      <w:jc w:val="left"/>
      <w:textAlignment w:val="baseline"/>
      <w:outlineLvl w:val="3"/>
    </w:pPr>
    <w:rPr>
      <w:rFonts w:cs="宋体"/>
      <w:bCs/>
      <w:sz w:val="24"/>
    </w:rPr>
  </w:style>
  <w:style w:type="paragraph" w:customStyle="1" w:styleId="328">
    <w:name w:val="标题 21"/>
    <w:basedOn w:val="1"/>
    <w:qFormat/>
    <w:uiPriority w:val="1"/>
    <w:pPr>
      <w:ind w:left="280"/>
      <w:outlineLvl w:val="2"/>
    </w:pPr>
    <w:rPr>
      <w:rFonts w:ascii="黑体" w:hAnsi="黑体" w:eastAsia="黑体"/>
      <w:szCs w:val="28"/>
    </w:rPr>
  </w:style>
  <w:style w:type="paragraph" w:customStyle="1" w:styleId="329">
    <w:name w:val="xl2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330">
    <w:name w:val="xl133"/>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hAnsi="宋体" w:cs="宋体"/>
      <w:b/>
      <w:bCs/>
      <w:position w:val="0"/>
      <w:sz w:val="21"/>
      <w:szCs w:val="21"/>
    </w:rPr>
  </w:style>
  <w:style w:type="paragraph" w:customStyle="1" w:styleId="331">
    <w:name w:val="列出段落11"/>
    <w:basedOn w:val="1"/>
    <w:qFormat/>
    <w:uiPriority w:val="0"/>
    <w:pPr>
      <w:ind w:firstLine="420"/>
    </w:pPr>
    <w:rPr>
      <w:rFonts w:ascii="Calibri" w:hAnsi="Calibri"/>
      <w:kern w:val="2"/>
      <w:position w:val="0"/>
      <w:sz w:val="21"/>
      <w:szCs w:val="22"/>
    </w:rPr>
  </w:style>
  <w:style w:type="paragraph" w:customStyle="1" w:styleId="332">
    <w:name w:val="样式1"/>
    <w:basedOn w:val="1"/>
    <w:qFormat/>
    <w:uiPriority w:val="0"/>
    <w:pPr>
      <w:adjustRightInd w:val="0"/>
      <w:spacing w:before="240" w:after="240"/>
      <w:jc w:val="center"/>
      <w:textAlignment w:val="bottom"/>
    </w:pPr>
    <w:rPr>
      <w:rFonts w:ascii="Arial" w:hAnsi="Arial" w:eastAsia="黑体"/>
      <w:b/>
      <w:spacing w:val="120"/>
      <w:sz w:val="30"/>
    </w:rPr>
  </w:style>
  <w:style w:type="paragraph" w:customStyle="1" w:styleId="333">
    <w:name w:val="样式 表格1 + (西文) 宋体"/>
    <w:basedOn w:val="260"/>
    <w:qFormat/>
    <w:uiPriority w:val="0"/>
  </w:style>
  <w:style w:type="paragraph" w:customStyle="1" w:styleId="33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cs="宋体"/>
      <w:color w:val="000000"/>
      <w:position w:val="0"/>
      <w:sz w:val="24"/>
      <w:szCs w:val="24"/>
    </w:rPr>
  </w:style>
  <w:style w:type="paragraph" w:customStyle="1" w:styleId="335">
    <w:name w:val="xl13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18"/>
      <w:szCs w:val="18"/>
    </w:rPr>
  </w:style>
  <w:style w:type="paragraph" w:customStyle="1" w:styleId="336">
    <w:name w:val="样式 标题 3 + (符号) Times New Roman 首行缩进:  2 字符2"/>
    <w:basedOn w:val="4"/>
    <w:qFormat/>
    <w:uiPriority w:val="0"/>
    <w:rPr>
      <w:rFonts w:hAnsi="Times New Roman" w:cs="宋体"/>
      <w:b/>
      <w:bCs/>
      <w:szCs w:val="20"/>
    </w:rPr>
  </w:style>
  <w:style w:type="paragraph" w:customStyle="1" w:styleId="337">
    <w:name w:val="列出段落1"/>
    <w:basedOn w:val="1"/>
    <w:qFormat/>
    <w:uiPriority w:val="0"/>
    <w:pPr>
      <w:ind w:firstLine="420"/>
    </w:pPr>
    <w:rPr>
      <w:rFonts w:ascii="Calibri" w:hAnsi="Calibri"/>
      <w:kern w:val="2"/>
      <w:position w:val="0"/>
      <w:sz w:val="21"/>
      <w:szCs w:val="22"/>
    </w:rPr>
  </w:style>
  <w:style w:type="paragraph" w:customStyle="1" w:styleId="338">
    <w:name w:val="封面7"/>
    <w:basedOn w:val="1"/>
    <w:qFormat/>
    <w:uiPriority w:val="0"/>
    <w:pPr>
      <w:adjustRightInd w:val="0"/>
      <w:spacing w:line="400" w:lineRule="exact"/>
      <w:ind w:left="340" w:firstLine="510"/>
      <w:jc w:val="center"/>
      <w:textAlignment w:val="baseline"/>
    </w:pPr>
    <w:rPr>
      <w:rFonts w:cs="宋体"/>
      <w:b/>
      <w:bCs/>
    </w:rPr>
  </w:style>
  <w:style w:type="paragraph" w:customStyle="1" w:styleId="33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color w:val="000000"/>
      <w:position w:val="0"/>
      <w:sz w:val="21"/>
      <w:szCs w:val="21"/>
    </w:rPr>
  </w:style>
  <w:style w:type="paragraph" w:customStyle="1" w:styleId="340">
    <w:name w:val="xl106"/>
    <w:basedOn w:val="1"/>
    <w:qFormat/>
    <w:uiPriority w:val="0"/>
    <w:pPr>
      <w:widowControl/>
      <w:spacing w:before="100" w:beforeAutospacing="1" w:after="100" w:afterAutospacing="1" w:line="240" w:lineRule="auto"/>
      <w:ind w:firstLine="0" w:firstLineChars="0"/>
      <w:jc w:val="left"/>
    </w:pPr>
    <w:rPr>
      <w:rFonts w:hAnsi="宋体" w:cs="宋体"/>
      <w:position w:val="0"/>
      <w:sz w:val="24"/>
      <w:szCs w:val="24"/>
    </w:rPr>
  </w:style>
  <w:style w:type="paragraph" w:customStyle="1" w:styleId="341">
    <w:name w:val="xl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b/>
      <w:bCs/>
      <w:position w:val="0"/>
      <w:sz w:val="20"/>
    </w:rPr>
  </w:style>
  <w:style w:type="paragraph" w:customStyle="1" w:styleId="342">
    <w:name w:val="A通用2"/>
    <w:basedOn w:val="1"/>
    <w:qFormat/>
    <w:uiPriority w:val="0"/>
    <w:pPr>
      <w:tabs>
        <w:tab w:val="left" w:pos="681"/>
      </w:tabs>
      <w:adjustRightInd w:val="0"/>
      <w:spacing w:before="240" w:after="80"/>
      <w:ind w:left="681" w:hanging="851"/>
      <w:jc w:val="left"/>
      <w:textAlignment w:val="baseline"/>
      <w:outlineLvl w:val="2"/>
    </w:pPr>
    <w:rPr>
      <w:rFonts w:eastAsia="Times New Roman"/>
      <w:b/>
      <w:szCs w:val="24"/>
    </w:rPr>
  </w:style>
  <w:style w:type="paragraph" w:customStyle="1" w:styleId="343">
    <w:name w:val="样式3 (1)"/>
    <w:basedOn w:val="1"/>
    <w:qFormat/>
    <w:uiPriority w:val="0"/>
    <w:pPr>
      <w:widowControl/>
      <w:tabs>
        <w:tab w:val="left" w:pos="510"/>
        <w:tab w:val="left" w:pos="870"/>
      </w:tabs>
      <w:adjustRightInd w:val="0"/>
      <w:ind w:firstLine="510"/>
    </w:pPr>
    <w:rPr>
      <w:sz w:val="24"/>
    </w:rPr>
  </w:style>
  <w:style w:type="paragraph" w:customStyle="1" w:styleId="344">
    <w:name w:val="样式48"/>
    <w:basedOn w:val="1"/>
    <w:qFormat/>
    <w:uiPriority w:val="0"/>
    <w:pPr>
      <w:spacing w:line="240" w:lineRule="auto"/>
      <w:ind w:firstLine="0" w:firstLineChars="0"/>
      <w:jc w:val="center"/>
    </w:pPr>
    <w:rPr>
      <w:rFonts w:ascii="Times New Roman" w:eastAsia="仿宋_GB2312"/>
      <w:kern w:val="2"/>
      <w:position w:val="0"/>
      <w:sz w:val="24"/>
      <w:szCs w:val="24"/>
    </w:rPr>
  </w:style>
  <w:style w:type="paragraph" w:customStyle="1" w:styleId="345">
    <w:name w:val="xl107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top"/>
    </w:pPr>
    <w:rPr>
      <w:rFonts w:hAnsi="宋体" w:cs="宋体"/>
      <w:position w:val="0"/>
      <w:sz w:val="20"/>
    </w:rPr>
  </w:style>
  <w:style w:type="paragraph" w:customStyle="1" w:styleId="346">
    <w:name w:val="表头文字"/>
    <w:basedOn w:val="1"/>
    <w:qFormat/>
    <w:uiPriority w:val="0"/>
    <w:pPr>
      <w:keepNext/>
      <w:adjustRightInd w:val="0"/>
      <w:ind w:right="130"/>
      <w:jc w:val="center"/>
      <w:textAlignment w:val="baseline"/>
    </w:pPr>
    <w:rPr>
      <w:rFonts w:ascii="黑体" w:eastAsia="黑体"/>
      <w:kern w:val="24"/>
      <w:sz w:val="24"/>
    </w:rPr>
  </w:style>
  <w:style w:type="paragraph" w:customStyle="1" w:styleId="347">
    <w:name w:val="附件5标题4"/>
    <w:basedOn w:val="1"/>
    <w:qFormat/>
    <w:uiPriority w:val="0"/>
    <w:rPr>
      <w:sz w:val="24"/>
      <w:szCs w:val="24"/>
    </w:rPr>
  </w:style>
  <w:style w:type="paragraph" w:customStyle="1" w:styleId="348">
    <w:name w:val="xl107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0"/>
    </w:rPr>
  </w:style>
  <w:style w:type="paragraph" w:customStyle="1" w:styleId="349">
    <w:name w:val="样式 标题 2节标题 1.1标题 2 Char Char Char Char Char Char Char Char Cha..."/>
    <w:basedOn w:val="3"/>
    <w:qFormat/>
    <w:uiPriority w:val="0"/>
    <w:pPr>
      <w:adjustRightInd w:val="0"/>
      <w:spacing w:before="0" w:after="0" w:line="360" w:lineRule="auto"/>
      <w:ind w:firstLine="0" w:firstLineChars="0"/>
      <w:jc w:val="center"/>
    </w:pPr>
    <w:rPr>
      <w:rFonts w:ascii="Calibri" w:hAnsi="宋体" w:eastAsia="黑体" w:cs="宋体"/>
      <w:b w:val="0"/>
      <w:position w:val="0"/>
      <w:sz w:val="30"/>
    </w:rPr>
  </w:style>
  <w:style w:type="paragraph" w:customStyle="1" w:styleId="350">
    <w:name w:val="专用2"/>
    <w:basedOn w:val="1"/>
    <w:qFormat/>
    <w:uiPriority w:val="0"/>
    <w:pPr>
      <w:tabs>
        <w:tab w:val="left" w:pos="504"/>
      </w:tabs>
      <w:adjustRightInd w:val="0"/>
      <w:ind w:left="851" w:hanging="851"/>
      <w:jc w:val="left"/>
      <w:textAlignment w:val="baseline"/>
      <w:outlineLvl w:val="2"/>
    </w:pPr>
    <w:rPr>
      <w:rFonts w:cs="宋体"/>
      <w:b/>
      <w:bCs/>
    </w:rPr>
  </w:style>
  <w:style w:type="paragraph" w:customStyle="1" w:styleId="351">
    <w:name w:val="xl2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352">
    <w:name w:val="Char1 Char Char Char1 Char Char Char"/>
    <w:basedOn w:val="1"/>
    <w:qFormat/>
    <w:uiPriority w:val="0"/>
    <w:rPr>
      <w:rFonts w:hAnsi="宋体" w:cs="宋体"/>
      <w:sz w:val="24"/>
      <w:szCs w:val="24"/>
    </w:rPr>
  </w:style>
  <w:style w:type="paragraph" w:customStyle="1" w:styleId="353">
    <w:name w:val="xl175"/>
    <w:basedOn w:val="1"/>
    <w:qFormat/>
    <w:uiPriority w:val="0"/>
    <w:pPr>
      <w:widowControl/>
      <w:shd w:val="clear" w:color="000000" w:fill="FFFF00"/>
      <w:spacing w:before="100" w:beforeAutospacing="1" w:after="100" w:afterAutospacing="1" w:line="240" w:lineRule="auto"/>
      <w:ind w:firstLine="0" w:firstLineChars="0"/>
      <w:jc w:val="left"/>
    </w:pPr>
    <w:rPr>
      <w:rFonts w:hAnsi="宋体" w:cs="宋体"/>
      <w:color w:val="FF0000"/>
      <w:position w:val="0"/>
      <w:sz w:val="20"/>
    </w:rPr>
  </w:style>
  <w:style w:type="paragraph" w:customStyle="1" w:styleId="354">
    <w:name w:val="附件5标题3"/>
    <w:basedOn w:val="1"/>
    <w:qFormat/>
    <w:uiPriority w:val="0"/>
    <w:rPr>
      <w:rFonts w:hAnsi="宋体"/>
      <w:b/>
      <w:sz w:val="24"/>
      <w:szCs w:val="24"/>
    </w:rPr>
  </w:style>
  <w:style w:type="paragraph" w:customStyle="1" w:styleId="35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56">
    <w:name w:val="xl1076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0"/>
    </w:rPr>
  </w:style>
  <w:style w:type="paragraph" w:customStyle="1" w:styleId="357">
    <w:name w:val="xl123"/>
    <w:basedOn w:val="1"/>
    <w:qFormat/>
    <w:uiPriority w:val="0"/>
    <w:pPr>
      <w:widowControl/>
      <w:spacing w:before="100" w:beforeAutospacing="1" w:after="100" w:afterAutospacing="1" w:line="240" w:lineRule="auto"/>
      <w:ind w:firstLine="0" w:firstLineChars="0"/>
      <w:jc w:val="center"/>
    </w:pPr>
    <w:rPr>
      <w:rFonts w:hAnsi="宋体" w:cs="宋体"/>
      <w:b/>
      <w:bCs/>
      <w:position w:val="0"/>
      <w:sz w:val="24"/>
      <w:szCs w:val="24"/>
    </w:rPr>
  </w:style>
  <w:style w:type="paragraph" w:customStyle="1" w:styleId="358">
    <w:name w:val="Char Char Char Char Char Char Char"/>
    <w:basedOn w:val="1"/>
    <w:qFormat/>
    <w:uiPriority w:val="0"/>
    <w:rPr>
      <w:szCs w:val="24"/>
    </w:rPr>
  </w:style>
  <w:style w:type="paragraph" w:customStyle="1" w:styleId="359">
    <w:name w:val="xl12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position w:val="0"/>
      <w:sz w:val="21"/>
      <w:szCs w:val="21"/>
    </w:rPr>
  </w:style>
  <w:style w:type="paragraph" w:customStyle="1" w:styleId="360">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position w:val="0"/>
      <w:sz w:val="21"/>
      <w:szCs w:val="21"/>
    </w:rPr>
  </w:style>
  <w:style w:type="paragraph" w:customStyle="1" w:styleId="361">
    <w:name w:val="样式2"/>
    <w:basedOn w:val="1"/>
    <w:qFormat/>
    <w:uiPriority w:val="0"/>
    <w:pPr>
      <w:adjustRightInd w:val="0"/>
      <w:spacing w:line="410" w:lineRule="atLeast"/>
      <w:jc w:val="left"/>
      <w:textAlignment w:val="baseline"/>
    </w:pPr>
    <w:rPr>
      <w:sz w:val="24"/>
    </w:rPr>
  </w:style>
  <w:style w:type="paragraph" w:customStyle="1" w:styleId="36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b/>
      <w:bCs/>
      <w:position w:val="0"/>
      <w:sz w:val="20"/>
    </w:rPr>
  </w:style>
  <w:style w:type="paragraph" w:customStyle="1" w:styleId="363">
    <w:name w:val="Char Char Char Char1"/>
    <w:basedOn w:val="1"/>
    <w:qFormat/>
    <w:uiPriority w:val="0"/>
    <w:rPr>
      <w:szCs w:val="24"/>
    </w:rPr>
  </w:style>
  <w:style w:type="paragraph" w:customStyle="1" w:styleId="36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color w:val="000000"/>
      <w:position w:val="0"/>
      <w:sz w:val="24"/>
      <w:szCs w:val="24"/>
    </w:rPr>
  </w:style>
  <w:style w:type="paragraph" w:customStyle="1" w:styleId="36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color w:val="000000"/>
      <w:position w:val="0"/>
      <w:sz w:val="21"/>
      <w:szCs w:val="21"/>
    </w:rPr>
  </w:style>
  <w:style w:type="paragraph" w:customStyle="1" w:styleId="366">
    <w:name w:val="xl107"/>
    <w:basedOn w:val="1"/>
    <w:qFormat/>
    <w:uiPriority w:val="0"/>
    <w:pPr>
      <w:widowControl/>
      <w:spacing w:before="100" w:beforeAutospacing="1" w:after="100" w:afterAutospacing="1" w:line="240" w:lineRule="auto"/>
      <w:ind w:firstLine="0" w:firstLineChars="0"/>
      <w:jc w:val="center"/>
    </w:pPr>
    <w:rPr>
      <w:rFonts w:hAnsi="宋体" w:cs="宋体"/>
      <w:position w:val="0"/>
      <w:sz w:val="24"/>
      <w:szCs w:val="24"/>
    </w:rPr>
  </w:style>
  <w:style w:type="paragraph" w:customStyle="1" w:styleId="367">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368">
    <w:name w:val="XW封面"/>
    <w:basedOn w:val="1"/>
    <w:qFormat/>
    <w:uiPriority w:val="0"/>
    <w:pPr>
      <w:autoSpaceDE w:val="0"/>
      <w:autoSpaceDN w:val="0"/>
      <w:adjustRightInd w:val="0"/>
      <w:jc w:val="center"/>
    </w:pPr>
    <w:rPr>
      <w:rFonts w:ascii="Arial" w:hAnsi="Arial" w:eastAsia="黑体"/>
      <w:sz w:val="44"/>
      <w:lang w:val="zh-CN"/>
    </w:rPr>
  </w:style>
  <w:style w:type="paragraph" w:customStyle="1" w:styleId="369">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color w:val="FF0000"/>
      <w:position w:val="0"/>
      <w:sz w:val="20"/>
    </w:rPr>
  </w:style>
  <w:style w:type="paragraph" w:customStyle="1" w:styleId="37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1"/>
      <w:szCs w:val="21"/>
    </w:rPr>
  </w:style>
  <w:style w:type="paragraph" w:customStyle="1" w:styleId="371">
    <w:name w:val="xl72"/>
    <w:basedOn w:val="1"/>
    <w:qFormat/>
    <w:uiPriority w:val="0"/>
    <w:pPr>
      <w:widowControl/>
      <w:pBdr>
        <w:bottom w:val="single" w:color="auto" w:sz="4" w:space="0"/>
      </w:pBdr>
      <w:spacing w:before="100" w:beforeAutospacing="1" w:after="100" w:afterAutospacing="1"/>
      <w:jc w:val="center"/>
    </w:pPr>
    <w:rPr>
      <w:rFonts w:hAnsi="宋体" w:cs="宋体"/>
      <w:position w:val="0"/>
      <w:sz w:val="24"/>
      <w:szCs w:val="24"/>
    </w:rPr>
  </w:style>
  <w:style w:type="paragraph" w:customStyle="1" w:styleId="372">
    <w:name w:val="扉页"/>
    <w:basedOn w:val="1"/>
    <w:qFormat/>
    <w:uiPriority w:val="0"/>
    <w:pPr>
      <w:adjustRightInd w:val="0"/>
      <w:spacing w:line="312" w:lineRule="atLeast"/>
      <w:jc w:val="center"/>
      <w:textAlignment w:val="baseline"/>
    </w:pPr>
    <w:rPr>
      <w:rFonts w:eastAsia="黑体" w:cs="宋体"/>
      <w:sz w:val="36"/>
    </w:rPr>
  </w:style>
  <w:style w:type="paragraph" w:customStyle="1" w:styleId="373">
    <w:name w:val="xl177"/>
    <w:basedOn w:val="1"/>
    <w:qFormat/>
    <w:uiPriority w:val="0"/>
    <w:pPr>
      <w:widowControl/>
      <w:shd w:val="clear" w:color="000000" w:fill="FFFF00"/>
      <w:spacing w:before="100" w:beforeAutospacing="1" w:after="100" w:afterAutospacing="1" w:line="240" w:lineRule="auto"/>
      <w:ind w:firstLine="0" w:firstLineChars="0"/>
      <w:jc w:val="left"/>
    </w:pPr>
    <w:rPr>
      <w:rFonts w:hAnsi="宋体" w:cs="宋体"/>
      <w:position w:val="0"/>
      <w:sz w:val="20"/>
    </w:rPr>
  </w:style>
  <w:style w:type="paragraph" w:customStyle="1" w:styleId="37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b/>
      <w:bCs/>
      <w:position w:val="0"/>
      <w:sz w:val="21"/>
      <w:szCs w:val="21"/>
    </w:rPr>
  </w:style>
  <w:style w:type="paragraph" w:customStyle="1" w:styleId="375">
    <w:name w:val="正文11"/>
    <w:basedOn w:val="1"/>
    <w:qFormat/>
    <w:uiPriority w:val="0"/>
    <w:pPr>
      <w:adjustRightInd w:val="0"/>
      <w:spacing w:line="360" w:lineRule="atLeast"/>
      <w:jc w:val="left"/>
      <w:textAlignment w:val="baseline"/>
    </w:pPr>
    <w:rPr>
      <w:sz w:val="24"/>
    </w:rPr>
  </w:style>
  <w:style w:type="paragraph" w:customStyle="1" w:styleId="376">
    <w:name w:val="xl136"/>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1"/>
      <w:szCs w:val="21"/>
    </w:rPr>
  </w:style>
  <w:style w:type="paragraph" w:customStyle="1" w:styleId="377">
    <w:name w:val="TOC 标题2"/>
    <w:basedOn w:val="2"/>
    <w:next w:val="1"/>
    <w:qFormat/>
    <w:uiPriority w:val="39"/>
    <w:pPr>
      <w:widowControl/>
      <w:spacing w:before="480" w:after="0" w:line="276" w:lineRule="auto"/>
      <w:ind w:firstLine="0" w:firstLineChars="0"/>
      <w:jc w:val="left"/>
      <w:outlineLvl w:val="9"/>
    </w:pPr>
    <w:rPr>
      <w:rFonts w:ascii="Cambria" w:hAnsi="Cambria" w:eastAsia="黑体"/>
      <w:color w:val="365F91"/>
      <w:kern w:val="0"/>
      <w:position w:val="0"/>
      <w:sz w:val="28"/>
      <w:szCs w:val="28"/>
    </w:rPr>
  </w:style>
  <w:style w:type="paragraph" w:customStyle="1" w:styleId="378">
    <w:name w:val="A专用条款修改说明"/>
    <w:basedOn w:val="1"/>
    <w:qFormat/>
    <w:uiPriority w:val="0"/>
    <w:pPr>
      <w:adjustRightInd w:val="0"/>
      <w:ind w:left="340" w:firstLine="510"/>
      <w:textAlignment w:val="baseline"/>
    </w:pPr>
    <w:rPr>
      <w:rFonts w:eastAsia="楷体_GB2312"/>
      <w:sz w:val="24"/>
    </w:rPr>
  </w:style>
  <w:style w:type="paragraph" w:customStyle="1" w:styleId="379">
    <w:name w:val="xl179"/>
    <w:basedOn w:val="1"/>
    <w:qFormat/>
    <w:uiPriority w:val="0"/>
    <w:pPr>
      <w:widowControl/>
      <w:shd w:val="clear" w:color="000000" w:fill="00B0F0"/>
      <w:spacing w:before="100" w:beforeAutospacing="1" w:after="100" w:afterAutospacing="1" w:line="240" w:lineRule="auto"/>
      <w:ind w:firstLine="0" w:firstLineChars="0"/>
      <w:jc w:val="left"/>
    </w:pPr>
    <w:rPr>
      <w:rFonts w:hAnsi="宋体" w:cs="宋体"/>
      <w:color w:val="FF0000"/>
      <w:position w:val="0"/>
      <w:sz w:val="20"/>
    </w:rPr>
  </w:style>
  <w:style w:type="paragraph" w:customStyle="1" w:styleId="38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position w:val="0"/>
      <w:sz w:val="20"/>
    </w:rPr>
  </w:style>
  <w:style w:type="paragraph" w:customStyle="1" w:styleId="38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宋体" w:cs="宋体"/>
      <w:b/>
      <w:bCs/>
      <w:position w:val="0"/>
      <w:sz w:val="21"/>
      <w:szCs w:val="21"/>
    </w:rPr>
  </w:style>
  <w:style w:type="paragraph" w:customStyle="1" w:styleId="382">
    <w:name w:val="font7"/>
    <w:basedOn w:val="1"/>
    <w:qFormat/>
    <w:uiPriority w:val="0"/>
    <w:pPr>
      <w:widowControl/>
      <w:spacing w:before="100" w:beforeAutospacing="1" w:after="100" w:afterAutospacing="1"/>
      <w:jc w:val="left"/>
    </w:pPr>
    <w:rPr>
      <w:rFonts w:hAnsi="宋体" w:cs="宋体"/>
      <w:color w:val="000000"/>
      <w:position w:val="0"/>
      <w:sz w:val="22"/>
      <w:szCs w:val="22"/>
    </w:rPr>
  </w:style>
  <w:style w:type="paragraph" w:customStyle="1" w:styleId="383">
    <w:name w:val="样式 标题 4 + (西文) Times New Roman1"/>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sz w:val="24"/>
      <w:szCs w:val="24"/>
    </w:rPr>
  </w:style>
  <w:style w:type="paragraph" w:customStyle="1" w:styleId="384">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hAnsi="宋体" w:cs="宋体"/>
      <w:position w:val="0"/>
      <w:sz w:val="20"/>
    </w:rPr>
  </w:style>
  <w:style w:type="paragraph" w:customStyle="1" w:styleId="385">
    <w:name w:val="xl107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0"/>
    </w:rPr>
  </w:style>
  <w:style w:type="paragraph" w:customStyle="1" w:styleId="386">
    <w:name w:val="标题 3  1.1.1"/>
    <w:basedOn w:val="1"/>
    <w:qFormat/>
    <w:uiPriority w:val="0"/>
    <w:pPr>
      <w:keepNext/>
      <w:keepLines/>
      <w:ind w:right="278"/>
      <w:outlineLvl w:val="2"/>
    </w:pPr>
    <w:rPr>
      <w:rFonts w:cs="宋体"/>
      <w:b/>
      <w:bCs/>
      <w:sz w:val="24"/>
    </w:rPr>
  </w:style>
  <w:style w:type="paragraph" w:customStyle="1" w:styleId="38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宋体" w:cs="宋体"/>
      <w:position w:val="0"/>
      <w:sz w:val="21"/>
      <w:szCs w:val="21"/>
    </w:rPr>
  </w:style>
  <w:style w:type="paragraph" w:customStyle="1" w:styleId="38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position w:val="0"/>
      <w:sz w:val="24"/>
      <w:szCs w:val="24"/>
    </w:rPr>
  </w:style>
  <w:style w:type="paragraph" w:customStyle="1" w:styleId="389">
    <w:name w:val="Char Char Char2 Char"/>
    <w:basedOn w:val="1"/>
    <w:qFormat/>
    <w:uiPriority w:val="0"/>
    <w:pPr>
      <w:tabs>
        <w:tab w:val="left" w:pos="570"/>
      </w:tabs>
      <w:ind w:left="603" w:leftChars="150" w:hanging="288" w:hangingChars="120"/>
    </w:pPr>
    <w:rPr>
      <w:sz w:val="24"/>
      <w:szCs w:val="24"/>
    </w:rPr>
  </w:style>
  <w:style w:type="paragraph" w:customStyle="1" w:styleId="390">
    <w:name w:val="A通用3"/>
    <w:basedOn w:val="1"/>
    <w:qFormat/>
    <w:uiPriority w:val="0"/>
    <w:pPr>
      <w:adjustRightInd w:val="0"/>
      <w:ind w:left="851" w:hanging="851"/>
      <w:jc w:val="center"/>
      <w:textAlignment w:val="baseline"/>
    </w:pPr>
    <w:rPr>
      <w:sz w:val="24"/>
    </w:rPr>
  </w:style>
  <w:style w:type="paragraph" w:customStyle="1" w:styleId="391">
    <w:name w:val="xl21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392">
    <w:name w:val="xl117"/>
    <w:basedOn w:val="1"/>
    <w:qFormat/>
    <w:uiPriority w:val="0"/>
    <w:pPr>
      <w:widowControl/>
      <w:spacing w:before="100" w:beforeAutospacing="1" w:after="100" w:afterAutospacing="1" w:line="240" w:lineRule="auto"/>
      <w:ind w:firstLine="0" w:firstLineChars="0"/>
      <w:jc w:val="left"/>
    </w:pPr>
    <w:rPr>
      <w:rFonts w:hAnsi="宋体" w:cs="宋体"/>
      <w:b/>
      <w:bCs/>
      <w:position w:val="0"/>
      <w:sz w:val="24"/>
      <w:szCs w:val="24"/>
    </w:rPr>
  </w:style>
  <w:style w:type="paragraph" w:customStyle="1" w:styleId="393">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hAnsi="宋体" w:cs="宋体"/>
      <w:b/>
      <w:bCs/>
      <w:position w:val="0"/>
      <w:sz w:val="21"/>
      <w:szCs w:val="21"/>
    </w:rPr>
  </w:style>
  <w:style w:type="paragraph" w:customStyle="1" w:styleId="394">
    <w:name w:val="xl107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pPr>
    <w:rPr>
      <w:rFonts w:hAnsi="宋体" w:cs="宋体"/>
      <w:position w:val="0"/>
      <w:sz w:val="20"/>
    </w:rPr>
  </w:style>
  <w:style w:type="paragraph" w:customStyle="1" w:styleId="395">
    <w:name w:val="样式 标题 3 + (符号) Times New Roman2"/>
    <w:basedOn w:val="4"/>
    <w:qFormat/>
    <w:uiPriority w:val="0"/>
    <w:rPr>
      <w:b/>
      <w:bCs/>
    </w:rPr>
  </w:style>
  <w:style w:type="paragraph" w:customStyle="1" w:styleId="396">
    <w:name w:val="xl108"/>
    <w:basedOn w:val="1"/>
    <w:qFormat/>
    <w:uiPriority w:val="0"/>
    <w:pPr>
      <w:widowControl/>
      <w:spacing w:before="100" w:beforeAutospacing="1" w:after="100" w:afterAutospacing="1" w:line="240" w:lineRule="auto"/>
      <w:ind w:firstLine="0" w:firstLineChars="0"/>
      <w:jc w:val="right"/>
    </w:pPr>
    <w:rPr>
      <w:rFonts w:hAnsi="宋体" w:cs="宋体"/>
      <w:position w:val="0"/>
      <w:sz w:val="20"/>
    </w:rPr>
  </w:style>
  <w:style w:type="paragraph" w:customStyle="1" w:styleId="397">
    <w:name w:val="xl19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398">
    <w:name w:val="表格标题1"/>
    <w:basedOn w:val="1"/>
    <w:qFormat/>
    <w:uiPriority w:val="0"/>
    <w:pPr>
      <w:adjustRightInd w:val="0"/>
      <w:spacing w:before="60" w:after="60"/>
      <w:textAlignment w:val="bottom"/>
    </w:pPr>
    <w:rPr>
      <w:szCs w:val="21"/>
    </w:rPr>
  </w:style>
  <w:style w:type="paragraph" w:customStyle="1" w:styleId="399">
    <w:name w:val="标书2-二级标题"/>
    <w:basedOn w:val="5"/>
    <w:next w:val="253"/>
    <w:qFormat/>
    <w:uiPriority w:val="0"/>
    <w:pPr>
      <w:keepNext w:val="0"/>
      <w:keepLines w:val="0"/>
      <w:tabs>
        <w:tab w:val="left" w:pos="630"/>
        <w:tab w:val="left" w:pos="840"/>
      </w:tabs>
      <w:spacing w:before="0" w:after="0" w:line="360" w:lineRule="auto"/>
      <w:ind w:firstLine="0" w:firstLineChars="0"/>
      <w:jc w:val="left"/>
      <w:outlineLvl w:val="1"/>
    </w:pPr>
    <w:rPr>
      <w:rFonts w:ascii="Times New Roman" w:hAnsi="Calibri" w:eastAsia="黑体" w:cs="Times New Roman"/>
      <w:b w:val="0"/>
      <w:bCs w:val="0"/>
      <w:i/>
      <w:position w:val="0"/>
      <w:sz w:val="30"/>
      <w:szCs w:val="20"/>
    </w:rPr>
  </w:style>
  <w:style w:type="paragraph" w:customStyle="1" w:styleId="400">
    <w:name w:val="A通用4"/>
    <w:basedOn w:val="1"/>
    <w:qFormat/>
    <w:uiPriority w:val="0"/>
    <w:pPr>
      <w:tabs>
        <w:tab w:val="left" w:pos="681"/>
      </w:tabs>
      <w:adjustRightInd w:val="0"/>
      <w:spacing w:before="240" w:after="80"/>
      <w:ind w:left="681" w:hanging="851"/>
      <w:jc w:val="left"/>
      <w:textAlignment w:val="baseline"/>
      <w:outlineLvl w:val="3"/>
    </w:pPr>
    <w:rPr>
      <w:rFonts w:eastAsia="Times New Roman"/>
      <w:sz w:val="24"/>
      <w:szCs w:val="24"/>
    </w:rPr>
  </w:style>
  <w:style w:type="paragraph" w:customStyle="1" w:styleId="401">
    <w:name w:val="条款正文（三级标题）"/>
    <w:basedOn w:val="4"/>
    <w:qFormat/>
    <w:uiPriority w:val="0"/>
    <w:pPr>
      <w:keepNext w:val="0"/>
      <w:keepLines w:val="0"/>
      <w:tabs>
        <w:tab w:val="left" w:pos="851"/>
      </w:tabs>
      <w:ind w:left="851" w:hanging="851"/>
      <w:outlineLvl w:val="9"/>
    </w:pPr>
    <w:rPr>
      <w:sz w:val="24"/>
      <w:szCs w:val="20"/>
    </w:rPr>
  </w:style>
  <w:style w:type="paragraph" w:customStyle="1" w:styleId="40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Ansi="宋体" w:cs="宋体"/>
      <w:b/>
      <w:bCs/>
      <w:color w:val="000000"/>
      <w:position w:val="0"/>
      <w:sz w:val="24"/>
      <w:szCs w:val="24"/>
    </w:rPr>
  </w:style>
  <w:style w:type="paragraph" w:customStyle="1" w:styleId="403">
    <w:name w:val="xl206"/>
    <w:basedOn w:val="1"/>
    <w:qFormat/>
    <w:uiPriority w:val="0"/>
    <w:pPr>
      <w:widowControl/>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404">
    <w:name w:val="A通用级别1"/>
    <w:basedOn w:val="1"/>
    <w:qFormat/>
    <w:uiPriority w:val="0"/>
    <w:pPr>
      <w:adjustRightInd w:val="0"/>
      <w:jc w:val="center"/>
      <w:textAlignment w:val="baseline"/>
      <w:outlineLvl w:val="0"/>
    </w:pPr>
    <w:rPr>
      <w:rFonts w:hAnsi="宋体" w:cs="宋体"/>
      <w:b/>
      <w:bCs/>
      <w:sz w:val="30"/>
    </w:rPr>
  </w:style>
  <w:style w:type="paragraph" w:customStyle="1" w:styleId="405">
    <w:name w:val="xl10749"/>
    <w:basedOn w:val="1"/>
    <w:qFormat/>
    <w:uiPriority w:val="0"/>
    <w:pPr>
      <w:widowControl/>
      <w:spacing w:before="100" w:beforeAutospacing="1" w:after="100" w:afterAutospacing="1" w:line="240" w:lineRule="auto"/>
      <w:ind w:firstLine="0" w:firstLineChars="0"/>
      <w:jc w:val="left"/>
    </w:pPr>
    <w:rPr>
      <w:rFonts w:hAnsi="宋体" w:cs="宋体"/>
      <w:position w:val="0"/>
      <w:sz w:val="21"/>
      <w:szCs w:val="21"/>
    </w:rPr>
  </w:style>
  <w:style w:type="paragraph" w:customStyle="1" w:styleId="406">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1"/>
      <w:szCs w:val="21"/>
    </w:rPr>
  </w:style>
  <w:style w:type="paragraph" w:customStyle="1" w:styleId="407">
    <w:name w:val="font9"/>
    <w:basedOn w:val="1"/>
    <w:qFormat/>
    <w:uiPriority w:val="0"/>
    <w:pPr>
      <w:widowControl/>
      <w:spacing w:before="100" w:beforeAutospacing="1" w:after="100" w:afterAutospacing="1" w:line="240" w:lineRule="auto"/>
      <w:ind w:firstLine="0" w:firstLineChars="0"/>
      <w:jc w:val="left"/>
    </w:pPr>
    <w:rPr>
      <w:rFonts w:hAnsi="宋体" w:cs="宋体"/>
      <w:position w:val="0"/>
      <w:sz w:val="20"/>
    </w:rPr>
  </w:style>
  <w:style w:type="paragraph" w:customStyle="1" w:styleId="40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4"/>
      <w:szCs w:val="24"/>
    </w:rPr>
  </w:style>
  <w:style w:type="paragraph" w:customStyle="1" w:styleId="409">
    <w:name w:val="xl113"/>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1"/>
      <w:szCs w:val="21"/>
    </w:rPr>
  </w:style>
  <w:style w:type="paragraph" w:customStyle="1" w:styleId="410">
    <w:name w:val="正"/>
    <w:basedOn w:val="1"/>
    <w:qFormat/>
    <w:uiPriority w:val="0"/>
    <w:pPr>
      <w:tabs>
        <w:tab w:val="left" w:pos="-120"/>
      </w:tabs>
      <w:adjustRightInd w:val="0"/>
      <w:spacing w:line="560" w:lineRule="exact"/>
      <w:ind w:firstLine="600"/>
      <w:textAlignment w:val="baseline"/>
    </w:pPr>
    <w:rPr>
      <w:rFonts w:ascii="仿宋_GB2312" w:eastAsia="仿宋_GB2312" w:cs="仿宋_GB2312"/>
      <w:color w:val="000000"/>
      <w:spacing w:val="20"/>
      <w:szCs w:val="28"/>
    </w:rPr>
  </w:style>
  <w:style w:type="paragraph" w:customStyle="1" w:styleId="411">
    <w:name w:val="xl87"/>
    <w:basedOn w:val="1"/>
    <w:qFormat/>
    <w:uiPriority w:val="0"/>
    <w:pPr>
      <w:widowControl/>
      <w:spacing w:before="100" w:beforeAutospacing="1" w:after="100" w:afterAutospacing="1" w:line="240" w:lineRule="auto"/>
      <w:ind w:firstLine="0" w:firstLineChars="0"/>
      <w:jc w:val="left"/>
    </w:pPr>
    <w:rPr>
      <w:rFonts w:hAnsi="宋体" w:cs="宋体"/>
      <w:position w:val="0"/>
      <w:sz w:val="21"/>
      <w:szCs w:val="21"/>
    </w:rPr>
  </w:style>
  <w:style w:type="paragraph" w:customStyle="1" w:styleId="412">
    <w:name w:val="Char Char Char Char Char Char Char Char Char1 Char Char Char Char"/>
    <w:basedOn w:val="1"/>
    <w:qFormat/>
    <w:uiPriority w:val="0"/>
    <w:pPr>
      <w:adjustRightInd w:val="0"/>
    </w:pPr>
    <w:rPr>
      <w:sz w:val="24"/>
    </w:rPr>
  </w:style>
  <w:style w:type="paragraph" w:customStyle="1" w:styleId="413">
    <w:name w:val="修订1"/>
    <w:qFormat/>
    <w:uiPriority w:val="0"/>
    <w:rPr>
      <w:rFonts w:ascii="Times New Roman" w:hAnsi="Times New Roman" w:eastAsia="宋体" w:cs="Times New Roman"/>
      <w:kern w:val="2"/>
      <w:sz w:val="21"/>
      <w:szCs w:val="24"/>
      <w:lang w:val="en-US" w:eastAsia="zh-CN" w:bidi="ar-SA"/>
    </w:rPr>
  </w:style>
  <w:style w:type="paragraph" w:customStyle="1" w:styleId="414">
    <w:name w:val="xl174"/>
    <w:basedOn w:val="1"/>
    <w:qFormat/>
    <w:uiPriority w:val="0"/>
    <w:pPr>
      <w:widowControl/>
      <w:spacing w:before="100" w:beforeAutospacing="1" w:after="100" w:afterAutospacing="1" w:line="240" w:lineRule="auto"/>
      <w:ind w:firstLine="0" w:firstLineChars="0"/>
      <w:jc w:val="left"/>
    </w:pPr>
    <w:rPr>
      <w:rFonts w:hAnsi="宋体" w:cs="宋体"/>
      <w:position w:val="0"/>
      <w:sz w:val="20"/>
    </w:rPr>
  </w:style>
  <w:style w:type="paragraph" w:customStyle="1" w:styleId="415">
    <w:name w:val="xl107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宋体" w:cs="宋体"/>
      <w:color w:val="000000"/>
      <w:position w:val="0"/>
      <w:sz w:val="20"/>
    </w:rPr>
  </w:style>
  <w:style w:type="paragraph" w:customStyle="1" w:styleId="416">
    <w:name w:val="xl88"/>
    <w:basedOn w:val="1"/>
    <w:qFormat/>
    <w:uiPriority w:val="0"/>
    <w:pPr>
      <w:widowControl/>
      <w:pBdr>
        <w:bottom w:val="single" w:color="auto" w:sz="4" w:space="0"/>
      </w:pBdr>
      <w:spacing w:before="100" w:beforeAutospacing="1" w:after="100" w:afterAutospacing="1" w:line="240" w:lineRule="auto"/>
      <w:ind w:firstLine="0" w:firstLineChars="0"/>
      <w:jc w:val="left"/>
    </w:pPr>
    <w:rPr>
      <w:rFonts w:hAnsi="宋体" w:cs="宋体"/>
      <w:position w:val="0"/>
      <w:sz w:val="21"/>
      <w:szCs w:val="21"/>
    </w:rPr>
  </w:style>
  <w:style w:type="paragraph" w:customStyle="1" w:styleId="417">
    <w:name w:val="我的正文"/>
    <w:basedOn w:val="23"/>
    <w:semiHidden/>
    <w:qFormat/>
    <w:uiPriority w:val="0"/>
    <w:pPr>
      <w:spacing w:after="0"/>
    </w:pPr>
    <w:rPr>
      <w:rFonts w:ascii="Times New Roman"/>
      <w:kern w:val="2"/>
      <w:position w:val="0"/>
      <w:sz w:val="32"/>
      <w:lang w:val="zh-CN"/>
    </w:rPr>
  </w:style>
  <w:style w:type="paragraph" w:customStyle="1" w:styleId="418">
    <w:name w:val="标书标题2"/>
    <w:basedOn w:val="3"/>
    <w:qFormat/>
    <w:uiPriority w:val="0"/>
    <w:pPr>
      <w:adjustRightInd w:val="0"/>
      <w:spacing w:beforeLines="50" w:after="120" w:line="240" w:lineRule="auto"/>
      <w:ind w:firstLine="0" w:firstLineChars="0"/>
      <w:jc w:val="center"/>
      <w:textAlignment w:val="baseline"/>
    </w:pPr>
    <w:rPr>
      <w:rFonts w:ascii="Arial" w:hAnsi="Calibri" w:eastAsia="黑体" w:cs="Arial"/>
      <w:b w:val="0"/>
      <w:bCs w:val="0"/>
      <w:position w:val="0"/>
    </w:rPr>
  </w:style>
  <w:style w:type="paragraph" w:customStyle="1" w:styleId="419">
    <w:name w:val="样式 标题 3 + (符号) Times New Roman 首行缩进:  2 字符3"/>
    <w:basedOn w:val="4"/>
    <w:qFormat/>
    <w:uiPriority w:val="0"/>
    <w:rPr>
      <w:rFonts w:hAnsi="Times New Roman" w:cs="宋体"/>
      <w:bCs/>
      <w:szCs w:val="28"/>
    </w:rPr>
  </w:style>
  <w:style w:type="paragraph" w:customStyle="1" w:styleId="42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position w:val="0"/>
      <w:sz w:val="21"/>
      <w:szCs w:val="21"/>
    </w:rPr>
  </w:style>
  <w:style w:type="paragraph" w:customStyle="1" w:styleId="421">
    <w:name w:val="样式 (西文) 宋体 加粗 居中 左侧:  0 厘米 首行缩进:  0 厘米 段后: 6 磅 行距: 单倍行距1"/>
    <w:basedOn w:val="1"/>
    <w:qFormat/>
    <w:uiPriority w:val="0"/>
    <w:pPr>
      <w:adjustRightInd w:val="0"/>
      <w:spacing w:after="120"/>
      <w:jc w:val="center"/>
    </w:pPr>
    <w:rPr>
      <w:rFonts w:hAnsi="宋体" w:cs="宋体"/>
      <w:b/>
      <w:bCs/>
      <w:sz w:val="24"/>
    </w:rPr>
  </w:style>
  <w:style w:type="paragraph" w:customStyle="1" w:styleId="422">
    <w:name w:val="font6"/>
    <w:basedOn w:val="1"/>
    <w:qFormat/>
    <w:uiPriority w:val="0"/>
    <w:pPr>
      <w:widowControl/>
      <w:spacing w:before="100" w:beforeAutospacing="1" w:after="100" w:afterAutospacing="1"/>
      <w:jc w:val="left"/>
    </w:pPr>
    <w:rPr>
      <w:rFonts w:hAnsi="宋体" w:cs="宋体"/>
      <w:color w:val="000000"/>
      <w:position w:val="0"/>
      <w:sz w:val="20"/>
    </w:rPr>
  </w:style>
  <w:style w:type="paragraph" w:customStyle="1" w:styleId="423">
    <w:name w:val="样式 标题 3 + (符号) Times New Roman 首行缩进:  2 字符4"/>
    <w:basedOn w:val="4"/>
    <w:qFormat/>
    <w:uiPriority w:val="0"/>
    <w:rPr>
      <w:rFonts w:hAnsi="Times New Roman" w:cs="宋体"/>
      <w:bCs/>
      <w:szCs w:val="20"/>
    </w:rPr>
  </w:style>
  <w:style w:type="paragraph" w:customStyle="1" w:styleId="424">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color w:val="FF0000"/>
      <w:position w:val="0"/>
      <w:sz w:val="20"/>
    </w:rPr>
  </w:style>
  <w:style w:type="paragraph" w:customStyle="1" w:styleId="425">
    <w:name w:val="样式 A标题6 + 蓝色"/>
    <w:basedOn w:val="86"/>
    <w:qFormat/>
    <w:uiPriority w:val="0"/>
    <w:pPr>
      <w:ind w:left="851" w:hanging="851"/>
      <w:outlineLvl w:val="9"/>
    </w:pPr>
    <w:rPr>
      <w:color w:val="0000FF"/>
      <w:szCs w:val="24"/>
    </w:rPr>
  </w:style>
  <w:style w:type="paragraph" w:customStyle="1" w:styleId="426">
    <w:name w:val="样式 标题 4 + (西文) Times New Roman7"/>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sz w:val="24"/>
      <w:szCs w:val="20"/>
    </w:rPr>
  </w:style>
  <w:style w:type="paragraph" w:customStyle="1" w:styleId="42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position w:val="0"/>
      <w:sz w:val="21"/>
      <w:szCs w:val="21"/>
    </w:rPr>
  </w:style>
  <w:style w:type="paragraph" w:customStyle="1" w:styleId="428">
    <w:name w:val="xl76"/>
    <w:basedOn w:val="1"/>
    <w:qFormat/>
    <w:uiPriority w:val="0"/>
    <w:pPr>
      <w:widowControl/>
      <w:pBdr>
        <w:bottom w:val="single" w:color="auto" w:sz="4" w:space="0"/>
      </w:pBdr>
      <w:shd w:val="clear" w:color="000000" w:fill="FFFFFF"/>
      <w:spacing w:before="100" w:beforeAutospacing="1" w:after="100" w:afterAutospacing="1"/>
      <w:jc w:val="center"/>
      <w:textAlignment w:val="center"/>
    </w:pPr>
    <w:rPr>
      <w:rFonts w:hAnsi="宋体" w:cs="宋体"/>
      <w:b/>
      <w:bCs/>
      <w:position w:val="0"/>
      <w:sz w:val="24"/>
      <w:szCs w:val="24"/>
    </w:rPr>
  </w:style>
  <w:style w:type="paragraph" w:customStyle="1" w:styleId="429">
    <w:name w:val="标题2"/>
    <w:basedOn w:val="3"/>
    <w:next w:val="3"/>
    <w:qFormat/>
    <w:uiPriority w:val="0"/>
    <w:pPr>
      <w:keepLines w:val="0"/>
      <w:tabs>
        <w:tab w:val="left" w:pos="425"/>
        <w:tab w:val="left" w:pos="480"/>
        <w:tab w:val="left" w:pos="720"/>
      </w:tabs>
      <w:adjustRightInd w:val="0"/>
      <w:spacing w:before="0" w:after="0" w:line="360" w:lineRule="auto"/>
      <w:ind w:firstLine="0" w:firstLineChars="0"/>
      <w:textAlignment w:val="baseline"/>
    </w:pPr>
    <w:rPr>
      <w:rFonts w:ascii="Times New Roman" w:hAnsi="Times New Roman" w:eastAsia="黑体" w:cs="Arial"/>
      <w:b w:val="0"/>
      <w:bCs w:val="0"/>
      <w:position w:val="0"/>
      <w:sz w:val="24"/>
    </w:rPr>
  </w:style>
  <w:style w:type="paragraph" w:customStyle="1" w:styleId="430">
    <w:name w:val="样式 标题 4 + (西文) Times New Roman8"/>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szCs w:val="20"/>
    </w:rPr>
  </w:style>
  <w:style w:type="paragraph" w:customStyle="1" w:styleId="431">
    <w:name w:val="xl183"/>
    <w:basedOn w:val="1"/>
    <w:qFormat/>
    <w:uiPriority w:val="0"/>
    <w:pPr>
      <w:widowControl/>
      <w:shd w:val="clear" w:color="000000" w:fill="FDE9D9"/>
      <w:spacing w:before="100" w:beforeAutospacing="1" w:after="100" w:afterAutospacing="1" w:line="240" w:lineRule="auto"/>
      <w:ind w:firstLine="0" w:firstLineChars="0"/>
      <w:jc w:val="left"/>
    </w:pPr>
    <w:rPr>
      <w:rFonts w:hAnsi="宋体" w:cs="宋体"/>
      <w:color w:val="FF0000"/>
      <w:position w:val="0"/>
      <w:sz w:val="20"/>
    </w:rPr>
  </w:style>
  <w:style w:type="paragraph" w:customStyle="1" w:styleId="432">
    <w:name w:val="xl180"/>
    <w:basedOn w:val="1"/>
    <w:qFormat/>
    <w:uiPriority w:val="0"/>
    <w:pPr>
      <w:widowControl/>
      <w:shd w:val="clear" w:color="000000" w:fill="FDE9D9"/>
      <w:spacing w:before="100" w:beforeAutospacing="1" w:after="100" w:afterAutospacing="1" w:line="240" w:lineRule="auto"/>
      <w:ind w:firstLine="0" w:firstLineChars="0"/>
      <w:jc w:val="left"/>
    </w:pPr>
    <w:rPr>
      <w:rFonts w:hAnsi="宋体" w:cs="宋体"/>
      <w:position w:val="0"/>
      <w:sz w:val="20"/>
    </w:rPr>
  </w:style>
  <w:style w:type="paragraph" w:customStyle="1" w:styleId="433">
    <w:name w:val="xl107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0"/>
    </w:rPr>
  </w:style>
  <w:style w:type="paragraph" w:customStyle="1" w:styleId="434">
    <w:name w:val="A标题2.."/>
    <w:basedOn w:val="3"/>
    <w:next w:val="1"/>
    <w:qFormat/>
    <w:uiPriority w:val="0"/>
    <w:pPr>
      <w:adjustRightInd w:val="0"/>
      <w:snapToGrid w:val="0"/>
      <w:spacing w:before="0" w:after="0" w:line="360" w:lineRule="auto"/>
      <w:ind w:left="851" w:hanging="851" w:firstLineChars="0"/>
      <w:textAlignment w:val="baseline"/>
    </w:pPr>
    <w:rPr>
      <w:rFonts w:ascii="Times New Roman" w:hAnsi="Times New Roman" w:eastAsia="黑体" w:cs="Times New Roman"/>
      <w:position w:val="0"/>
    </w:rPr>
  </w:style>
  <w:style w:type="paragraph" w:customStyle="1" w:styleId="435">
    <w:name w:val="A列表"/>
    <w:basedOn w:val="1"/>
    <w:qFormat/>
    <w:uiPriority w:val="0"/>
    <w:pPr>
      <w:adjustRightInd w:val="0"/>
      <w:spacing w:before="40"/>
      <w:jc w:val="left"/>
    </w:pPr>
    <w:rPr>
      <w:sz w:val="24"/>
    </w:rPr>
  </w:style>
  <w:style w:type="paragraph" w:customStyle="1" w:styleId="4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0"/>
    </w:rPr>
  </w:style>
  <w:style w:type="paragraph" w:customStyle="1" w:styleId="437">
    <w:name w:val="样式 标题 3 + (符号) Times New Roman 首行缩进:  2 字符5"/>
    <w:basedOn w:val="4"/>
    <w:qFormat/>
    <w:uiPriority w:val="0"/>
    <w:rPr>
      <w:rFonts w:hAnsi="Times New Roman" w:cs="宋体"/>
      <w:bCs/>
      <w:szCs w:val="20"/>
    </w:rPr>
  </w:style>
  <w:style w:type="paragraph" w:customStyle="1" w:styleId="4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0"/>
    </w:rPr>
  </w:style>
  <w:style w:type="paragraph" w:customStyle="1" w:styleId="439">
    <w:name w:val="Char Char Char Char Char Char Char Char Char Char Char Char"/>
    <w:basedOn w:val="1"/>
    <w:qFormat/>
    <w:uiPriority w:val="0"/>
    <w:pPr>
      <w:widowControl/>
      <w:spacing w:after="160" w:line="240" w:lineRule="exact"/>
      <w:jc w:val="left"/>
    </w:pPr>
    <w:rPr>
      <w:rFonts w:ascii="Arial" w:hAnsi="Arial" w:eastAsia="Times New Roman" w:cs="Verdana"/>
      <w:b/>
      <w:sz w:val="24"/>
      <w:lang w:eastAsia="en-US"/>
    </w:rPr>
  </w:style>
  <w:style w:type="paragraph" w:customStyle="1" w:styleId="440">
    <w:name w:val="xl181"/>
    <w:basedOn w:val="1"/>
    <w:qFormat/>
    <w:uiPriority w:val="0"/>
    <w:pPr>
      <w:widowControl/>
      <w:shd w:val="clear" w:color="000000" w:fill="FFC000"/>
      <w:spacing w:before="100" w:beforeAutospacing="1" w:after="100" w:afterAutospacing="1" w:line="240" w:lineRule="auto"/>
      <w:ind w:firstLine="0" w:firstLineChars="0"/>
      <w:jc w:val="left"/>
    </w:pPr>
    <w:rPr>
      <w:rFonts w:hAnsi="宋体" w:cs="宋体"/>
      <w:color w:val="FF0000"/>
      <w:position w:val="0"/>
      <w:sz w:val="20"/>
    </w:rPr>
  </w:style>
  <w:style w:type="paragraph" w:customStyle="1" w:styleId="441">
    <w:name w:val="xl20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left"/>
    </w:pPr>
    <w:rPr>
      <w:rFonts w:hAnsi="宋体" w:cs="宋体"/>
      <w:position w:val="0"/>
      <w:sz w:val="20"/>
    </w:rPr>
  </w:style>
  <w:style w:type="paragraph" w:customStyle="1" w:styleId="442">
    <w:name w:val="范表格1"/>
    <w:basedOn w:val="1"/>
    <w:next w:val="1"/>
    <w:qFormat/>
    <w:uiPriority w:val="0"/>
    <w:pPr>
      <w:widowControl/>
      <w:spacing w:before="60" w:after="20"/>
      <w:jc w:val="left"/>
    </w:pPr>
  </w:style>
  <w:style w:type="character" w:customStyle="1" w:styleId="443">
    <w:name w:val="引用 Char3"/>
    <w:basedOn w:val="60"/>
    <w:qFormat/>
    <w:uiPriority w:val="29"/>
    <w:rPr>
      <w:rFonts w:ascii="宋体" w:hAnsi="Times New Roman" w:eastAsia="宋体" w:cs="Times New Roman"/>
      <w:i/>
      <w:iCs/>
      <w:color w:val="404040" w:themeColor="text1" w:themeTint="BF"/>
      <w:kern w:val="0"/>
      <w:position w:val="-6"/>
      <w:sz w:val="28"/>
      <w:szCs w:val="20"/>
      <w14:textFill>
        <w14:solidFill>
          <w14:schemeClr w14:val="tx1">
            <w14:lumMod w14:val="75000"/>
            <w14:lumOff w14:val="25000"/>
          </w14:schemeClr>
        </w14:solidFill>
      </w14:textFill>
    </w:rPr>
  </w:style>
  <w:style w:type="paragraph" w:customStyle="1" w:styleId="444">
    <w:name w:val="xl2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445">
    <w:name w:val="xl107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position w:val="0"/>
      <w:sz w:val="20"/>
    </w:rPr>
  </w:style>
  <w:style w:type="paragraph" w:customStyle="1" w:styleId="446">
    <w:name w:val="A通用6"/>
    <w:basedOn w:val="1"/>
    <w:qFormat/>
    <w:uiPriority w:val="0"/>
    <w:pPr>
      <w:tabs>
        <w:tab w:val="left" w:pos="851"/>
        <w:tab w:val="left" w:pos="1021"/>
      </w:tabs>
      <w:adjustRightInd w:val="0"/>
      <w:ind w:left="170" w:firstLine="681"/>
      <w:jc w:val="left"/>
      <w:textAlignment w:val="baseline"/>
      <w:outlineLvl w:val="5"/>
    </w:pPr>
    <w:rPr>
      <w:rFonts w:eastAsia="Times New Roman"/>
      <w:sz w:val="24"/>
      <w:szCs w:val="24"/>
    </w:rPr>
  </w:style>
  <w:style w:type="paragraph" w:customStyle="1" w:styleId="447">
    <w:name w:val="样式 表格1 + 两端对齐 左侧:  0 厘米 悬挂缩进: 4.2 字符"/>
    <w:basedOn w:val="260"/>
    <w:qFormat/>
    <w:uiPriority w:val="0"/>
    <w:pPr>
      <w:jc w:val="both"/>
    </w:pPr>
    <w:rPr>
      <w:rFonts w:cs="宋体"/>
      <w:szCs w:val="20"/>
    </w:rPr>
  </w:style>
  <w:style w:type="paragraph" w:customStyle="1" w:styleId="448">
    <w:name w:val="样式 居中 左侧:  0 厘米 首行缩进:  9.31 厘米"/>
    <w:basedOn w:val="1"/>
    <w:qFormat/>
    <w:uiPriority w:val="0"/>
    <w:pPr>
      <w:adjustRightInd w:val="0"/>
      <w:ind w:firstLine="5279"/>
      <w:jc w:val="center"/>
      <w:textAlignment w:val="baseline"/>
    </w:pPr>
    <w:rPr>
      <w:rFonts w:cs="宋体"/>
      <w:sz w:val="24"/>
    </w:rPr>
  </w:style>
  <w:style w:type="paragraph" w:customStyle="1" w:styleId="449">
    <w:name w:val="样式 标题 4 + (西文) Times New Roman9"/>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sz w:val="24"/>
      <w:szCs w:val="20"/>
    </w:rPr>
  </w:style>
  <w:style w:type="paragraph" w:customStyle="1" w:styleId="450">
    <w:name w:val="xl182"/>
    <w:basedOn w:val="1"/>
    <w:qFormat/>
    <w:uiPriority w:val="0"/>
    <w:pPr>
      <w:widowControl/>
      <w:shd w:val="clear" w:color="000000" w:fill="EAF1DD"/>
      <w:spacing w:before="100" w:beforeAutospacing="1" w:after="100" w:afterAutospacing="1" w:line="240" w:lineRule="auto"/>
      <w:ind w:firstLine="0" w:firstLineChars="0"/>
      <w:jc w:val="left"/>
    </w:pPr>
    <w:rPr>
      <w:rFonts w:hAnsi="宋体" w:cs="宋体"/>
      <w:position w:val="0"/>
      <w:sz w:val="20"/>
    </w:rPr>
  </w:style>
  <w:style w:type="paragraph" w:customStyle="1" w:styleId="45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1"/>
      <w:szCs w:val="21"/>
    </w:rPr>
  </w:style>
  <w:style w:type="paragraph" w:customStyle="1" w:styleId="452">
    <w:name w:val="xl1076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0"/>
    </w:rPr>
  </w:style>
  <w:style w:type="paragraph" w:styleId="453">
    <w:name w:val="List Paragraph"/>
    <w:basedOn w:val="1"/>
    <w:qFormat/>
    <w:uiPriority w:val="34"/>
    <w:pPr>
      <w:ind w:firstLine="420"/>
    </w:pPr>
  </w:style>
  <w:style w:type="paragraph" w:customStyle="1" w:styleId="454">
    <w:name w:val="封面4"/>
    <w:basedOn w:val="1"/>
    <w:qFormat/>
    <w:uiPriority w:val="0"/>
    <w:pPr>
      <w:adjustRightInd w:val="0"/>
      <w:ind w:left="340" w:firstLine="510"/>
      <w:jc w:val="center"/>
      <w:textAlignment w:val="baseline"/>
    </w:pPr>
    <w:rPr>
      <w:rFonts w:cs="宋体"/>
    </w:rPr>
  </w:style>
  <w:style w:type="paragraph" w:customStyle="1" w:styleId="455">
    <w:name w:val="font8"/>
    <w:basedOn w:val="1"/>
    <w:qFormat/>
    <w:uiPriority w:val="0"/>
    <w:pPr>
      <w:widowControl/>
      <w:spacing w:before="100" w:beforeAutospacing="1" w:after="100" w:afterAutospacing="1"/>
      <w:jc w:val="left"/>
    </w:pPr>
    <w:rPr>
      <w:rFonts w:ascii="Calibri" w:hAnsi="Calibri" w:cs="宋体"/>
      <w:color w:val="000000"/>
      <w:position w:val="0"/>
      <w:sz w:val="22"/>
      <w:szCs w:val="22"/>
    </w:rPr>
  </w:style>
  <w:style w:type="paragraph" w:customStyle="1" w:styleId="456">
    <w:name w:val="xl2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color w:val="FF0000"/>
      <w:position w:val="0"/>
      <w:sz w:val="20"/>
    </w:rPr>
  </w:style>
  <w:style w:type="paragraph" w:customStyle="1" w:styleId="457">
    <w:name w:val="表标注5号"/>
    <w:basedOn w:val="1"/>
    <w:qFormat/>
    <w:uiPriority w:val="0"/>
    <w:pPr>
      <w:spacing w:line="520" w:lineRule="exact"/>
      <w:ind w:firstLine="720"/>
      <w:jc w:val="center"/>
    </w:pPr>
    <w:rPr>
      <w:rFonts w:ascii="Times New Roman" w:eastAsia="仿宋_GB2312"/>
      <w:position w:val="0"/>
      <w:szCs w:val="21"/>
    </w:rPr>
  </w:style>
  <w:style w:type="paragraph" w:customStyle="1" w:styleId="458">
    <w:name w:val="xl107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宋体" w:cs="宋体"/>
      <w:position w:val="0"/>
      <w:sz w:val="21"/>
      <w:szCs w:val="21"/>
    </w:rPr>
  </w:style>
  <w:style w:type="paragraph" w:customStyle="1" w:styleId="459">
    <w:name w:val="xl107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0"/>
    </w:rPr>
  </w:style>
  <w:style w:type="paragraph" w:customStyle="1" w:styleId="460">
    <w:name w:val="xl209"/>
    <w:basedOn w:val="1"/>
    <w:qFormat/>
    <w:uiPriority w:val="0"/>
    <w:pPr>
      <w:widowControl/>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461">
    <w:name w:val="1"/>
    <w:basedOn w:val="1"/>
    <w:next w:val="29"/>
    <w:qFormat/>
    <w:uiPriority w:val="0"/>
    <w:pPr>
      <w:adjustRightInd w:val="0"/>
      <w:spacing w:before="80" w:line="440" w:lineRule="atLeast"/>
      <w:jc w:val="left"/>
      <w:textAlignment w:val="baseline"/>
    </w:pPr>
    <w:rPr>
      <w:rFonts w:hAnsi="宋体"/>
      <w:color w:val="000000"/>
      <w:sz w:val="24"/>
      <w:szCs w:val="44"/>
    </w:rPr>
  </w:style>
  <w:style w:type="paragraph" w:customStyle="1" w:styleId="462">
    <w:name w:val="插图"/>
    <w:basedOn w:val="7"/>
    <w:qFormat/>
    <w:uiPriority w:val="0"/>
    <w:pPr>
      <w:spacing w:beforeLines="50" w:afterLines="50" w:line="240" w:lineRule="auto"/>
      <w:ind w:firstLine="0" w:firstLineChars="0"/>
      <w:jc w:val="center"/>
    </w:pPr>
    <w:rPr>
      <w:spacing w:val="4"/>
      <w:sz w:val="24"/>
      <w:szCs w:val="24"/>
    </w:rPr>
  </w:style>
  <w:style w:type="paragraph" w:customStyle="1" w:styleId="46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宋体" w:cs="宋体"/>
      <w:b/>
      <w:bCs/>
      <w:position w:val="0"/>
      <w:sz w:val="18"/>
      <w:szCs w:val="18"/>
    </w:rPr>
  </w:style>
  <w:style w:type="paragraph" w:customStyle="1" w:styleId="464">
    <w:name w:val="xl107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1"/>
      <w:szCs w:val="21"/>
    </w:rPr>
  </w:style>
  <w:style w:type="paragraph" w:customStyle="1" w:styleId="465">
    <w:name w:val="A通用1"/>
    <w:basedOn w:val="1"/>
    <w:qFormat/>
    <w:uiPriority w:val="0"/>
    <w:pPr>
      <w:adjustRightInd w:val="0"/>
      <w:ind w:left="-170"/>
      <w:jc w:val="center"/>
      <w:textAlignment w:val="baseline"/>
      <w:outlineLvl w:val="1"/>
    </w:pPr>
    <w:rPr>
      <w:b/>
    </w:rPr>
  </w:style>
  <w:style w:type="paragraph" w:customStyle="1" w:styleId="466">
    <w:name w:val="Normalab"/>
    <w:basedOn w:val="1"/>
    <w:qFormat/>
    <w:uiPriority w:val="0"/>
    <w:pPr>
      <w:tabs>
        <w:tab w:val="left" w:pos="0"/>
        <w:tab w:val="left" w:pos="1134"/>
        <w:tab w:val="left" w:pos="8505"/>
      </w:tabs>
      <w:autoSpaceDE w:val="0"/>
      <w:autoSpaceDN w:val="0"/>
      <w:adjustRightInd w:val="0"/>
      <w:spacing w:before="60" w:after="60" w:line="360" w:lineRule="atLeast"/>
      <w:ind w:left="1843" w:hanging="1134" w:firstLineChars="0"/>
    </w:pPr>
    <w:rPr>
      <w:rFonts w:ascii="Arial" w:hAnsi="Arial"/>
      <w:position w:val="0"/>
      <w:sz w:val="24"/>
    </w:rPr>
  </w:style>
  <w:style w:type="paragraph" w:customStyle="1" w:styleId="467">
    <w:name w:val="xl2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left"/>
    </w:pPr>
    <w:rPr>
      <w:rFonts w:hAnsi="宋体" w:cs="宋体"/>
      <w:position w:val="0"/>
      <w:sz w:val="20"/>
    </w:rPr>
  </w:style>
  <w:style w:type="paragraph" w:customStyle="1" w:styleId="468">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469">
    <w:name w:val="xl107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position w:val="0"/>
      <w:sz w:val="20"/>
    </w:rPr>
  </w:style>
  <w:style w:type="paragraph" w:customStyle="1" w:styleId="47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0"/>
    </w:rPr>
  </w:style>
  <w:style w:type="paragraph" w:customStyle="1" w:styleId="471">
    <w:name w:val="样式 标题 3 + 宋体"/>
    <w:basedOn w:val="4"/>
    <w:qFormat/>
    <w:uiPriority w:val="0"/>
    <w:pPr>
      <w:jc w:val="left"/>
    </w:pPr>
    <w:rPr>
      <w:rFonts w:ascii="宋体"/>
      <w:b/>
      <w:bCs/>
      <w:szCs w:val="32"/>
    </w:rPr>
  </w:style>
  <w:style w:type="paragraph" w:customStyle="1" w:styleId="47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73">
    <w:name w:val="A工程量清单表头"/>
    <w:basedOn w:val="435"/>
    <w:qFormat/>
    <w:uiPriority w:val="0"/>
    <w:pPr>
      <w:jc w:val="both"/>
    </w:pPr>
  </w:style>
  <w:style w:type="paragraph" w:customStyle="1" w:styleId="474">
    <w:name w:val="xl1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475">
    <w:name w:val="xl10764"/>
    <w:basedOn w:val="1"/>
    <w:qFormat/>
    <w:uiPriority w:val="0"/>
    <w:pPr>
      <w:widowControl/>
      <w:pBdr>
        <w:bottom w:val="single" w:color="auto" w:sz="4" w:space="0"/>
      </w:pBdr>
      <w:spacing w:before="100" w:beforeAutospacing="1" w:after="100" w:afterAutospacing="1" w:line="240" w:lineRule="auto"/>
      <w:ind w:firstLine="0" w:firstLineChars="0"/>
      <w:jc w:val="left"/>
    </w:pPr>
    <w:rPr>
      <w:rFonts w:hAnsi="宋体" w:cs="宋体"/>
      <w:position w:val="0"/>
      <w:sz w:val="24"/>
      <w:szCs w:val="24"/>
    </w:rPr>
  </w:style>
  <w:style w:type="paragraph" w:customStyle="1" w:styleId="476">
    <w:name w:val="标书正文 Char Char"/>
    <w:basedOn w:val="1"/>
    <w:qFormat/>
    <w:uiPriority w:val="0"/>
    <w:pPr>
      <w:tabs>
        <w:tab w:val="left" w:pos="735"/>
      </w:tabs>
      <w:spacing w:beforeLines="50" w:afterLines="50"/>
      <w:ind w:left="180" w:leftChars="90" w:right="200" w:rightChars="100" w:firstLine="0" w:firstLineChars="0"/>
      <w:jc w:val="center"/>
    </w:pPr>
    <w:rPr>
      <w:rFonts w:cs="宋体"/>
      <w:b/>
      <w:color w:val="000000"/>
      <w:spacing w:val="14"/>
      <w:kern w:val="2"/>
      <w:position w:val="0"/>
      <w:sz w:val="24"/>
      <w:szCs w:val="24"/>
    </w:rPr>
  </w:style>
  <w:style w:type="paragraph" w:customStyle="1" w:styleId="477">
    <w:name w:val="样式 标题 1 + 首行缩进:  0 字符"/>
    <w:basedOn w:val="2"/>
    <w:qFormat/>
    <w:uiPriority w:val="0"/>
    <w:pPr>
      <w:spacing w:after="300" w:line="460" w:lineRule="exact"/>
      <w:ind w:firstLine="0" w:firstLineChars="0"/>
      <w:jc w:val="center"/>
    </w:pPr>
    <w:rPr>
      <w:rFonts w:ascii="Calibri" w:hAnsi="Calibri" w:eastAsia="黑体" w:cs="宋体"/>
      <w:b w:val="0"/>
      <w:position w:val="0"/>
      <w:sz w:val="36"/>
      <w:szCs w:val="36"/>
    </w:rPr>
  </w:style>
  <w:style w:type="paragraph" w:customStyle="1" w:styleId="478">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479">
    <w:name w:val="样式 标题 4 + (西文) Times New Roman4"/>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sz w:val="24"/>
      <w:szCs w:val="20"/>
    </w:rPr>
  </w:style>
  <w:style w:type="paragraph" w:customStyle="1" w:styleId="480">
    <w:name w:val="xl107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0"/>
    </w:rPr>
  </w:style>
  <w:style w:type="paragraph" w:customStyle="1" w:styleId="481">
    <w:name w:val="Char1"/>
    <w:basedOn w:val="5"/>
    <w:next w:val="1"/>
    <w:qFormat/>
    <w:uiPriority w:val="0"/>
    <w:pPr>
      <w:spacing w:before="0" w:after="0" w:line="360" w:lineRule="auto"/>
      <w:ind w:firstLine="0" w:firstLineChars="0"/>
      <w:jc w:val="left"/>
    </w:pPr>
    <w:rPr>
      <w:rFonts w:ascii="Arial" w:hAnsi="Arial" w:eastAsia="黑体" w:cs="Times New Roman"/>
      <w:kern w:val="2"/>
      <w:position w:val="0"/>
      <w:sz w:val="24"/>
    </w:rPr>
  </w:style>
  <w:style w:type="paragraph" w:customStyle="1" w:styleId="482">
    <w:name w:val="正文0"/>
    <w:basedOn w:val="57"/>
    <w:qFormat/>
    <w:uiPriority w:val="0"/>
    <w:pPr>
      <w:adjustRightInd/>
      <w:spacing w:after="0" w:line="240" w:lineRule="auto"/>
      <w:ind w:left="0" w:firstLine="0" w:firstLineChars="0"/>
      <w:textAlignment w:val="auto"/>
    </w:pPr>
  </w:style>
  <w:style w:type="paragraph" w:customStyle="1" w:styleId="483">
    <w:name w:val="xl10768"/>
    <w:basedOn w:val="1"/>
    <w:qFormat/>
    <w:uiPriority w:val="0"/>
    <w:pPr>
      <w:widowControl/>
      <w:spacing w:before="100" w:beforeAutospacing="1" w:after="100" w:afterAutospacing="1" w:line="240" w:lineRule="auto"/>
      <w:ind w:firstLine="0" w:firstLineChars="0"/>
    </w:pPr>
    <w:rPr>
      <w:rFonts w:hAnsi="宋体" w:cs="宋体"/>
      <w:b/>
      <w:bCs/>
      <w:position w:val="0"/>
      <w:sz w:val="24"/>
      <w:szCs w:val="24"/>
    </w:rPr>
  </w:style>
  <w:style w:type="paragraph" w:customStyle="1" w:styleId="484">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hAnsi="宋体" w:cs="宋体"/>
      <w:position w:val="0"/>
      <w:sz w:val="20"/>
    </w:rPr>
  </w:style>
  <w:style w:type="paragraph" w:customStyle="1" w:styleId="485">
    <w:name w:val="xl10769"/>
    <w:basedOn w:val="1"/>
    <w:qFormat/>
    <w:uiPriority w:val="0"/>
    <w:pPr>
      <w:widowControl/>
      <w:spacing w:before="100" w:beforeAutospacing="1" w:after="100" w:afterAutospacing="1" w:line="240" w:lineRule="auto"/>
      <w:ind w:firstLine="0" w:firstLineChars="0"/>
      <w:jc w:val="left"/>
    </w:pPr>
    <w:rPr>
      <w:rFonts w:hAnsi="宋体" w:cs="宋体"/>
      <w:b/>
      <w:bCs/>
      <w:position w:val="0"/>
      <w:sz w:val="24"/>
      <w:szCs w:val="24"/>
    </w:rPr>
  </w:style>
  <w:style w:type="paragraph" w:customStyle="1" w:styleId="486">
    <w:name w:val="标题4"/>
    <w:basedOn w:val="5"/>
    <w:qFormat/>
    <w:uiPriority w:val="0"/>
    <w:pPr>
      <w:keepLines w:val="0"/>
      <w:tabs>
        <w:tab w:val="left" w:pos="480"/>
        <w:tab w:val="left" w:pos="1680"/>
      </w:tabs>
      <w:adjustRightInd w:val="0"/>
      <w:snapToGrid w:val="0"/>
      <w:spacing w:before="120" w:after="120" w:line="240" w:lineRule="atLeast"/>
      <w:ind w:left="1680" w:hanging="420" w:firstLineChars="0"/>
      <w:textAlignment w:val="baseline"/>
    </w:pPr>
    <w:rPr>
      <w:rFonts w:ascii="Arial" w:hAnsi="Arial" w:eastAsia="黑体" w:cs="Times New Roman"/>
      <w:b w:val="0"/>
      <w:bCs w:val="0"/>
      <w:szCs w:val="20"/>
    </w:rPr>
  </w:style>
  <w:style w:type="paragraph" w:customStyle="1" w:styleId="48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0"/>
    </w:rPr>
  </w:style>
  <w:style w:type="paragraph" w:customStyle="1" w:styleId="48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0"/>
    </w:rPr>
  </w:style>
  <w:style w:type="paragraph" w:customStyle="1" w:styleId="489">
    <w:name w:val="样式 标题 3 + (符号) Times New Roman 首行缩进:  2 字符6"/>
    <w:basedOn w:val="4"/>
    <w:qFormat/>
    <w:uiPriority w:val="0"/>
    <w:rPr>
      <w:rFonts w:hAnsi="Times New Roman" w:cs="宋体"/>
      <w:b/>
      <w:bCs/>
      <w:szCs w:val="20"/>
    </w:rPr>
  </w:style>
  <w:style w:type="paragraph" w:customStyle="1" w:styleId="490">
    <w:name w:val="font5"/>
    <w:basedOn w:val="1"/>
    <w:qFormat/>
    <w:uiPriority w:val="0"/>
    <w:pPr>
      <w:widowControl/>
      <w:spacing w:before="100" w:beforeAutospacing="1" w:after="100" w:afterAutospacing="1"/>
      <w:jc w:val="left"/>
    </w:pPr>
    <w:rPr>
      <w:rFonts w:hAnsi="宋体" w:cs="宋体"/>
      <w:color w:val="000000"/>
      <w:position w:val="0"/>
      <w:sz w:val="20"/>
    </w:rPr>
  </w:style>
  <w:style w:type="paragraph" w:customStyle="1" w:styleId="491">
    <w:name w:val="Char1 Char Char Char Char Char Char Char Char Char Char Char"/>
    <w:basedOn w:val="1"/>
    <w:qFormat/>
    <w:uiPriority w:val="0"/>
    <w:pPr>
      <w:pageBreakBefore/>
      <w:tabs>
        <w:tab w:val="left" w:pos="432"/>
      </w:tabs>
      <w:spacing w:line="240" w:lineRule="auto"/>
      <w:ind w:left="432" w:hanging="432" w:firstLineChars="0"/>
    </w:pPr>
    <w:rPr>
      <w:rFonts w:ascii="Tahoma" w:hAnsi="Tahoma"/>
      <w:kern w:val="2"/>
      <w:position w:val="0"/>
      <w:sz w:val="24"/>
    </w:rPr>
  </w:style>
  <w:style w:type="paragraph" w:customStyle="1" w:styleId="49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0"/>
    </w:rPr>
  </w:style>
  <w:style w:type="paragraph" w:customStyle="1" w:styleId="493">
    <w:name w:val="样式 (西文) Times New Roman (中文) 仿宋_GB2312 行距: 固定值 24 磅"/>
    <w:basedOn w:val="1"/>
    <w:qFormat/>
    <w:uiPriority w:val="0"/>
    <w:pPr>
      <w:widowControl/>
      <w:spacing w:line="520" w:lineRule="exact"/>
      <w:ind w:firstLine="560"/>
    </w:pPr>
    <w:rPr>
      <w:rFonts w:ascii="Calibri" w:hAnsi="Calibri" w:eastAsia="仿宋_GB2312" w:cs="宋体"/>
      <w:kern w:val="2"/>
      <w:position w:val="0"/>
      <w:szCs w:val="28"/>
    </w:rPr>
  </w:style>
  <w:style w:type="paragraph" w:customStyle="1" w:styleId="494">
    <w:name w:val="标题3"/>
    <w:basedOn w:val="4"/>
    <w:qFormat/>
    <w:uiPriority w:val="0"/>
    <w:pPr>
      <w:keepLines w:val="0"/>
      <w:widowControl/>
      <w:tabs>
        <w:tab w:val="left" w:pos="480"/>
        <w:tab w:val="left" w:pos="744"/>
        <w:tab w:val="left" w:pos="851"/>
      </w:tabs>
      <w:adjustRightInd w:val="0"/>
      <w:snapToGrid w:val="0"/>
      <w:ind w:left="744" w:hanging="744"/>
      <w:textAlignment w:val="baseline"/>
    </w:pPr>
    <w:rPr>
      <w:kern w:val="0"/>
      <w:sz w:val="24"/>
      <w:szCs w:val="20"/>
    </w:rPr>
  </w:style>
  <w:style w:type="paragraph" w:customStyle="1" w:styleId="495">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b/>
      <w:bCs/>
      <w:position w:val="0"/>
      <w:sz w:val="20"/>
    </w:rPr>
  </w:style>
  <w:style w:type="paragraph" w:customStyle="1" w:styleId="496">
    <w:name w:val="xl2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pPr>
    <w:rPr>
      <w:rFonts w:hAnsi="宋体" w:cs="宋体"/>
      <w:position w:val="0"/>
      <w:sz w:val="20"/>
    </w:rPr>
  </w:style>
  <w:style w:type="paragraph" w:customStyle="1" w:styleId="49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1"/>
      <w:szCs w:val="21"/>
    </w:rPr>
  </w:style>
  <w:style w:type="paragraph" w:customStyle="1" w:styleId="498">
    <w:name w:val="xl107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宋体" w:cs="宋体"/>
      <w:position w:val="0"/>
      <w:sz w:val="20"/>
    </w:rPr>
  </w:style>
  <w:style w:type="paragraph" w:customStyle="1" w:styleId="499">
    <w:name w:val="正文文本21"/>
    <w:basedOn w:val="1"/>
    <w:qFormat/>
    <w:uiPriority w:val="0"/>
    <w:pPr>
      <w:shd w:val="clear" w:color="auto" w:fill="FFFFFF"/>
      <w:spacing w:line="562" w:lineRule="exact"/>
      <w:ind w:hanging="740"/>
      <w:jc w:val="left"/>
    </w:pPr>
    <w:rPr>
      <w:rFonts w:ascii="MingLiU" w:hAnsi="MingLiU" w:eastAsia="MingLiU" w:cs="MingLiU"/>
      <w:kern w:val="2"/>
      <w:position w:val="0"/>
      <w:sz w:val="23"/>
      <w:szCs w:val="23"/>
    </w:rPr>
  </w:style>
  <w:style w:type="paragraph" w:customStyle="1" w:styleId="500">
    <w:name w:val="xl216"/>
    <w:basedOn w:val="1"/>
    <w:qFormat/>
    <w:uiPriority w:val="0"/>
    <w:pPr>
      <w:widowControl/>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501">
    <w:name w:val="xl187"/>
    <w:basedOn w:val="1"/>
    <w:qFormat/>
    <w:uiPriority w:val="0"/>
    <w:pPr>
      <w:widowControl/>
      <w:shd w:val="clear" w:color="000000" w:fill="FFFFFF"/>
      <w:spacing w:before="100" w:beforeAutospacing="1" w:after="100" w:afterAutospacing="1" w:line="240" w:lineRule="auto"/>
      <w:ind w:firstLine="0" w:firstLineChars="0"/>
      <w:jc w:val="left"/>
    </w:pPr>
    <w:rPr>
      <w:rFonts w:hAnsi="宋体" w:cs="宋体"/>
      <w:position w:val="0"/>
      <w:sz w:val="20"/>
    </w:rPr>
  </w:style>
  <w:style w:type="paragraph" w:customStyle="1" w:styleId="50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1"/>
      <w:szCs w:val="21"/>
    </w:rPr>
  </w:style>
  <w:style w:type="paragraph" w:customStyle="1" w:styleId="503">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504">
    <w:name w:val="xl13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pPr>
    <w:rPr>
      <w:rFonts w:hAnsi="宋体" w:cs="宋体"/>
      <w:b/>
      <w:bCs/>
      <w:position w:val="0"/>
      <w:sz w:val="18"/>
      <w:szCs w:val="18"/>
    </w:rPr>
  </w:style>
  <w:style w:type="paragraph" w:customStyle="1" w:styleId="505">
    <w:name w:val="xl176"/>
    <w:basedOn w:val="1"/>
    <w:qFormat/>
    <w:uiPriority w:val="0"/>
    <w:pPr>
      <w:widowControl/>
      <w:spacing w:before="100" w:beforeAutospacing="1" w:after="100" w:afterAutospacing="1" w:line="240" w:lineRule="auto"/>
      <w:ind w:firstLine="0" w:firstLineChars="0"/>
      <w:jc w:val="left"/>
    </w:pPr>
    <w:rPr>
      <w:rFonts w:hAnsi="宋体" w:cs="宋体"/>
      <w:color w:val="FF0000"/>
      <w:position w:val="0"/>
      <w:sz w:val="20"/>
    </w:rPr>
  </w:style>
  <w:style w:type="paragraph" w:customStyle="1" w:styleId="506">
    <w:name w:val="xl11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position w:val="0"/>
      <w:sz w:val="21"/>
      <w:szCs w:val="21"/>
    </w:rPr>
  </w:style>
  <w:style w:type="paragraph" w:customStyle="1" w:styleId="50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0"/>
    </w:rPr>
  </w:style>
  <w:style w:type="paragraph" w:customStyle="1" w:styleId="508">
    <w:name w:val="书目2"/>
    <w:basedOn w:val="1"/>
    <w:next w:val="1"/>
    <w:qFormat/>
    <w:uiPriority w:val="0"/>
    <w:pPr>
      <w:spacing w:line="240" w:lineRule="auto"/>
      <w:ind w:firstLine="0" w:firstLineChars="0"/>
    </w:pPr>
    <w:rPr>
      <w:sz w:val="32"/>
    </w:rPr>
  </w:style>
  <w:style w:type="paragraph" w:customStyle="1" w:styleId="509">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hAnsi="宋体" w:cs="宋体"/>
      <w:position w:val="0"/>
      <w:sz w:val="20"/>
    </w:rPr>
  </w:style>
  <w:style w:type="table" w:customStyle="1" w:styleId="510">
    <w:name w:val="彩色列表 - 强调文字颜色 11"/>
    <w:basedOn w:val="58"/>
    <w:qFormat/>
    <w:uiPriority w:val="0"/>
    <w:rPr>
      <w:rFonts w:ascii="宋体" w:hAnsi="Calibri"/>
      <w:position w:val="-6"/>
      <w:sz w:val="32"/>
      <w:szCs w:val="24"/>
    </w:rPr>
    <w:tcPr>
      <w:shd w:val="clear" w:color="auto" w:fill="EDF2F8"/>
    </w:tcPr>
    <w:tblStylePr w:type="firstRow">
      <w:rPr>
        <w:b/>
        <w:bCs/>
        <w:color w:val="FFFFFF"/>
      </w:r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511">
    <w:name w:val="彩色网格 - 强调文字颜色 11"/>
    <w:basedOn w:val="58"/>
    <w:qFormat/>
    <w:uiPriority w:val="0"/>
    <w:rPr>
      <w:rFonts w:ascii="宋体" w:hAnsi="宋体"/>
      <w:sz w:val="24"/>
    </w:rPr>
    <w:tblPr>
      <w:tblBorders>
        <w:insideH w:val="single" w:color="FFFFFF" w:sz="4" w:space="0"/>
      </w:tblBorders>
    </w:tblPr>
    <w:tcPr>
      <w:shd w:val="clear" w:color="auto" w:fill="DBE5F1"/>
    </w:tcPr>
    <w:tblStylePr w:type="firstRow">
      <w:rPr>
        <w:b/>
        <w:bCs/>
      </w:rPr>
      <w:tcPr>
        <w:shd w:val="clear" w:color="auto" w:fill="B8CCE4"/>
      </w:tcPr>
    </w:tblStylePr>
    <w:tblStylePr w:type="lastRow">
      <w:rPr>
        <w:b/>
        <w:bCs/>
        <w:color w:val="000000"/>
      </w:rPr>
      <w:tcPr>
        <w:shd w:val="clear" w:color="auto" w:fill="B8CCE4"/>
      </w:tcPr>
    </w:tblStylePr>
    <w:tblStylePr w:type="firstCol">
      <w:rPr>
        <w:color w:val="FFFFFF"/>
      </w:rPr>
      <w:tcPr>
        <w:shd w:val="clear" w:color="auto" w:fill="365F91"/>
      </w:tcPr>
    </w:tblStylePr>
    <w:tblStylePr w:type="lastCol">
      <w:rPr>
        <w:color w:val="FFFFFF"/>
      </w:rPr>
      <w:tcPr>
        <w:shd w:val="clear" w:color="auto" w:fill="365F91"/>
      </w:tcPr>
    </w:tblStylePr>
    <w:tblStylePr w:type="band1Vert">
      <w:tcPr>
        <w:shd w:val="clear" w:color="auto" w:fill="A7BFDE"/>
      </w:tcPr>
    </w:tblStylePr>
    <w:tblStylePr w:type="band1Horz">
      <w:tcPr>
        <w:shd w:val="clear" w:color="auto" w:fill="A7BFDE"/>
      </w:tcPr>
    </w:tblStylePr>
  </w:style>
  <w:style w:type="paragraph" w:customStyle="1" w:styleId="512">
    <w:name w:val="正文文字【小四，1.5倍行距，首行缩进2字】"/>
    <w:basedOn w:val="1"/>
    <w:qFormat/>
    <w:uiPriority w:val="0"/>
    <w:pPr>
      <w:ind w:firstLine="480" w:firstLineChars="0"/>
      <w:jc w:val="left"/>
    </w:pPr>
    <w:rPr>
      <w:rFonts w:ascii="Times New Roman"/>
      <w:color w:val="000000"/>
      <w:kern w:val="1"/>
      <w:position w:val="0"/>
      <w:sz w:val="24"/>
      <w:szCs w:val="24"/>
    </w:rPr>
  </w:style>
  <w:style w:type="character" w:customStyle="1" w:styleId="513">
    <w:name w:val="未处理的提及"/>
    <w:semiHidden/>
    <w:unhideWhenUsed/>
    <w:qFormat/>
    <w:uiPriority w:val="99"/>
    <w:rPr>
      <w:color w:val="808080"/>
      <w:shd w:val="clear" w:color="auto" w:fill="E6E6E6"/>
    </w:rPr>
  </w:style>
  <w:style w:type="paragraph" w:customStyle="1" w:styleId="514">
    <w:name w:val="插图题注"/>
    <w:basedOn w:val="1"/>
    <w:link w:val="515"/>
    <w:qFormat/>
    <w:uiPriority w:val="0"/>
    <w:pPr>
      <w:tabs>
        <w:tab w:val="left" w:pos="0"/>
      </w:tabs>
      <w:spacing w:line="480" w:lineRule="atLeast"/>
      <w:ind w:firstLine="0" w:firstLineChars="0"/>
      <w:jc w:val="center"/>
    </w:pPr>
    <w:rPr>
      <w:rFonts w:eastAsia="仿宋_GB2312"/>
      <w:position w:val="0"/>
      <w:sz w:val="24"/>
    </w:rPr>
  </w:style>
  <w:style w:type="character" w:customStyle="1" w:styleId="515">
    <w:name w:val="插图题注 Char"/>
    <w:link w:val="514"/>
    <w:qFormat/>
    <w:uiPriority w:val="0"/>
    <w:rPr>
      <w:rFonts w:ascii="宋体" w:hAnsi="Times New Roman" w:eastAsia="仿宋_GB2312" w:cs="Times New Roman"/>
      <w:kern w:val="0"/>
      <w:sz w:val="24"/>
      <w:szCs w:val="20"/>
    </w:rPr>
  </w:style>
  <w:style w:type="paragraph" w:customStyle="1" w:styleId="516">
    <w:name w:val="正文小四"/>
    <w:basedOn w:val="1"/>
    <w:link w:val="517"/>
    <w:qFormat/>
    <w:uiPriority w:val="0"/>
    <w:pPr>
      <w:ind w:firstLine="560"/>
    </w:pPr>
    <w:rPr>
      <w:rFonts w:ascii="仿宋_GB2312" w:eastAsia="仿宋_GB2312"/>
      <w:color w:val="000000"/>
      <w:position w:val="0"/>
      <w:sz w:val="24"/>
      <w:szCs w:val="28"/>
    </w:rPr>
  </w:style>
  <w:style w:type="character" w:customStyle="1" w:styleId="517">
    <w:name w:val="正文小四 Char Char"/>
    <w:link w:val="516"/>
    <w:qFormat/>
    <w:uiPriority w:val="0"/>
    <w:rPr>
      <w:rFonts w:ascii="仿宋_GB2312" w:hAnsi="Times New Roman" w:eastAsia="仿宋_GB2312" w:cs="Times New Roman"/>
      <w:color w:val="000000"/>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30</Pages>
  <Words>15245</Words>
  <Characters>17690</Characters>
  <Lines>179</Lines>
  <Paragraphs>50</Paragraphs>
  <TotalTime>2</TotalTime>
  <ScaleCrop>false</ScaleCrop>
  <LinksUpToDate>false</LinksUpToDate>
  <CharactersWithSpaces>19079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2022-08-17T03:24:00Z</dcterms:created>
  <dc:creator>Microsoft 帐户</dc:creator>
  <cp:lastModifiedBy>ASUS</cp:lastModifiedBy>
  <dcterms:modified xsi:type="dcterms:W3CDTF">2022-11-24T02:51:47Z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7735EC39A6304F2E85C701CF05779669</vt:lpwstr>
  </property>
</Properties>
</file>