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重庆市交通行业职业培训中心有限责任公司餐饮中心肉类、水产、家禽、冷冻食品</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adjustRightInd w:val="0"/>
        <w:spacing w:before="312" w:beforeLines="100" w:line="315" w:lineRule="atLeast"/>
        <w:jc w:val="center"/>
        <w:textAlignment w:val="baseline"/>
        <w:rPr>
          <w:rFonts w:hint="eastAsia" w:eastAsiaTheme="minorEastAsia"/>
          <w:spacing w:val="20"/>
          <w:kern w:val="0"/>
          <w:sz w:val="32"/>
          <w:szCs w:val="30"/>
          <w:lang w:eastAsia="zh-CN"/>
        </w:rPr>
      </w:pPr>
      <w:r>
        <w:rPr>
          <w:rFonts w:hint="eastAsia" w:ascii="方正小标宋_GBK" w:hAnsi="方正小标宋_GBK" w:eastAsia="方正小标宋_GBK" w:cs="方正小标宋_GBK"/>
          <w:b/>
          <w:bCs/>
          <w:sz w:val="84"/>
          <w:szCs w:val="84"/>
          <w:lang w:val="en-US" w:eastAsia="zh-CN"/>
        </w:rPr>
        <w:t>竞争性比选文件</w:t>
      </w: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2022年12月</w:t>
      </w:r>
    </w:p>
    <w:p>
      <w:pPr>
        <w:jc w:val="both"/>
        <w:rPr>
          <w:rFonts w:ascii="方正小标宋_GBK" w:eastAsia="方正小标宋_GBK"/>
          <w:b/>
          <w:bCs/>
          <w:sz w:val="32"/>
          <w:szCs w:val="32"/>
        </w:rPr>
      </w:pPr>
    </w:p>
    <w:p>
      <w:pPr>
        <w:pStyle w:val="13"/>
        <w:spacing w:line="360" w:lineRule="auto"/>
        <w:ind w:left="0" w:leftChars="0" w:firstLine="0" w:firstLineChars="0"/>
        <w:rPr>
          <w:rFonts w:hint="eastAsia" w:ascii="方正仿宋_GBK" w:hAnsi="方正仿宋_GBK" w:eastAsia="方正仿宋_GBK" w:cs="方正仿宋_GBK"/>
          <w:sz w:val="28"/>
          <w:szCs w:val="28"/>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重庆市交通行业职业培训中心有限责任公司（以下简称“职培中心”）</w:t>
      </w:r>
      <w:r>
        <w:rPr>
          <w:rFonts w:hint="eastAsia" w:ascii="方正仿宋_GBK" w:hAnsi="方正仿宋_GBK" w:eastAsia="方正仿宋_GBK" w:cs="方正仿宋_GBK"/>
          <w:color w:val="000000" w:themeColor="text1"/>
          <w:sz w:val="28"/>
          <w:szCs w:val="28"/>
          <w14:textFill>
            <w14:solidFill>
              <w14:schemeClr w14:val="tx1"/>
            </w14:solidFill>
          </w14:textFill>
        </w:rPr>
        <w:t>目前每日（工作日）</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员工</w:t>
      </w:r>
      <w:r>
        <w:rPr>
          <w:rFonts w:hint="eastAsia" w:ascii="方正仿宋_GBK" w:hAnsi="方正仿宋_GBK" w:eastAsia="方正仿宋_GBK" w:cs="方正仿宋_GBK"/>
          <w:color w:val="000000" w:themeColor="text1"/>
          <w:sz w:val="28"/>
          <w:szCs w:val="28"/>
          <w14:textFill>
            <w14:solidFill>
              <w14:schemeClr w14:val="tx1"/>
            </w14:solidFill>
          </w14:textFill>
        </w:rPr>
        <w:t>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培训班用餐人数以实际业务量而定（预估费用140W左右），</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职培中心餐饮中心</w:t>
      </w:r>
      <w:r>
        <w:rPr>
          <w:rFonts w:hint="eastAsia" w:ascii="方正仿宋_GBK" w:hAnsi="方正仿宋_GBK" w:eastAsia="方正仿宋_GBK" w:cs="方正仿宋_GBK"/>
          <w:color w:val="000000" w:themeColor="text1"/>
          <w:sz w:val="28"/>
          <w:szCs w:val="28"/>
          <w14:textFill>
            <w14:solidFill>
              <w14:schemeClr w14:val="tx1"/>
            </w14:solidFill>
          </w14:textFill>
        </w:rPr>
        <w:t>日常所需的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肉类、水产、家禽、冷冻食品</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sz w:val="28"/>
          <w:szCs w:val="28"/>
        </w:rPr>
        <w:t>现由</w:t>
      </w:r>
      <w:r>
        <w:rPr>
          <w:rFonts w:hint="eastAsia" w:ascii="方正仿宋_GBK" w:hAnsi="方正仿宋_GBK" w:eastAsia="方正仿宋_GBK" w:cs="方正仿宋_GBK"/>
          <w:sz w:val="28"/>
          <w:szCs w:val="28"/>
          <w:lang w:val="en-US" w:eastAsia="zh-CN"/>
        </w:rPr>
        <w:t>职培中心</w:t>
      </w:r>
      <w:r>
        <w:rPr>
          <w:rFonts w:hint="eastAsia" w:ascii="方正仿宋_GBK" w:hAnsi="方正仿宋_GBK" w:eastAsia="方正仿宋_GBK" w:cs="方正仿宋_GBK"/>
          <w:sz w:val="28"/>
          <w:szCs w:val="28"/>
        </w:rPr>
        <w:t>（以下简称“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人”）对本项目进行</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eastAsia="zh-CN"/>
          <w14:textFill>
            <w14:solidFill>
              <w14:schemeClr w14:val="tx1"/>
            </w14:solidFill>
          </w14:textFill>
        </w:rPr>
        <w:t>比选</w:t>
      </w:r>
      <w:r>
        <w:rPr>
          <w:rFonts w:hint="eastAsia" w:ascii="黑体" w:hAnsi="黑体" w:eastAsia="黑体" w:cs="黑体"/>
          <w:color w:val="000000" w:themeColor="text1"/>
          <w:sz w:val="32"/>
          <w:szCs w:val="32"/>
          <w14:textFill>
            <w14:solidFill>
              <w14:schemeClr w14:val="tx1"/>
            </w14:solidFill>
          </w14:textFill>
        </w:rPr>
        <w:t>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内容包括但不限于：</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1.全年365天向</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配送</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种类清单详见附件1</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择优选择供应商合作期限为1年，时间从中标人与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人正式签订合同之日算起。</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重庆市璧山区璧城街道璧渝路329号。 </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3.配送时间：</w:t>
      </w:r>
      <w:r>
        <w:rPr>
          <w:rFonts w:hint="eastAsia" w:ascii="方正仿宋_GBK" w:hAnsi="方正仿宋_GBK" w:eastAsia="方正仿宋_GBK" w:cs="方正仿宋_GBK"/>
          <w:sz w:val="28"/>
          <w:szCs w:val="28"/>
        </w:rPr>
        <w:t>配送时间为供货日上午</w:t>
      </w:r>
      <w:r>
        <w:rPr>
          <w:rFonts w:hint="eastAsia" w:ascii="方正仿宋_GBK" w:hAnsi="方正仿宋_GBK" w:eastAsia="方正仿宋_GBK" w:cs="方正仿宋_GBK"/>
          <w:sz w:val="28"/>
          <w:szCs w:val="28"/>
          <w:lang w:val="en-US" w:eastAsia="zh-CN"/>
        </w:rPr>
        <w:t>8：00</w:t>
      </w:r>
      <w:r>
        <w:rPr>
          <w:rFonts w:hint="eastAsia" w:ascii="方正仿宋_GBK" w:hAnsi="方正仿宋_GBK" w:eastAsia="方正仿宋_GBK" w:cs="方正仿宋_GBK"/>
          <w:sz w:val="28"/>
          <w:szCs w:val="28"/>
        </w:rPr>
        <w:t>前到达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人指定地点（</w:t>
      </w:r>
      <w:r>
        <w:rPr>
          <w:rFonts w:hint="eastAsia" w:ascii="方正仿宋_GBK" w:hAnsi="方正仿宋_GBK" w:eastAsia="方正仿宋_GBK" w:cs="方正仿宋_GBK"/>
          <w:sz w:val="28"/>
          <w:szCs w:val="28"/>
          <w:lang w:val="en-US" w:eastAsia="zh-CN"/>
        </w:rPr>
        <w:t>职培中心餐饮中心一楼</w:t>
      </w:r>
      <w:r>
        <w:rPr>
          <w:rFonts w:hint="eastAsia" w:ascii="方正仿宋_GBK" w:hAnsi="方正仿宋_GBK" w:eastAsia="方正仿宋_GBK" w:cs="方正仿宋_GBK"/>
          <w:sz w:val="28"/>
          <w:szCs w:val="28"/>
        </w:rPr>
        <w:t>）。如</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人需要临时补货、换货，中标人承诺在接到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人通知后1小时内及时将货品送达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不另收取运费和附加费用。</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4.配送流程：</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人将第二天所需</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明细清单于开单日下午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：30前报给中标人,中标人供货日将净重</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交</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人指定人员称重验收，</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单品上下浮动重量应控制在该</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报单数量的5%以内（不能分零</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除外）。中标人尽量保证向</w:t>
      </w:r>
      <w:r>
        <w:rPr>
          <w:rFonts w:hint="eastAsia" w:ascii="方正仿宋_GBK" w:hAnsi="方正仿宋_GBK" w:eastAsia="方正仿宋_GBK" w:cs="方正仿宋_GBK"/>
          <w:sz w:val="28"/>
          <w:szCs w:val="28"/>
          <w:lang w:eastAsia="zh-CN"/>
        </w:rPr>
        <w:t>比选人</w:t>
      </w:r>
      <w:r>
        <w:rPr>
          <w:rFonts w:hint="eastAsia" w:ascii="方正仿宋_GBK" w:hAnsi="方正仿宋_GBK" w:eastAsia="方正仿宋_GBK" w:cs="方正仿宋_GBK"/>
          <w:sz w:val="28"/>
          <w:szCs w:val="28"/>
        </w:rPr>
        <w:t>提供全项单品，如无法满足，需在开单日下午18：00前与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人联系并经</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人确认，</w:t>
      </w:r>
      <w:r>
        <w:rPr>
          <w:rFonts w:hint="eastAsia" w:ascii="方正仿宋_GBK" w:hAnsi="方正仿宋_GBK" w:eastAsia="方正仿宋_GBK" w:cs="方正仿宋_GBK"/>
          <w:sz w:val="28"/>
          <w:szCs w:val="28"/>
          <w:lang w:val="en-US" w:eastAsia="zh-CN"/>
        </w:rPr>
        <w:t>应保证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人对菜品的要求，如需稀缺单品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人应提前告知中标人备货，三次缺货</w:t>
      </w:r>
      <w:r>
        <w:rPr>
          <w:rFonts w:hint="eastAsia" w:ascii="方正仿宋_GBK" w:hAnsi="方正仿宋_GBK" w:eastAsia="方正仿宋_GBK" w:cs="方正仿宋_GBK"/>
          <w:sz w:val="28"/>
          <w:szCs w:val="28"/>
          <w:lang w:val="en-US" w:eastAsia="zh-CN"/>
        </w:rPr>
        <w:t>或肉类、水产、家禽、冷冻食品质量出现严重问题</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人有权终止合同。</w:t>
      </w:r>
    </w:p>
    <w:p>
      <w:pPr>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5.物资要求：</w:t>
      </w:r>
      <w:r>
        <w:rPr>
          <w:rFonts w:hint="eastAsia" w:ascii="方正仿宋_GBK" w:hAnsi="方正仿宋_GBK" w:eastAsia="方正仿宋_GBK" w:cs="方正仿宋_GBK"/>
          <w:sz w:val="28"/>
          <w:szCs w:val="28"/>
        </w:rPr>
        <w:t>中标人所供</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需有重庆市专业权威机构出具的药检证明，应保证</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净重使用率在90%以上，禁止供应水泡</w:t>
      </w:r>
      <w:r>
        <w:rPr>
          <w:rFonts w:hint="eastAsia" w:ascii="方正仿宋_GBK" w:hAnsi="方正仿宋_GBK" w:eastAsia="方正仿宋_GBK" w:cs="方正仿宋_GBK"/>
          <w:sz w:val="28"/>
          <w:szCs w:val="28"/>
          <w:lang w:val="en-US" w:eastAsia="zh-CN"/>
        </w:rPr>
        <w:t>和</w:t>
      </w:r>
      <w:r>
        <w:rPr>
          <w:rFonts w:hint="eastAsia" w:ascii="方正仿宋_GBK" w:hAnsi="方正仿宋_GBK" w:eastAsia="方正仿宋_GBK" w:cs="方正仿宋_GBK"/>
          <w:sz w:val="28"/>
          <w:szCs w:val="28"/>
        </w:rPr>
        <w:t>变质</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lang w:val="en-US" w:eastAsia="zh-CN"/>
        </w:rPr>
        <w:t>产品</w:t>
      </w:r>
      <w:r>
        <w:rPr>
          <w:rFonts w:hint="eastAsia" w:ascii="方正仿宋_GBK" w:hAnsi="方正仿宋_GBK" w:eastAsia="方正仿宋_GBK" w:cs="方正仿宋_GBK"/>
          <w:sz w:val="28"/>
          <w:szCs w:val="28"/>
        </w:rPr>
        <w:t>。</w:t>
      </w:r>
    </w:p>
    <w:p>
      <w:pPr>
        <w:pStyle w:val="10"/>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6.复核要求：中标人应于每次送货时提供送货单，每次送货时由双方共同核对来货数量、金额，并由职培中心签字确认后双方留档。</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w:t>
      </w:r>
      <w:r>
        <w:rPr>
          <w:rFonts w:hint="eastAsia" w:ascii="方正仿宋_GBK" w:hAnsi="方正仿宋_GBK" w:eastAsia="方正仿宋_GBK" w:cs="方正仿宋_GBK"/>
          <w:sz w:val="28"/>
          <w:szCs w:val="28"/>
        </w:rPr>
        <w:t>如发现有质量问题，中标人应立即退换不合格货品，因质量问题造成人身损害，经国家相关部门鉴定后，确系中标人所提供货品造成的，由中标人按国家相关标准承担法律责任和赔偿责任，并赔偿由此给</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人造成的一切损失。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如发现所供商品中有质量问题或缺斤少两的情况，中标人应按照所供有问题供货价值的3倍给予赔偿并立即退换不合格商品。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8.食品质量：因食品质量问题出现中毒等事故，由中标人承担经济赔偿责任以及其它法律责任。</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9.市场采价：中选人供货时应提供每日菜品单价清单，比选人于每月随机选择日期对中选人提供的单价清单进行市场采价对比</w:t>
      </w:r>
      <w:r>
        <w:rPr>
          <w:rFonts w:hint="eastAsia" w:ascii="方正仿宋_GBK" w:hAnsi="方正仿宋_GBK" w:eastAsia="方正仿宋_GBK" w:cs="方正仿宋_GBK"/>
          <w:sz w:val="28"/>
          <w:szCs w:val="28"/>
        </w:rPr>
        <w:t>。</w:t>
      </w:r>
    </w:p>
    <w:p>
      <w:pPr>
        <w:pStyle w:val="1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10.结算方式：实行月结费用方式，当月产生的费用，在次月进行核对，并在第三个月支付。</w:t>
      </w:r>
    </w:p>
    <w:p>
      <w:pPr>
        <w:pStyle w:val="15"/>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三、投标人资质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1.投标人具有独立企业法人资格且为一般纳税人、持有合法有效的营业执照和食品经营许可证，范围</w:t>
      </w:r>
      <w:r>
        <w:rPr>
          <w:rFonts w:hint="eastAsia" w:ascii="方正仿宋_GBK" w:hAnsi="方正仿宋_GBK" w:eastAsia="方正仿宋_GBK" w:cs="方正仿宋_GBK"/>
          <w:sz w:val="28"/>
          <w:szCs w:val="28"/>
        </w:rPr>
        <w:t>包括具备</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或农产品销售、配送资质</w:t>
      </w:r>
      <w:r>
        <w:rPr>
          <w:rFonts w:hint="eastAsia" w:ascii="方正仿宋_GBK" w:hAnsi="方正仿宋_GBK" w:eastAsia="方正仿宋_GBK" w:cs="方正仿宋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具有良好的商业信誉，在近三年在经营活动中没有重大违法记录，比选申请人须提供国家企业信息公示系统（http://www.gsxt.gov.cn）中未被列入严重违法失信企业名单的网页截图和“信用中国”网站（www.creditchina.gov.cn/）中未被列为失信惩戒名单的网页截图，并加盖比选申请人公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比选申请人出具处于正常营业状况并未有被责令停业、取消投标资格、财产被冻结以及比选申请人未处于破产状态，近三年内在经营活动中没有重大违法记录的承诺书。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3.提供专业配送车辆和人员资料</w:t>
      </w:r>
      <w:bookmarkStart w:id="0" w:name="_GoBack"/>
      <w:bookmarkEnd w:id="0"/>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4.如果投标人实质上不符合投标人资格要求，即使已领取比选函或已提交投标文件，比选人可以随时取消其投标或中标资格，比选人对投标人的一切损失不负任何责任；</w:t>
      </w:r>
    </w:p>
    <w:p>
      <w:pPr>
        <w:ind w:firstLine="560" w:firstLineChars="200"/>
        <w:jc w:val="left"/>
        <w:rPr>
          <w:rFonts w:hint="eastAsia"/>
          <w:lang w:val="en-US" w:eastAsia="zh-CN"/>
        </w:rPr>
      </w:pPr>
      <w:r>
        <w:rPr>
          <w:rFonts w:hint="eastAsia" w:ascii="方正仿宋_GBK" w:hAnsi="方正仿宋_GBK" w:eastAsia="方正仿宋_GBK" w:cs="方正仿宋_GBK"/>
          <w:sz w:val="28"/>
          <w:szCs w:val="28"/>
        </w:rPr>
        <w:t>5.本次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不接受联合体</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及投标方式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投标人只需在投标函中填写挂牌价的下浮值；</w:t>
      </w:r>
    </w:p>
    <w:p>
      <w:pPr>
        <w:pStyle w:val="10"/>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本次投标方式采用下浮比例值a（a≥0%,以单价限价为基础进行填报下浮比例值），即投标投标（下浮比例值a）≥0%，投标投标（下浮比例值a）保留两位小数，第三位四舍五入，否则按否决投标处理；</w:t>
      </w:r>
    </w:p>
    <w:p>
      <w:pPr>
        <w:pStyle w:val="10"/>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具体金额根据比选人实际采购量及采购单价确定。</w:t>
      </w:r>
    </w:p>
    <w:p>
      <w:pPr>
        <w:pStyle w:val="10"/>
        <w:numPr>
          <w:ilvl w:val="0"/>
          <w:numId w:val="0"/>
        </w:numP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函需加盖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文件，用不褪色的材料书写或打印，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文件中的任何改动之处应加盖单位章或由</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人将上述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注明投标单位，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1.截止时间：</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0(北京时间)</w:t>
      </w:r>
    </w:p>
    <w:p>
      <w:pPr>
        <w:ind w:left="-199" w:leftChars="-95" w:firstLine="64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2.递交方式：投标文件必须于投标截止日前递交至重庆市交通行业职业培训中心综合办公楼515室；若因疫情管控等原因，也可以邮寄方式将投标文件递交至重庆市交通行业职业培训</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中心有限责任公司，邮寄地址：重庆市璧山区璧城街道璧渝路329号（重庆市交通行业职业培训中心有限责任公司）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联系人：李老师   电话：17782355973</w:t>
      </w:r>
    </w:p>
    <w:p>
      <w:pPr>
        <w:tabs>
          <w:tab w:val="left" w:pos="7920"/>
        </w:tabs>
        <w:spacing w:line="500" w:lineRule="exact"/>
        <w:outlineLvl w:val="0"/>
        <w:rPr>
          <w:rFonts w:hint="eastAsia" w:ascii="宋体" w:hAnsi="宋体"/>
          <w:b/>
          <w:color w:val="000000"/>
          <w:sz w:val="24"/>
        </w:rPr>
      </w:pPr>
      <w:r>
        <w:rPr>
          <w:rFonts w:hint="eastAsia" w:ascii="黑体" w:hAnsi="黑体" w:eastAsia="黑体" w:cs="黑体"/>
          <w:b/>
          <w:color w:val="000000"/>
          <w:sz w:val="24"/>
          <w:lang w:val="en-US" w:eastAsia="zh-CN"/>
        </w:rPr>
        <w:t xml:space="preserve">   </w:t>
      </w:r>
      <w:r>
        <w:rPr>
          <w:rFonts w:hint="eastAsia" w:ascii="黑体" w:hAnsi="黑体" w:eastAsia="黑体" w:cs="黑体"/>
          <w:b w:val="0"/>
          <w:bCs/>
          <w:color w:val="000000"/>
          <w:sz w:val="32"/>
          <w:szCs w:val="32"/>
          <w:lang w:val="en-US" w:eastAsia="zh-CN"/>
        </w:rPr>
        <w:t xml:space="preserve"> 八、</w:t>
      </w:r>
      <w:r>
        <w:rPr>
          <w:rFonts w:hint="eastAsia" w:ascii="黑体" w:hAnsi="黑体" w:eastAsia="黑体" w:cs="黑体"/>
          <w:b w:val="0"/>
          <w:bCs/>
          <w:color w:val="000000"/>
          <w:sz w:val="32"/>
          <w:szCs w:val="32"/>
        </w:rPr>
        <w:t>开标</w:t>
      </w:r>
      <w:r>
        <w:rPr>
          <w:rFonts w:ascii="宋体" w:hAnsi="宋体"/>
          <w:b/>
          <w:color w:val="000000"/>
          <w:sz w:val="24"/>
        </w:rPr>
        <w:tab/>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1．开标方式：现场开标</w:t>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2．开标时间：</w:t>
      </w:r>
      <w:r>
        <w:rPr>
          <w:rFonts w:hint="eastAsia" w:ascii="方正仿宋_GBK" w:hAnsi="方正仿宋_GBK" w:eastAsia="方正仿宋_GBK" w:cs="方正仿宋_GBK"/>
          <w:color w:val="000000"/>
          <w:sz w:val="28"/>
          <w:szCs w:val="28"/>
          <w:u w:val="single"/>
        </w:rPr>
        <w:t>202</w:t>
      </w:r>
      <w:r>
        <w:rPr>
          <w:rFonts w:hint="eastAsia" w:ascii="方正仿宋_GBK" w:hAnsi="方正仿宋_GBK" w:eastAsia="方正仿宋_GBK" w:cs="方正仿宋_GBK"/>
          <w:color w:val="000000"/>
          <w:sz w:val="28"/>
          <w:szCs w:val="28"/>
          <w:u w:val="single"/>
          <w:lang w:val="en-US" w:eastAsia="zh-CN"/>
        </w:rPr>
        <w:t>2</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u w:val="single"/>
          <w:lang w:val="en-US" w:eastAsia="zh-CN"/>
        </w:rPr>
        <w:t xml:space="preserve"> 12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u w:val="single"/>
          <w:lang w:val="en-US" w:eastAsia="zh-CN"/>
        </w:rPr>
        <w:t xml:space="preserve"> 15 </w:t>
      </w:r>
      <w:r>
        <w:rPr>
          <w:rFonts w:hint="eastAsia" w:ascii="方正仿宋_GBK" w:hAnsi="方正仿宋_GBK" w:eastAsia="方正仿宋_GBK" w:cs="方正仿宋_GBK"/>
          <w:color w:val="000000"/>
          <w:sz w:val="28"/>
          <w:szCs w:val="28"/>
        </w:rPr>
        <w:t>日，1</w:t>
      </w:r>
      <w:r>
        <w:rPr>
          <w:rFonts w:hint="eastAsia" w:ascii="方正仿宋_GBK" w:hAnsi="方正仿宋_GBK" w:eastAsia="方正仿宋_GBK" w:cs="方正仿宋_GBK"/>
          <w:color w:val="000000"/>
          <w:sz w:val="28"/>
          <w:szCs w:val="28"/>
          <w:lang w:val="en-US" w:eastAsia="zh-CN"/>
        </w:rPr>
        <w:t>0</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30</w:t>
      </w:r>
      <w:r>
        <w:rPr>
          <w:rFonts w:hint="eastAsia" w:ascii="方正仿宋_GBK" w:hAnsi="方正仿宋_GBK" w:eastAsia="方正仿宋_GBK" w:cs="方正仿宋_GBK"/>
          <w:color w:val="000000"/>
          <w:sz w:val="28"/>
          <w:szCs w:val="28"/>
        </w:rPr>
        <w:t xml:space="preserve"> (北京时间)</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sz w:val="28"/>
          <w:szCs w:val="28"/>
        </w:rPr>
        <w:t>3．开标地点：</w:t>
      </w:r>
      <w:r>
        <w:rPr>
          <w:rFonts w:hint="eastAsia" w:ascii="方正仿宋_GBK" w:hAnsi="方正仿宋_GBK" w:eastAsia="方正仿宋_GBK" w:cs="方正仿宋_GBK"/>
          <w:color w:val="000000"/>
          <w:sz w:val="28"/>
          <w:szCs w:val="28"/>
          <w:lang w:val="en-US" w:eastAsia="zh-CN"/>
        </w:rPr>
        <w:t>职培中心</w:t>
      </w:r>
      <w:r>
        <w:rPr>
          <w:rFonts w:hint="eastAsia" w:ascii="方正仿宋_GBK" w:hAnsi="方正仿宋_GBK" w:eastAsia="方正仿宋_GBK" w:cs="方正仿宋_GBK"/>
          <w:color w:val="000000"/>
          <w:sz w:val="28"/>
          <w:szCs w:val="28"/>
        </w:rPr>
        <w:t>综合办公楼51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九</w:t>
      </w:r>
      <w:r>
        <w:rPr>
          <w:rFonts w:hint="eastAsia" w:ascii="黑体" w:hAnsi="黑体" w:eastAsia="黑体" w:cs="黑体"/>
          <w:color w:val="000000" w:themeColor="text1"/>
          <w:sz w:val="32"/>
          <w:szCs w:val="32"/>
          <w14:textFill>
            <w14:solidFill>
              <w14:schemeClr w14:val="tx1"/>
            </w14:solidFill>
          </w14:textFill>
        </w:rPr>
        <w:t>、发布媒介</w:t>
      </w:r>
      <w:r>
        <w:rPr>
          <w:rFonts w:hint="eastAsia" w:ascii="黑体" w:hAnsi="黑体" w:eastAsia="黑体" w:cs="黑体"/>
          <w:color w:val="000000" w:themeColor="text1"/>
          <w:sz w:val="32"/>
          <w:szCs w:val="32"/>
          <w:lang w:val="en-US" w:eastAsia="zh-CN"/>
          <w14:textFill>
            <w14:solidFill>
              <w14:schemeClr w14:val="tx1"/>
            </w14:solidFill>
          </w14:textFill>
        </w:rPr>
        <w:t>及文件获取</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（一）</w:t>
      </w:r>
      <w:r>
        <w:rPr>
          <w:rFonts w:hint="eastAsia" w:ascii="方正仿宋_GBK" w:hAnsi="方正仿宋_GBK" w:eastAsia="方正仿宋_GBK" w:cs="方正仿宋_GBK"/>
          <w:color w:val="000000" w:themeColor="text1"/>
          <w:sz w:val="28"/>
          <w:szCs w:val="28"/>
          <w14:textFill>
            <w14:solidFill>
              <w14:schemeClr w14:val="tx1"/>
            </w14:solidFill>
          </w14:textFill>
        </w:rPr>
        <w:t>本次竞争性</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函文件</w:t>
      </w:r>
      <w:r>
        <w:rPr>
          <w:rFonts w:hint="eastAsia" w:ascii="方正仿宋_GBK" w:hAnsi="方正仿宋_GBK" w:eastAsia="方正仿宋_GBK" w:cs="方正仿宋_GBK"/>
          <w:color w:val="000000" w:themeColor="text1"/>
          <w:sz w:val="28"/>
          <w:szCs w:val="28"/>
          <w14:textFill>
            <w14:solidFill>
              <w14:schemeClr w14:val="tx1"/>
            </w14:solidFill>
          </w14:textFill>
        </w:rPr>
        <w:t>将在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高速集团官网（http://www.cegc.com.cn/gw/newsInfoMenu.html?id=42&amp;key=2）、重庆高速公路集团有限公司招投标管理平台（http://112.35.165.219:8088/PMS/#）上发布的本项目竞争性比选公告中的获取方式（链接）自行下载。不管投标人是否下载，均视为已知晓竞争性比选文件的全部内容和有关事宜。本项目不需要报名，直接投标 。</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（二）竞争性比选公告及结果公示将在重庆高速集团官网（http://www.cegc.com.cn/gw/newsInfoMenu.html?id=42&amp;key=2）、重庆高速公路集团有限公司招投标管理平台（http://112.35.165.219:8088/PMS/#）上发布。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十</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 xml:space="preserve">周老师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pStyle w:val="10"/>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rPr>
      </w:pPr>
    </w:p>
    <w:p>
      <w:pPr>
        <w:jc w:val="center"/>
        <w:rPr>
          <w:rFonts w:hint="eastAsia"/>
          <w:bCs/>
          <w:sz w:val="36"/>
          <w:szCs w:val="36"/>
          <w:lang w:val="en-US" w:eastAsia="zh-CN"/>
        </w:rPr>
      </w:pPr>
      <w:r>
        <w:rPr>
          <w:rFonts w:hint="eastAsia"/>
          <w:bCs/>
          <w:sz w:val="36"/>
          <w:szCs w:val="36"/>
          <w:lang w:val="en-US" w:eastAsia="zh-CN"/>
        </w:rPr>
        <w:t>重庆市交通行业职业培训中心有限责任公司</w:t>
      </w:r>
    </w:p>
    <w:p>
      <w:pPr>
        <w:jc w:val="center"/>
        <w:rPr>
          <w:rFonts w:hint="eastAsia"/>
          <w:bCs/>
          <w:sz w:val="36"/>
          <w:szCs w:val="36"/>
        </w:rPr>
      </w:pPr>
      <w:r>
        <w:rPr>
          <w:rFonts w:hint="eastAsia"/>
          <w:bCs/>
          <w:sz w:val="36"/>
          <w:szCs w:val="36"/>
          <w:lang w:val="en-US" w:eastAsia="zh-CN"/>
        </w:rPr>
        <w:t>餐饮中心肉类、水产、家禽、冷冻食品</w:t>
      </w:r>
      <w:r>
        <w:rPr>
          <w:rFonts w:hint="eastAsia"/>
          <w:bCs/>
          <w:sz w:val="36"/>
          <w:szCs w:val="36"/>
        </w:rPr>
        <w:t>配送服务合同</w:t>
      </w:r>
    </w:p>
    <w:p>
      <w:pPr>
        <w:jc w:val="center"/>
        <w:rPr>
          <w:rFonts w:hint="eastAsia"/>
          <w:bCs/>
          <w:sz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甲方：重庆市交通行业职业培训中心有限责任公司（以下简你“甲方”）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乙方：</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 xml:space="preserve"> （以下简你“乙方”）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400" w:lineRule="exact"/>
        <w:ind w:left="0" w:leftChars="0" w:right="0" w:righ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sz w:val="24"/>
          <w:szCs w:val="24"/>
        </w:rPr>
        <w:t>根据《中华人民共和国民法典》</w:t>
      </w:r>
      <w:r>
        <w:rPr>
          <w:rFonts w:hint="eastAsia" w:ascii="宋体" w:hAnsi="宋体" w:eastAsia="宋体" w:cs="宋体"/>
          <w:bCs/>
          <w:sz w:val="24"/>
          <w:szCs w:val="24"/>
          <w:lang w:val="en-US" w:eastAsia="zh-CN"/>
        </w:rPr>
        <w:t>和</w:t>
      </w:r>
      <w:r>
        <w:rPr>
          <w:rFonts w:hint="eastAsia" w:ascii="宋体" w:hAnsi="宋体" w:eastAsia="宋体" w:cs="宋体"/>
          <w:bCs/>
          <w:sz w:val="24"/>
          <w:szCs w:val="24"/>
        </w:rPr>
        <w:t>《中华人民共和国食品安全法》及其他相关法律法规，经甲、乙双方平等协商</w:t>
      </w:r>
      <w:r>
        <w:rPr>
          <w:rFonts w:hint="eastAsia" w:ascii="宋体" w:hAnsi="宋体" w:eastAsia="宋体" w:cs="宋体"/>
          <w:bCs/>
          <w:color w:val="auto"/>
          <w:sz w:val="24"/>
          <w:szCs w:val="24"/>
        </w:rPr>
        <w:t>一致，签订本合同。</w:t>
      </w:r>
    </w:p>
    <w:p>
      <w:pPr>
        <w:keepNext w:val="0"/>
        <w:keepLines w:val="0"/>
        <w:pageBreakBefore w:val="0"/>
        <w:widowControl w:val="0"/>
        <w:numPr>
          <w:ilvl w:val="0"/>
          <w:numId w:val="2"/>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  项目概况</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 w:val="0"/>
          <w:bCs w:val="0"/>
          <w:kern w:val="0"/>
          <w:sz w:val="24"/>
          <w:szCs w:val="24"/>
          <w:lang w:val="en-US" w:eastAsia="zh-CN"/>
        </w:rPr>
        <w:t xml:space="preserve">    1.</w:t>
      </w:r>
      <w:r>
        <w:rPr>
          <w:rFonts w:hint="eastAsia" w:ascii="宋体" w:hAnsi="宋体" w:eastAsia="宋体" w:cs="宋体"/>
          <w:bCs/>
          <w:color w:val="auto"/>
          <w:sz w:val="24"/>
          <w:szCs w:val="24"/>
        </w:rPr>
        <w:t>乙方根据甲方要求，为甲方提供</w:t>
      </w:r>
      <w:r>
        <w:rPr>
          <w:rFonts w:hint="eastAsia" w:ascii="宋体" w:hAnsi="宋体" w:eastAsia="宋体" w:cs="宋体"/>
          <w:bCs/>
          <w:color w:val="auto"/>
          <w:sz w:val="24"/>
          <w:szCs w:val="24"/>
          <w:u w:val="single"/>
          <w:lang w:val="en-US" w:eastAsia="zh-CN"/>
        </w:rPr>
        <w:t>肉类、水产、家禽、冷冻食品</w:t>
      </w:r>
      <w:r>
        <w:rPr>
          <w:rFonts w:hint="eastAsia" w:ascii="宋体" w:hAnsi="宋体" w:eastAsia="宋体" w:cs="宋体"/>
          <w:bCs/>
          <w:color w:val="auto"/>
          <w:sz w:val="24"/>
          <w:szCs w:val="24"/>
        </w:rPr>
        <w:t>等配送服务。</w:t>
      </w:r>
    </w:p>
    <w:p>
      <w:pPr>
        <w:keepNext w:val="0"/>
        <w:keepLines w:val="0"/>
        <w:pageBreakBefore w:val="0"/>
        <w:widowControl w:val="0"/>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2.</w:t>
      </w:r>
      <w:r>
        <w:rPr>
          <w:rFonts w:hint="eastAsia" w:ascii="宋体" w:hAnsi="宋体" w:eastAsia="宋体" w:cs="宋体"/>
          <w:bCs/>
          <w:color w:val="auto"/>
          <w:sz w:val="24"/>
          <w:szCs w:val="24"/>
        </w:rPr>
        <w:t>配送期限自</w:t>
      </w:r>
      <w:r>
        <w:rPr>
          <w:rFonts w:hint="eastAsia" w:ascii="宋体" w:hAnsi="宋体" w:eastAsia="宋体" w:cs="宋体"/>
          <w:bCs/>
          <w:color w:val="auto"/>
          <w:sz w:val="24"/>
          <w:szCs w:val="24"/>
          <w:u w:val="single"/>
        </w:rPr>
        <w:t>202</w:t>
      </w:r>
      <w:r>
        <w:rPr>
          <w:rFonts w:hint="eastAsia" w:ascii="宋体" w:hAnsi="宋体" w:eastAsia="宋体" w:cs="宋体"/>
          <w:bCs/>
          <w:color w:val="auto"/>
          <w:sz w:val="24"/>
          <w:szCs w:val="24"/>
          <w:u w:val="single"/>
          <w:lang w:val="en-US" w:eastAsia="zh-CN"/>
        </w:rPr>
        <w:t>2</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日至</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w:t>
      </w:r>
      <w:r>
        <w:rPr>
          <w:rFonts w:hint="eastAsia" w:ascii="宋体" w:hAnsi="宋体" w:eastAsia="宋体" w:cs="宋体"/>
          <w:bCs/>
          <w:color w:val="auto"/>
          <w:sz w:val="24"/>
          <w:szCs w:val="24"/>
        </w:rPr>
        <w:t>。</w:t>
      </w:r>
    </w:p>
    <w:p>
      <w:pPr>
        <w:pStyle w:val="10"/>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w:t>
      </w:r>
      <w:r>
        <w:rPr>
          <w:rFonts w:hint="eastAsia" w:ascii="宋体" w:hAnsi="宋体" w:cs="宋体"/>
          <w:bCs/>
          <w:color w:val="auto"/>
          <w:sz w:val="24"/>
          <w:szCs w:val="24"/>
          <w:lang w:val="en-US" w:eastAsia="zh-CN"/>
        </w:rPr>
        <w:t xml:space="preserve"> </w:t>
      </w:r>
      <w:r>
        <w:rPr>
          <w:rFonts w:hint="eastAsia" w:ascii="宋体" w:hAnsi="宋体" w:eastAsia="宋体" w:cs="宋体"/>
          <w:bCs/>
          <w:color w:val="auto"/>
          <w:sz w:val="24"/>
          <w:szCs w:val="24"/>
          <w:lang w:val="en-US" w:eastAsia="zh-CN"/>
        </w:rPr>
        <w:t xml:space="preserve"> 3</w:t>
      </w:r>
      <w:r>
        <w:rPr>
          <w:rFonts w:hint="eastAsia" w:ascii="宋体" w:hAnsi="宋体" w:cs="宋体"/>
          <w:bCs/>
          <w:color w:val="auto"/>
          <w:sz w:val="24"/>
          <w:szCs w:val="24"/>
          <w:lang w:val="en-US" w:eastAsia="zh-CN"/>
        </w:rPr>
        <w:t>.</w:t>
      </w:r>
      <w:r>
        <w:rPr>
          <w:rFonts w:hint="eastAsia" w:ascii="宋体" w:hAnsi="宋体" w:eastAsia="宋体" w:cs="宋体"/>
          <w:kern w:val="0"/>
          <w:sz w:val="24"/>
          <w:szCs w:val="24"/>
          <w:lang w:val="en-US" w:eastAsia="zh-CN" w:bidi="ar"/>
        </w:rPr>
        <w:t>下浮比例值</w:t>
      </w:r>
      <w:r>
        <w:rPr>
          <w:rFonts w:hint="eastAsia" w:ascii="宋体" w:hAnsi="宋体" w:cs="宋体"/>
          <w:kern w:val="0"/>
          <w:sz w:val="24"/>
          <w:szCs w:val="24"/>
          <w:u w:val="single"/>
          <w:lang w:val="en-US" w:eastAsia="zh-CN" w:bidi="ar"/>
        </w:rPr>
        <w:t xml:space="preserve"> </w:t>
      </w:r>
      <w:r>
        <w:rPr>
          <w:rFonts w:hint="eastAsia" w:hAnsi="宋体" w:cs="宋体"/>
          <w:kern w:val="0"/>
          <w:sz w:val="24"/>
          <w:szCs w:val="24"/>
          <w:u w:val="single"/>
          <w:lang w:val="en-US" w:eastAsia="zh-CN" w:bidi="ar"/>
        </w:rPr>
        <w:t xml:space="preserve">    </w:t>
      </w:r>
      <w:r>
        <w:rPr>
          <w:rFonts w:hint="eastAsia" w:ascii="宋体" w:hAnsi="宋体" w:cs="宋体"/>
          <w:kern w:val="0"/>
          <w:sz w:val="24"/>
          <w:szCs w:val="24"/>
          <w:u w:val="single"/>
          <w:lang w:val="en-US" w:eastAsia="zh-CN" w:bidi="ar"/>
        </w:rPr>
        <w:t xml:space="preserve"> </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
          <w:bCs w:val="0"/>
          <w:color w:val="auto"/>
          <w:sz w:val="24"/>
          <w:szCs w:val="24"/>
        </w:rPr>
        <w:t>第</w:t>
      </w:r>
      <w:r>
        <w:rPr>
          <w:rFonts w:hint="eastAsia" w:ascii="宋体" w:hAnsi="宋体" w:eastAsia="宋体" w:cs="宋体"/>
          <w:b/>
          <w:bCs w:val="0"/>
          <w:color w:val="auto"/>
          <w:sz w:val="24"/>
          <w:szCs w:val="24"/>
          <w:lang w:val="en-US" w:eastAsia="zh-CN"/>
        </w:rPr>
        <w:t>二</w:t>
      </w:r>
      <w:r>
        <w:rPr>
          <w:rFonts w:hint="eastAsia" w:ascii="宋体" w:hAnsi="宋体" w:eastAsia="宋体" w:cs="宋体"/>
          <w:b/>
          <w:bCs w:val="0"/>
          <w:color w:val="auto"/>
          <w:sz w:val="24"/>
          <w:szCs w:val="24"/>
        </w:rPr>
        <w:t>条  双方权力和义务</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1.</w:t>
      </w:r>
      <w:r>
        <w:rPr>
          <w:rFonts w:hint="eastAsia" w:ascii="宋体" w:hAnsi="宋体" w:eastAsia="宋体" w:cs="宋体"/>
          <w:bCs/>
          <w:color w:val="auto"/>
          <w:sz w:val="24"/>
          <w:szCs w:val="24"/>
        </w:rPr>
        <w:t>在订立本合同时，乙方须向甲方缴纳履约保证金</w:t>
      </w:r>
      <w:r>
        <w:rPr>
          <w:rFonts w:hint="eastAsia" w:ascii="宋体" w:hAnsi="宋体" w:eastAsia="宋体" w:cs="宋体"/>
          <w:b w:val="0"/>
          <w:bCs/>
          <w:color w:val="auto"/>
          <w:sz w:val="24"/>
          <w:szCs w:val="24"/>
          <w:u w:val="single"/>
        </w:rPr>
        <w:t>¥</w:t>
      </w:r>
      <w:r>
        <w:rPr>
          <w:rFonts w:hint="eastAsia" w:ascii="宋体" w:hAnsi="宋体" w:eastAsia="宋体" w:cs="宋体"/>
          <w:bCs/>
          <w:color w:val="auto"/>
          <w:sz w:val="24"/>
          <w:szCs w:val="24"/>
          <w:u w:val="single"/>
          <w:lang w:val="en-US" w:eastAsia="zh-CN"/>
        </w:rPr>
        <w:t>10000</w:t>
      </w:r>
      <w:r>
        <w:rPr>
          <w:rFonts w:hint="eastAsia" w:ascii="宋体" w:hAnsi="宋体" w:eastAsia="宋体" w:cs="宋体"/>
          <w:bCs/>
          <w:color w:val="auto"/>
          <w:sz w:val="24"/>
          <w:szCs w:val="24"/>
          <w:u w:val="single"/>
        </w:rPr>
        <w:t>.00</w:t>
      </w:r>
      <w:r>
        <w:rPr>
          <w:rFonts w:hint="eastAsia" w:ascii="宋体" w:hAnsi="宋体" w:eastAsia="宋体" w:cs="宋体"/>
          <w:bCs/>
          <w:color w:val="auto"/>
          <w:sz w:val="24"/>
          <w:szCs w:val="24"/>
        </w:rPr>
        <w:t>元（大写</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壹</w:t>
      </w:r>
      <w:r>
        <w:rPr>
          <w:rFonts w:hint="eastAsia" w:ascii="宋体" w:hAnsi="宋体" w:eastAsia="宋体" w:cs="宋体"/>
          <w:bCs/>
          <w:color w:val="auto"/>
          <w:sz w:val="24"/>
          <w:szCs w:val="24"/>
        </w:rPr>
        <w:t>万元）整。</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2.乙方</w:t>
      </w:r>
      <w:r>
        <w:rPr>
          <w:rFonts w:hint="eastAsia" w:ascii="宋体" w:hAnsi="宋体" w:eastAsia="宋体" w:cs="宋体"/>
          <w:bCs/>
          <w:sz w:val="24"/>
          <w:szCs w:val="24"/>
        </w:rPr>
        <w:t>全年365天向</w:t>
      </w:r>
      <w:r>
        <w:rPr>
          <w:rFonts w:hint="eastAsia" w:ascii="宋体" w:hAnsi="宋体" w:eastAsia="宋体" w:cs="宋体"/>
          <w:bCs/>
          <w:sz w:val="24"/>
          <w:szCs w:val="24"/>
          <w:lang w:val="en-US" w:eastAsia="zh-CN"/>
        </w:rPr>
        <w:t>甲方餐饮中心</w:t>
      </w:r>
      <w:r>
        <w:rPr>
          <w:rFonts w:hint="eastAsia" w:ascii="宋体" w:hAnsi="宋体" w:eastAsia="宋体" w:cs="宋体"/>
          <w:bCs/>
          <w:sz w:val="24"/>
          <w:szCs w:val="24"/>
        </w:rPr>
        <w:t>提供</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配送</w:t>
      </w:r>
      <w:r>
        <w:rPr>
          <w:rFonts w:hint="eastAsia" w:ascii="宋体" w:hAnsi="宋体" w:eastAsia="宋体" w:cs="宋体"/>
          <w:bCs/>
          <w:sz w:val="24"/>
          <w:szCs w:val="24"/>
          <w:lang w:val="en-US" w:eastAsia="zh-CN"/>
        </w:rPr>
        <w:t>服务</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配送地点：重庆市璧山区璧城街道璧渝路329号。</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4.</w:t>
      </w:r>
      <w:r>
        <w:rPr>
          <w:rFonts w:hint="eastAsia" w:ascii="宋体" w:hAnsi="宋体" w:eastAsia="宋体" w:cs="宋体"/>
          <w:bCs/>
          <w:sz w:val="24"/>
          <w:szCs w:val="24"/>
        </w:rPr>
        <w:t>配送时间：配送时间为供货日上午8：00前到达</w:t>
      </w:r>
      <w:r>
        <w:rPr>
          <w:rFonts w:hint="eastAsia" w:ascii="宋体" w:hAnsi="宋体" w:eastAsia="宋体" w:cs="宋体"/>
          <w:bCs/>
          <w:sz w:val="24"/>
          <w:szCs w:val="24"/>
          <w:lang w:eastAsia="zh-CN"/>
        </w:rPr>
        <w:t>甲</w:t>
      </w:r>
      <w:r>
        <w:rPr>
          <w:rFonts w:hint="eastAsia" w:ascii="宋体" w:hAnsi="宋体" w:eastAsia="宋体" w:cs="宋体"/>
          <w:bCs/>
          <w:sz w:val="24"/>
          <w:szCs w:val="24"/>
          <w:lang w:val="en-US" w:eastAsia="zh-CN"/>
        </w:rPr>
        <w:t>方</w:t>
      </w:r>
      <w:r>
        <w:rPr>
          <w:rFonts w:hint="eastAsia" w:ascii="宋体" w:hAnsi="宋体" w:eastAsia="宋体" w:cs="宋体"/>
          <w:bCs/>
          <w:sz w:val="24"/>
          <w:szCs w:val="24"/>
        </w:rPr>
        <w:t>指定地点（职培中心餐饮中心一楼）。如</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需要临时补货、换货，</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在接到</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通知后1小时内及时将货品送达</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餐饮中心不另收取运费和附加费用。</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5.</w:t>
      </w:r>
      <w:r>
        <w:rPr>
          <w:rFonts w:hint="eastAsia" w:ascii="宋体" w:hAnsi="宋体" w:eastAsia="宋体" w:cs="宋体"/>
          <w:bCs/>
          <w:sz w:val="24"/>
          <w:szCs w:val="24"/>
        </w:rPr>
        <w:t>配送流程：</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将第二天所需</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明细清单于开单日下午15：30前报给</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供货日将净重肉类、水产、家禽、冷冻食品交甲方指定人员称重验收，肉类、水产、家禽、冷冻食品单品上下浮动重量应控制在该肉类、水产、家禽、冷冻食品报单数量的5%以内（不能分零肉类、水产、家禽、冷冻食品除外）</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尽量保证向</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提供全项单品，如无法满足，需在开单日下午18：00前与</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联系并经</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确认，应保证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对菜品的要求，如需稀缺单品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应提前告知</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备货，三次缺货或</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质量出现严重问题</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有权终止合同。</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6.</w:t>
      </w:r>
      <w:r>
        <w:rPr>
          <w:rFonts w:hint="eastAsia" w:ascii="宋体" w:hAnsi="宋体" w:eastAsia="宋体" w:cs="宋体"/>
          <w:bCs/>
          <w:sz w:val="24"/>
          <w:szCs w:val="24"/>
        </w:rPr>
        <w:t>物资要求：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所供</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需有重庆市专业权威机构出具的药检证明</w:t>
      </w:r>
      <w:r>
        <w:rPr>
          <w:rFonts w:hint="eastAsia" w:ascii="宋体" w:hAnsi="宋体" w:eastAsia="宋体" w:cs="宋体"/>
          <w:bCs/>
          <w:sz w:val="24"/>
          <w:szCs w:val="24"/>
          <w:lang w:val="en-US" w:eastAsia="zh-CN"/>
        </w:rPr>
        <w:t>农残检测</w:t>
      </w:r>
      <w:r>
        <w:rPr>
          <w:rFonts w:hint="eastAsia" w:ascii="宋体" w:hAnsi="宋体" w:eastAsia="宋体" w:cs="宋体"/>
          <w:bCs/>
          <w:sz w:val="24"/>
          <w:szCs w:val="24"/>
        </w:rPr>
        <w:t>证明，应保证</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净重使用率在90%以上，禁止供应水泡和变质</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7.</w:t>
      </w:r>
      <w:r>
        <w:rPr>
          <w:rFonts w:hint="eastAsia" w:ascii="宋体" w:hAnsi="宋体" w:eastAsia="宋体" w:cs="宋体"/>
          <w:bCs/>
          <w:sz w:val="24"/>
          <w:szCs w:val="24"/>
        </w:rPr>
        <w:t>复核要求：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应于每次送货时提供送货单，每次送货时由双方共同核对来货数量、金额，并由职培中心签字确认后双方留档。</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宋体" w:hAnsi="宋体" w:eastAsia="宋体" w:cs="宋体"/>
          <w:bCs/>
          <w:sz w:val="24"/>
          <w:szCs w:val="24"/>
          <w:lang w:val="en-US" w:eastAsia="zh-CN"/>
        </w:rPr>
        <w:t xml:space="preserve">    8.</w:t>
      </w:r>
      <w:r>
        <w:rPr>
          <w:rFonts w:hint="eastAsia" w:ascii="宋体" w:hAnsi="宋体" w:eastAsia="宋体" w:cs="宋体"/>
          <w:bCs/>
          <w:sz w:val="24"/>
          <w:szCs w:val="24"/>
        </w:rPr>
        <w:t>问题处理：如发现有质量问题，</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应立即退换不合格货品，因质量问题造成人身损害，经国家相关部门鉴定后，确系</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所提供货品造成的，由</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按国家相关标准承担法律责任和赔偿责任，并赔偿由此给</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造成的一切损失。如发现所供商品中有质量问题或缺斤少两的情况，</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应按照所供有问题供货价值的3倍给予赔偿并立即退换不合格商品。</w:t>
      </w:r>
      <w:r>
        <w:rPr>
          <w:rFonts w:hint="eastAsia" w:ascii="Calibri"/>
          <w:sz w:val="24"/>
          <w:szCs w:val="24"/>
        </w:rPr>
        <w:t>缺少货品超过甲方清单列举货品30%及以上，乙方除及时补齐相应货品外，还需向甲方承担因乙方缺货造成的全部损失（包括但不限于甲方因不能及时提供相关食品承担的与第三方的违约责任）。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Calibri" w:hAnsi="宋体" w:eastAsia="宋体" w:cs="宋体"/>
          <w:bCs/>
          <w:sz w:val="24"/>
          <w:szCs w:val="24"/>
          <w:lang w:val="en-US" w:eastAsia="zh-CN"/>
        </w:rPr>
        <w:t xml:space="preserve">   9.</w:t>
      </w:r>
      <w:r>
        <w:rPr>
          <w:rFonts w:hint="eastAsia" w:ascii="Calibri" w:hAnsi="宋体" w:eastAsia="宋体" w:cs="宋体"/>
          <w:bCs/>
          <w:sz w:val="24"/>
          <w:szCs w:val="24"/>
        </w:rPr>
        <w:t>食品质量：因食品质量问题出现中毒等事故，由</w:t>
      </w:r>
      <w:r>
        <w:rPr>
          <w:rFonts w:hint="eastAsia" w:ascii="Calibri" w:hAnsi="宋体" w:eastAsia="宋体" w:cs="宋体"/>
          <w:bCs/>
          <w:sz w:val="24"/>
          <w:szCs w:val="24"/>
          <w:lang w:val="en-US" w:eastAsia="zh-CN"/>
        </w:rPr>
        <w:t>乙方</w:t>
      </w:r>
      <w:r>
        <w:rPr>
          <w:rFonts w:hint="eastAsia" w:ascii="Calibri" w:hAnsi="宋体" w:eastAsia="宋体" w:cs="宋体"/>
          <w:bCs/>
          <w:sz w:val="24"/>
          <w:szCs w:val="24"/>
        </w:rPr>
        <w:t>承担经济赔偿责任以及其它法律责任。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10.</w:t>
      </w:r>
      <w:r>
        <w:rPr>
          <w:rFonts w:hint="eastAsia" w:ascii="宋体" w:hAnsi="宋体" w:eastAsia="宋体" w:cs="宋体"/>
          <w:bCs/>
          <w:sz w:val="24"/>
          <w:szCs w:val="24"/>
        </w:rPr>
        <w:t>市场采价</w:t>
      </w:r>
      <w:r>
        <w:rPr>
          <w:rFonts w:hint="eastAsia" w:ascii="宋体" w:hAnsi="宋体" w:eastAsia="宋体" w:cs="宋体"/>
          <w:bCs/>
          <w:sz w:val="24"/>
          <w:szCs w:val="24"/>
          <w:lang w:val="en-US" w:eastAsia="zh-CN"/>
        </w:rPr>
        <w:t>及单价确定</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乙方提供每日菜品单价清单，甲方根据实际情况每月分两次到璧山重百超市进行采价，结算单价=两次采价均值*下浮比例值。</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11.结算方式：实行月结费用方式，当月产生的费用，在次月进行核对，并在第三个月支付。结算金额=货物数量*结算单价。</w:t>
      </w:r>
    </w:p>
    <w:p>
      <w:pPr>
        <w:pStyle w:val="10"/>
        <w:rPr>
          <w:rFonts w:hint="eastAsia" w:ascii="宋体" w:hAnsi="宋体" w:eastAsia="宋体" w:cs="宋体"/>
          <w:bCs/>
          <w:sz w:val="24"/>
          <w:szCs w:val="24"/>
        </w:rPr>
      </w:pPr>
      <w:r>
        <w:rPr>
          <w:rFonts w:hint="eastAsia" w:hAnsi="宋体" w:eastAsia="宋体" w:cs="宋体"/>
          <w:bCs/>
          <w:sz w:val="24"/>
          <w:szCs w:val="24"/>
          <w:lang w:val="en-US" w:eastAsia="zh-CN"/>
        </w:rPr>
        <w:t xml:space="preserve">   12.在合同期内，乙方应严格按照本合同内的下浮比例值执行，若乙方未按照下浮比例值执行，甲方有权解除合同，并拒绝退还履约保证金，同时乙方因承担由此给甲方带来的一切损失（</w:t>
      </w:r>
      <w:r>
        <w:rPr>
          <w:rFonts w:hint="eastAsia" w:ascii="Calibri"/>
          <w:sz w:val="24"/>
          <w:szCs w:val="24"/>
        </w:rPr>
        <w:t>包括但不限于甲方因不能及时提供相关食品承担的与第三方的违约责任</w:t>
      </w:r>
      <w:r>
        <w:rPr>
          <w:rFonts w:hint="eastAsia" w:ascii="Calibri"/>
          <w:sz w:val="24"/>
          <w:szCs w:val="24"/>
          <w:lang w:eastAsia="zh-CN"/>
        </w:rPr>
        <w:t>）。</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
          <w:bCs w:val="0"/>
          <w:sz w:val="24"/>
          <w:szCs w:val="24"/>
        </w:rPr>
      </w:pPr>
      <w:r>
        <w:rPr>
          <w:rFonts w:hint="eastAsia" w:ascii="宋体" w:hAnsi="宋体" w:eastAsia="宋体" w:cs="宋体"/>
          <w:b/>
          <w:bCs w:val="0"/>
          <w:sz w:val="24"/>
          <w:szCs w:val="24"/>
        </w:rPr>
        <w:t>第</w:t>
      </w:r>
      <w:r>
        <w:rPr>
          <w:rFonts w:hint="eastAsia" w:ascii="宋体" w:hAnsi="宋体" w:eastAsia="宋体" w:cs="宋体"/>
          <w:b/>
          <w:bCs w:val="0"/>
          <w:sz w:val="24"/>
          <w:szCs w:val="24"/>
          <w:lang w:val="en-US" w:eastAsia="zh-CN"/>
        </w:rPr>
        <w:t>三</w:t>
      </w:r>
      <w:r>
        <w:rPr>
          <w:rFonts w:hint="eastAsia" w:ascii="宋体" w:hAnsi="宋体" w:eastAsia="宋体" w:cs="宋体"/>
          <w:b/>
          <w:bCs w:val="0"/>
          <w:sz w:val="24"/>
          <w:szCs w:val="24"/>
        </w:rPr>
        <w:t>条  其他约定</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1.</w:t>
      </w:r>
      <w:r>
        <w:rPr>
          <w:rFonts w:hint="eastAsia" w:ascii="宋体" w:hAnsi="宋体" w:eastAsia="宋体" w:cs="宋体"/>
          <w:bCs/>
          <w:sz w:val="24"/>
          <w:szCs w:val="24"/>
        </w:rPr>
        <w:t>本合同自双方签字盖章之日起生效。在本合同期内，未经双方同意或其他法定事由，任何一方不得变更或中途解除合同。</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w:t>
      </w:r>
      <w:r>
        <w:rPr>
          <w:rFonts w:hint="eastAsia" w:ascii="宋体" w:hAnsi="宋体" w:eastAsia="宋体" w:cs="宋体"/>
          <w:bCs/>
          <w:sz w:val="24"/>
          <w:szCs w:val="24"/>
        </w:rPr>
        <w:t>如有未尽事宜，经甲乙双方协商，签订补充合同，与本合同具有同等法律效力。双方确认的订货单或传真件等均为本合同的有效组成部分。</w:t>
      </w:r>
      <w:r>
        <w:rPr>
          <w:rFonts w:hint="eastAsia" w:ascii="宋体" w:hAnsi="宋体" w:eastAsia="宋体" w:cs="宋体"/>
          <w:bCs/>
          <w:sz w:val="24"/>
          <w:szCs w:val="24"/>
          <w:lang w:eastAsia="zh-CN"/>
        </w:rPr>
        <w:t>协商不成，由甲方所在地人民法院管辖。</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双方来往函件，按照合同规定的地址以快递方式送达对方。如因地址、电话、传真号有变更时，应在变更后的</w:t>
      </w:r>
      <w:r>
        <w:rPr>
          <w:rFonts w:hint="eastAsia" w:ascii="宋体" w:hAnsi="宋体" w:eastAsia="宋体" w:cs="宋体"/>
          <w:bCs/>
          <w:sz w:val="24"/>
          <w:szCs w:val="24"/>
          <w:u w:val="single"/>
        </w:rPr>
        <w:t>24</w:t>
      </w:r>
      <w:r>
        <w:rPr>
          <w:rFonts w:hint="eastAsia" w:ascii="宋体" w:hAnsi="宋体" w:eastAsia="宋体" w:cs="宋体"/>
          <w:bCs/>
          <w:sz w:val="24"/>
          <w:szCs w:val="24"/>
        </w:rPr>
        <w:t>小时内书面通知对方。若因一方未履行通知义务而给另一双造成损失的，由未履行通知义务的一方承担违约的相关责任。</w:t>
      </w:r>
    </w:p>
    <w:p>
      <w:pPr>
        <w:keepNext w:val="0"/>
        <w:keepLines w:val="0"/>
        <w:pageBreakBefore w:val="0"/>
        <w:widowControl w:val="0"/>
        <w:kinsoku/>
        <w:wordWrap/>
        <w:overflowPunct/>
        <w:topLinePunct w:val="0"/>
        <w:bidi w:val="0"/>
        <w:snapToGrid/>
        <w:spacing w:line="400" w:lineRule="exact"/>
        <w:ind w:left="0" w:leftChars="0" w:right="0" w:rightChars="0" w:firstLine="48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本合同</w:t>
      </w:r>
      <w:r>
        <w:rPr>
          <w:rFonts w:hint="eastAsia" w:ascii="宋体" w:hAnsi="宋体" w:eastAsia="宋体" w:cs="宋体"/>
          <w:bCs/>
          <w:sz w:val="24"/>
          <w:szCs w:val="24"/>
          <w:u w:val="single"/>
        </w:rPr>
        <w:t>一式</w:t>
      </w:r>
      <w:r>
        <w:rPr>
          <w:rFonts w:hint="eastAsia" w:ascii="宋体" w:hAnsi="宋体" w:eastAsia="宋体" w:cs="宋体"/>
          <w:bCs/>
          <w:sz w:val="24"/>
          <w:szCs w:val="24"/>
          <w:u w:val="single"/>
          <w:lang w:val="en-US" w:eastAsia="zh-CN"/>
        </w:rPr>
        <w:t>肆</w:t>
      </w:r>
      <w:r>
        <w:rPr>
          <w:rFonts w:hint="eastAsia" w:ascii="宋体" w:hAnsi="宋体" w:eastAsia="宋体" w:cs="宋体"/>
          <w:bCs/>
          <w:sz w:val="24"/>
          <w:szCs w:val="24"/>
          <w:u w:val="single"/>
        </w:rPr>
        <w:t>份，甲方执</w:t>
      </w:r>
      <w:r>
        <w:rPr>
          <w:rFonts w:hint="eastAsia" w:ascii="宋体" w:hAnsi="宋体" w:eastAsia="宋体" w:cs="宋体"/>
          <w:bCs/>
          <w:sz w:val="24"/>
          <w:szCs w:val="24"/>
          <w:u w:val="single"/>
          <w:lang w:val="en-US" w:eastAsia="zh-CN"/>
        </w:rPr>
        <w:t>贰</w:t>
      </w:r>
      <w:r>
        <w:rPr>
          <w:rFonts w:hint="eastAsia" w:ascii="宋体" w:hAnsi="宋体" w:eastAsia="宋体" w:cs="宋体"/>
          <w:bCs/>
          <w:sz w:val="24"/>
          <w:szCs w:val="24"/>
          <w:u w:val="single"/>
        </w:rPr>
        <w:t>份，乙方执贰份</w:t>
      </w:r>
      <w:r>
        <w:rPr>
          <w:rFonts w:hint="eastAsia" w:ascii="宋体" w:hAnsi="宋体" w:eastAsia="宋体" w:cs="宋体"/>
          <w:bCs/>
          <w:sz w:val="24"/>
          <w:szCs w:val="24"/>
        </w:rPr>
        <w:t>。经双方签字盖章生效后，具同等法律效力。</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甲方（盖章）                               乙方（盖章）</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签约代表：                                 签约代表：</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left="6000" w:right="0" w:rightChars="0" w:hanging="6000" w:hangingChars="25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地址：</w:t>
      </w:r>
      <w:r>
        <w:rPr>
          <w:rFonts w:hint="eastAsia" w:ascii="宋体" w:hAnsi="宋体" w:eastAsia="宋体" w:cs="宋体"/>
          <w:bCs/>
          <w:sz w:val="24"/>
          <w:szCs w:val="24"/>
          <w:lang w:val="en-US" w:eastAsia="zh-CN"/>
        </w:rPr>
        <w:t xml:space="preserve">重庆市璧山区璧渝路329号 </w:t>
      </w: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地址：</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rPr>
        <w:t>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                  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w:t>
      </w: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r>
        <w:rPr>
          <w:rFonts w:hint="eastAsia" w:ascii="宋体" w:hAnsi="宋体"/>
          <w:b/>
          <w:color w:val="000000" w:themeColor="text1"/>
          <w:sz w:val="24"/>
          <w:szCs w:val="24"/>
          <w:lang w:eastAsia="zh-CN"/>
          <w14:textFill>
            <w14:solidFill>
              <w14:schemeClr w14:val="tx1"/>
            </w14:solidFill>
          </w14:textFill>
        </w:rPr>
        <w:t>投标</w:t>
      </w:r>
      <w:r>
        <w:rPr>
          <w:rFonts w:hint="eastAsia" w:ascii="宋体" w:hAnsi="宋体"/>
          <w:b/>
          <w:color w:val="000000" w:themeColor="text1"/>
          <w:sz w:val="24"/>
          <w:szCs w:val="24"/>
          <w14:textFill>
            <w14:solidFill>
              <w14:schemeClr w14:val="tx1"/>
            </w14:solidFill>
          </w14:textFill>
        </w:rPr>
        <w:t>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重庆市交通行业职业培训中心有限责任公司餐饮中心肉类、水产、家禽、冷冻食品</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文件</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lang w:eastAsia="zh-CN"/>
          <w14:textFill>
            <w14:solidFill>
              <w14:schemeClr w14:val="tx1"/>
            </w14:solidFill>
          </w14:textFill>
        </w:rPr>
        <w:t>投标</w:t>
      </w: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rPr>
          <w:rFonts w:asciiTheme="minorEastAsia" w:hAnsiTheme="minorEastAsia"/>
          <w:b/>
          <w:color w:val="000000" w:themeColor="text1"/>
          <w14:textFill>
            <w14:solidFill>
              <w14:schemeClr w14:val="tx1"/>
            </w14:solidFill>
          </w14:textFill>
        </w:rPr>
      </w:pPr>
    </w:p>
    <w:p>
      <w:pPr>
        <w:pStyle w:val="10"/>
      </w:pPr>
    </w:p>
    <w:p>
      <w:pPr>
        <w:numPr>
          <w:ilvl w:val="0"/>
          <w:numId w:val="3"/>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10"/>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重庆市交通行业职业培训中心有限责任公司餐饮中心肉类、水产、家禽、冷冻食品</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配送服务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rPr>
          <w:rFonts w:ascii="宋体" w:hAnsi="宋体"/>
          <w:b/>
          <w:szCs w:val="21"/>
        </w:rPr>
      </w:pPr>
      <w:r>
        <w:rPr>
          <w:rFonts w:hint="eastAsia" w:ascii="宋体" w:hAnsi="宋体"/>
          <w:b/>
          <w:szCs w:val="21"/>
        </w:rPr>
        <w:br w:type="page"/>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bCs/>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b/>
          <w:sz w:val="28"/>
          <w:szCs w:val="28"/>
          <w:u w:val="single"/>
          <w:lang w:val="en-US" w:eastAsia="zh-CN"/>
        </w:rPr>
        <w:t>餐饮中心肉类、水产、家禽、冷冻食品配送服务项目</w:t>
      </w:r>
      <w:r>
        <w:rPr>
          <w:rFonts w:hint="eastAsia" w:ascii="方正仿宋_GBK" w:hAnsi="方正仿宋_GBK" w:eastAsia="方正仿宋_GBK" w:cs="方正仿宋_GBK"/>
          <w:b/>
          <w:sz w:val="28"/>
          <w:szCs w:val="28"/>
          <w:u w:val="single"/>
          <w:lang w:eastAsia="zh-CN"/>
        </w:rPr>
        <w:t>比选</w:t>
      </w:r>
      <w:r>
        <w:rPr>
          <w:rFonts w:hint="eastAsia" w:ascii="方正仿宋_GBK" w:hAnsi="方正仿宋_GBK" w:eastAsia="方正仿宋_GBK" w:cs="方正仿宋_GBK"/>
          <w:b/>
          <w:sz w:val="28"/>
          <w:szCs w:val="28"/>
          <w:u w:val="single"/>
          <w:lang w:val="en-US" w:eastAsia="zh-CN"/>
        </w:rPr>
        <w:t>函</w:t>
      </w:r>
      <w:r>
        <w:rPr>
          <w:rFonts w:hint="eastAsia" w:ascii="方正仿宋_GBK" w:hAnsi="方正仿宋_GBK" w:eastAsia="方正仿宋_GBK" w:cs="方正仿宋_GBK"/>
          <w:b/>
          <w:sz w:val="28"/>
          <w:szCs w:val="28"/>
          <w:u w:val="single"/>
        </w:rPr>
        <w:t>文件</w:t>
      </w:r>
      <w:r>
        <w:rPr>
          <w:rFonts w:hint="eastAsia" w:ascii="方正仿宋_GBK" w:hAnsi="方正仿宋_GBK" w:eastAsia="方正仿宋_GBK" w:cs="方正仿宋_GBK"/>
          <w:sz w:val="28"/>
          <w:szCs w:val="28"/>
        </w:rPr>
        <w:t>相关</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w:t>
      </w:r>
      <w:r>
        <w:rPr>
          <w:rFonts w:hint="eastAsia" w:ascii="方正仿宋_GBK" w:hAnsi="方正仿宋_GBK" w:eastAsia="方正仿宋_GBK" w:cs="方正仿宋_GBK"/>
          <w:sz w:val="28"/>
          <w:szCs w:val="28"/>
          <w:u w:val="single"/>
          <w:lang w:eastAsia="zh-CN"/>
        </w:rPr>
        <w:t>投标</w:t>
      </w:r>
      <w:r>
        <w:rPr>
          <w:rFonts w:hint="eastAsia" w:ascii="方正仿宋_GBK" w:hAnsi="方正仿宋_GBK" w:eastAsia="方正仿宋_GBK" w:cs="方正仿宋_GBK"/>
          <w:sz w:val="28"/>
          <w:szCs w:val="28"/>
          <w:u w:val="single"/>
        </w:rPr>
        <w:t>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w:t>
      </w:r>
      <w:r>
        <w:rPr>
          <w:rFonts w:hint="eastAsia" w:ascii="宋体" w:hAnsi="宋体"/>
          <w:b/>
          <w:bCs/>
          <w:sz w:val="28"/>
          <w:szCs w:val="28"/>
          <w:lang w:eastAsia="zh-CN"/>
        </w:rPr>
        <w:t>投标</w:t>
      </w:r>
      <w:r>
        <w:rPr>
          <w:rFonts w:hint="eastAsia" w:ascii="宋体" w:hAnsi="宋体"/>
          <w:b/>
          <w:bCs/>
          <w:sz w:val="28"/>
          <w:szCs w:val="28"/>
        </w:rPr>
        <w:t>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人营业执照副本</w:t>
      </w:r>
      <w:r>
        <w:rPr>
          <w:rFonts w:hint="eastAsia" w:ascii="方正仿宋_GBK" w:hAnsi="方正仿宋_GBK" w:eastAsia="方正仿宋_GBK" w:cs="方正仿宋_GBK"/>
          <w:sz w:val="28"/>
          <w:szCs w:val="28"/>
          <w:lang w:val="en-US" w:eastAsia="zh-CN"/>
        </w:rPr>
        <w:t>和食品经营许可证</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人应提供有效的企业营业执照副本</w:t>
      </w:r>
      <w:r>
        <w:rPr>
          <w:rFonts w:hint="eastAsia" w:ascii="方正仿宋_GBK" w:hAnsi="方正仿宋_GBK" w:eastAsia="方正仿宋_GBK" w:cs="方正仿宋_GBK"/>
          <w:sz w:val="28"/>
          <w:szCs w:val="28"/>
          <w:lang w:val="en-US" w:eastAsia="zh-CN"/>
        </w:rPr>
        <w:t>和食品经营许可证</w:t>
      </w: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复印件</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 xml:space="preserve">    </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pStyle w:val="10"/>
        <w:rPr>
          <w:rFonts w:ascii="宋体" w:hAnsi="宋体"/>
          <w:b/>
          <w:sz w:val="28"/>
          <w:szCs w:val="28"/>
        </w:rPr>
      </w:pPr>
    </w:p>
    <w:p>
      <w:pPr>
        <w:pStyle w:val="10"/>
        <w:rPr>
          <w:rFonts w:ascii="宋体" w:hAnsi="宋体"/>
          <w:b/>
          <w:sz w:val="28"/>
          <w:szCs w:val="28"/>
        </w:rPr>
      </w:pPr>
    </w:p>
    <w:p>
      <w:pPr>
        <w:pStyle w:val="10"/>
        <w:rPr>
          <w:rFonts w:hint="eastAsia" w:ascii="宋体" w:hAnsi="宋体" w:eastAsiaTheme="minorEastAsia"/>
          <w:b/>
          <w:sz w:val="28"/>
          <w:szCs w:val="28"/>
          <w:lang w:val="en-US" w:eastAsia="zh-CN"/>
        </w:rPr>
      </w:pPr>
      <w:r>
        <w:rPr>
          <w:rFonts w:hint="eastAsia" w:hAnsi="宋体"/>
          <w:b/>
          <w:sz w:val="28"/>
          <w:szCs w:val="28"/>
          <w:lang w:val="en-US" w:eastAsia="zh-CN"/>
        </w:rPr>
        <w:t>附件1</w:t>
      </w:r>
    </w:p>
    <w:tbl>
      <w:tblPr>
        <w:tblStyle w:val="9"/>
        <w:tblW w:w="8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93"/>
        <w:gridCol w:w="3013"/>
        <w:gridCol w:w="240"/>
        <w:gridCol w:w="1972"/>
        <w:gridCol w:w="2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80" w:hRule="atLeast"/>
        </w:trPr>
        <w:tc>
          <w:tcPr>
            <w:tcW w:w="8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Style w:val="16"/>
                <w:rFonts w:hint="eastAsia" w:ascii="方正楷体_GBK" w:hAnsi="方正楷体_GBK" w:eastAsia="方正楷体_GBK"/>
                <w:b w:val="0"/>
                <w:i w:val="0"/>
                <w:caps w:val="0"/>
                <w:spacing w:val="0"/>
                <w:w w:val="100"/>
                <w:kern w:val="2"/>
                <w:sz w:val="32"/>
                <w:szCs w:val="32"/>
                <w:lang w:val="en-US" w:eastAsia="zh-CN" w:bidi="ar-SA"/>
              </w:rPr>
              <w:t>肉类、水产、家禽、冷冻食品清单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3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三线肉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草鱼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大骨</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花鲢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二刀肉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鲜肥肠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夹子肉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边油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4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三线绞肉沫</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鲫鱼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仟排</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白鲢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猪手</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鲶鱼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小猪手</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钳鱼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尾骨</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活鲜鸡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瘦肉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活鲜鸭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里脊</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猪肝</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鸭掌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猪腰</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鸡脯肉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猪小肚</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鸭脯肉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猪耳朵</w:t>
            </w:r>
          </w:p>
        </w:tc>
        <w:tc>
          <w:tcPr>
            <w:tcW w:w="24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羊肉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牛肉</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34</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牛肉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17</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牛腩</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精牛肉</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bl>
    <w:p>
      <w:pPr>
        <w:pStyle w:val="10"/>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25A55A-947A-43FB-908B-CB896BF0F486}"/>
  </w:font>
  <w:font w:name="Arial">
    <w:panose1 w:val="020B0604020202020204"/>
    <w:charset w:val="01"/>
    <w:family w:val="swiss"/>
    <w:pitch w:val="default"/>
    <w:sig w:usb0="E0002EFF" w:usb1="C000785B" w:usb2="00000009" w:usb3="00000000" w:csb0="400001FF" w:csb1="FFFF0000"/>
    <w:embedRegular r:id="rId2" w:fontKey="{17281537-D0BC-4877-94B2-5387140231ED}"/>
  </w:font>
  <w:font w:name="黑体">
    <w:panose1 w:val="02010609060101010101"/>
    <w:charset w:val="86"/>
    <w:family w:val="auto"/>
    <w:pitch w:val="default"/>
    <w:sig w:usb0="800002BF" w:usb1="38CF7CFA" w:usb2="00000016" w:usb3="00000000" w:csb0="00040001" w:csb1="00000000"/>
    <w:embedRegular r:id="rId3" w:fontKey="{24431CB6-7D1A-485B-BED7-589BA8849A77}"/>
  </w:font>
  <w:font w:name="Courier New">
    <w:panose1 w:val="02070309020205020404"/>
    <w:charset w:val="01"/>
    <w:family w:val="modern"/>
    <w:pitch w:val="default"/>
    <w:sig w:usb0="E0002EFF" w:usb1="C0007843" w:usb2="00000009" w:usb3="00000000" w:csb0="400001FF" w:csb1="FFFF0000"/>
    <w:embedRegular r:id="rId4" w:fontKey="{4F068793-94C7-4468-959A-870DD71620CC}"/>
  </w:font>
  <w:font w:name="Symbol">
    <w:panose1 w:val="05050102010706020507"/>
    <w:charset w:val="02"/>
    <w:family w:val="roman"/>
    <w:pitch w:val="default"/>
    <w:sig w:usb0="00000000" w:usb1="00000000" w:usb2="00000000" w:usb3="00000000" w:csb0="80000000" w:csb1="00000000"/>
    <w:embedRegular r:id="rId5" w:fontKey="{14D448AF-4396-4E00-A934-7E4A3E37AA04}"/>
  </w:font>
  <w:font w:name="Cambria">
    <w:panose1 w:val="02040503050406030204"/>
    <w:charset w:val="00"/>
    <w:family w:val="roman"/>
    <w:pitch w:val="default"/>
    <w:sig w:usb0="E00006FF" w:usb1="420024FF" w:usb2="02000000" w:usb3="00000000" w:csb0="2000019F" w:csb1="00000000"/>
    <w:embedRegular r:id="rId6" w:fontKey="{71AE2DF7-8404-47AA-B204-58F0CBFC85D7}"/>
  </w:font>
  <w:font w:name="Calibri">
    <w:panose1 w:val="020F0502020204030204"/>
    <w:charset w:val="00"/>
    <w:family w:val="swiss"/>
    <w:pitch w:val="default"/>
    <w:sig w:usb0="E4002EFF" w:usb1="C000247B" w:usb2="00000009" w:usb3="00000000" w:csb0="200001FF" w:csb1="00000000"/>
    <w:embedRegular r:id="rId7" w:fontKey="{E1076B5E-1E5A-483C-8B62-DE8131E0A008}"/>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A677B05F-E381-4501-B475-B43F7B7AC971}"/>
  </w:font>
  <w:font w:name="方正仿宋_GBK">
    <w:panose1 w:val="03000509000000000000"/>
    <w:charset w:val="86"/>
    <w:family w:val="script"/>
    <w:pitch w:val="default"/>
    <w:sig w:usb0="00000001" w:usb1="080E0000" w:usb2="00000000" w:usb3="00000000" w:csb0="00040000" w:csb1="00000000"/>
    <w:embedRegular r:id="rId9" w:fontKey="{9B750FCD-437A-46D4-BB93-398986269875}"/>
  </w:font>
  <w:font w:name="Arial">
    <w:panose1 w:val="020B0604020202020204"/>
    <w:charset w:val="00"/>
    <w:family w:val="auto"/>
    <w:pitch w:val="default"/>
    <w:sig w:usb0="E0002EFF" w:usb1="C000785B" w:usb2="00000009" w:usb3="00000000" w:csb0="400001FF" w:csb1="FFFF0000"/>
    <w:embedRegular r:id="rId10" w:fontKey="{5D166E02-18A7-4EA5-AEA2-52FB3699A499}"/>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1" w:fontKey="{1E89EE94-E9E2-46B0-9544-9D1AF3F20A9F}"/>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12" w:fontKey="{D8984212-CAC6-4E76-A71F-4B37EA04A0A8}"/>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13" w:fontKey="{9E7AB362-3B86-4AB2-90F0-6E20F203F03A}"/>
  </w:font>
  <w:font w:name="Book Antiqua">
    <w:panose1 w:val="02040602050305030304"/>
    <w:charset w:val="00"/>
    <w:family w:val="roman"/>
    <w:pitch w:val="default"/>
    <w:sig w:usb0="00000287" w:usb1="00000000" w:usb2="00000000" w:usb3="00000000" w:csb0="2000009F" w:csb1="DFD70000"/>
    <w:embedRegular r:id="rId14" w:fontKey="{ACFF01CF-63F7-4481-AC33-B166958FCED1}"/>
  </w:font>
  <w:font w:name="方正楷体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5" w:fontKey="{C0710E06-994B-4D3E-BA0E-D1980F836943}"/>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6" w:fontKey="{F4F9D396-2478-43B6-8A76-15EBAD087DFE}"/>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7" w:fontKey="{6F0F97BE-21C4-4B61-A5C7-68FB38EE5E13}"/>
  </w:font>
  <w:font w:name="昆仑楷体">
    <w:altName w:val="宋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embedRegular r:id="rId18" w:fontKey="{D82D10DF-7DB9-4E32-9531-D3EB7349BC57}"/>
  </w:font>
  <w:font w:name="文鼎粗黑">
    <w:altName w:val="黑体"/>
    <w:panose1 w:val="00000000000000000000"/>
    <w:charset w:val="86"/>
    <w:family w:val="modern"/>
    <w:pitch w:val="default"/>
    <w:sig w:usb0="00000000" w:usb1="00000000" w:usb2="00000010" w:usb3="00000000" w:csb0="00040000" w:csb1="00000000"/>
  </w:font>
  <w:font w:name="PMingLiU">
    <w:altName w:val="PMingLiU-ExtB"/>
    <w:panose1 w:val="02020300000000000000"/>
    <w:charset w:val="88"/>
    <w:family w:val="auto"/>
    <w:pitch w:val="default"/>
    <w:sig w:usb0="00000000" w:usb1="00000000" w:usb2="00000016" w:usb3="00000000" w:csb0="00100001" w:csb1="00000000"/>
  </w:font>
  <w:font w:name="_x000B__x000C_">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abstractNum w:abstractNumId="2">
    <w:nsid w:val="61501730"/>
    <w:multiLevelType w:val="singleLevel"/>
    <w:tmpl w:val="61501730"/>
    <w:lvl w:ilvl="0" w:tentative="0">
      <w:start w:val="1"/>
      <w:numFmt w:val="chineseCounting"/>
      <w:suff w:val="nothing"/>
      <w:lvlText w:val="第%1条"/>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574DA2"/>
    <w:rsid w:val="018F0EAC"/>
    <w:rsid w:val="036F0F6A"/>
    <w:rsid w:val="0386634E"/>
    <w:rsid w:val="03B57FE6"/>
    <w:rsid w:val="04AB5F52"/>
    <w:rsid w:val="04BF1DFF"/>
    <w:rsid w:val="05855E26"/>
    <w:rsid w:val="06140525"/>
    <w:rsid w:val="065B5C69"/>
    <w:rsid w:val="06614EEC"/>
    <w:rsid w:val="08BD37F7"/>
    <w:rsid w:val="08EB1790"/>
    <w:rsid w:val="098E7803"/>
    <w:rsid w:val="0A7C3C57"/>
    <w:rsid w:val="0BFF2280"/>
    <w:rsid w:val="0C9B6F93"/>
    <w:rsid w:val="0D6A14A2"/>
    <w:rsid w:val="0E1C218E"/>
    <w:rsid w:val="0E385AA6"/>
    <w:rsid w:val="0E767161"/>
    <w:rsid w:val="0F163F54"/>
    <w:rsid w:val="0F352F5C"/>
    <w:rsid w:val="0F44072D"/>
    <w:rsid w:val="0F4543DB"/>
    <w:rsid w:val="0F536C80"/>
    <w:rsid w:val="0F9E5EFE"/>
    <w:rsid w:val="10294B9C"/>
    <w:rsid w:val="104205C4"/>
    <w:rsid w:val="11EC294A"/>
    <w:rsid w:val="1233292D"/>
    <w:rsid w:val="123B167B"/>
    <w:rsid w:val="12491FD1"/>
    <w:rsid w:val="1262584B"/>
    <w:rsid w:val="12DA16CD"/>
    <w:rsid w:val="13AD096A"/>
    <w:rsid w:val="167C1867"/>
    <w:rsid w:val="17140FD0"/>
    <w:rsid w:val="17370519"/>
    <w:rsid w:val="181B57DD"/>
    <w:rsid w:val="181D6339"/>
    <w:rsid w:val="18461483"/>
    <w:rsid w:val="186D01BB"/>
    <w:rsid w:val="18EB3985"/>
    <w:rsid w:val="196558F7"/>
    <w:rsid w:val="196C3340"/>
    <w:rsid w:val="1B1C239B"/>
    <w:rsid w:val="1B3644C8"/>
    <w:rsid w:val="1B6C488F"/>
    <w:rsid w:val="1BA21891"/>
    <w:rsid w:val="1BAB4D64"/>
    <w:rsid w:val="1BB671BE"/>
    <w:rsid w:val="1E2B3EB1"/>
    <w:rsid w:val="1E2F3FEE"/>
    <w:rsid w:val="1E7370CF"/>
    <w:rsid w:val="1ECD394B"/>
    <w:rsid w:val="1EE47E69"/>
    <w:rsid w:val="1F9F5859"/>
    <w:rsid w:val="1FE33FD3"/>
    <w:rsid w:val="20630B6B"/>
    <w:rsid w:val="20767E76"/>
    <w:rsid w:val="20AF1103"/>
    <w:rsid w:val="217975A3"/>
    <w:rsid w:val="21A108E0"/>
    <w:rsid w:val="21E574DE"/>
    <w:rsid w:val="221F13C5"/>
    <w:rsid w:val="22257C61"/>
    <w:rsid w:val="228E3711"/>
    <w:rsid w:val="22EA23FA"/>
    <w:rsid w:val="2478457F"/>
    <w:rsid w:val="254943DE"/>
    <w:rsid w:val="258B0DDA"/>
    <w:rsid w:val="258C713B"/>
    <w:rsid w:val="25974CCF"/>
    <w:rsid w:val="25AD5BE9"/>
    <w:rsid w:val="260F0CE4"/>
    <w:rsid w:val="2640146B"/>
    <w:rsid w:val="26D611B9"/>
    <w:rsid w:val="26E30416"/>
    <w:rsid w:val="27120C8E"/>
    <w:rsid w:val="27481E3A"/>
    <w:rsid w:val="28015240"/>
    <w:rsid w:val="2843642A"/>
    <w:rsid w:val="28465AAE"/>
    <w:rsid w:val="284F3711"/>
    <w:rsid w:val="28731464"/>
    <w:rsid w:val="28933810"/>
    <w:rsid w:val="28A41CA0"/>
    <w:rsid w:val="28DC76B4"/>
    <w:rsid w:val="291F60E4"/>
    <w:rsid w:val="2AA04C95"/>
    <w:rsid w:val="2AA12DF3"/>
    <w:rsid w:val="2AC22551"/>
    <w:rsid w:val="2B004B07"/>
    <w:rsid w:val="2B1F4E4E"/>
    <w:rsid w:val="2B7665EF"/>
    <w:rsid w:val="2BAD402C"/>
    <w:rsid w:val="2C006426"/>
    <w:rsid w:val="2CD92CCB"/>
    <w:rsid w:val="2CEA36D0"/>
    <w:rsid w:val="2D4C0AE7"/>
    <w:rsid w:val="2D6E1295"/>
    <w:rsid w:val="2DE95B1C"/>
    <w:rsid w:val="2E2F61A0"/>
    <w:rsid w:val="2E3B13B1"/>
    <w:rsid w:val="2E4265CF"/>
    <w:rsid w:val="2E77558B"/>
    <w:rsid w:val="2F6D50D0"/>
    <w:rsid w:val="2F704B5C"/>
    <w:rsid w:val="30223761"/>
    <w:rsid w:val="3039510C"/>
    <w:rsid w:val="30544127"/>
    <w:rsid w:val="308F55C6"/>
    <w:rsid w:val="31856A42"/>
    <w:rsid w:val="325C38EA"/>
    <w:rsid w:val="331F5588"/>
    <w:rsid w:val="34126D0E"/>
    <w:rsid w:val="34167E9A"/>
    <w:rsid w:val="3431107F"/>
    <w:rsid w:val="34BE4466"/>
    <w:rsid w:val="34DB0B97"/>
    <w:rsid w:val="34E94C4B"/>
    <w:rsid w:val="34FD4B0C"/>
    <w:rsid w:val="35A16534"/>
    <w:rsid w:val="361172CC"/>
    <w:rsid w:val="366640BE"/>
    <w:rsid w:val="36C24352"/>
    <w:rsid w:val="36D071F8"/>
    <w:rsid w:val="3747644B"/>
    <w:rsid w:val="381E00B1"/>
    <w:rsid w:val="3838013F"/>
    <w:rsid w:val="3845294B"/>
    <w:rsid w:val="388A5907"/>
    <w:rsid w:val="38946B0F"/>
    <w:rsid w:val="3A0552C0"/>
    <w:rsid w:val="3A4C5BCA"/>
    <w:rsid w:val="3A817B6C"/>
    <w:rsid w:val="3A874CAF"/>
    <w:rsid w:val="3A966C2A"/>
    <w:rsid w:val="3AD0387C"/>
    <w:rsid w:val="3B4F6176"/>
    <w:rsid w:val="3B860211"/>
    <w:rsid w:val="3BF95187"/>
    <w:rsid w:val="3C0F02C3"/>
    <w:rsid w:val="3CDD20BD"/>
    <w:rsid w:val="3CF4620D"/>
    <w:rsid w:val="3E20605F"/>
    <w:rsid w:val="3F843D74"/>
    <w:rsid w:val="3F99463B"/>
    <w:rsid w:val="3FDE231B"/>
    <w:rsid w:val="40C12704"/>
    <w:rsid w:val="40D33591"/>
    <w:rsid w:val="412D66E3"/>
    <w:rsid w:val="42954F7A"/>
    <w:rsid w:val="42A05736"/>
    <w:rsid w:val="435D0F8A"/>
    <w:rsid w:val="43BA72CD"/>
    <w:rsid w:val="4434334D"/>
    <w:rsid w:val="449038EA"/>
    <w:rsid w:val="44FE2DD9"/>
    <w:rsid w:val="45997F62"/>
    <w:rsid w:val="46892DF6"/>
    <w:rsid w:val="46A82FCB"/>
    <w:rsid w:val="46DB75BB"/>
    <w:rsid w:val="472D5097"/>
    <w:rsid w:val="47EE0151"/>
    <w:rsid w:val="47F805BC"/>
    <w:rsid w:val="48D91FC6"/>
    <w:rsid w:val="4A26153D"/>
    <w:rsid w:val="4AF1039B"/>
    <w:rsid w:val="4B930CA2"/>
    <w:rsid w:val="4C9B3AEA"/>
    <w:rsid w:val="4DFC7990"/>
    <w:rsid w:val="4E007E57"/>
    <w:rsid w:val="4E7E4FD4"/>
    <w:rsid w:val="4E853ADA"/>
    <w:rsid w:val="4F255053"/>
    <w:rsid w:val="4F863124"/>
    <w:rsid w:val="4F8825BD"/>
    <w:rsid w:val="4FB308EA"/>
    <w:rsid w:val="51150FFC"/>
    <w:rsid w:val="51290CD4"/>
    <w:rsid w:val="51990C58"/>
    <w:rsid w:val="520403F8"/>
    <w:rsid w:val="525C033B"/>
    <w:rsid w:val="528B59AA"/>
    <w:rsid w:val="529428EA"/>
    <w:rsid w:val="54C37009"/>
    <w:rsid w:val="54C81BCD"/>
    <w:rsid w:val="55EB1583"/>
    <w:rsid w:val="56792682"/>
    <w:rsid w:val="579F2A12"/>
    <w:rsid w:val="57B65B67"/>
    <w:rsid w:val="581A5C84"/>
    <w:rsid w:val="58983BD0"/>
    <w:rsid w:val="58A35EAC"/>
    <w:rsid w:val="58A7345A"/>
    <w:rsid w:val="599A6ED9"/>
    <w:rsid w:val="599E0177"/>
    <w:rsid w:val="5A2C53BA"/>
    <w:rsid w:val="5A2F46A2"/>
    <w:rsid w:val="5A436F6E"/>
    <w:rsid w:val="5B7B31E5"/>
    <w:rsid w:val="5B7B750C"/>
    <w:rsid w:val="5BCE6A5B"/>
    <w:rsid w:val="5C054ED9"/>
    <w:rsid w:val="5C1264CD"/>
    <w:rsid w:val="5C8A24E1"/>
    <w:rsid w:val="5D390081"/>
    <w:rsid w:val="5D5D1ED9"/>
    <w:rsid w:val="5DCE5752"/>
    <w:rsid w:val="5DEA485B"/>
    <w:rsid w:val="5DFC6AED"/>
    <w:rsid w:val="5E006D75"/>
    <w:rsid w:val="5E9075E8"/>
    <w:rsid w:val="5EF07EB2"/>
    <w:rsid w:val="5EFA2E92"/>
    <w:rsid w:val="5F2819C3"/>
    <w:rsid w:val="60637D59"/>
    <w:rsid w:val="60F50265"/>
    <w:rsid w:val="61037D60"/>
    <w:rsid w:val="624D05E8"/>
    <w:rsid w:val="62853621"/>
    <w:rsid w:val="62BA1C99"/>
    <w:rsid w:val="63895F27"/>
    <w:rsid w:val="63D74A02"/>
    <w:rsid w:val="63E220F3"/>
    <w:rsid w:val="642463EC"/>
    <w:rsid w:val="64A127F2"/>
    <w:rsid w:val="65587BEB"/>
    <w:rsid w:val="66221A37"/>
    <w:rsid w:val="662D13DA"/>
    <w:rsid w:val="667948C9"/>
    <w:rsid w:val="66E2063C"/>
    <w:rsid w:val="67BC2D3B"/>
    <w:rsid w:val="67E9500C"/>
    <w:rsid w:val="684F6226"/>
    <w:rsid w:val="68921EE1"/>
    <w:rsid w:val="693E4708"/>
    <w:rsid w:val="696E2177"/>
    <w:rsid w:val="69B24661"/>
    <w:rsid w:val="6A147207"/>
    <w:rsid w:val="6AE22133"/>
    <w:rsid w:val="6B872E0F"/>
    <w:rsid w:val="6B8B7D01"/>
    <w:rsid w:val="6C5D5A19"/>
    <w:rsid w:val="6CD5666B"/>
    <w:rsid w:val="6D6036B1"/>
    <w:rsid w:val="6DA95B93"/>
    <w:rsid w:val="6DFD0188"/>
    <w:rsid w:val="6E16536F"/>
    <w:rsid w:val="6E1F2AB3"/>
    <w:rsid w:val="6E4B530C"/>
    <w:rsid w:val="6E540EFF"/>
    <w:rsid w:val="6E9C703B"/>
    <w:rsid w:val="6F815BA8"/>
    <w:rsid w:val="700B73C3"/>
    <w:rsid w:val="70325B24"/>
    <w:rsid w:val="70B229AD"/>
    <w:rsid w:val="7112572A"/>
    <w:rsid w:val="7128074E"/>
    <w:rsid w:val="71BB6CF9"/>
    <w:rsid w:val="71E44ADA"/>
    <w:rsid w:val="72B92FFB"/>
    <w:rsid w:val="72F31CF9"/>
    <w:rsid w:val="7362070C"/>
    <w:rsid w:val="739568E2"/>
    <w:rsid w:val="74DF5B4F"/>
    <w:rsid w:val="751F3BC7"/>
    <w:rsid w:val="75873CAC"/>
    <w:rsid w:val="763C029F"/>
    <w:rsid w:val="77013454"/>
    <w:rsid w:val="771E29E7"/>
    <w:rsid w:val="77D81542"/>
    <w:rsid w:val="77D86722"/>
    <w:rsid w:val="77EA7B94"/>
    <w:rsid w:val="78AE7347"/>
    <w:rsid w:val="795D06F8"/>
    <w:rsid w:val="796D5EF2"/>
    <w:rsid w:val="797D682C"/>
    <w:rsid w:val="7A79109B"/>
    <w:rsid w:val="7AA266BB"/>
    <w:rsid w:val="7C4400C3"/>
    <w:rsid w:val="7C757052"/>
    <w:rsid w:val="7CA60623"/>
    <w:rsid w:val="7D9327AA"/>
    <w:rsid w:val="7D9C5A96"/>
    <w:rsid w:val="7E15669C"/>
    <w:rsid w:val="7E386DDE"/>
    <w:rsid w:val="7E406DE8"/>
    <w:rsid w:val="7E9F1AF4"/>
    <w:rsid w:val="7EAC6F8A"/>
    <w:rsid w:val="7ECF56F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toc 1"/>
    <w:basedOn w:val="1"/>
    <w:next w:val="1"/>
    <w:unhideWhenUsed/>
    <w:qFormat/>
    <w:uiPriority w:val="39"/>
    <w:pPr>
      <w:spacing w:line="180" w:lineRule="auto"/>
      <w:jc w:val="center"/>
    </w:pPr>
    <w:rPr>
      <w:sz w:val="30"/>
    </w:rPr>
  </w:style>
  <w:style w:type="paragraph" w:styleId="4">
    <w:name w:val="Body Text"/>
    <w:basedOn w:val="1"/>
    <w:qFormat/>
    <w:uiPriority w:val="0"/>
    <w:pPr>
      <w:spacing w:after="120"/>
    </w:p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customStyle="1" w:styleId="10">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1">
    <w:name w:val="页眉 字符"/>
    <w:basedOn w:val="7"/>
    <w:link w:val="6"/>
    <w:semiHidden/>
    <w:qFormat/>
    <w:uiPriority w:val="99"/>
    <w:rPr>
      <w:kern w:val="2"/>
      <w:sz w:val="18"/>
      <w:szCs w:val="18"/>
    </w:rPr>
  </w:style>
  <w:style w:type="character" w:customStyle="1" w:styleId="12">
    <w:name w:val="页脚 字符"/>
    <w:basedOn w:val="7"/>
    <w:link w:val="5"/>
    <w:semiHidden/>
    <w:qFormat/>
    <w:uiPriority w:val="99"/>
    <w:rPr>
      <w:kern w:val="2"/>
      <w:sz w:val="18"/>
      <w:szCs w:val="18"/>
    </w:rPr>
  </w:style>
  <w:style w:type="paragraph" w:customStyle="1" w:styleId="13">
    <w:name w:val="_Style 1"/>
    <w:basedOn w:val="1"/>
    <w:qFormat/>
    <w:uiPriority w:val="34"/>
    <w:pPr>
      <w:ind w:firstLine="420" w:firstLineChars="200"/>
    </w:pPr>
  </w:style>
  <w:style w:type="character" w:customStyle="1" w:styleId="14">
    <w:name w:val="awspan1"/>
    <w:basedOn w:val="7"/>
    <w:qFormat/>
    <w:uiPriority w:val="0"/>
    <w:rPr>
      <w:color w:val="000000"/>
      <w:sz w:val="24"/>
      <w:szCs w:val="24"/>
    </w:rPr>
  </w:style>
  <w:style w:type="paragraph" w:customStyle="1" w:styleId="15">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character" w:customStyle="1" w:styleId="16">
    <w:name w:val="NormalCharacter"/>
    <w:link w:val="1"/>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李斯亮</cp:lastModifiedBy>
  <cp:lastPrinted>2020-06-30T07:52:00Z</cp:lastPrinted>
  <dcterms:modified xsi:type="dcterms:W3CDTF">2022-12-05T02:30:42Z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