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bCs/>
          <w:color w:val="auto"/>
          <w:sz w:val="44"/>
          <w:szCs w:val="44"/>
          <w:highlight w:val="none"/>
        </w:rPr>
      </w:pPr>
      <w:bookmarkStart w:id="0" w:name="OLE_LINK5"/>
      <w:bookmarkStart w:id="1" w:name="OLE_LINK1"/>
    </w:p>
    <w:p>
      <w:pPr>
        <w:spacing w:line="360" w:lineRule="auto"/>
        <w:jc w:val="center"/>
        <w:rPr>
          <w:rFonts w:ascii="黑体" w:hAnsi="黑体" w:eastAsia="黑体" w:cs="黑体"/>
          <w:b/>
          <w:bCs/>
          <w:color w:val="auto"/>
          <w:sz w:val="44"/>
          <w:szCs w:val="44"/>
          <w:highlight w:val="none"/>
        </w:rPr>
      </w:pPr>
    </w:p>
    <w:p>
      <w:pPr>
        <w:spacing w:line="360" w:lineRule="auto"/>
        <w:jc w:val="center"/>
        <w:rPr>
          <w:rFonts w:ascii="黑体" w:hAnsi="黑体" w:eastAsia="黑体" w:cs="黑体"/>
          <w:b/>
          <w:bCs/>
          <w:color w:val="auto"/>
          <w:sz w:val="44"/>
          <w:szCs w:val="44"/>
          <w:highlight w:val="none"/>
        </w:rPr>
      </w:pPr>
    </w:p>
    <w:p>
      <w:pPr>
        <w:snapToGrid w:val="0"/>
        <w:spacing w:line="360" w:lineRule="auto"/>
        <w:jc w:val="center"/>
        <w:rPr>
          <w:rFonts w:hint="eastAsia" w:ascii="黑体" w:hAnsi="黑体" w:eastAsia="黑体" w:cs="黑体"/>
          <w:b/>
          <w:bCs/>
          <w:color w:val="auto"/>
          <w:sz w:val="44"/>
          <w:szCs w:val="44"/>
          <w:highlight w:val="none"/>
          <w:lang w:val="en-US" w:eastAsia="zh-CN"/>
        </w:rPr>
      </w:pPr>
      <w:bookmarkStart w:id="2" w:name="OLE_LINK4"/>
      <w:bookmarkStart w:id="3" w:name="OLE_LINK2"/>
      <w:r>
        <w:rPr>
          <w:rFonts w:hint="eastAsia" w:ascii="黑体" w:hAnsi="黑体" w:eastAsia="黑体" w:cs="黑体"/>
          <w:b/>
          <w:bCs/>
          <w:color w:val="auto"/>
          <w:sz w:val="44"/>
          <w:szCs w:val="44"/>
          <w:highlight w:val="none"/>
          <w:lang w:val="en-US" w:eastAsia="zh-CN"/>
        </w:rPr>
        <w:t>通渝公司2022年本机号码一键登录服务</w:t>
      </w:r>
    </w:p>
    <w:bookmarkEnd w:id="2"/>
    <w:p>
      <w:pPr>
        <w:snapToGrid w:val="0"/>
        <w:spacing w:line="480" w:lineRule="auto"/>
        <w:jc w:val="center"/>
        <w:rPr>
          <w:rFonts w:ascii="黑体" w:hAnsi="黑体" w:eastAsia="黑体" w:cs="黑体"/>
          <w:b/>
          <w:bCs/>
          <w:color w:val="auto"/>
          <w:sz w:val="44"/>
          <w:szCs w:val="44"/>
          <w:highlight w:val="none"/>
        </w:rPr>
      </w:pPr>
    </w:p>
    <w:p>
      <w:pPr>
        <w:snapToGrid w:val="0"/>
        <w:spacing w:line="480" w:lineRule="auto"/>
        <w:jc w:val="center"/>
        <w:rPr>
          <w:rFonts w:ascii="黑体" w:hAnsi="黑体" w:eastAsia="黑体" w:cs="黑体"/>
          <w:b/>
          <w:bCs/>
          <w:color w:val="auto"/>
          <w:sz w:val="44"/>
          <w:szCs w:val="44"/>
          <w:highlight w:val="none"/>
        </w:rPr>
      </w:pPr>
    </w:p>
    <w:p>
      <w:pPr>
        <w:snapToGrid w:val="0"/>
        <w:spacing w:line="480" w:lineRule="auto"/>
        <w:jc w:val="center"/>
        <w:rPr>
          <w:rFonts w:ascii="黑体" w:hAnsi="黑体" w:eastAsia="黑体" w:cs="黑体"/>
          <w:b/>
          <w:bCs/>
          <w:color w:val="auto"/>
          <w:sz w:val="44"/>
          <w:szCs w:val="44"/>
          <w:highlight w:val="none"/>
        </w:rPr>
      </w:pPr>
    </w:p>
    <w:p>
      <w:pPr>
        <w:snapToGrid w:val="0"/>
        <w:spacing w:line="480" w:lineRule="auto"/>
        <w:jc w:val="center"/>
        <w:rPr>
          <w:rFonts w:hint="eastAsia" w:ascii="黑体" w:hAnsi="黑体" w:eastAsia="黑体" w:cs="黑体"/>
          <w:b/>
          <w:bCs/>
          <w:color w:val="auto"/>
          <w:sz w:val="52"/>
          <w:szCs w:val="52"/>
          <w:highlight w:val="none"/>
          <w:lang w:eastAsia="zh-CN"/>
        </w:rPr>
      </w:pPr>
      <w:bookmarkStart w:id="4" w:name="OLE_LINK3"/>
      <w:r>
        <w:rPr>
          <w:rFonts w:hint="eastAsia" w:ascii="黑体" w:hAnsi="黑体" w:eastAsia="黑体" w:cs="黑体"/>
          <w:b/>
          <w:bCs/>
          <w:color w:val="auto"/>
          <w:sz w:val="52"/>
          <w:szCs w:val="52"/>
          <w:highlight w:val="none"/>
          <w:lang w:eastAsia="zh-CN"/>
        </w:rPr>
        <w:t>公开</w:t>
      </w:r>
      <w:r>
        <w:rPr>
          <w:rFonts w:hint="eastAsia" w:ascii="黑体" w:hAnsi="黑体" w:eastAsia="黑体" w:cs="黑体"/>
          <w:b/>
          <w:bCs/>
          <w:color w:val="auto"/>
          <w:sz w:val="52"/>
          <w:szCs w:val="52"/>
          <w:highlight w:val="none"/>
        </w:rPr>
        <w:t>竞争性</w:t>
      </w:r>
      <w:r>
        <w:rPr>
          <w:rFonts w:hint="eastAsia" w:ascii="黑体" w:hAnsi="黑体" w:eastAsia="黑体" w:cs="黑体"/>
          <w:b/>
          <w:bCs/>
          <w:color w:val="auto"/>
          <w:sz w:val="52"/>
          <w:szCs w:val="52"/>
          <w:highlight w:val="none"/>
          <w:lang w:eastAsia="zh-CN"/>
        </w:rPr>
        <w:t>比选</w:t>
      </w:r>
      <w:bookmarkEnd w:id="4"/>
      <w:r>
        <w:rPr>
          <w:rFonts w:hint="eastAsia" w:ascii="黑体" w:hAnsi="黑体" w:eastAsia="黑体" w:cs="黑体"/>
          <w:b/>
          <w:bCs/>
          <w:color w:val="auto"/>
          <w:sz w:val="52"/>
          <w:szCs w:val="52"/>
          <w:highlight w:val="none"/>
          <w:lang w:val="en-US" w:eastAsia="zh-CN"/>
        </w:rPr>
        <w:t>文件</w:t>
      </w:r>
    </w:p>
    <w:bookmarkEnd w:id="3"/>
    <w:p>
      <w:pPr>
        <w:snapToGrid w:val="0"/>
        <w:spacing w:line="480" w:lineRule="auto"/>
        <w:jc w:val="center"/>
        <w:rPr>
          <w:rFonts w:ascii="黑体" w:hAnsi="黑体" w:eastAsia="黑体" w:cs="黑体"/>
          <w:b/>
          <w:bCs/>
          <w:color w:val="auto"/>
          <w:sz w:val="52"/>
          <w:szCs w:val="52"/>
          <w:highlight w:val="none"/>
        </w:rPr>
      </w:pPr>
    </w:p>
    <w:p>
      <w:pPr>
        <w:snapToGrid w:val="0"/>
        <w:spacing w:line="480" w:lineRule="auto"/>
        <w:jc w:val="center"/>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重庆通渝科技有限公司</w:t>
      </w:r>
    </w:p>
    <w:p>
      <w:pPr>
        <w:snapToGrid w:val="0"/>
        <w:spacing w:line="480" w:lineRule="auto"/>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20</w:t>
      </w:r>
      <w:r>
        <w:rPr>
          <w:rFonts w:hint="eastAsia" w:ascii="仿宋_GB2312" w:hAnsi="仿宋_GB2312" w:eastAsia="仿宋_GB2312" w:cs="仿宋_GB2312"/>
          <w:b/>
          <w:bCs/>
          <w:color w:val="auto"/>
          <w:sz w:val="32"/>
          <w:szCs w:val="32"/>
          <w:highlight w:val="none"/>
          <w:lang w:val="en-US" w:eastAsia="zh-CN"/>
        </w:rPr>
        <w:t>22</w:t>
      </w:r>
      <w:r>
        <w:rPr>
          <w:rFonts w:hint="eastAsia" w:ascii="仿宋_GB2312" w:hAnsi="仿宋_GB2312" w:eastAsia="仿宋_GB2312" w:cs="仿宋_GB2312"/>
          <w:b/>
          <w:bCs/>
          <w:color w:val="auto"/>
          <w:sz w:val="32"/>
          <w:szCs w:val="32"/>
          <w:highlight w:val="none"/>
        </w:rPr>
        <w:t>年</w:t>
      </w:r>
      <w:r>
        <w:rPr>
          <w:rFonts w:hint="eastAsia" w:ascii="仿宋_GB2312" w:hAnsi="仿宋_GB2312" w:eastAsia="仿宋_GB2312" w:cs="仿宋_GB2312"/>
          <w:b/>
          <w:bCs/>
          <w:color w:val="auto"/>
          <w:sz w:val="32"/>
          <w:szCs w:val="32"/>
          <w:highlight w:val="none"/>
          <w:lang w:val="en-US" w:eastAsia="zh-CN"/>
        </w:rPr>
        <w:t>7</w:t>
      </w:r>
      <w:r>
        <w:rPr>
          <w:rFonts w:hint="eastAsia" w:ascii="仿宋_GB2312" w:hAnsi="仿宋_GB2312" w:eastAsia="仿宋_GB2312" w:cs="仿宋_GB2312"/>
          <w:b/>
          <w:bCs/>
          <w:color w:val="auto"/>
          <w:sz w:val="32"/>
          <w:szCs w:val="32"/>
          <w:highlight w:val="none"/>
        </w:rPr>
        <w:t>月</w:t>
      </w:r>
    </w:p>
    <w:p>
      <w:pPr>
        <w:snapToGrid w:val="0"/>
        <w:spacing w:line="480" w:lineRule="auto"/>
        <w:jc w:val="center"/>
        <w:rPr>
          <w:rFonts w:ascii="仿宋_GB2312" w:hAnsi="仿宋_GB2312" w:eastAsia="仿宋_GB2312" w:cs="仿宋_GB2312"/>
          <w:b/>
          <w:bCs/>
          <w:color w:val="auto"/>
          <w:sz w:val="32"/>
          <w:szCs w:val="32"/>
          <w:highlight w:val="none"/>
        </w:rPr>
      </w:pPr>
    </w:p>
    <w:p>
      <w:pPr>
        <w:snapToGrid w:val="0"/>
        <w:spacing w:line="480" w:lineRule="auto"/>
        <w:jc w:val="center"/>
        <w:rPr>
          <w:rFonts w:ascii="仿宋_GB2312" w:hAnsi="仿宋_GB2312" w:eastAsia="仿宋_GB2312" w:cs="仿宋_GB2312"/>
          <w:b/>
          <w:bCs/>
          <w:color w:val="auto"/>
          <w:sz w:val="32"/>
          <w:szCs w:val="32"/>
          <w:highlight w:val="none"/>
        </w:rPr>
      </w:pPr>
    </w:p>
    <w:p>
      <w:pPr>
        <w:pStyle w:val="3"/>
        <w:jc w:val="center"/>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第一卷投标须知</w:t>
      </w:r>
    </w:p>
    <w:p>
      <w:pPr>
        <w:pStyle w:val="27"/>
        <w:tabs>
          <w:tab w:val="clear" w:pos="860"/>
        </w:tabs>
        <w:ind w:firstLine="0" w:firstLineChars="0"/>
        <w:jc w:val="left"/>
        <w:rPr>
          <w:rFonts w:ascii="仿宋_GB2312" w:hAnsi="仿宋_GB2312" w:cs="仿宋_GB2312"/>
          <w:color w:val="auto"/>
          <w:sz w:val="32"/>
          <w:szCs w:val="32"/>
          <w:highlight w:val="none"/>
        </w:rPr>
      </w:pPr>
      <w:r>
        <w:rPr>
          <w:rFonts w:hint="eastAsia" w:ascii="仿宋_GB2312" w:hAnsi="仿宋_GB2312" w:cs="仿宋_GB2312"/>
          <w:color w:val="auto"/>
          <w:sz w:val="32"/>
          <w:szCs w:val="32"/>
          <w:highlight w:val="none"/>
        </w:rPr>
        <w:t>前附表</w:t>
      </w:r>
    </w:p>
    <w:tbl>
      <w:tblPr>
        <w:tblStyle w:val="17"/>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5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7928"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主  要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5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7928" w:type="dxa"/>
            <w:vAlign w:val="center"/>
          </w:tcPr>
          <w:p>
            <w:pPr>
              <w:jc w:val="left"/>
              <w:rPr>
                <w:rFonts w:hint="eastAsia" w:ascii="仿宋_GB2312" w:hAnsi="仿宋_GB2312" w:eastAsia="仿宋_GB2312" w:cs="仿宋_GB2312"/>
                <w:bCs/>
                <w:color w:val="auto"/>
                <w:sz w:val="24"/>
                <w:highlight w:val="none"/>
                <w:lang w:eastAsia="zh-CN"/>
              </w:rPr>
            </w:pPr>
            <w:r>
              <w:rPr>
                <w:rFonts w:hint="eastAsia" w:ascii="仿宋_GB2312" w:hAnsi="仿宋_GB2312" w:eastAsia="仿宋_GB2312" w:cs="仿宋_GB2312"/>
                <w:bCs/>
                <w:color w:val="auto"/>
                <w:sz w:val="24"/>
                <w:highlight w:val="none"/>
              </w:rPr>
              <w:t>项目名称：</w:t>
            </w:r>
            <w:r>
              <w:rPr>
                <w:rFonts w:hint="eastAsia" w:ascii="仿宋_GB2312" w:hAnsi="仿宋_GB2312" w:eastAsia="仿宋_GB2312" w:cs="仿宋_GB2312"/>
                <w:bCs/>
                <w:color w:val="auto"/>
                <w:sz w:val="24"/>
                <w:highlight w:val="none"/>
                <w:lang w:eastAsia="zh-CN"/>
              </w:rPr>
              <w:t>通渝公司2022年本机号码一键登录服务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5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7928" w:type="dxa"/>
            <w:vAlign w:val="center"/>
          </w:tcPr>
          <w:p>
            <w:pPr>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项目单位：重庆通渝科技有限公司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50" w:type="dxa"/>
            <w:vAlign w:val="center"/>
          </w:tcPr>
          <w:p>
            <w:pPr>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3</w:t>
            </w:r>
          </w:p>
        </w:tc>
        <w:tc>
          <w:tcPr>
            <w:tcW w:w="7928" w:type="dxa"/>
            <w:vAlign w:val="center"/>
          </w:tcPr>
          <w:p>
            <w:pPr>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开标时间、地点：20</w:t>
            </w:r>
            <w:r>
              <w:rPr>
                <w:rFonts w:hint="eastAsia" w:ascii="仿宋_GB2312" w:hAnsi="仿宋_GB2312" w:eastAsia="仿宋_GB2312" w:cs="仿宋_GB2312"/>
                <w:bCs/>
                <w:color w:val="auto"/>
                <w:sz w:val="24"/>
                <w:highlight w:val="none"/>
                <w:lang w:val="en-US" w:eastAsia="zh-CN"/>
              </w:rPr>
              <w:t>22</w:t>
            </w:r>
            <w:r>
              <w:rPr>
                <w:rFonts w:hint="eastAsia" w:ascii="仿宋_GB2312" w:hAnsi="仿宋_GB2312" w:eastAsia="仿宋_GB2312" w:cs="仿宋_GB2312"/>
                <w:bCs/>
                <w:color w:val="auto"/>
                <w:sz w:val="24"/>
                <w:highlight w:val="none"/>
              </w:rPr>
              <w:t>年</w:t>
            </w:r>
            <w:r>
              <w:rPr>
                <w:rFonts w:hint="eastAsia" w:ascii="仿宋_GB2312" w:hAnsi="仿宋_GB2312" w:eastAsia="仿宋_GB2312" w:cs="仿宋_GB2312"/>
                <w:bCs/>
                <w:color w:val="auto"/>
                <w:sz w:val="24"/>
                <w:highlight w:val="none"/>
                <w:lang w:val="en-US" w:eastAsia="zh-CN"/>
              </w:rPr>
              <w:t>7月29日10</w:t>
            </w:r>
            <w:r>
              <w:rPr>
                <w:rFonts w:hint="eastAsia" w:ascii="仿宋_GB2312" w:hAnsi="仿宋_GB2312" w:eastAsia="仿宋_GB2312" w:cs="仿宋_GB2312"/>
                <w:bCs/>
                <w:color w:val="auto"/>
                <w:sz w:val="24"/>
                <w:highlight w:val="none"/>
              </w:rPr>
              <w:t>点，重庆市渝北区</w:t>
            </w:r>
            <w:r>
              <w:rPr>
                <w:rFonts w:hint="eastAsia" w:ascii="仿宋_GB2312" w:hAnsi="仿宋_GB2312" w:eastAsia="仿宋_GB2312" w:cs="仿宋_GB2312"/>
                <w:bCs/>
                <w:color w:val="auto"/>
                <w:sz w:val="24"/>
                <w:highlight w:val="none"/>
                <w:lang w:eastAsia="zh-CN"/>
              </w:rPr>
              <w:t>银杉路</w:t>
            </w:r>
            <w:r>
              <w:rPr>
                <w:rFonts w:hint="eastAsia" w:ascii="仿宋_GB2312" w:hAnsi="仿宋_GB2312" w:eastAsia="仿宋_GB2312" w:cs="仿宋_GB2312"/>
                <w:bCs/>
                <w:color w:val="auto"/>
                <w:sz w:val="24"/>
                <w:highlight w:val="none"/>
                <w:lang w:val="en-US" w:eastAsia="zh-CN"/>
              </w:rPr>
              <w:t>66</w:t>
            </w:r>
            <w:r>
              <w:rPr>
                <w:rFonts w:hint="eastAsia" w:ascii="仿宋_GB2312" w:hAnsi="仿宋_GB2312" w:eastAsia="仿宋_GB2312" w:cs="仿宋_GB2312"/>
                <w:bCs/>
                <w:color w:val="auto"/>
                <w:sz w:val="24"/>
                <w:highlight w:val="none"/>
              </w:rPr>
              <w:t>号（</w:t>
            </w:r>
            <w:r>
              <w:rPr>
                <w:rFonts w:hint="eastAsia" w:ascii="仿宋_GB2312" w:hAnsi="仿宋_GB2312" w:eastAsia="仿宋_GB2312" w:cs="仿宋_GB2312"/>
                <w:bCs/>
                <w:color w:val="auto"/>
                <w:sz w:val="24"/>
                <w:highlight w:val="none"/>
                <w:lang w:eastAsia="zh-CN"/>
              </w:rPr>
              <w:t>重庆高速集团</w:t>
            </w:r>
            <w:r>
              <w:rPr>
                <w:rFonts w:hint="eastAsia" w:ascii="仿宋_GB2312" w:hAnsi="仿宋_GB2312" w:eastAsia="仿宋_GB2312" w:cs="仿宋_GB2312"/>
                <w:bCs/>
                <w:color w:val="auto"/>
                <w:sz w:val="24"/>
                <w:highlight w:val="none"/>
                <w:lang w:val="en-US" w:eastAsia="zh-CN"/>
              </w:rPr>
              <w:t>508会议室</w:t>
            </w:r>
            <w:r>
              <w:rPr>
                <w:rFonts w:hint="eastAsia" w:ascii="仿宋_GB2312" w:hAnsi="仿宋_GB2312" w:eastAsia="仿宋_GB2312" w:cs="仿宋_GB2312"/>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p>
        </w:tc>
        <w:tc>
          <w:tcPr>
            <w:tcW w:w="7928" w:type="dxa"/>
            <w:vAlign w:val="center"/>
          </w:tcPr>
          <w:p>
            <w:pP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b/>
                <w:bCs/>
                <w:color w:val="auto"/>
                <w:sz w:val="24"/>
                <w:highlight w:val="none"/>
              </w:rPr>
              <w:t>招标方式：</w:t>
            </w:r>
            <w:r>
              <w:rPr>
                <w:rFonts w:hint="eastAsia" w:ascii="仿宋_GB2312" w:hAnsi="仿宋_GB2312" w:eastAsia="仿宋_GB2312" w:cs="仿宋_GB2312"/>
                <w:b/>
                <w:bCs/>
                <w:color w:val="auto"/>
                <w:sz w:val="24"/>
                <w:highlight w:val="none"/>
                <w:lang w:eastAsia="zh-CN"/>
              </w:rPr>
              <w:t>公开竞争性比选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w:t>
            </w:r>
          </w:p>
        </w:tc>
        <w:tc>
          <w:tcPr>
            <w:tcW w:w="7928"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w:t>
            </w:r>
          </w:p>
        </w:tc>
        <w:tc>
          <w:tcPr>
            <w:tcW w:w="7928"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投标文件有效期：投标日截止后120天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w:t>
            </w:r>
          </w:p>
        </w:tc>
        <w:tc>
          <w:tcPr>
            <w:tcW w:w="7928"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w:t>
            </w:r>
          </w:p>
        </w:tc>
        <w:tc>
          <w:tcPr>
            <w:tcW w:w="7928" w:type="dxa"/>
            <w:vAlign w:val="center"/>
          </w:tcPr>
          <w:p>
            <w:pPr>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投标文件：正本1份、副本1份；分开密封封装。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w:t>
            </w:r>
          </w:p>
        </w:tc>
        <w:tc>
          <w:tcPr>
            <w:tcW w:w="7928"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单独封签的信封：投标文件应单独密封。单独封签的信封应在开标会上递交招标方。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0" w:type="dxa"/>
            <w:vAlign w:val="center"/>
          </w:tcPr>
          <w:p>
            <w:pPr>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0</w:t>
            </w:r>
          </w:p>
        </w:tc>
        <w:tc>
          <w:tcPr>
            <w:tcW w:w="7928" w:type="dxa"/>
            <w:vAlign w:val="center"/>
          </w:tcPr>
          <w:p>
            <w:pPr>
              <w:rPr>
                <w:rFonts w:hint="eastAsia" w:ascii="仿宋_GB2312" w:hAnsi="仿宋_GB2312" w:eastAsia="仿宋_GB2312" w:cs="仿宋_GB2312"/>
                <w:b/>
                <w:bCs/>
                <w:color w:val="auto"/>
                <w:sz w:val="24"/>
                <w:highlight w:val="none"/>
                <w:lang w:eastAsia="zh-CN"/>
              </w:rPr>
            </w:pPr>
            <w:r>
              <w:rPr>
                <w:rFonts w:hint="eastAsia" w:ascii="仿宋_GB2312" w:hAnsi="仿宋_GB2312" w:eastAsia="仿宋_GB2312" w:cs="仿宋_GB2312"/>
                <w:b/>
                <w:bCs/>
                <w:color w:val="auto"/>
                <w:sz w:val="24"/>
                <w:highlight w:val="none"/>
              </w:rPr>
              <w:t>投标项目：</w:t>
            </w:r>
            <w:r>
              <w:rPr>
                <w:rFonts w:hint="eastAsia" w:ascii="仿宋_GB2312" w:hAnsi="仿宋_GB2312" w:eastAsia="仿宋_GB2312" w:cs="仿宋_GB2312"/>
                <w:bCs/>
                <w:color w:val="auto"/>
                <w:sz w:val="24"/>
                <w:highlight w:val="none"/>
                <w:lang w:eastAsia="zh-CN"/>
              </w:rPr>
              <w:t>通渝公司2022年本机号码一键登录服务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1</w:t>
            </w:r>
          </w:p>
        </w:tc>
        <w:tc>
          <w:tcPr>
            <w:tcW w:w="7928"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中标原则：</w:t>
            </w:r>
            <w:r>
              <w:rPr>
                <w:rFonts w:hint="eastAsia" w:ascii="仿宋_GB2312" w:hAnsi="仿宋_GB2312" w:eastAsia="仿宋_GB2312" w:cs="仿宋_GB2312"/>
                <w:bCs/>
                <w:color w:val="auto"/>
                <w:sz w:val="24"/>
                <w:highlight w:val="none"/>
              </w:rPr>
              <w:t>最低评标价法，即在全部满足</w:t>
            </w:r>
            <w:r>
              <w:rPr>
                <w:rFonts w:hint="eastAsia" w:ascii="仿宋_GB2312" w:hAnsi="仿宋_GB2312" w:eastAsia="仿宋_GB2312" w:cs="仿宋_GB2312"/>
                <w:bCs/>
                <w:color w:val="auto"/>
                <w:sz w:val="24"/>
                <w:highlight w:val="none"/>
                <w:lang w:eastAsia="zh-CN"/>
              </w:rPr>
              <w:t>公开竞争性比选</w:t>
            </w:r>
            <w:r>
              <w:rPr>
                <w:rFonts w:hint="eastAsia" w:ascii="仿宋_GB2312" w:hAnsi="仿宋_GB2312" w:eastAsia="仿宋_GB2312" w:cs="仿宋_GB2312"/>
                <w:bCs/>
                <w:color w:val="auto"/>
                <w:sz w:val="24"/>
                <w:highlight w:val="none"/>
              </w:rPr>
              <w:t>文件实质性要求前提下，依据统一的价格要素评定最低报价，以提出最低报价的供应商作为成交供应商。其成交原则是“符合采购需求、质量和服务相等且报价最低”。若中标第一候选人未能在中标之日起15个自然日内完成系统对接，将依次顺延采用中标候选人并开展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2</w:t>
            </w:r>
          </w:p>
        </w:tc>
        <w:tc>
          <w:tcPr>
            <w:tcW w:w="7928" w:type="dxa"/>
            <w:vAlign w:val="center"/>
          </w:tcPr>
          <w:p>
            <w:pPr>
              <w:rPr>
                <w:rFonts w:hint="eastAsia" w:ascii="仿宋_GB2312" w:hAnsi="仿宋_GB2312" w:eastAsia="仿宋_GB2312" w:cs="仿宋_GB2312"/>
                <w:color w:val="auto"/>
                <w:sz w:val="24"/>
                <w:szCs w:val="20"/>
                <w:highlight w:val="none"/>
                <w:lang w:eastAsia="zh-CN"/>
              </w:rPr>
            </w:pPr>
            <w:r>
              <w:rPr>
                <w:rFonts w:hint="eastAsia" w:ascii="仿宋_GB2312" w:hAnsi="仿宋_GB2312" w:eastAsia="仿宋_GB2312" w:cs="仿宋_GB2312"/>
                <w:color w:val="auto"/>
                <w:sz w:val="24"/>
                <w:szCs w:val="20"/>
                <w:highlight w:val="none"/>
              </w:rPr>
              <w:t>联系人：</w:t>
            </w:r>
            <w:r>
              <w:rPr>
                <w:rFonts w:hint="eastAsia" w:ascii="仿宋_GB2312" w:hAnsi="仿宋_GB2312" w:eastAsia="仿宋_GB2312" w:cs="仿宋_GB2312"/>
                <w:color w:val="auto"/>
                <w:sz w:val="24"/>
                <w:szCs w:val="20"/>
                <w:highlight w:val="none"/>
                <w:lang w:eastAsia="zh-CN"/>
              </w:rPr>
              <w:t>余</w:t>
            </w:r>
            <w:r>
              <w:rPr>
                <w:rFonts w:hint="eastAsia" w:ascii="仿宋_GB2312" w:hAnsi="仿宋_GB2312" w:eastAsia="仿宋_GB2312" w:cs="仿宋_GB2312"/>
                <w:color w:val="auto"/>
                <w:sz w:val="24"/>
                <w:szCs w:val="20"/>
                <w:highlight w:val="none"/>
                <w:lang w:val="en-US" w:eastAsia="zh-CN"/>
              </w:rPr>
              <w:t>老师</w:t>
            </w:r>
          </w:p>
          <w:p>
            <w:pP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szCs w:val="20"/>
                <w:highlight w:val="none"/>
              </w:rPr>
              <w:t>电话：</w:t>
            </w:r>
            <w:r>
              <w:rPr>
                <w:rFonts w:hint="eastAsia" w:ascii="仿宋_GB2312" w:hAnsi="仿宋_GB2312" w:eastAsia="仿宋_GB2312" w:cs="仿宋_GB2312"/>
                <w:color w:val="auto"/>
                <w:sz w:val="24"/>
                <w:szCs w:val="20"/>
                <w:highlight w:val="none"/>
                <w:lang w:val="en-US" w:eastAsia="zh-CN"/>
              </w:rPr>
              <w:t>023-88393531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pPr>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3</w:t>
            </w:r>
          </w:p>
        </w:tc>
        <w:tc>
          <w:tcPr>
            <w:tcW w:w="7928" w:type="dxa"/>
            <w:vAlign w:val="center"/>
          </w:tcPr>
          <w:p>
            <w:pP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上述时间、地点如有变动，以招标方届时通知为准</w:t>
            </w:r>
          </w:p>
        </w:tc>
      </w:tr>
    </w:tbl>
    <w:p>
      <w:pPr>
        <w:rPr>
          <w:color w:val="auto"/>
          <w:highlight w:val="none"/>
        </w:rPr>
      </w:pPr>
    </w:p>
    <w:p>
      <w:pPr>
        <w:pStyle w:val="28"/>
        <w:spacing w:before="0" w:after="0" w:line="360" w:lineRule="auto"/>
        <w:rPr>
          <w:rFonts w:ascii="仿宋_GB2312" w:hAnsi="仿宋_GB2312" w:cs="仿宋_GB2312"/>
          <w:color w:val="auto"/>
          <w:sz w:val="32"/>
          <w:szCs w:val="32"/>
          <w:highlight w:val="none"/>
        </w:rPr>
      </w:pPr>
      <w:r>
        <w:rPr>
          <w:rFonts w:hint="eastAsia" w:ascii="仿宋_GB2312" w:hAnsi="仿宋_GB2312" w:cs="仿宋_GB2312"/>
          <w:color w:val="auto"/>
          <w:highlight w:val="none"/>
        </w:rPr>
        <w:t>1.</w:t>
      </w:r>
      <w:r>
        <w:rPr>
          <w:rFonts w:hint="eastAsia" w:ascii="仿宋_GB2312" w:hAnsi="仿宋_GB2312" w:cs="仿宋_GB2312"/>
          <w:color w:val="auto"/>
          <w:sz w:val="32"/>
          <w:szCs w:val="32"/>
          <w:highlight w:val="none"/>
        </w:rPr>
        <w:t>项目概况</w:t>
      </w:r>
    </w:p>
    <w:p>
      <w:pPr>
        <w:spacing w:line="360" w:lineRule="auto"/>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通渝公司作为高速集团公司控股子公司，是重庆ETC授权发行方。目前，重庆ETC用户发展已达到</w:t>
      </w:r>
      <w:r>
        <w:rPr>
          <w:rFonts w:hint="eastAsia" w:ascii="仿宋_GB2312" w:hAnsi="仿宋_GB2312" w:eastAsia="仿宋_GB2312" w:cs="仿宋_GB2312"/>
          <w:color w:val="auto"/>
          <w:sz w:val="32"/>
          <w:szCs w:val="32"/>
          <w:highlight w:val="none"/>
          <w:lang w:val="en-US" w:eastAsia="zh-CN"/>
        </w:rPr>
        <w:t>400</w:t>
      </w:r>
      <w:r>
        <w:rPr>
          <w:rFonts w:hint="eastAsia" w:ascii="仿宋_GB2312" w:hAnsi="仿宋_GB2312" w:eastAsia="仿宋_GB2312" w:cs="仿宋_GB2312"/>
          <w:color w:val="auto"/>
          <w:sz w:val="32"/>
          <w:szCs w:val="32"/>
          <w:highlight w:val="none"/>
        </w:rPr>
        <w:t>余万，</w:t>
      </w:r>
      <w:r>
        <w:rPr>
          <w:rFonts w:hint="eastAsia" w:ascii="仿宋_GB2312" w:hAnsi="仿宋_GB2312" w:eastAsia="仿宋_GB2312" w:cs="仿宋_GB2312"/>
          <w:color w:val="auto"/>
          <w:sz w:val="32"/>
          <w:szCs w:val="32"/>
          <w:highlight w:val="none"/>
          <w:lang w:val="en-US" w:eastAsia="zh-CN"/>
        </w:rPr>
        <w:t>拟</w:t>
      </w:r>
      <w:r>
        <w:rPr>
          <w:rFonts w:hint="eastAsia" w:ascii="仿宋_GB2312" w:hAnsi="仿宋_GB2312" w:eastAsia="仿宋_GB2312" w:cs="仿宋_GB2312"/>
          <w:color w:val="auto"/>
          <w:sz w:val="32"/>
          <w:szCs w:val="32"/>
          <w:highlight w:val="none"/>
        </w:rPr>
        <w:t>搭建以ETC业务全覆盖为基础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以重庆高速公路路域基础服务全覆盖为核心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以重庆高速公路路域增值服务全覆盖为突破</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重庆高速公路路域资源面对公众的综合性服务平台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向重庆高速用户提供高品质公众</w:t>
      </w:r>
      <w:r>
        <w:rPr>
          <w:rFonts w:hint="eastAsia" w:ascii="仿宋_GB2312" w:hAnsi="仿宋_GB2312" w:eastAsia="仿宋_GB2312" w:cs="仿宋_GB2312"/>
          <w:color w:val="auto"/>
          <w:sz w:val="32"/>
          <w:szCs w:val="32"/>
          <w:highlight w:val="none"/>
          <w:lang w:val="en-US" w:eastAsia="zh-CN"/>
        </w:rPr>
        <w:t>融合</w:t>
      </w:r>
      <w:r>
        <w:rPr>
          <w:rFonts w:hint="eastAsia" w:ascii="仿宋_GB2312" w:hAnsi="仿宋_GB2312" w:eastAsia="仿宋_GB2312" w:cs="仿宋_GB2312"/>
          <w:color w:val="auto"/>
          <w:sz w:val="32"/>
          <w:szCs w:val="32"/>
          <w:highlight w:val="none"/>
        </w:rPr>
        <w:t>出行服务。</w:t>
      </w:r>
      <w:r>
        <w:rPr>
          <w:rFonts w:hint="eastAsia" w:ascii="仿宋_GB2312" w:hAnsi="仿宋_GB2312" w:eastAsia="仿宋_GB2312" w:cs="仿宋_GB2312"/>
          <w:color w:val="auto"/>
          <w:sz w:val="32"/>
          <w:szCs w:val="32"/>
          <w:highlight w:val="none"/>
          <w:lang w:val="en-US" w:eastAsia="zh-CN"/>
        </w:rPr>
        <w:t>为有效实现平台便捷快速登录，需接入本机号码一键登录服务功能。现</w:t>
      </w:r>
      <w:r>
        <w:rPr>
          <w:rFonts w:hint="eastAsia" w:ascii="仿宋_GB2312" w:hAnsi="仿宋_GB2312" w:eastAsia="仿宋_GB2312" w:cs="仿宋_GB2312"/>
          <w:color w:val="auto"/>
          <w:sz w:val="32"/>
          <w:szCs w:val="32"/>
          <w:highlight w:val="none"/>
          <w:lang w:eastAsia="zh-CN"/>
        </w:rPr>
        <w:t>拟对</w:t>
      </w:r>
      <w:r>
        <w:rPr>
          <w:rFonts w:hint="eastAsia" w:ascii="仿宋_GB2312" w:hAnsi="仿宋_GB2312" w:eastAsia="仿宋_GB2312" w:cs="仿宋_GB2312"/>
          <w:color w:val="auto"/>
          <w:sz w:val="32"/>
          <w:szCs w:val="32"/>
          <w:highlight w:val="none"/>
          <w:lang w:val="en-US" w:eastAsia="zh-CN"/>
        </w:rPr>
        <w:t>通渝公司2022年本机号码一键登录服务</w:t>
      </w:r>
      <w:r>
        <w:rPr>
          <w:rFonts w:hint="eastAsia" w:ascii="仿宋_GB2312" w:hAnsi="仿宋_GB2312" w:eastAsia="仿宋_GB2312" w:cs="仿宋_GB2312"/>
          <w:color w:val="auto"/>
          <w:sz w:val="32"/>
          <w:szCs w:val="32"/>
          <w:highlight w:val="none"/>
          <w:lang w:eastAsia="zh-CN"/>
        </w:rPr>
        <w:t>进行公开竞争性比选。</w:t>
      </w:r>
    </w:p>
    <w:p>
      <w:pPr>
        <w:spacing w:line="360" w:lineRule="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2、项目需求</w:t>
      </w:r>
    </w:p>
    <w:p>
      <w:pPr>
        <w:spacing w:line="360" w:lineRule="auto"/>
        <w:ind w:firstLine="64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投标人应根据招标人的需求，完成本项目将涉及到的软件系统的建设、现有系统的升级改造以及本机号码一键登录服务等全部工作。投标人应保证提供的本机号码一键登录服务因故障或投标人原因造成服务无法使用的频次不得高于1次/半年，服务中断时间不得超过1小时/次，故障响应时间不得超过0.5小时。</w:t>
      </w:r>
    </w:p>
    <w:p>
      <w:p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2.1、</w:t>
      </w:r>
      <w:r>
        <w:rPr>
          <w:rFonts w:hint="eastAsia" w:ascii="仿宋_GB2312" w:hAnsi="仿宋_GB2312" w:eastAsia="仿宋_GB2312" w:cs="仿宋_GB2312"/>
          <w:color w:val="auto"/>
          <w:sz w:val="32"/>
          <w:szCs w:val="32"/>
          <w:highlight w:val="none"/>
          <w:lang w:eastAsia="zh-CN"/>
        </w:rPr>
        <w:t>项目功能需求</w:t>
      </w:r>
    </w:p>
    <w:p>
      <w:pP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2.1.1、投标人提供的本机号码一键登录服务须实现全国移动、联通、电信三网用户一键完成手机登录功能且不受移动终端机型限制；</w:t>
      </w:r>
    </w:p>
    <w:p>
      <w:pP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2.1.2、投标人提供的本机号码一键登录服务需满足登录耗费时间不超过3秒。</w:t>
      </w: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项目进度计划</w:t>
      </w:r>
    </w:p>
    <w:p>
      <w:pPr>
        <w:spacing w:line="360" w:lineRule="auto"/>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投标人中标之日起，15个自然日内完成系统对接，具备正式运行的能力。</w:t>
      </w:r>
    </w:p>
    <w:p>
      <w:pPr>
        <w:spacing w:line="360" w:lineRule="auto"/>
        <w:ind w:firstLine="640"/>
        <w:rPr>
          <w:rFonts w:hint="eastAsia" w:ascii="仿宋_GB2312" w:hAnsi="仿宋_GB2312" w:eastAsia="仿宋_GB2312" w:cs="仿宋_GB2312"/>
          <w:color w:val="auto"/>
          <w:sz w:val="32"/>
          <w:szCs w:val="32"/>
          <w:highlight w:val="none"/>
          <w:lang w:val="en-US" w:eastAsia="zh-CN"/>
        </w:rPr>
      </w:pPr>
    </w:p>
    <w:p>
      <w:pPr>
        <w:numPr>
          <w:ilvl w:val="0"/>
          <w:numId w:val="1"/>
        </w:numPr>
        <w:spacing w:line="360" w:lineRule="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招标限价</w:t>
      </w:r>
    </w:p>
    <w:p>
      <w:pPr>
        <w:widowControl/>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本机号码一键登录</w:t>
      </w:r>
      <w:r>
        <w:rPr>
          <w:rFonts w:hint="eastAsia" w:ascii="仿宋_GB2312" w:hAnsi="仿宋_GB2312" w:eastAsia="仿宋_GB2312" w:cs="仿宋_GB2312"/>
          <w:color w:val="auto"/>
          <w:sz w:val="32"/>
          <w:szCs w:val="32"/>
          <w:highlight w:val="none"/>
          <w:lang w:val="en-US" w:eastAsia="zh-CN"/>
        </w:rPr>
        <w:t>服务单次登录</w:t>
      </w:r>
      <w:r>
        <w:rPr>
          <w:rFonts w:hint="eastAsia" w:ascii="仿宋_GB2312" w:hAnsi="仿宋_GB2312" w:eastAsia="仿宋_GB2312" w:cs="仿宋_GB2312"/>
          <w:color w:val="auto"/>
          <w:sz w:val="32"/>
          <w:szCs w:val="32"/>
          <w:highlight w:val="none"/>
          <w:lang w:eastAsia="zh-CN"/>
        </w:rPr>
        <w:t>上</w:t>
      </w:r>
      <w:r>
        <w:rPr>
          <w:rFonts w:hint="eastAsia" w:ascii="仿宋_GB2312" w:hAnsi="仿宋_GB2312" w:eastAsia="仿宋_GB2312" w:cs="仿宋_GB2312"/>
          <w:color w:val="auto"/>
          <w:sz w:val="32"/>
          <w:szCs w:val="32"/>
          <w:highlight w:val="none"/>
        </w:rPr>
        <w:t>限价为</w:t>
      </w:r>
      <w:r>
        <w:rPr>
          <w:rFonts w:hint="eastAsia" w:ascii="仿宋_GB2312" w:hAnsi="仿宋_GB2312" w:eastAsia="仿宋_GB2312" w:cs="仿宋_GB2312"/>
          <w:color w:val="auto"/>
          <w:sz w:val="32"/>
          <w:szCs w:val="32"/>
          <w:highlight w:val="none"/>
          <w:lang w:val="en-US" w:eastAsia="zh-CN"/>
        </w:rPr>
        <w:t>0.054</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val="en-US" w:eastAsia="zh-CN"/>
        </w:rPr>
        <w:t>/次</w:t>
      </w:r>
      <w:r>
        <w:rPr>
          <w:rFonts w:hint="eastAsia" w:ascii="仿宋_GB2312" w:hAnsi="仿宋_GB2312" w:eastAsia="仿宋_GB2312" w:cs="仿宋_GB2312"/>
          <w:color w:val="auto"/>
          <w:sz w:val="32"/>
          <w:szCs w:val="32"/>
          <w:highlight w:val="none"/>
          <w:lang w:eastAsia="zh-CN"/>
        </w:rPr>
        <w:t>。</w:t>
      </w:r>
    </w:p>
    <w:p>
      <w:pPr>
        <w:spacing w:line="360" w:lineRule="auto"/>
        <w:rPr>
          <w:rFonts w:ascii="仿宋_GB2312" w:hAnsi="仿宋_GB2312" w:eastAsia="仿宋_GB2312" w:cs="仿宋_GB2312"/>
          <w:b/>
          <w:bCs/>
          <w:color w:val="auto"/>
          <w:sz w:val="32"/>
          <w:szCs w:val="32"/>
          <w:highlight w:val="none"/>
        </w:rPr>
      </w:pPr>
    </w:p>
    <w:p>
      <w:pPr>
        <w:spacing w:line="360" w:lineRule="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4.投标人资格要求</w:t>
      </w: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4.1基本资格要求</w:t>
      </w: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4.1.1投标人应为中国境内注册机构，具有独立法人资格。</w:t>
      </w: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4.1.2具有增值电信业务经营许可证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ISO9001质量管理体系认证证书</w:t>
      </w:r>
      <w:r>
        <w:rPr>
          <w:rFonts w:hint="eastAsia" w:ascii="仿宋_GB2312" w:hAnsi="仿宋_GB2312" w:eastAsia="仿宋_GB2312" w:cs="仿宋_GB2312"/>
          <w:color w:val="auto"/>
          <w:sz w:val="32"/>
          <w:szCs w:val="32"/>
          <w:highlight w:val="none"/>
        </w:rPr>
        <w:t>。</w:t>
      </w:r>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4.1.</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投标人与招标人不存在现实的或潜在的利益冲突。</w:t>
      </w:r>
    </w:p>
    <w:p>
      <w:pPr>
        <w:spacing w:line="360" w:lineRule="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4.1.4投标人必须是拟投标的本机号码一键登录服务的运营商或代理商，同一本机号码一键登录服务只能由一家运营商或代理商参加投标，且不接受同一本机号码一键登录服务的运营商和代理商同时参加投标。若同一本机号码一键登录服务的运营商或代理商有两家及以上投标，或者同一本机号码一键登录服务的运营商和代理商同时参加投标，均按否决投标处理。</w:t>
      </w:r>
    </w:p>
    <w:p>
      <w:pPr>
        <w:pStyle w:val="23"/>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4.2信誉要求</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投标人自行承诺不得存在下列情形之一：</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4.2.1被人民法院在“信用中国”网站（www.creditchina.gov.cn）列入失信惩戒对象名单且在被执行期内。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4.2.2被国家、重庆市（含市或任意区县）有关行政部门处以暂停投标资格行政处罚，且在处罚期限内。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4.2.3被重庆市交通主管部门暂停在渝承揽新业务且在暂停期内。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4.2.4进入清算程序，或被宣告破产，或其他丧失履约能力的情形。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4.2.5在国家企业信用信息公示系统（http://www.gsxt.gov.cn/）中被列入严重违法失信企业名单。</w:t>
      </w:r>
    </w:p>
    <w:p>
      <w:pPr>
        <w:spacing w:line="360" w:lineRule="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4.3业绩要求</w:t>
      </w:r>
    </w:p>
    <w:p>
      <w:pPr>
        <w:spacing w:line="360" w:lineRule="auto"/>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2019年1月1日——投标截止日止期间（以合同签订时间为准），投标人应至少向五家单位或企业提供本机号码一键登录服务（提交合同复印件）。</w:t>
      </w: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其他</w:t>
      </w:r>
      <w:r>
        <w:rPr>
          <w:rFonts w:hint="eastAsia" w:ascii="仿宋_GB2312" w:hAnsi="仿宋_GB2312" w:eastAsia="仿宋_GB2312" w:cs="仿宋_GB2312"/>
          <w:color w:val="auto"/>
          <w:sz w:val="32"/>
          <w:szCs w:val="32"/>
          <w:highlight w:val="none"/>
        </w:rPr>
        <w:t>要求</w:t>
      </w: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详见第二卷</w:t>
      </w:r>
    </w:p>
    <w:p>
      <w:pPr>
        <w:spacing w:line="360" w:lineRule="auto"/>
        <w:rPr>
          <w:rFonts w:ascii="仿宋_GB2312" w:hAnsi="仿宋_GB2312" w:eastAsia="仿宋_GB2312" w:cs="仿宋_GB2312"/>
          <w:color w:val="auto"/>
          <w:sz w:val="32"/>
          <w:szCs w:val="32"/>
          <w:highlight w:val="none"/>
        </w:rPr>
      </w:pPr>
    </w:p>
    <w:p>
      <w:pPr>
        <w:spacing w:line="360" w:lineRule="auto"/>
        <w:rPr>
          <w:rFonts w:ascii="仿宋_GB2312" w:hAnsi="仿宋_GB2312" w:eastAsia="仿宋_GB2312" w:cs="仿宋_GB2312"/>
          <w:b/>
          <w:bCs/>
          <w:color w:val="auto"/>
          <w:sz w:val="32"/>
          <w:szCs w:val="32"/>
          <w:highlight w:val="none"/>
        </w:rPr>
      </w:pPr>
      <w:bookmarkStart w:id="5" w:name="_Toc347774916"/>
      <w:r>
        <w:rPr>
          <w:rFonts w:hint="eastAsia" w:ascii="仿宋_GB2312" w:hAnsi="仿宋_GB2312" w:eastAsia="仿宋_GB2312" w:cs="仿宋_GB2312"/>
          <w:b/>
          <w:bCs/>
          <w:color w:val="auto"/>
          <w:sz w:val="32"/>
          <w:szCs w:val="32"/>
          <w:highlight w:val="none"/>
        </w:rPr>
        <w:t>5、投标文件</w:t>
      </w:r>
      <w:bookmarkEnd w:id="5"/>
    </w:p>
    <w:p>
      <w:pPr>
        <w:spacing w:line="36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5.1  投标文件的组成，投标文件</w:t>
      </w:r>
      <w:r>
        <w:rPr>
          <w:rFonts w:hint="eastAsia" w:ascii="仿宋_GB2312" w:hAnsi="仿宋_GB2312" w:eastAsia="仿宋_GB2312" w:cs="仿宋_GB2312"/>
          <w:color w:val="auto"/>
          <w:sz w:val="32"/>
          <w:szCs w:val="32"/>
          <w:highlight w:val="none"/>
          <w:lang w:eastAsia="zh-CN"/>
        </w:rPr>
        <w:t>根据公开竞争性比选文件</w:t>
      </w:r>
      <w:r>
        <w:rPr>
          <w:rFonts w:hint="eastAsia" w:ascii="仿宋_GB2312" w:hAnsi="仿宋_GB2312" w:eastAsia="仿宋_GB2312" w:cs="仿宋_GB2312"/>
          <w:color w:val="auto"/>
          <w:sz w:val="32"/>
          <w:szCs w:val="32"/>
          <w:highlight w:val="none"/>
        </w:rPr>
        <w:t>及其附件</w:t>
      </w:r>
      <w:r>
        <w:rPr>
          <w:rFonts w:hint="eastAsia" w:ascii="仿宋_GB2312" w:hAnsi="仿宋_GB2312" w:eastAsia="仿宋_GB2312" w:cs="仿宋_GB2312"/>
          <w:color w:val="auto"/>
          <w:sz w:val="32"/>
          <w:szCs w:val="32"/>
          <w:highlight w:val="none"/>
          <w:lang w:eastAsia="zh-CN"/>
        </w:rPr>
        <w:t>要求组成</w:t>
      </w:r>
      <w:r>
        <w:rPr>
          <w:rFonts w:hint="eastAsia" w:ascii="仿宋_GB2312" w:hAnsi="仿宋_GB2312" w:eastAsia="仿宋_GB2312" w:cs="仿宋_GB2312"/>
          <w:color w:val="auto"/>
          <w:sz w:val="32"/>
          <w:szCs w:val="32"/>
          <w:highlight w:val="none"/>
        </w:rPr>
        <w:t>。</w:t>
      </w: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投标文件的份数和签署</w:t>
      </w: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a. 纸质投标文件一式二份(1正1副)。</w:t>
      </w: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b. 投标文件正本的每一页均应由投标人法定代表人或其授权人签字。投标文件提交的价格表每一页均应由投标人法定代表人或其授权人签名并加盖公章。</w:t>
      </w: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5.2 投标报价</w:t>
      </w: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1  投标人应严格按照第二卷附件的格式认真填写价格表和分项价格。投标报价为含税价格。</w:t>
      </w: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.2  投标人的报价为闭口价，即中标后在投标有效期内价格固定不变。</w:t>
      </w:r>
    </w:p>
    <w:p>
      <w:pPr>
        <w:spacing w:line="360" w:lineRule="auto"/>
        <w:ind w:firstLine="642"/>
        <w:rPr>
          <w:rFonts w:ascii="仿宋_GB2312" w:hAnsi="仿宋_GB2312" w:eastAsia="仿宋_GB2312" w:cs="仿宋_GB2312"/>
          <w:b/>
          <w:bCs/>
          <w:color w:val="auto"/>
          <w:sz w:val="32"/>
          <w:szCs w:val="32"/>
          <w:highlight w:val="none"/>
        </w:rPr>
      </w:pPr>
    </w:p>
    <w:p>
      <w:pPr>
        <w:spacing w:line="360" w:lineRule="auto"/>
        <w:rPr>
          <w:rFonts w:ascii="仿宋_GB2312" w:hAnsi="仿宋_GB2312" w:eastAsia="仿宋_GB2312" w:cs="仿宋_GB2312"/>
          <w:b/>
          <w:bCs/>
          <w:color w:val="auto"/>
          <w:sz w:val="32"/>
          <w:szCs w:val="32"/>
          <w:highlight w:val="none"/>
        </w:rPr>
      </w:pPr>
      <w:bookmarkStart w:id="6" w:name="_Toc347774917"/>
      <w:r>
        <w:rPr>
          <w:rFonts w:hint="eastAsia" w:ascii="仿宋_GB2312" w:hAnsi="仿宋_GB2312" w:eastAsia="仿宋_GB2312" w:cs="仿宋_GB2312"/>
          <w:b/>
          <w:bCs/>
          <w:color w:val="auto"/>
          <w:sz w:val="32"/>
          <w:szCs w:val="32"/>
          <w:highlight w:val="none"/>
        </w:rPr>
        <w:t>6、开标</w:t>
      </w:r>
      <w:bookmarkEnd w:id="6"/>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6.1开标时间、地点</w:t>
      </w:r>
    </w:p>
    <w:p>
      <w:pPr>
        <w:spacing w:line="360" w:lineRule="auto"/>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开标时间：20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 xml:space="preserve"> 年</w:t>
      </w:r>
      <w:r>
        <w:rPr>
          <w:rFonts w:hint="eastAsia" w:ascii="仿宋_GB2312" w:hAnsi="仿宋_GB2312" w:eastAsia="仿宋_GB2312" w:cs="仿宋_GB2312"/>
          <w:color w:val="auto"/>
          <w:sz w:val="32"/>
          <w:szCs w:val="32"/>
          <w:highlight w:val="none"/>
          <w:lang w:val="en-US" w:eastAsia="zh-CN"/>
        </w:rPr>
        <w:t>7月29日10</w:t>
      </w:r>
      <w:r>
        <w:rPr>
          <w:rFonts w:hint="eastAsia" w:ascii="仿宋_GB2312" w:hAnsi="仿宋_GB2312" w:eastAsia="仿宋_GB2312" w:cs="仿宋_GB2312"/>
          <w:color w:val="auto"/>
          <w:sz w:val="32"/>
          <w:szCs w:val="32"/>
          <w:highlight w:val="none"/>
        </w:rPr>
        <w:t>点</w:t>
      </w:r>
    </w:p>
    <w:p>
      <w:pPr>
        <w:spacing w:line="360" w:lineRule="auto"/>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开标地点：重庆市渝北区</w:t>
      </w:r>
      <w:r>
        <w:rPr>
          <w:rFonts w:hint="eastAsia" w:ascii="仿宋_GB2312" w:hAnsi="仿宋_GB2312" w:eastAsia="仿宋_GB2312" w:cs="仿宋_GB2312"/>
          <w:color w:val="auto"/>
          <w:sz w:val="32"/>
          <w:szCs w:val="32"/>
          <w:highlight w:val="none"/>
          <w:lang w:eastAsia="zh-CN"/>
        </w:rPr>
        <w:t>银杉路</w:t>
      </w:r>
      <w:r>
        <w:rPr>
          <w:rFonts w:hint="eastAsia" w:ascii="仿宋_GB2312" w:hAnsi="仿宋_GB2312" w:eastAsia="仿宋_GB2312" w:cs="仿宋_GB2312"/>
          <w:color w:val="auto"/>
          <w:sz w:val="32"/>
          <w:szCs w:val="32"/>
          <w:highlight w:val="none"/>
          <w:lang w:val="en-US" w:eastAsia="zh-CN"/>
        </w:rPr>
        <w:t>66</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sz w:val="32"/>
          <w:szCs w:val="32"/>
          <w:highlight w:val="none"/>
          <w:lang w:eastAsia="zh-CN"/>
        </w:rPr>
        <w:t>重庆高速集团</w:t>
      </w:r>
      <w:r>
        <w:rPr>
          <w:rFonts w:hint="eastAsia" w:ascii="仿宋_GB2312" w:hAnsi="仿宋_GB2312" w:eastAsia="仿宋_GB2312" w:cs="仿宋_GB2312"/>
          <w:color w:val="auto"/>
          <w:sz w:val="32"/>
          <w:szCs w:val="32"/>
          <w:highlight w:val="none"/>
          <w:lang w:val="en-US" w:eastAsia="zh-CN"/>
        </w:rPr>
        <w:t>508会议室</w:t>
      </w:r>
      <w:r>
        <w:rPr>
          <w:rFonts w:hint="eastAsia" w:ascii="仿宋_GB2312" w:hAnsi="仿宋_GB2312" w:eastAsia="仿宋_GB2312" w:cs="仿宋_GB2312"/>
          <w:color w:val="auto"/>
          <w:sz w:val="32"/>
          <w:szCs w:val="32"/>
          <w:highlight w:val="none"/>
        </w:rPr>
        <w:t>）</w:t>
      </w:r>
    </w:p>
    <w:p>
      <w:pPr>
        <w:spacing w:line="360" w:lineRule="auto"/>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请投标人在开标时间前携带相关投标文件到达开标地点，未按时到达的视为放弃投标。投标人代表请提前</w:t>
      </w:r>
      <w:r>
        <w:rPr>
          <w:rFonts w:hint="eastAsia" w:ascii="仿宋_GB2312" w:hAnsi="仿宋_GB2312" w:eastAsia="仿宋_GB2312" w:cs="仿宋_GB2312"/>
          <w:color w:val="auto"/>
          <w:sz w:val="32"/>
          <w:szCs w:val="32"/>
          <w:highlight w:val="none"/>
          <w:lang w:val="en-US" w:eastAsia="zh-CN"/>
        </w:rPr>
        <w:t>一天</w:t>
      </w:r>
      <w:r>
        <w:rPr>
          <w:rFonts w:hint="eastAsia" w:ascii="仿宋_GB2312" w:hAnsi="仿宋_GB2312" w:eastAsia="仿宋_GB2312" w:cs="仿宋_GB2312"/>
          <w:color w:val="auto"/>
          <w:sz w:val="32"/>
          <w:szCs w:val="32"/>
          <w:highlight w:val="none"/>
        </w:rPr>
        <w:t>联系招标人了解最新疫情防控政策，若投标人代表因未按照疫情防控政策执行而无法进入现场，投标人自行承担后果。10:00现场开标，投标人代表签字确认报价。</w:t>
      </w: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6.2  开标程序</w:t>
      </w: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6.2.1投标人的法定代表人或者其授权代表参加开标会议，应携带本人身份证原件及复印件。</w:t>
      </w: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6.2.2  开标时应当场对投标文件的密封、签署等情况进行核查，以确定符合性。</w:t>
      </w: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6.2.3  对符合要求的投标文件进行开标。开标会由招标方主持，招标人监察部门人员参加全程监督。</w:t>
      </w: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6.2.4  在开标会上，招标人将当场对已签收的投标文件进行开封，并核查各投标文件的包封、签署、投标文件内容等有关情况，以确定其完备性、符合性。</w:t>
      </w: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6.2.5  招标人认为适当的其它细节将予以宣布。</w:t>
      </w: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6.2.6  若招标人宣读的结果与投标文件不符时，投标人有权在开标现场提出异议，经有关人员当场核查确认后，招标人应重新宣读；若投标人现场未提出异议，则认为投标人已确认结果，其法定代表人或其授权人应在开标记录上签字。</w:t>
      </w:r>
    </w:p>
    <w:p>
      <w:pPr>
        <w:spacing w:line="360" w:lineRule="auto"/>
        <w:rPr>
          <w:rFonts w:ascii="仿宋_GB2312" w:hAnsi="仿宋_GB2312" w:eastAsia="仿宋_GB2312" w:cs="仿宋_GB2312"/>
          <w:color w:val="auto"/>
          <w:sz w:val="32"/>
          <w:szCs w:val="32"/>
          <w:highlight w:val="none"/>
        </w:rPr>
      </w:pPr>
    </w:p>
    <w:p>
      <w:pPr>
        <w:numPr>
          <w:ilvl w:val="0"/>
          <w:numId w:val="2"/>
        </w:numPr>
        <w:spacing w:line="360" w:lineRule="auto"/>
        <w:rPr>
          <w:rFonts w:ascii="仿宋_GB2312" w:hAnsi="仿宋_GB2312" w:eastAsia="仿宋_GB2312" w:cs="仿宋_GB2312"/>
          <w:b/>
          <w:bCs/>
          <w:color w:val="auto"/>
          <w:sz w:val="32"/>
          <w:szCs w:val="32"/>
          <w:highlight w:val="none"/>
        </w:rPr>
      </w:pPr>
      <w:bookmarkStart w:id="7" w:name="_Toc347774924"/>
      <w:r>
        <w:rPr>
          <w:rFonts w:hint="eastAsia" w:ascii="仿宋_GB2312" w:hAnsi="仿宋_GB2312" w:eastAsia="仿宋_GB2312" w:cs="仿宋_GB2312"/>
          <w:b/>
          <w:bCs/>
          <w:color w:val="auto"/>
          <w:sz w:val="32"/>
          <w:szCs w:val="32"/>
          <w:highlight w:val="none"/>
        </w:rPr>
        <w:t>评标办法</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投标人</w:t>
      </w:r>
      <w:r>
        <w:rPr>
          <w:rFonts w:hint="eastAsia" w:ascii="仿宋_GB2312" w:hAnsi="仿宋_GB2312" w:eastAsia="仿宋_GB2312" w:cs="仿宋_GB2312"/>
          <w:color w:val="auto"/>
          <w:sz w:val="32"/>
          <w:szCs w:val="32"/>
          <w:highlight w:val="none"/>
          <w:lang w:eastAsia="zh-CN"/>
        </w:rPr>
        <w:t>应就</w:t>
      </w:r>
      <w:r>
        <w:rPr>
          <w:rFonts w:hint="eastAsia" w:ascii="仿宋_GB2312" w:hAnsi="仿宋_GB2312" w:eastAsia="仿宋_GB2312" w:cs="仿宋_GB2312"/>
          <w:color w:val="auto"/>
          <w:sz w:val="32"/>
          <w:szCs w:val="32"/>
          <w:highlight w:val="none"/>
          <w:lang w:val="en-US" w:eastAsia="zh-CN"/>
        </w:rPr>
        <w:t>通渝公司2022年本机号码一键登录服务</w:t>
      </w:r>
      <w:r>
        <w:rPr>
          <w:rFonts w:hint="eastAsia" w:ascii="仿宋_GB2312" w:hAnsi="仿宋_GB2312" w:eastAsia="仿宋_GB2312" w:cs="仿宋_GB2312"/>
          <w:color w:val="auto"/>
          <w:sz w:val="32"/>
          <w:szCs w:val="32"/>
          <w:highlight w:val="none"/>
          <w:lang w:eastAsia="zh-CN"/>
        </w:rPr>
        <w:t>单价进行报价，并且</w:t>
      </w:r>
      <w:r>
        <w:rPr>
          <w:rFonts w:hint="eastAsia" w:ascii="仿宋_GB2312" w:hAnsi="仿宋_GB2312" w:eastAsia="仿宋_GB2312" w:cs="仿宋_GB2312"/>
          <w:color w:val="auto"/>
          <w:sz w:val="32"/>
          <w:szCs w:val="32"/>
          <w:highlight w:val="none"/>
        </w:rPr>
        <w:t>报价</w:t>
      </w:r>
      <w:r>
        <w:rPr>
          <w:rFonts w:hint="eastAsia" w:ascii="仿宋_GB2312" w:hAnsi="仿宋_GB2312" w:eastAsia="仿宋_GB2312" w:cs="仿宋_GB2312"/>
          <w:color w:val="auto"/>
          <w:sz w:val="32"/>
          <w:szCs w:val="32"/>
          <w:highlight w:val="none"/>
          <w:lang w:eastAsia="zh-CN"/>
        </w:rPr>
        <w:t>均</w:t>
      </w:r>
      <w:r>
        <w:rPr>
          <w:rFonts w:hint="eastAsia" w:ascii="仿宋_GB2312" w:hAnsi="仿宋_GB2312" w:eastAsia="仿宋_GB2312" w:cs="仿宋_GB2312"/>
          <w:color w:val="auto"/>
          <w:sz w:val="32"/>
          <w:szCs w:val="32"/>
          <w:highlight w:val="none"/>
        </w:rPr>
        <w:t>不得超过限价，否则视为无效报价，取消投标资格。</w:t>
      </w:r>
    </w:p>
    <w:p>
      <w:pPr>
        <w:spacing w:line="360" w:lineRule="auto"/>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本次公开竞争性比选采用</w:t>
      </w:r>
      <w:r>
        <w:rPr>
          <w:rFonts w:hint="eastAsia" w:ascii="仿宋_GB2312" w:hAnsi="仿宋_GB2312" w:eastAsia="仿宋_GB2312" w:cs="仿宋_GB2312"/>
          <w:color w:val="auto"/>
          <w:sz w:val="32"/>
          <w:szCs w:val="32"/>
          <w:highlight w:val="none"/>
        </w:rPr>
        <w:t>最低价评标法，即在全部满足</w:t>
      </w:r>
      <w:r>
        <w:rPr>
          <w:rFonts w:hint="eastAsia" w:ascii="仿宋_GB2312" w:hAnsi="仿宋_GB2312" w:eastAsia="仿宋_GB2312" w:cs="仿宋_GB2312"/>
          <w:color w:val="auto"/>
          <w:sz w:val="32"/>
          <w:szCs w:val="32"/>
          <w:highlight w:val="none"/>
          <w:lang w:eastAsia="zh-CN"/>
        </w:rPr>
        <w:t>公开竞争性比选</w:t>
      </w:r>
      <w:r>
        <w:rPr>
          <w:rFonts w:hint="eastAsia" w:ascii="仿宋_GB2312" w:hAnsi="仿宋_GB2312" w:eastAsia="仿宋_GB2312" w:cs="仿宋_GB2312"/>
          <w:color w:val="auto"/>
          <w:sz w:val="32"/>
          <w:szCs w:val="32"/>
          <w:highlight w:val="none"/>
        </w:rPr>
        <w:t>文件要求</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前提下，依据统一的价格要素评定最低报价，以提出</w:t>
      </w:r>
      <w:r>
        <w:rPr>
          <w:rFonts w:hint="eastAsia" w:ascii="仿宋_GB2312" w:hAnsi="仿宋_GB2312" w:eastAsia="仿宋_GB2312" w:cs="仿宋_GB2312"/>
          <w:color w:val="auto"/>
          <w:sz w:val="32"/>
          <w:szCs w:val="32"/>
          <w:highlight w:val="none"/>
          <w:lang w:eastAsia="zh-CN"/>
        </w:rPr>
        <w:t>总价</w:t>
      </w:r>
      <w:r>
        <w:rPr>
          <w:rFonts w:hint="eastAsia" w:ascii="仿宋_GB2312" w:hAnsi="仿宋_GB2312" w:eastAsia="仿宋_GB2312" w:cs="仿宋_GB2312"/>
          <w:color w:val="auto"/>
          <w:sz w:val="32"/>
          <w:szCs w:val="32"/>
          <w:highlight w:val="none"/>
        </w:rPr>
        <w:t>最低</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报价的</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作为</w:t>
      </w:r>
      <w:r>
        <w:rPr>
          <w:rFonts w:hint="eastAsia" w:ascii="仿宋_GB2312" w:hAnsi="仿宋_GB2312" w:eastAsia="仿宋_GB2312" w:cs="仿宋_GB2312"/>
          <w:color w:val="auto"/>
          <w:sz w:val="32"/>
          <w:szCs w:val="32"/>
          <w:highlight w:val="none"/>
          <w:lang w:eastAsia="zh-CN"/>
        </w:rPr>
        <w:t>中标第一候选人。若中标第一候选人未能在中标之日起</w:t>
      </w:r>
      <w:r>
        <w:rPr>
          <w:rFonts w:hint="eastAsia" w:ascii="仿宋_GB2312" w:hAnsi="仿宋_GB2312" w:eastAsia="仿宋_GB2312" w:cs="仿宋_GB2312"/>
          <w:color w:val="auto"/>
          <w:sz w:val="32"/>
          <w:szCs w:val="32"/>
          <w:highlight w:val="none"/>
          <w:lang w:val="en-US" w:eastAsia="zh-CN"/>
        </w:rPr>
        <w:t>15个自然日内完成系统对接，将依次顺延采用中标候选人并开展相关工作</w:t>
      </w:r>
      <w:r>
        <w:rPr>
          <w:rFonts w:hint="eastAsia" w:ascii="仿宋_GB2312" w:hAnsi="仿宋_GB2312" w:eastAsia="仿宋_GB2312" w:cs="仿宋_GB2312"/>
          <w:color w:val="auto"/>
          <w:sz w:val="32"/>
          <w:szCs w:val="32"/>
          <w:highlight w:val="none"/>
        </w:rPr>
        <w:t>。</w:t>
      </w:r>
    </w:p>
    <w:p>
      <w:pPr>
        <w:spacing w:line="360" w:lineRule="auto"/>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若报价单位少于3家且都满足投标人资格要求，招标人可邀请报价较低的单位进行谈判，确定项目承担单位。</w:t>
      </w:r>
    </w:p>
    <w:p>
      <w:pPr>
        <w:widowControl/>
        <w:numPr>
          <w:ilvl w:val="0"/>
          <w:numId w:val="3"/>
        </w:numPr>
        <w:jc w:val="left"/>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合同签订以及支付条款</w:t>
      </w:r>
    </w:p>
    <w:p>
      <w:pPr>
        <w:widowControl/>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中标人应在收到中标通知书后配合招标人完善合同相关事宜。</w:t>
      </w:r>
    </w:p>
    <w:p>
      <w:pPr>
        <w:widowControl/>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合同期限：自合同签订之日起的</w:t>
      </w:r>
      <w:bookmarkStart w:id="13" w:name="_GoBack"/>
      <w:bookmarkEnd w:id="13"/>
      <w:r>
        <w:rPr>
          <w:rFonts w:hint="eastAsia" w:ascii="仿宋_GB2312" w:hAnsi="仿宋_GB2312" w:eastAsia="仿宋_GB2312" w:cs="仿宋_GB2312"/>
          <w:color w:val="auto"/>
          <w:sz w:val="32"/>
          <w:szCs w:val="32"/>
          <w:highlight w:val="none"/>
          <w:lang w:val="en-US" w:eastAsia="zh-CN"/>
        </w:rPr>
        <w:t>一年</w:t>
      </w:r>
      <w:r>
        <w:rPr>
          <w:rFonts w:hint="eastAsia" w:ascii="仿宋_GB2312" w:hAnsi="仿宋_GB2312" w:eastAsia="仿宋_GB2312" w:cs="仿宋_GB2312"/>
          <w:color w:val="auto"/>
          <w:sz w:val="32"/>
          <w:szCs w:val="32"/>
          <w:highlight w:val="none"/>
        </w:rPr>
        <w:t xml:space="preserve">  </w:t>
      </w:r>
    </w:p>
    <w:p>
      <w:pPr>
        <w:widowControl/>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支付条款：</w:t>
      </w:r>
      <w:r>
        <w:rPr>
          <w:rFonts w:hint="eastAsia" w:ascii="仿宋_GB2312" w:hAnsi="仿宋_GB2312" w:eastAsia="仿宋_GB2312" w:cs="仿宋_GB2312"/>
          <w:color w:val="auto"/>
          <w:sz w:val="32"/>
          <w:szCs w:val="32"/>
          <w:highlight w:val="none"/>
          <w:lang w:eastAsia="zh-CN"/>
        </w:rPr>
        <w:t>根据本机号码一键登录实际</w:t>
      </w:r>
      <w:r>
        <w:rPr>
          <w:rFonts w:hint="eastAsia" w:ascii="仿宋_GB2312" w:hAnsi="仿宋_GB2312" w:eastAsia="仿宋_GB2312" w:cs="仿宋_GB2312"/>
          <w:color w:val="auto"/>
          <w:sz w:val="32"/>
          <w:szCs w:val="32"/>
          <w:highlight w:val="none"/>
          <w:lang w:val="en-US" w:eastAsia="zh-CN"/>
        </w:rPr>
        <w:t>使用</w:t>
      </w:r>
      <w:r>
        <w:rPr>
          <w:rFonts w:hint="eastAsia" w:ascii="仿宋_GB2312" w:hAnsi="仿宋_GB2312" w:eastAsia="仿宋_GB2312" w:cs="仿宋_GB2312"/>
          <w:color w:val="auto"/>
          <w:sz w:val="32"/>
          <w:szCs w:val="32"/>
          <w:highlight w:val="none"/>
          <w:lang w:eastAsia="zh-CN"/>
        </w:rPr>
        <w:t>量，通过招标人审核后，按季度结算</w:t>
      </w:r>
      <w:r>
        <w:rPr>
          <w:rFonts w:hint="eastAsia" w:ascii="仿宋_GB2312" w:hAnsi="仿宋_GB2312" w:eastAsia="仿宋_GB2312" w:cs="仿宋_GB2312"/>
          <w:color w:val="auto"/>
          <w:sz w:val="32"/>
          <w:szCs w:val="32"/>
          <w:highlight w:val="none"/>
        </w:rPr>
        <w:t>。</w:t>
      </w:r>
    </w:p>
    <w:bookmarkEnd w:id="7"/>
    <w:p>
      <w:pPr>
        <w:widowControl/>
        <w:jc w:val="center"/>
        <w:rPr>
          <w:rFonts w:hint="eastAsia" w:ascii="仿宋_GB2312" w:hAnsi="仿宋_GB2312" w:eastAsia="仿宋_GB2312" w:cs="仿宋_GB2312"/>
          <w:b/>
          <w:bCs/>
          <w:color w:val="auto"/>
          <w:kern w:val="44"/>
          <w:sz w:val="44"/>
          <w:szCs w:val="44"/>
          <w:highlight w:val="none"/>
        </w:rPr>
      </w:pPr>
      <w:bookmarkStart w:id="8" w:name="_Toc252966168"/>
      <w:bookmarkStart w:id="9" w:name="_Toc294162518"/>
      <w:bookmarkStart w:id="10" w:name="_Toc347774925"/>
      <w:bookmarkStart w:id="11" w:name="_Toc195927446"/>
      <w:bookmarkStart w:id="12" w:name="_Toc195927384"/>
    </w:p>
    <w:p>
      <w:pPr>
        <w:widowControl/>
        <w:jc w:val="center"/>
        <w:rPr>
          <w:rFonts w:hint="eastAsia" w:ascii="仿宋_GB2312" w:hAnsi="仿宋_GB2312" w:eastAsia="仿宋_GB2312" w:cs="仿宋_GB2312"/>
          <w:b/>
          <w:bCs/>
          <w:color w:val="auto"/>
          <w:kern w:val="44"/>
          <w:sz w:val="44"/>
          <w:szCs w:val="44"/>
          <w:highlight w:val="none"/>
        </w:rPr>
      </w:pPr>
    </w:p>
    <w:p>
      <w:pPr>
        <w:widowControl/>
        <w:jc w:val="center"/>
        <w:rPr>
          <w:rFonts w:hint="eastAsia" w:ascii="仿宋_GB2312" w:hAnsi="仿宋_GB2312" w:eastAsia="仿宋_GB2312" w:cs="仿宋_GB2312"/>
          <w:b/>
          <w:bCs/>
          <w:color w:val="auto"/>
          <w:kern w:val="44"/>
          <w:sz w:val="44"/>
          <w:szCs w:val="44"/>
          <w:highlight w:val="none"/>
        </w:rPr>
      </w:pPr>
    </w:p>
    <w:p>
      <w:pPr>
        <w:widowControl/>
        <w:jc w:val="center"/>
        <w:rPr>
          <w:rFonts w:hint="eastAsia" w:ascii="仿宋_GB2312" w:hAnsi="仿宋_GB2312" w:eastAsia="仿宋_GB2312" w:cs="仿宋_GB2312"/>
          <w:b/>
          <w:bCs/>
          <w:color w:val="auto"/>
          <w:kern w:val="44"/>
          <w:sz w:val="44"/>
          <w:szCs w:val="44"/>
          <w:highlight w:val="none"/>
        </w:rPr>
      </w:pPr>
    </w:p>
    <w:p>
      <w:pPr>
        <w:widowControl/>
        <w:jc w:val="center"/>
        <w:rPr>
          <w:rFonts w:hint="eastAsia" w:ascii="仿宋_GB2312" w:hAnsi="仿宋_GB2312" w:eastAsia="仿宋_GB2312" w:cs="仿宋_GB2312"/>
          <w:b/>
          <w:bCs/>
          <w:color w:val="auto"/>
          <w:kern w:val="44"/>
          <w:sz w:val="44"/>
          <w:szCs w:val="44"/>
          <w:highlight w:val="none"/>
        </w:rPr>
      </w:pPr>
    </w:p>
    <w:p>
      <w:pPr>
        <w:widowControl/>
        <w:jc w:val="both"/>
        <w:rPr>
          <w:rFonts w:hint="eastAsia" w:ascii="仿宋_GB2312" w:hAnsi="仿宋_GB2312" w:eastAsia="仿宋_GB2312" w:cs="仿宋_GB2312"/>
          <w:b/>
          <w:bCs/>
          <w:color w:val="auto"/>
          <w:kern w:val="44"/>
          <w:sz w:val="44"/>
          <w:szCs w:val="44"/>
          <w:highlight w:val="none"/>
        </w:rPr>
      </w:pPr>
    </w:p>
    <w:p>
      <w:pPr>
        <w:widowControl/>
        <w:jc w:val="center"/>
        <w:rPr>
          <w:rFonts w:hint="eastAsia" w:ascii="仿宋_GB2312" w:hAnsi="仿宋_GB2312" w:eastAsia="仿宋_GB2312" w:cs="仿宋_GB2312"/>
          <w:b/>
          <w:bCs/>
          <w:color w:val="auto"/>
          <w:kern w:val="44"/>
          <w:sz w:val="44"/>
          <w:szCs w:val="44"/>
          <w:highlight w:val="none"/>
        </w:rPr>
      </w:pPr>
    </w:p>
    <w:p>
      <w:pPr>
        <w:widowControl/>
        <w:jc w:val="center"/>
        <w:rPr>
          <w:rFonts w:hint="eastAsia" w:ascii="仿宋_GB2312" w:hAnsi="仿宋_GB2312" w:eastAsia="仿宋_GB2312" w:cs="仿宋_GB2312"/>
          <w:b/>
          <w:bCs/>
          <w:color w:val="auto"/>
          <w:kern w:val="44"/>
          <w:sz w:val="44"/>
          <w:szCs w:val="44"/>
          <w:highlight w:val="none"/>
        </w:rPr>
      </w:pPr>
    </w:p>
    <w:p>
      <w:pPr>
        <w:pStyle w:val="2"/>
        <w:rPr>
          <w:rFonts w:hint="eastAsia"/>
          <w:color w:val="auto"/>
          <w:highlight w:val="none"/>
        </w:rPr>
      </w:pPr>
    </w:p>
    <w:p>
      <w:pPr>
        <w:widowControl/>
        <w:jc w:val="center"/>
        <w:rPr>
          <w:rFonts w:hint="eastAsia" w:ascii="仿宋_GB2312" w:hAnsi="仿宋_GB2312" w:eastAsia="仿宋_GB2312" w:cs="仿宋_GB2312"/>
          <w:b/>
          <w:bCs/>
          <w:color w:val="auto"/>
          <w:kern w:val="44"/>
          <w:sz w:val="44"/>
          <w:szCs w:val="44"/>
          <w:highlight w:val="none"/>
        </w:rPr>
      </w:pPr>
    </w:p>
    <w:p>
      <w:pPr>
        <w:widowControl/>
        <w:jc w:val="center"/>
        <w:rPr>
          <w:rFonts w:hint="eastAsia" w:ascii="仿宋_GB2312" w:hAnsi="仿宋_GB2312" w:eastAsia="仿宋_GB2312" w:cs="仿宋_GB2312"/>
          <w:b/>
          <w:bCs/>
          <w:color w:val="auto"/>
          <w:kern w:val="44"/>
          <w:sz w:val="44"/>
          <w:szCs w:val="44"/>
          <w:highlight w:val="none"/>
        </w:rPr>
      </w:pPr>
    </w:p>
    <w:p>
      <w:pPr>
        <w:widowControl/>
        <w:jc w:val="center"/>
        <w:rPr>
          <w:rFonts w:hint="eastAsia" w:ascii="仿宋_GB2312" w:hAnsi="仿宋_GB2312" w:eastAsia="仿宋_GB2312" w:cs="仿宋_GB2312"/>
          <w:b/>
          <w:bCs/>
          <w:color w:val="auto"/>
          <w:kern w:val="44"/>
          <w:sz w:val="44"/>
          <w:szCs w:val="44"/>
          <w:highlight w:val="none"/>
        </w:rPr>
      </w:pPr>
    </w:p>
    <w:p>
      <w:pPr>
        <w:widowControl/>
        <w:jc w:val="center"/>
        <w:rPr>
          <w:rFonts w:hint="eastAsia" w:ascii="仿宋_GB2312" w:hAnsi="仿宋_GB2312" w:eastAsia="仿宋_GB2312" w:cs="仿宋_GB2312"/>
          <w:b/>
          <w:bCs/>
          <w:color w:val="auto"/>
          <w:kern w:val="44"/>
          <w:sz w:val="44"/>
          <w:szCs w:val="44"/>
          <w:highlight w:val="none"/>
        </w:rPr>
      </w:pPr>
    </w:p>
    <w:p>
      <w:pPr>
        <w:widowControl/>
        <w:jc w:val="center"/>
        <w:rPr>
          <w:rFonts w:hint="eastAsia" w:ascii="仿宋_GB2312" w:hAnsi="仿宋_GB2312" w:eastAsia="仿宋_GB2312" w:cs="仿宋_GB2312"/>
          <w:b/>
          <w:bCs/>
          <w:color w:val="auto"/>
          <w:kern w:val="44"/>
          <w:sz w:val="44"/>
          <w:szCs w:val="44"/>
          <w:highlight w:val="none"/>
        </w:rPr>
      </w:pPr>
    </w:p>
    <w:p>
      <w:pPr>
        <w:widowControl/>
        <w:jc w:val="center"/>
        <w:rPr>
          <w:rFonts w:hint="eastAsia" w:ascii="仿宋_GB2312" w:hAnsi="仿宋_GB2312" w:eastAsia="仿宋_GB2312" w:cs="仿宋_GB2312"/>
          <w:b/>
          <w:bCs/>
          <w:color w:val="auto"/>
          <w:kern w:val="44"/>
          <w:sz w:val="44"/>
          <w:szCs w:val="44"/>
          <w:highlight w:val="none"/>
        </w:rPr>
      </w:pPr>
    </w:p>
    <w:p>
      <w:pPr>
        <w:widowControl/>
        <w:jc w:val="center"/>
        <w:rPr>
          <w:rFonts w:hint="eastAsia" w:ascii="仿宋_GB2312" w:hAnsi="仿宋_GB2312" w:eastAsia="仿宋_GB2312" w:cs="仿宋_GB2312"/>
          <w:b/>
          <w:bCs/>
          <w:color w:val="auto"/>
          <w:kern w:val="44"/>
          <w:sz w:val="44"/>
          <w:szCs w:val="44"/>
          <w:highlight w:val="none"/>
        </w:rPr>
      </w:pPr>
    </w:p>
    <w:p>
      <w:pPr>
        <w:widowControl/>
        <w:jc w:val="center"/>
        <w:rPr>
          <w:rFonts w:hint="eastAsia" w:ascii="仿宋_GB2312" w:hAnsi="仿宋_GB2312" w:eastAsia="仿宋_GB2312" w:cs="仿宋_GB2312"/>
          <w:b/>
          <w:bCs/>
          <w:color w:val="auto"/>
          <w:kern w:val="44"/>
          <w:sz w:val="44"/>
          <w:szCs w:val="44"/>
          <w:highlight w:val="none"/>
        </w:rPr>
      </w:pPr>
    </w:p>
    <w:p>
      <w:pPr>
        <w:widowControl/>
        <w:jc w:val="center"/>
        <w:rPr>
          <w:rFonts w:hint="eastAsia" w:ascii="仿宋_GB2312" w:hAnsi="仿宋_GB2312" w:eastAsia="仿宋_GB2312" w:cs="仿宋_GB2312"/>
          <w:b/>
          <w:bCs/>
          <w:color w:val="auto"/>
          <w:kern w:val="44"/>
          <w:sz w:val="44"/>
          <w:szCs w:val="44"/>
          <w:highlight w:val="none"/>
        </w:rPr>
      </w:pPr>
    </w:p>
    <w:p>
      <w:pPr>
        <w:widowControl/>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44"/>
          <w:sz w:val="44"/>
          <w:szCs w:val="44"/>
          <w:highlight w:val="none"/>
        </w:rPr>
        <w:t>第二卷 附件</w:t>
      </w:r>
    </w:p>
    <w:p>
      <w:pPr>
        <w:spacing w:line="360" w:lineRule="auto"/>
        <w:rPr>
          <w:rFonts w:ascii="仿宋_GB2312" w:hAnsi="仿宋_GB2312" w:eastAsia="仿宋_GB2312" w:cs="仿宋_GB2312"/>
          <w:b/>
          <w:bCs/>
          <w:color w:val="auto"/>
          <w:kern w:val="44"/>
          <w:sz w:val="44"/>
          <w:szCs w:val="44"/>
          <w:highlight w:val="none"/>
        </w:rPr>
      </w:pPr>
      <w:r>
        <w:rPr>
          <w:rFonts w:hint="eastAsia" w:ascii="仿宋_GB2312" w:hAnsi="仿宋_GB2312" w:eastAsia="仿宋_GB2312" w:cs="仿宋_GB2312"/>
          <w:b/>
          <w:bCs/>
          <w:color w:val="auto"/>
          <w:sz w:val="32"/>
          <w:szCs w:val="32"/>
          <w:highlight w:val="none"/>
        </w:rPr>
        <w:t>附件1 投标承诺函（格式）</w:t>
      </w:r>
    </w:p>
    <w:p>
      <w:pPr>
        <w:snapToGrid w:val="0"/>
        <w:spacing w:line="360" w:lineRule="auto"/>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rPr>
        <w:t>重庆通渝科技有限公司：</w:t>
      </w:r>
    </w:p>
    <w:p>
      <w:pPr>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贵公司</w:t>
      </w:r>
      <w:r>
        <w:rPr>
          <w:rFonts w:hint="eastAsia" w:ascii="仿宋_GB2312" w:hAnsi="仿宋_GB2312" w:eastAsia="仿宋_GB2312" w:cs="仿宋_GB2312"/>
          <w:color w:val="auto"/>
          <w:sz w:val="28"/>
          <w:szCs w:val="28"/>
          <w:highlight w:val="none"/>
          <w:lang w:eastAsia="zh-CN"/>
        </w:rPr>
        <w:t>公开竞争性比选文件</w:t>
      </w:r>
      <w:r>
        <w:rPr>
          <w:rFonts w:hint="eastAsia" w:ascii="仿宋_GB2312" w:hAnsi="仿宋_GB2312" w:eastAsia="仿宋_GB2312" w:cs="仿宋_GB2312"/>
          <w:color w:val="auto"/>
          <w:sz w:val="28"/>
          <w:szCs w:val="28"/>
          <w:highlight w:val="none"/>
        </w:rPr>
        <w:t>（包括补充文件，如有）收悉，我们经详细审阅和研究，现决定参加</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eastAsia="zh-CN"/>
        </w:rPr>
        <w:t>通渝公司2022年本机号码一键登录服务</w:t>
      </w:r>
      <w:r>
        <w:rPr>
          <w:rFonts w:hint="eastAsia" w:ascii="仿宋_GB2312" w:hAnsi="仿宋_GB2312" w:eastAsia="仿宋_GB2312" w:cs="仿宋_GB2312"/>
          <w:color w:val="auto"/>
          <w:sz w:val="28"/>
          <w:szCs w:val="28"/>
          <w:highlight w:val="none"/>
        </w:rPr>
        <w:t>的投标活动。</w:t>
      </w:r>
    </w:p>
    <w:p>
      <w:pPr>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1.我公司愿按照</w:t>
      </w:r>
      <w:r>
        <w:rPr>
          <w:rFonts w:hint="eastAsia" w:ascii="仿宋_GB2312" w:hAnsi="仿宋_GB2312" w:eastAsia="仿宋_GB2312" w:cs="仿宋_GB2312"/>
          <w:color w:val="auto"/>
          <w:sz w:val="28"/>
          <w:szCs w:val="28"/>
          <w:highlight w:val="none"/>
          <w:lang w:eastAsia="zh-CN"/>
        </w:rPr>
        <w:t>公开竞争性比选文件</w:t>
      </w:r>
      <w:r>
        <w:rPr>
          <w:rFonts w:hint="eastAsia" w:ascii="仿宋_GB2312" w:hAnsi="仿宋_GB2312" w:eastAsia="仿宋_GB2312" w:cs="仿宋_GB2312"/>
          <w:color w:val="auto"/>
          <w:sz w:val="28"/>
          <w:szCs w:val="28"/>
          <w:highlight w:val="none"/>
        </w:rPr>
        <w:t>中的条款、要求，提供所需的投标资料及一切相关的服务。</w:t>
      </w:r>
    </w:p>
    <w:p>
      <w:pPr>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2.如果我公司被授予合同，我们将在合同签订之后规定的时间内完成规定的供货与实施工作。</w:t>
      </w:r>
    </w:p>
    <w:p>
      <w:pPr>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3.我公司同意按照</w:t>
      </w:r>
      <w:r>
        <w:rPr>
          <w:rFonts w:hint="eastAsia" w:ascii="仿宋_GB2312" w:hAnsi="仿宋_GB2312" w:eastAsia="仿宋_GB2312" w:cs="仿宋_GB2312"/>
          <w:color w:val="auto"/>
          <w:sz w:val="28"/>
          <w:szCs w:val="28"/>
          <w:highlight w:val="none"/>
          <w:lang w:eastAsia="zh-CN"/>
        </w:rPr>
        <w:t>公开竞争性比选文件</w:t>
      </w:r>
      <w:r>
        <w:rPr>
          <w:rFonts w:hint="eastAsia" w:ascii="仿宋_GB2312" w:hAnsi="仿宋_GB2312" w:eastAsia="仿宋_GB2312" w:cs="仿宋_GB2312"/>
          <w:color w:val="auto"/>
          <w:sz w:val="28"/>
          <w:szCs w:val="28"/>
          <w:highlight w:val="none"/>
        </w:rPr>
        <w:t>“投标人须知”规定，本投标文件的有效期为从截止日期起计算的120天，在此期间，本投标文件将始终对我们具有约束力。如果我们被授予合同，本投标文件在此期间之后将继续保持有效，直至合同生效。</w:t>
      </w:r>
    </w:p>
    <w:p>
      <w:pPr>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4.我公司同意提供招标方要求的有关本次招标的所有资料。</w:t>
      </w:r>
    </w:p>
    <w:p>
      <w:pPr>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5.我公司理解，贵公司无义务必须接受投标价最低的投标，并有权拒绝所有的投标。投标人名称：              （盖章）</w:t>
      </w:r>
    </w:p>
    <w:p>
      <w:pPr>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地址：                               邮编：</w:t>
      </w:r>
    </w:p>
    <w:p>
      <w:pPr>
        <w:snapToGrid w:val="0"/>
        <w:spacing w:line="36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电话：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传真：</w:t>
      </w:r>
    </w:p>
    <w:p>
      <w:pPr>
        <w:snapToGrid w:val="0"/>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授权代表签字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职务：</w:t>
      </w:r>
    </w:p>
    <w:p>
      <w:pPr>
        <w:snapToGrid w:val="0"/>
        <w:spacing w:line="360" w:lineRule="auto"/>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日期：年月日</w:t>
      </w:r>
    </w:p>
    <w:p>
      <w:pPr>
        <w:snapToGrid w:val="0"/>
        <w:spacing w:line="360" w:lineRule="auto"/>
        <w:ind w:firstLine="560" w:firstLineChars="200"/>
        <w:rPr>
          <w:rFonts w:ascii="仿宋_GB2312" w:hAnsi="仿宋_GB2312" w:eastAsia="仿宋_GB2312" w:cs="仿宋_GB2312"/>
          <w:color w:val="auto"/>
          <w:kern w:val="0"/>
          <w:sz w:val="28"/>
          <w:szCs w:val="28"/>
          <w:highlight w:val="none"/>
        </w:rPr>
      </w:pPr>
    </w:p>
    <w:p>
      <w:pPr>
        <w:snapToGrid w:val="0"/>
        <w:spacing w:line="360" w:lineRule="auto"/>
        <w:ind w:firstLine="560" w:firstLineChars="200"/>
        <w:rPr>
          <w:rFonts w:ascii="仿宋_GB2312" w:hAnsi="仿宋_GB2312" w:eastAsia="仿宋_GB2312" w:cs="仿宋_GB2312"/>
          <w:color w:val="auto"/>
          <w:kern w:val="0"/>
          <w:sz w:val="28"/>
          <w:szCs w:val="28"/>
          <w:highlight w:val="none"/>
        </w:rPr>
      </w:pPr>
    </w:p>
    <w:p>
      <w:pPr>
        <w:snapToGrid w:val="0"/>
        <w:spacing w:line="360" w:lineRule="auto"/>
        <w:ind w:firstLine="560" w:firstLineChars="200"/>
        <w:rPr>
          <w:rFonts w:ascii="仿宋_GB2312" w:hAnsi="仿宋_GB2312" w:eastAsia="仿宋_GB2312" w:cs="仿宋_GB2312"/>
          <w:color w:val="auto"/>
          <w:kern w:val="0"/>
          <w:sz w:val="28"/>
          <w:szCs w:val="28"/>
          <w:highlight w:val="none"/>
        </w:rPr>
      </w:pPr>
    </w:p>
    <w:p>
      <w:pPr>
        <w:snapToGrid w:val="0"/>
        <w:spacing w:line="360" w:lineRule="auto"/>
        <w:ind w:firstLine="560" w:firstLineChars="200"/>
        <w:rPr>
          <w:rFonts w:ascii="仿宋_GB2312" w:hAnsi="仿宋_GB2312" w:eastAsia="仿宋_GB2312" w:cs="仿宋_GB2312"/>
          <w:color w:val="auto"/>
          <w:kern w:val="0"/>
          <w:sz w:val="28"/>
          <w:szCs w:val="28"/>
          <w:highlight w:val="none"/>
        </w:rPr>
      </w:pP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附件2 投标人法定代表人授权书（格式）</w:t>
      </w:r>
    </w:p>
    <w:p>
      <w:pPr>
        <w:spacing w:line="360" w:lineRule="auto"/>
        <w:ind w:firstLine="561"/>
        <w:jc w:val="center"/>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投标人法定代表人授权委托书</w:t>
      </w:r>
    </w:p>
    <w:p>
      <w:pPr>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本授权委托书声明：我</w:t>
      </w:r>
      <w:r>
        <w:rPr>
          <w:rFonts w:hint="eastAsia" w:ascii="仿宋_GB2312" w:hAnsi="仿宋_GB2312" w:eastAsia="仿宋_GB2312" w:cs="仿宋_GB2312"/>
          <w:color w:val="auto"/>
          <w:sz w:val="28"/>
          <w:szCs w:val="28"/>
          <w:highlight w:val="none"/>
          <w:u w:val="single"/>
        </w:rPr>
        <w:t xml:space="preserve"> (姓名) </w:t>
      </w:r>
      <w:r>
        <w:rPr>
          <w:rFonts w:hint="eastAsia" w:ascii="仿宋_GB2312" w:hAnsi="仿宋_GB2312" w:eastAsia="仿宋_GB2312" w:cs="仿宋_GB2312"/>
          <w:color w:val="auto"/>
          <w:sz w:val="28"/>
          <w:szCs w:val="28"/>
          <w:highlight w:val="none"/>
        </w:rPr>
        <w:t>系</w:t>
      </w:r>
      <w:r>
        <w:rPr>
          <w:rFonts w:hint="eastAsia" w:ascii="仿宋_GB2312" w:hAnsi="仿宋_GB2312" w:eastAsia="仿宋_GB2312" w:cs="仿宋_GB2312"/>
          <w:color w:val="auto"/>
          <w:sz w:val="28"/>
          <w:szCs w:val="28"/>
          <w:highlight w:val="none"/>
          <w:u w:val="single"/>
        </w:rPr>
        <w:t xml:space="preserve"> (投标人名称) </w:t>
      </w:r>
      <w:r>
        <w:rPr>
          <w:rFonts w:hint="eastAsia" w:ascii="仿宋_GB2312" w:hAnsi="仿宋_GB2312" w:eastAsia="仿宋_GB2312" w:cs="仿宋_GB2312"/>
          <w:color w:val="auto"/>
          <w:sz w:val="28"/>
          <w:szCs w:val="28"/>
          <w:highlight w:val="none"/>
        </w:rPr>
        <w:t xml:space="preserve">的法定代表人，现授权委托 </w:t>
      </w:r>
      <w:r>
        <w:rPr>
          <w:rFonts w:hint="eastAsia" w:ascii="仿宋_GB2312" w:hAnsi="仿宋_GB2312" w:eastAsia="仿宋_GB2312" w:cs="仿宋_GB2312"/>
          <w:color w:val="auto"/>
          <w:sz w:val="28"/>
          <w:szCs w:val="28"/>
          <w:highlight w:val="none"/>
          <w:u w:val="single"/>
        </w:rPr>
        <w:t>(姓名) (在本单位职务)</w:t>
      </w:r>
      <w:r>
        <w:rPr>
          <w:rFonts w:hint="eastAsia" w:ascii="仿宋_GB2312" w:hAnsi="仿宋_GB2312" w:eastAsia="仿宋_GB2312" w:cs="仿宋_GB2312"/>
          <w:color w:val="auto"/>
          <w:sz w:val="28"/>
          <w:szCs w:val="28"/>
          <w:highlight w:val="none"/>
        </w:rPr>
        <w:t>为我公司授权代表，以本公司的名义参加</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eastAsia="zh-CN"/>
        </w:rPr>
        <w:t>通渝公司2022年本机号码一键登录服务</w:t>
      </w:r>
      <w:r>
        <w:rPr>
          <w:rFonts w:hint="eastAsia" w:ascii="仿宋_GB2312" w:hAnsi="仿宋_GB2312" w:eastAsia="仿宋_GB2312" w:cs="仿宋_GB2312"/>
          <w:color w:val="auto"/>
          <w:sz w:val="28"/>
          <w:szCs w:val="28"/>
          <w:highlight w:val="none"/>
        </w:rPr>
        <w:t>的投标活动。在评议及合同谈判过程中所签署的一切文件和处理与之有关的一切事务，我均予以承认。</w:t>
      </w:r>
    </w:p>
    <w:p>
      <w:pPr>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代理人无权委托的事项：</w:t>
      </w:r>
    </w:p>
    <w:p>
      <w:pPr>
        <w:spacing w:line="360" w:lineRule="auto"/>
        <w:ind w:firstLine="630"/>
        <w:rPr>
          <w:rFonts w:ascii="仿宋_GB2312" w:hAnsi="仿宋_GB2312" w:eastAsia="仿宋_GB2312" w:cs="仿宋_GB2312"/>
          <w:color w:val="auto"/>
          <w:sz w:val="28"/>
          <w:szCs w:val="28"/>
          <w:highlight w:val="none"/>
        </w:rPr>
      </w:pPr>
    </w:p>
    <w:p>
      <w:pPr>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授权委托期限：自    年    月    日  到     年   月   日</w:t>
      </w:r>
    </w:p>
    <w:p>
      <w:pPr>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投标人：(盖章)</w:t>
      </w:r>
    </w:p>
    <w:p>
      <w:pPr>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法定代表人：(签字、盖章)</w:t>
      </w:r>
    </w:p>
    <w:p>
      <w:pPr>
        <w:spacing w:line="360" w:lineRule="auto"/>
        <w:ind w:firstLine="560" w:firstLineChars="200"/>
        <w:rPr>
          <w:rFonts w:ascii="仿宋_GB2312" w:hAnsi="仿宋_GB2312" w:eastAsia="仿宋_GB2312" w:cs="仿宋_GB2312"/>
          <w:color w:val="auto"/>
          <w:kern w:val="0"/>
          <w:sz w:val="28"/>
          <w:szCs w:val="28"/>
          <w:highlight w:val="none"/>
          <w:u w:val="single"/>
        </w:rPr>
      </w:pPr>
      <w:r>
        <w:rPr>
          <w:rFonts w:hint="eastAsia" w:ascii="仿宋_GB2312" w:hAnsi="仿宋_GB2312" w:eastAsia="仿宋_GB2312" w:cs="仿宋_GB2312"/>
          <w:color w:val="auto"/>
          <w:sz w:val="28"/>
          <w:szCs w:val="28"/>
          <w:highlight w:val="none"/>
        </w:rPr>
        <w:t>授权代表</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kern w:val="0"/>
          <w:sz w:val="28"/>
          <w:szCs w:val="28"/>
          <w:highlight w:val="none"/>
          <w:u w:val="single"/>
        </w:rPr>
        <w:t>　　　　　</w:t>
      </w:r>
      <w:r>
        <w:rPr>
          <w:rFonts w:hint="eastAsia" w:ascii="仿宋_GB2312" w:hAnsi="仿宋_GB2312" w:eastAsia="仿宋_GB2312" w:cs="仿宋_GB2312"/>
          <w:color w:val="auto"/>
          <w:kern w:val="0"/>
          <w:sz w:val="28"/>
          <w:szCs w:val="28"/>
          <w:highlight w:val="none"/>
        </w:rPr>
        <w:t xml:space="preserve"> 　性别：</w:t>
      </w:r>
      <w:r>
        <w:rPr>
          <w:rFonts w:hint="eastAsia" w:ascii="仿宋_GB2312" w:hAnsi="仿宋_GB2312" w:eastAsia="仿宋_GB2312" w:cs="仿宋_GB2312"/>
          <w:color w:val="auto"/>
          <w:kern w:val="0"/>
          <w:sz w:val="28"/>
          <w:szCs w:val="28"/>
          <w:highlight w:val="none"/>
          <w:u w:val="single"/>
        </w:rPr>
        <w:t>　　　</w:t>
      </w:r>
      <w:r>
        <w:rPr>
          <w:rFonts w:hint="eastAsia" w:ascii="仿宋_GB2312" w:hAnsi="仿宋_GB2312" w:eastAsia="仿宋_GB2312" w:cs="仿宋_GB2312"/>
          <w:color w:val="auto"/>
          <w:kern w:val="0"/>
          <w:sz w:val="28"/>
          <w:szCs w:val="28"/>
          <w:highlight w:val="none"/>
        </w:rPr>
        <w:t xml:space="preserve"> 　年龄：</w:t>
      </w:r>
      <w:r>
        <w:rPr>
          <w:rFonts w:hint="eastAsia" w:ascii="仿宋_GB2312" w:hAnsi="仿宋_GB2312" w:eastAsia="仿宋_GB2312" w:cs="仿宋_GB2312"/>
          <w:color w:val="auto"/>
          <w:kern w:val="0"/>
          <w:sz w:val="28"/>
          <w:szCs w:val="28"/>
          <w:highlight w:val="none"/>
          <w:u w:val="single"/>
        </w:rPr>
        <w:t>　　　</w:t>
      </w:r>
    </w:p>
    <w:p>
      <w:pPr>
        <w:spacing w:line="360" w:lineRule="auto"/>
        <w:ind w:firstLine="560" w:firstLineChars="200"/>
        <w:rPr>
          <w:rFonts w:ascii="仿宋_GB2312" w:hAnsi="仿宋_GB2312" w:eastAsia="仿宋_GB2312" w:cs="仿宋_GB2312"/>
          <w:color w:val="auto"/>
          <w:kern w:val="0"/>
          <w:sz w:val="28"/>
          <w:szCs w:val="28"/>
          <w:highlight w:val="none"/>
          <w:u w:val="single"/>
        </w:rPr>
      </w:pPr>
      <w:r>
        <w:rPr>
          <w:rFonts w:hint="eastAsia" w:ascii="仿宋_GB2312" w:hAnsi="仿宋_GB2312" w:eastAsia="仿宋_GB2312" w:cs="仿宋_GB2312"/>
          <w:color w:val="auto"/>
          <w:kern w:val="0"/>
          <w:sz w:val="28"/>
          <w:szCs w:val="28"/>
          <w:highlight w:val="none"/>
        </w:rPr>
        <w:t>部　门：</w:t>
      </w:r>
      <w:r>
        <w:rPr>
          <w:rFonts w:hint="eastAsia" w:ascii="仿宋_GB2312" w:hAnsi="仿宋_GB2312" w:eastAsia="仿宋_GB2312" w:cs="仿宋_GB2312"/>
          <w:color w:val="auto"/>
          <w:kern w:val="0"/>
          <w:sz w:val="28"/>
          <w:szCs w:val="28"/>
          <w:highlight w:val="none"/>
          <w:u w:val="single"/>
        </w:rPr>
        <w:t>　　　　　</w:t>
      </w:r>
      <w:r>
        <w:rPr>
          <w:rFonts w:hint="eastAsia" w:ascii="仿宋_GB2312" w:hAnsi="仿宋_GB2312" w:eastAsia="仿宋_GB2312" w:cs="仿宋_GB2312"/>
          <w:color w:val="auto"/>
          <w:kern w:val="0"/>
          <w:sz w:val="28"/>
          <w:szCs w:val="28"/>
          <w:highlight w:val="none"/>
        </w:rPr>
        <w:t>　 职务：</w:t>
      </w:r>
    </w:p>
    <w:p>
      <w:pPr>
        <w:spacing w:line="360" w:lineRule="auto"/>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日期：</w:t>
      </w:r>
      <w:r>
        <w:rPr>
          <w:rFonts w:hint="eastAsia" w:ascii="仿宋_GB2312" w:hAnsi="仿宋_GB2312" w:eastAsia="仿宋_GB2312" w:cs="仿宋_GB2312"/>
          <w:color w:val="auto"/>
          <w:kern w:val="0"/>
          <w:sz w:val="28"/>
          <w:szCs w:val="28"/>
          <w:highlight w:val="none"/>
          <w:lang w:val="en-US" w:eastAsia="zh-CN"/>
        </w:rPr>
        <w:t xml:space="preserve">   </w:t>
      </w:r>
      <w:r>
        <w:rPr>
          <w:rFonts w:hint="eastAsia" w:ascii="仿宋_GB2312" w:hAnsi="仿宋_GB2312" w:eastAsia="仿宋_GB2312" w:cs="仿宋_GB2312"/>
          <w:color w:val="auto"/>
          <w:kern w:val="0"/>
          <w:sz w:val="28"/>
          <w:szCs w:val="28"/>
          <w:highlight w:val="none"/>
        </w:rPr>
        <w:t>年</w:t>
      </w:r>
      <w:r>
        <w:rPr>
          <w:rFonts w:hint="eastAsia" w:ascii="仿宋_GB2312" w:hAnsi="仿宋_GB2312" w:eastAsia="仿宋_GB2312" w:cs="仿宋_GB2312"/>
          <w:color w:val="auto"/>
          <w:kern w:val="0"/>
          <w:sz w:val="28"/>
          <w:szCs w:val="28"/>
          <w:highlight w:val="none"/>
          <w:lang w:val="en-US" w:eastAsia="zh-CN"/>
        </w:rPr>
        <w:t xml:space="preserve">  </w:t>
      </w:r>
      <w:r>
        <w:rPr>
          <w:rFonts w:hint="eastAsia" w:ascii="仿宋_GB2312" w:hAnsi="仿宋_GB2312" w:eastAsia="仿宋_GB2312" w:cs="仿宋_GB2312"/>
          <w:color w:val="auto"/>
          <w:kern w:val="0"/>
          <w:sz w:val="28"/>
          <w:szCs w:val="28"/>
          <w:highlight w:val="none"/>
        </w:rPr>
        <w:t>月</w:t>
      </w:r>
      <w:r>
        <w:rPr>
          <w:rFonts w:hint="eastAsia" w:ascii="仿宋_GB2312" w:hAnsi="仿宋_GB2312" w:eastAsia="仿宋_GB2312" w:cs="仿宋_GB2312"/>
          <w:color w:val="auto"/>
          <w:kern w:val="0"/>
          <w:sz w:val="28"/>
          <w:szCs w:val="28"/>
          <w:highlight w:val="none"/>
          <w:lang w:val="en-US" w:eastAsia="zh-CN"/>
        </w:rPr>
        <w:t xml:space="preserve">   </w:t>
      </w:r>
      <w:r>
        <w:rPr>
          <w:rFonts w:hint="eastAsia" w:ascii="仿宋_GB2312" w:hAnsi="仿宋_GB2312" w:eastAsia="仿宋_GB2312" w:cs="仿宋_GB2312"/>
          <w:color w:val="auto"/>
          <w:kern w:val="0"/>
          <w:sz w:val="28"/>
          <w:szCs w:val="28"/>
          <w:highlight w:val="none"/>
        </w:rPr>
        <w:t>日</w:t>
      </w:r>
    </w:p>
    <w:p>
      <w:pPr>
        <w:spacing w:line="360" w:lineRule="auto"/>
        <w:ind w:firstLine="560" w:firstLineChars="200"/>
        <w:rPr>
          <w:rFonts w:ascii="仿宋_GB2312" w:hAnsi="仿宋_GB2312" w:eastAsia="仿宋_GB2312" w:cs="仿宋_GB2312"/>
          <w:color w:val="auto"/>
          <w:kern w:val="0"/>
          <w:sz w:val="28"/>
          <w:szCs w:val="28"/>
          <w:highlight w:val="none"/>
        </w:rPr>
      </w:pPr>
    </w:p>
    <w:p>
      <w:pPr>
        <w:spacing w:line="360" w:lineRule="auto"/>
        <w:ind w:firstLine="560" w:firstLineChars="200"/>
        <w:rPr>
          <w:rFonts w:ascii="仿宋_GB2312" w:hAnsi="仿宋_GB2312" w:eastAsia="仿宋_GB2312" w:cs="仿宋_GB2312"/>
          <w:color w:val="auto"/>
          <w:kern w:val="0"/>
          <w:sz w:val="28"/>
          <w:szCs w:val="28"/>
          <w:highlight w:val="none"/>
        </w:rPr>
      </w:pPr>
    </w:p>
    <w:p>
      <w:pPr>
        <w:spacing w:line="360" w:lineRule="auto"/>
        <w:ind w:firstLine="560" w:firstLineChars="200"/>
        <w:rPr>
          <w:rFonts w:ascii="仿宋_GB2312" w:hAnsi="仿宋_GB2312" w:eastAsia="仿宋_GB2312" w:cs="仿宋_GB2312"/>
          <w:color w:val="auto"/>
          <w:kern w:val="0"/>
          <w:sz w:val="28"/>
          <w:szCs w:val="28"/>
          <w:highlight w:val="none"/>
        </w:rPr>
      </w:pPr>
    </w:p>
    <w:p>
      <w:pPr>
        <w:spacing w:line="360" w:lineRule="auto"/>
        <w:ind w:firstLine="560" w:firstLineChars="200"/>
        <w:rPr>
          <w:rFonts w:ascii="仿宋_GB2312" w:hAnsi="仿宋_GB2312" w:eastAsia="仿宋_GB2312" w:cs="仿宋_GB2312"/>
          <w:color w:val="auto"/>
          <w:kern w:val="0"/>
          <w:sz w:val="28"/>
          <w:szCs w:val="28"/>
          <w:highlight w:val="none"/>
        </w:rPr>
      </w:pPr>
    </w:p>
    <w:p>
      <w:pPr>
        <w:spacing w:line="360" w:lineRule="auto"/>
        <w:ind w:firstLine="560" w:firstLineChars="200"/>
        <w:rPr>
          <w:rFonts w:ascii="仿宋_GB2312" w:hAnsi="仿宋_GB2312" w:eastAsia="仿宋_GB2312" w:cs="仿宋_GB2312"/>
          <w:color w:val="auto"/>
          <w:kern w:val="0"/>
          <w:sz w:val="28"/>
          <w:szCs w:val="28"/>
          <w:highlight w:val="none"/>
        </w:rPr>
      </w:pPr>
    </w:p>
    <w:p>
      <w:pPr>
        <w:spacing w:line="360" w:lineRule="auto"/>
        <w:rPr>
          <w:rFonts w:ascii="仿宋_GB2312" w:hAnsi="仿宋_GB2312" w:eastAsia="仿宋_GB2312" w:cs="仿宋_GB2312"/>
          <w:color w:val="auto"/>
          <w:kern w:val="0"/>
          <w:sz w:val="28"/>
          <w:szCs w:val="28"/>
          <w:highlight w:val="none"/>
        </w:rPr>
      </w:pPr>
    </w:p>
    <w:p>
      <w:pPr>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32"/>
          <w:szCs w:val="32"/>
          <w:highlight w:val="none"/>
        </w:rPr>
        <w:br w:type="page"/>
      </w:r>
      <w:r>
        <w:rPr>
          <w:color w:val="auto"/>
          <w:highlight w:val="none"/>
        </w:rPr>
        <w:fldChar w:fldCharType="begin"/>
      </w:r>
      <w:r>
        <w:rPr>
          <w:color w:val="auto"/>
          <w:highlight w:val="none"/>
        </w:rPr>
        <w:instrText xml:space="preserve"> HYPERLINK \l "_Toc339625066" </w:instrText>
      </w:r>
      <w:r>
        <w:rPr>
          <w:color w:val="auto"/>
          <w:highlight w:val="none"/>
        </w:rPr>
        <w:fldChar w:fldCharType="separate"/>
      </w:r>
      <w:r>
        <w:rPr>
          <w:rFonts w:hint="eastAsia" w:ascii="仿宋_GB2312" w:hAnsi="仿宋_GB2312" w:eastAsia="仿宋_GB2312" w:cs="仿宋_GB2312"/>
          <w:b/>
          <w:bCs/>
          <w:color w:val="auto"/>
          <w:sz w:val="32"/>
          <w:szCs w:val="32"/>
          <w:highlight w:val="none"/>
        </w:rPr>
        <w:t xml:space="preserve">附件3 </w:t>
      </w:r>
      <w:r>
        <w:rPr>
          <w:rFonts w:hint="eastAsia" w:ascii="仿宋_GB2312" w:hAnsi="仿宋_GB2312" w:eastAsia="仿宋_GB2312" w:cs="仿宋_GB2312"/>
          <w:b/>
          <w:bCs/>
          <w:color w:val="auto"/>
          <w:sz w:val="32"/>
          <w:szCs w:val="32"/>
          <w:highlight w:val="none"/>
        </w:rPr>
        <w:fldChar w:fldCharType="end"/>
      </w:r>
      <w:r>
        <w:rPr>
          <w:rFonts w:hint="eastAsia" w:ascii="仿宋_GB2312" w:hAnsi="仿宋_GB2312" w:eastAsia="仿宋_GB2312" w:cs="仿宋_GB2312"/>
          <w:b/>
          <w:bCs/>
          <w:color w:val="auto"/>
          <w:sz w:val="32"/>
          <w:szCs w:val="32"/>
          <w:highlight w:val="none"/>
        </w:rPr>
        <w:t>投标人关于资格的声明函（格式）</w:t>
      </w:r>
    </w:p>
    <w:p>
      <w:pPr>
        <w:adjustRightInd w:val="0"/>
        <w:snapToGrid w:val="0"/>
        <w:spacing w:line="360" w:lineRule="auto"/>
        <w:rPr>
          <w:rFonts w:ascii="仿宋_GB2312" w:hAnsi="仿宋_GB2312" w:eastAsia="仿宋_GB2312" w:cs="仿宋_GB2312"/>
          <w:color w:val="auto"/>
          <w:sz w:val="28"/>
          <w:szCs w:val="28"/>
          <w:highlight w:val="none"/>
        </w:rPr>
      </w:pPr>
    </w:p>
    <w:p>
      <w:pPr>
        <w:adjustRightInd w:val="0"/>
        <w:snapToGrid w:val="0"/>
        <w:spacing w:line="360" w:lineRule="auto"/>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项目名称：</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eastAsia="zh-CN"/>
        </w:rPr>
        <w:t>通渝公司2022年本机号码一键登录服务</w:t>
      </w:r>
      <w:r>
        <w:rPr>
          <w:rFonts w:hint="eastAsia" w:ascii="仿宋_GB2312" w:hAnsi="仿宋_GB2312" w:eastAsia="仿宋_GB2312" w:cs="仿宋_GB2312"/>
          <w:color w:val="auto"/>
          <w:sz w:val="28"/>
          <w:szCs w:val="28"/>
          <w:highlight w:val="none"/>
          <w:u w:val="single"/>
        </w:rPr>
        <w:t>项目</w:t>
      </w:r>
    </w:p>
    <w:p>
      <w:pPr>
        <w:adjustRightInd w:val="0"/>
        <w:snapToGrid w:val="0"/>
        <w:spacing w:line="360" w:lineRule="auto"/>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日    期：</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eastAsia="zh-CN"/>
        </w:rPr>
        <w:t>2021</w:t>
      </w:r>
      <w:r>
        <w:rPr>
          <w:rFonts w:hint="eastAsia" w:ascii="仿宋_GB2312" w:hAnsi="仿宋_GB2312" w:eastAsia="仿宋_GB2312" w:cs="仿宋_GB2312"/>
          <w:color w:val="auto"/>
          <w:sz w:val="28"/>
          <w:szCs w:val="28"/>
          <w:highlight w:val="none"/>
          <w:u w:val="single"/>
        </w:rPr>
        <w:t xml:space="preserve">年   月   日 </w:t>
      </w:r>
    </w:p>
    <w:p>
      <w:pPr>
        <w:adjustRightInd w:val="0"/>
        <w:snapToGrid w:val="0"/>
        <w:spacing w:line="360" w:lineRule="auto"/>
        <w:jc w:val="left"/>
        <w:rPr>
          <w:rFonts w:ascii="仿宋_GB2312" w:hAnsi="仿宋_GB2312" w:eastAsia="仿宋_GB2312" w:cs="仿宋_GB2312"/>
          <w:color w:val="auto"/>
          <w:sz w:val="28"/>
          <w:szCs w:val="28"/>
          <w:highlight w:val="none"/>
        </w:rPr>
      </w:pPr>
    </w:p>
    <w:p>
      <w:pPr>
        <w:adjustRightInd w:val="0"/>
        <w:snapToGrid w:val="0"/>
        <w:spacing w:line="360" w:lineRule="auto"/>
        <w:jc w:val="left"/>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致：</w:t>
      </w:r>
      <w:r>
        <w:rPr>
          <w:rFonts w:hint="eastAsia" w:ascii="仿宋_GB2312" w:hAnsi="仿宋_GB2312" w:eastAsia="仿宋_GB2312" w:cs="仿宋_GB2312"/>
          <w:color w:val="auto"/>
          <w:sz w:val="28"/>
          <w:szCs w:val="28"/>
          <w:highlight w:val="none"/>
          <w:u w:val="single"/>
        </w:rPr>
        <w:t xml:space="preserve"> 重庆通渝科技有限公司 </w:t>
      </w:r>
    </w:p>
    <w:p>
      <w:pPr>
        <w:pStyle w:val="14"/>
        <w:adjustRightInd w:val="0"/>
        <w:snapToGrid w:val="0"/>
        <w:spacing w:line="360" w:lineRule="auto"/>
        <w:ind w:left="0" w:leftChars="0" w:firstLine="56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我公司愿意针对上述项目进行投标。投标文件中所有关于投标人资格的文件、证明、陈述均是真实的、准确的。若有违背，我公司承担由此而产生的一切后果。</w:t>
      </w:r>
    </w:p>
    <w:p>
      <w:pPr>
        <w:adjustRightInd w:val="0"/>
        <w:snapToGrid w:val="0"/>
        <w:spacing w:line="360" w:lineRule="auto"/>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特此声明！</w:t>
      </w:r>
    </w:p>
    <w:p>
      <w:pPr>
        <w:adjustRightInd w:val="0"/>
        <w:snapToGrid w:val="0"/>
        <w:spacing w:line="360" w:lineRule="auto"/>
        <w:ind w:firstLine="560" w:firstLineChars="200"/>
        <w:jc w:val="left"/>
        <w:rPr>
          <w:rFonts w:ascii="仿宋_GB2312" w:hAnsi="仿宋_GB2312" w:eastAsia="仿宋_GB2312" w:cs="仿宋_GB2312"/>
          <w:color w:val="auto"/>
          <w:sz w:val="28"/>
          <w:szCs w:val="28"/>
          <w:highlight w:val="none"/>
        </w:rPr>
      </w:pPr>
    </w:p>
    <w:p>
      <w:pPr>
        <w:adjustRightInd w:val="0"/>
        <w:snapToGrid w:val="0"/>
        <w:spacing w:line="360" w:lineRule="auto"/>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投标人授权代表签字：</w:t>
      </w:r>
    </w:p>
    <w:p>
      <w:pPr>
        <w:spacing w:line="360" w:lineRule="auto"/>
        <w:ind w:firstLine="3360" w:firstLineChars="1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投标人公章: </w:t>
      </w:r>
    </w:p>
    <w:p>
      <w:pPr>
        <w:spacing w:line="360" w:lineRule="auto"/>
        <w:ind w:firstLine="3360" w:firstLineChars="1200"/>
        <w:rPr>
          <w:rFonts w:ascii="仿宋_GB2312" w:hAnsi="仿宋_GB2312" w:eastAsia="仿宋_GB2312" w:cs="仿宋_GB2312"/>
          <w:color w:val="auto"/>
          <w:sz w:val="28"/>
          <w:szCs w:val="28"/>
          <w:highlight w:val="none"/>
        </w:rPr>
      </w:pPr>
    </w:p>
    <w:p>
      <w:pPr>
        <w:spacing w:line="360" w:lineRule="auto"/>
        <w:ind w:firstLine="3360" w:firstLineChars="1200"/>
        <w:rPr>
          <w:rFonts w:ascii="仿宋_GB2312" w:hAnsi="仿宋_GB2312" w:eastAsia="仿宋_GB2312" w:cs="仿宋_GB2312"/>
          <w:color w:val="auto"/>
          <w:sz w:val="28"/>
          <w:szCs w:val="28"/>
          <w:highlight w:val="none"/>
        </w:rPr>
      </w:pPr>
    </w:p>
    <w:p>
      <w:pPr>
        <w:spacing w:line="360" w:lineRule="auto"/>
        <w:ind w:firstLine="3360" w:firstLineChars="1200"/>
        <w:rPr>
          <w:rFonts w:ascii="仿宋_GB2312" w:hAnsi="仿宋_GB2312" w:eastAsia="仿宋_GB2312" w:cs="仿宋_GB2312"/>
          <w:color w:val="auto"/>
          <w:sz w:val="28"/>
          <w:szCs w:val="28"/>
          <w:highlight w:val="none"/>
        </w:rPr>
      </w:pPr>
    </w:p>
    <w:p>
      <w:pPr>
        <w:spacing w:line="360" w:lineRule="auto"/>
        <w:ind w:firstLine="3360" w:firstLineChars="1200"/>
        <w:rPr>
          <w:rFonts w:ascii="仿宋_GB2312" w:hAnsi="仿宋_GB2312" w:eastAsia="仿宋_GB2312" w:cs="仿宋_GB2312"/>
          <w:color w:val="auto"/>
          <w:sz w:val="28"/>
          <w:szCs w:val="28"/>
          <w:highlight w:val="none"/>
        </w:rPr>
      </w:pPr>
    </w:p>
    <w:p>
      <w:pPr>
        <w:spacing w:line="360" w:lineRule="auto"/>
        <w:ind w:firstLine="3360" w:firstLineChars="1200"/>
        <w:rPr>
          <w:rFonts w:ascii="仿宋_GB2312" w:hAnsi="仿宋_GB2312" w:eastAsia="仿宋_GB2312" w:cs="仿宋_GB2312"/>
          <w:color w:val="auto"/>
          <w:sz w:val="28"/>
          <w:szCs w:val="28"/>
          <w:highlight w:val="none"/>
        </w:rPr>
      </w:pPr>
    </w:p>
    <w:p>
      <w:pPr>
        <w:spacing w:line="360" w:lineRule="auto"/>
        <w:ind w:firstLine="3360" w:firstLineChars="1200"/>
        <w:rPr>
          <w:rFonts w:ascii="仿宋_GB2312" w:hAnsi="仿宋_GB2312" w:eastAsia="仿宋_GB2312" w:cs="仿宋_GB2312"/>
          <w:color w:val="auto"/>
          <w:sz w:val="28"/>
          <w:szCs w:val="28"/>
          <w:highlight w:val="none"/>
        </w:rPr>
      </w:pPr>
    </w:p>
    <w:p>
      <w:pPr>
        <w:spacing w:line="360" w:lineRule="auto"/>
        <w:ind w:firstLine="3360" w:firstLineChars="1200"/>
        <w:rPr>
          <w:rFonts w:ascii="仿宋_GB2312" w:hAnsi="仿宋_GB2312" w:eastAsia="仿宋_GB2312" w:cs="仿宋_GB2312"/>
          <w:color w:val="auto"/>
          <w:sz w:val="28"/>
          <w:szCs w:val="28"/>
          <w:highlight w:val="none"/>
        </w:rPr>
      </w:pPr>
    </w:p>
    <w:p>
      <w:pPr>
        <w:spacing w:line="360" w:lineRule="auto"/>
        <w:ind w:firstLine="3360" w:firstLineChars="1200"/>
        <w:rPr>
          <w:rFonts w:ascii="仿宋_GB2312" w:hAnsi="仿宋_GB2312" w:eastAsia="仿宋_GB2312" w:cs="仿宋_GB2312"/>
          <w:color w:val="auto"/>
          <w:sz w:val="28"/>
          <w:szCs w:val="28"/>
          <w:highlight w:val="none"/>
        </w:rPr>
      </w:pPr>
    </w:p>
    <w:p>
      <w:pPr>
        <w:spacing w:line="360" w:lineRule="auto"/>
        <w:ind w:firstLine="3360" w:firstLineChars="1200"/>
        <w:rPr>
          <w:rFonts w:ascii="仿宋_GB2312" w:hAnsi="仿宋_GB2312" w:eastAsia="仿宋_GB2312" w:cs="仿宋_GB2312"/>
          <w:color w:val="auto"/>
          <w:sz w:val="28"/>
          <w:szCs w:val="28"/>
          <w:highlight w:val="none"/>
        </w:rPr>
      </w:pPr>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r>
        <w:rPr>
          <w:color w:val="auto"/>
          <w:highlight w:val="none"/>
        </w:rPr>
        <w:fldChar w:fldCharType="begin"/>
      </w:r>
      <w:r>
        <w:rPr>
          <w:color w:val="auto"/>
          <w:highlight w:val="none"/>
        </w:rPr>
        <w:instrText xml:space="preserve"> HYPERLINK \l "_Toc339625067" </w:instrText>
      </w:r>
      <w:r>
        <w:rPr>
          <w:color w:val="auto"/>
          <w:highlight w:val="none"/>
        </w:rPr>
        <w:fldChar w:fldCharType="separate"/>
      </w:r>
      <w:r>
        <w:rPr>
          <w:rFonts w:hint="eastAsia" w:ascii="仿宋_GB2312" w:hAnsi="仿宋_GB2312" w:eastAsia="仿宋_GB2312" w:cs="仿宋_GB2312"/>
          <w:b/>
          <w:bCs/>
          <w:color w:val="auto"/>
          <w:sz w:val="32"/>
          <w:szCs w:val="32"/>
          <w:highlight w:val="none"/>
        </w:rPr>
        <w:t xml:space="preserve">附件4 </w:t>
      </w:r>
      <w:r>
        <w:rPr>
          <w:rFonts w:hint="eastAsia" w:ascii="仿宋_GB2312" w:hAnsi="仿宋_GB2312" w:eastAsia="仿宋_GB2312" w:cs="仿宋_GB2312"/>
          <w:b/>
          <w:bCs/>
          <w:color w:val="auto"/>
          <w:sz w:val="32"/>
          <w:szCs w:val="32"/>
          <w:highlight w:val="none"/>
        </w:rPr>
        <w:fldChar w:fldCharType="end"/>
      </w:r>
      <w:r>
        <w:rPr>
          <w:rFonts w:hint="eastAsia" w:ascii="仿宋_GB2312" w:hAnsi="仿宋_GB2312" w:eastAsia="仿宋_GB2312" w:cs="仿宋_GB2312"/>
          <w:b/>
          <w:bCs/>
          <w:color w:val="auto"/>
          <w:sz w:val="32"/>
          <w:szCs w:val="32"/>
          <w:highlight w:val="none"/>
        </w:rPr>
        <w:t>报价表</w:t>
      </w:r>
    </w:p>
    <w:p>
      <w:pPr>
        <w:tabs>
          <w:tab w:val="left" w:pos="480"/>
        </w:tabs>
        <w:spacing w:line="360" w:lineRule="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1．一般要求</w:t>
      </w:r>
    </w:p>
    <w:p>
      <w:pPr>
        <w:tabs>
          <w:tab w:val="left" w:pos="480"/>
        </w:tabs>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1.1 分项价之和须与投标总价相等。开标后若发现由于投标人的原因造成分项价之和与总价不符，当分项价之和大于总价时，以总价为准；当分项价之和小于总价时，则在签订合同时相应核减总价。</w:t>
      </w:r>
    </w:p>
    <w:p>
      <w:pPr>
        <w:tabs>
          <w:tab w:val="left" w:pos="480"/>
        </w:tabs>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1.2 报价币种为人民币。</w:t>
      </w:r>
    </w:p>
    <w:p>
      <w:pPr>
        <w:tabs>
          <w:tab w:val="left" w:pos="480"/>
        </w:tabs>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1.3 价格表中报价为固定不变价格。</w:t>
      </w:r>
    </w:p>
    <w:p>
      <w:pPr>
        <w:tabs>
          <w:tab w:val="left" w:pos="480"/>
        </w:tabs>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1.4 报价应注明日期、有效期和法定代表人或其授权委托人的签字。</w:t>
      </w:r>
    </w:p>
    <w:p>
      <w:pPr>
        <w:tabs>
          <w:tab w:val="left" w:pos="480"/>
        </w:tabs>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1.5 报价内容应包含投标人完成本</w:t>
      </w:r>
      <w:r>
        <w:rPr>
          <w:rFonts w:hint="eastAsia" w:ascii="仿宋_GB2312" w:hAnsi="仿宋_GB2312" w:eastAsia="仿宋_GB2312" w:cs="仿宋_GB2312"/>
          <w:color w:val="auto"/>
          <w:sz w:val="28"/>
          <w:szCs w:val="28"/>
          <w:highlight w:val="none"/>
          <w:lang w:eastAsia="zh-CN"/>
        </w:rPr>
        <w:t>公开竞争性比选文件</w:t>
      </w:r>
      <w:r>
        <w:rPr>
          <w:rFonts w:hint="eastAsia" w:ascii="仿宋_GB2312" w:hAnsi="仿宋_GB2312" w:eastAsia="仿宋_GB2312" w:cs="仿宋_GB2312"/>
          <w:color w:val="auto"/>
          <w:sz w:val="28"/>
          <w:szCs w:val="28"/>
          <w:highlight w:val="none"/>
        </w:rPr>
        <w:t>规定的全部工作范围而发生的全部费用。</w:t>
      </w:r>
    </w:p>
    <w:p>
      <w:pPr>
        <w:tabs>
          <w:tab w:val="left" w:pos="480"/>
        </w:tabs>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1.6 投标报价为含税价格，包含投标人为完成本项目而应缴纳的各种赋税。</w:t>
      </w:r>
    </w:p>
    <w:p>
      <w:pPr>
        <w:tabs>
          <w:tab w:val="left" w:pos="480"/>
        </w:tabs>
        <w:spacing w:line="360" w:lineRule="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2．报价内容</w:t>
      </w:r>
    </w:p>
    <w:p>
      <w:pPr>
        <w:tabs>
          <w:tab w:val="left" w:pos="480"/>
        </w:tabs>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投标人的投标报价应当是投标人完成本项目、提供全部产品与服务所需要的各项费用的总和。</w:t>
      </w:r>
    </w:p>
    <w:p>
      <w:pPr>
        <w:tabs>
          <w:tab w:val="left" w:pos="480"/>
        </w:tabs>
        <w:spacing w:line="360" w:lineRule="auto"/>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3．投标报价表</w:t>
      </w:r>
    </w:p>
    <w:p>
      <w:pPr>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 xml:space="preserve">重庆通渝科技有限公司 </w:t>
      </w:r>
      <w:r>
        <w:rPr>
          <w:rFonts w:hint="eastAsia" w:ascii="仿宋_GB2312" w:hAnsi="仿宋_GB2312" w:eastAsia="仿宋_GB2312" w:cs="仿宋_GB2312"/>
          <w:color w:val="auto"/>
          <w:sz w:val="28"/>
          <w:szCs w:val="28"/>
          <w:highlight w:val="none"/>
        </w:rPr>
        <w:t>：</w:t>
      </w:r>
    </w:p>
    <w:p>
      <w:pPr>
        <w:tabs>
          <w:tab w:val="left" w:pos="480"/>
        </w:tabs>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我单位经过认真研究，决定完成本投标项目的全部工作任务，投标</w:t>
      </w:r>
      <w:r>
        <w:rPr>
          <w:rFonts w:hint="eastAsia" w:ascii="仿宋_GB2312" w:hAnsi="仿宋_GB2312" w:eastAsia="仿宋_GB2312" w:cs="仿宋_GB2312"/>
          <w:color w:val="auto"/>
          <w:sz w:val="28"/>
          <w:szCs w:val="28"/>
          <w:highlight w:val="none"/>
          <w:lang w:eastAsia="zh-CN"/>
        </w:rPr>
        <w:t>单</w:t>
      </w:r>
      <w:r>
        <w:rPr>
          <w:rFonts w:hint="eastAsia" w:ascii="仿宋_GB2312" w:hAnsi="仿宋_GB2312" w:eastAsia="仿宋_GB2312" w:cs="仿宋_GB2312"/>
          <w:color w:val="auto"/>
          <w:sz w:val="28"/>
          <w:szCs w:val="28"/>
          <w:highlight w:val="none"/>
        </w:rPr>
        <w:t>价为：</w:t>
      </w:r>
    </w:p>
    <w:p>
      <w:pPr>
        <w:tabs>
          <w:tab w:val="left" w:pos="480"/>
        </w:tabs>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人民币：</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元</w:t>
      </w:r>
      <w:r>
        <w:rPr>
          <w:rFonts w:hint="eastAsia" w:ascii="仿宋_GB2312" w:hAnsi="仿宋_GB2312" w:eastAsia="仿宋_GB2312" w:cs="仿宋_GB2312"/>
          <w:color w:val="auto"/>
          <w:sz w:val="28"/>
          <w:szCs w:val="28"/>
          <w:highlight w:val="none"/>
          <w:lang w:val="en-US" w:eastAsia="zh-CN"/>
        </w:rPr>
        <w:t>/次</w:t>
      </w:r>
      <w:r>
        <w:rPr>
          <w:rFonts w:hint="eastAsia" w:ascii="仿宋_GB2312" w:hAnsi="仿宋_GB2312" w:eastAsia="仿宋_GB2312" w:cs="仿宋_GB2312"/>
          <w:color w:val="auto"/>
          <w:sz w:val="28"/>
          <w:szCs w:val="28"/>
          <w:highlight w:val="none"/>
        </w:rPr>
        <w:t>（大写：元）（请财务确认税率）。</w:t>
      </w:r>
    </w:p>
    <w:p>
      <w:pPr>
        <w:tabs>
          <w:tab w:val="left" w:pos="480"/>
        </w:tabs>
        <w:spacing w:line="360" w:lineRule="auto"/>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如下列表格所示。</w:t>
      </w:r>
    </w:p>
    <w:p>
      <w:pPr>
        <w:tabs>
          <w:tab w:val="left" w:pos="480"/>
        </w:tabs>
        <w:spacing w:line="360" w:lineRule="auto"/>
        <w:rPr>
          <w:rFonts w:hint="eastAsia" w:ascii="仿宋_GB2312" w:hAnsi="仿宋_GB2312" w:eastAsia="仿宋_GB2312" w:cs="仿宋_GB2312"/>
          <w:color w:val="auto"/>
          <w:sz w:val="28"/>
          <w:szCs w:val="28"/>
          <w:highlight w:val="none"/>
        </w:rPr>
      </w:pPr>
    </w:p>
    <w:p>
      <w:pPr>
        <w:tabs>
          <w:tab w:val="left" w:pos="480"/>
        </w:tabs>
        <w:spacing w:line="360" w:lineRule="auto"/>
        <w:rPr>
          <w:rFonts w:hint="eastAsia" w:ascii="仿宋_GB2312" w:hAnsi="仿宋_GB2312" w:eastAsia="仿宋_GB2312" w:cs="仿宋_GB2312"/>
          <w:color w:val="auto"/>
          <w:sz w:val="28"/>
          <w:szCs w:val="28"/>
          <w:highlight w:val="none"/>
        </w:rPr>
      </w:pPr>
    </w:p>
    <w:p>
      <w:pPr>
        <w:tabs>
          <w:tab w:val="left" w:pos="480"/>
        </w:tabs>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3.1 投标报价表</w:t>
      </w:r>
    </w:p>
    <w:p>
      <w:pPr>
        <w:jc w:val="center"/>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投标报价表</w:t>
      </w:r>
    </w:p>
    <w:tbl>
      <w:tblPr>
        <w:tblStyle w:val="1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136"/>
        <w:gridCol w:w="1718"/>
        <w:gridCol w:w="938"/>
        <w:gridCol w:w="1408"/>
        <w:gridCol w:w="1407"/>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39" w:type="dxa"/>
            <w:vAlign w:val="center"/>
          </w:tcPr>
          <w:p>
            <w:pPr>
              <w:snapToGrid w:val="0"/>
              <w:jc w:val="center"/>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序号</w:t>
            </w:r>
          </w:p>
        </w:tc>
        <w:tc>
          <w:tcPr>
            <w:tcW w:w="2136" w:type="dxa"/>
            <w:vAlign w:val="center"/>
          </w:tcPr>
          <w:p>
            <w:pPr>
              <w:snapToGrid w:val="0"/>
              <w:jc w:val="center"/>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名称</w:t>
            </w:r>
          </w:p>
        </w:tc>
        <w:tc>
          <w:tcPr>
            <w:tcW w:w="1718" w:type="dxa"/>
            <w:vAlign w:val="center"/>
          </w:tcPr>
          <w:p>
            <w:pPr>
              <w:snapToGrid w:val="0"/>
              <w:jc w:val="center"/>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型号规格</w:t>
            </w:r>
          </w:p>
        </w:tc>
        <w:tc>
          <w:tcPr>
            <w:tcW w:w="938" w:type="dxa"/>
            <w:vAlign w:val="center"/>
          </w:tcPr>
          <w:p>
            <w:pPr>
              <w:snapToGrid w:val="0"/>
              <w:jc w:val="center"/>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数量</w:t>
            </w:r>
          </w:p>
        </w:tc>
        <w:tc>
          <w:tcPr>
            <w:tcW w:w="1408" w:type="dxa"/>
            <w:vAlign w:val="center"/>
          </w:tcPr>
          <w:p>
            <w:pPr>
              <w:snapToGrid w:val="0"/>
              <w:jc w:val="center"/>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单价（元）</w:t>
            </w:r>
          </w:p>
        </w:tc>
        <w:tc>
          <w:tcPr>
            <w:tcW w:w="1407" w:type="dxa"/>
            <w:vAlign w:val="center"/>
          </w:tcPr>
          <w:p>
            <w:pPr>
              <w:snapToGrid w:val="0"/>
              <w:jc w:val="center"/>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金额</w:t>
            </w:r>
          </w:p>
          <w:p>
            <w:pPr>
              <w:snapToGrid w:val="0"/>
              <w:jc w:val="center"/>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（元）</w:t>
            </w:r>
          </w:p>
        </w:tc>
        <w:tc>
          <w:tcPr>
            <w:tcW w:w="1408" w:type="dxa"/>
            <w:vAlign w:val="center"/>
          </w:tcPr>
          <w:p>
            <w:pPr>
              <w:snapToGrid w:val="0"/>
              <w:jc w:val="center"/>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9" w:type="dxa"/>
            <w:vAlign w:val="center"/>
          </w:tcPr>
          <w:p>
            <w:pPr>
              <w:snapToGrid w:val="0"/>
              <w:jc w:val="center"/>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w:t>
            </w:r>
          </w:p>
        </w:tc>
        <w:tc>
          <w:tcPr>
            <w:tcW w:w="2136" w:type="dxa"/>
            <w:vAlign w:val="center"/>
          </w:tcPr>
          <w:p>
            <w:pPr>
              <w:snapToGrid w:val="0"/>
              <w:jc w:val="left"/>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val="en-US" w:eastAsia="zh-CN"/>
              </w:rPr>
              <w:t>本机号码一键登录</w:t>
            </w:r>
            <w:r>
              <w:rPr>
                <w:rFonts w:hint="eastAsia" w:ascii="仿宋_GB2312" w:hAnsi="仿宋_GB2312" w:eastAsia="仿宋_GB2312" w:cs="仿宋_GB2312"/>
                <w:bCs/>
                <w:color w:val="auto"/>
                <w:sz w:val="28"/>
                <w:szCs w:val="28"/>
                <w:highlight w:val="none"/>
                <w:lang w:eastAsia="zh-CN"/>
              </w:rPr>
              <w:t>费用</w:t>
            </w:r>
          </w:p>
        </w:tc>
        <w:tc>
          <w:tcPr>
            <w:tcW w:w="1718" w:type="dxa"/>
            <w:vAlign w:val="center"/>
          </w:tcPr>
          <w:p>
            <w:pPr>
              <w:snapToGrid w:val="0"/>
              <w:jc w:val="center"/>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val="en-US" w:eastAsia="zh-CN"/>
              </w:rPr>
              <w:t>次</w:t>
            </w:r>
          </w:p>
        </w:tc>
        <w:tc>
          <w:tcPr>
            <w:tcW w:w="938" w:type="dxa"/>
            <w:vAlign w:val="center"/>
          </w:tcPr>
          <w:p>
            <w:pPr>
              <w:snapToGrid w:val="0"/>
              <w:jc w:val="center"/>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w:t>
            </w:r>
          </w:p>
        </w:tc>
        <w:tc>
          <w:tcPr>
            <w:tcW w:w="1408" w:type="dxa"/>
            <w:vAlign w:val="center"/>
          </w:tcPr>
          <w:p>
            <w:pPr>
              <w:snapToGrid w:val="0"/>
              <w:jc w:val="center"/>
              <w:rPr>
                <w:rFonts w:ascii="仿宋_GB2312" w:hAnsi="仿宋_GB2312" w:eastAsia="仿宋_GB2312" w:cs="仿宋_GB2312"/>
                <w:bCs/>
                <w:color w:val="auto"/>
                <w:sz w:val="28"/>
                <w:szCs w:val="28"/>
                <w:highlight w:val="none"/>
              </w:rPr>
            </w:pPr>
          </w:p>
        </w:tc>
        <w:tc>
          <w:tcPr>
            <w:tcW w:w="1407" w:type="dxa"/>
            <w:vAlign w:val="center"/>
          </w:tcPr>
          <w:p>
            <w:pPr>
              <w:snapToGrid w:val="0"/>
              <w:jc w:val="center"/>
              <w:rPr>
                <w:rFonts w:ascii="仿宋_GB2312" w:hAnsi="仿宋_GB2312" w:eastAsia="仿宋_GB2312" w:cs="仿宋_GB2312"/>
                <w:bCs/>
                <w:color w:val="auto"/>
                <w:sz w:val="28"/>
                <w:szCs w:val="28"/>
                <w:highlight w:val="none"/>
              </w:rPr>
            </w:pPr>
          </w:p>
        </w:tc>
        <w:tc>
          <w:tcPr>
            <w:tcW w:w="1408" w:type="dxa"/>
            <w:vAlign w:val="center"/>
          </w:tcPr>
          <w:p>
            <w:pPr>
              <w:snapToGrid w:val="0"/>
              <w:jc w:val="center"/>
              <w:rPr>
                <w:rFonts w:ascii="仿宋_GB2312" w:hAnsi="仿宋_GB2312" w:eastAsia="仿宋_GB2312" w:cs="仿宋_GB2312"/>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9" w:type="dxa"/>
            <w:gridSpan w:val="5"/>
            <w:vAlign w:val="center"/>
          </w:tcPr>
          <w:p>
            <w:pPr>
              <w:snapToGrid w:val="0"/>
              <w:jc w:val="center"/>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总价：</w:t>
            </w:r>
          </w:p>
        </w:tc>
        <w:tc>
          <w:tcPr>
            <w:tcW w:w="1407" w:type="dxa"/>
            <w:vAlign w:val="center"/>
          </w:tcPr>
          <w:p>
            <w:pPr>
              <w:snapToGrid w:val="0"/>
              <w:jc w:val="center"/>
              <w:rPr>
                <w:rFonts w:ascii="仿宋_GB2312" w:hAnsi="仿宋_GB2312" w:eastAsia="仿宋_GB2312" w:cs="仿宋_GB2312"/>
                <w:bCs/>
                <w:color w:val="auto"/>
                <w:sz w:val="28"/>
                <w:szCs w:val="28"/>
                <w:highlight w:val="none"/>
              </w:rPr>
            </w:pPr>
          </w:p>
        </w:tc>
        <w:tc>
          <w:tcPr>
            <w:tcW w:w="1408" w:type="dxa"/>
            <w:vAlign w:val="center"/>
          </w:tcPr>
          <w:p>
            <w:pPr>
              <w:snapToGrid w:val="0"/>
              <w:jc w:val="center"/>
              <w:rPr>
                <w:rFonts w:ascii="仿宋_GB2312" w:hAnsi="仿宋_GB2312" w:eastAsia="仿宋_GB2312" w:cs="仿宋_GB2312"/>
                <w:bCs/>
                <w:color w:val="auto"/>
                <w:sz w:val="28"/>
                <w:szCs w:val="28"/>
                <w:highlight w:val="none"/>
              </w:rPr>
            </w:pPr>
          </w:p>
        </w:tc>
      </w:tr>
    </w:tbl>
    <w:p>
      <w:pPr>
        <w:rPr>
          <w:rFonts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28"/>
          <w:szCs w:val="28"/>
          <w:highlight w:val="none"/>
        </w:rPr>
        <w:t>注：差旅费、管理费及税金等包含在投标总价中。</w:t>
      </w:r>
    </w:p>
    <w:p>
      <w:pPr>
        <w:widowControl/>
        <w:spacing w:line="360" w:lineRule="auto"/>
        <w:ind w:firstLine="675"/>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投标人：(盖章)</w:t>
      </w:r>
    </w:p>
    <w:p>
      <w:pPr>
        <w:widowControl/>
        <w:spacing w:line="360" w:lineRule="auto"/>
        <w:ind w:firstLine="675"/>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法定代表人或投标人授权代表：(签字、盖章)</w:t>
      </w:r>
    </w:p>
    <w:p>
      <w:pPr>
        <w:widowControl/>
        <w:spacing w:line="360" w:lineRule="auto"/>
        <w:ind w:firstLine="675"/>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日期：年月日</w:t>
      </w:r>
    </w:p>
    <w:p>
      <w:pPr>
        <w:spacing w:line="360" w:lineRule="auto"/>
        <w:rPr>
          <w:rFonts w:ascii="仿宋_GB2312" w:hAnsi="仿宋_GB2312" w:eastAsia="仿宋_GB2312" w:cs="仿宋_GB2312"/>
          <w:b/>
          <w:bCs/>
          <w:color w:val="auto"/>
          <w:sz w:val="32"/>
          <w:szCs w:val="32"/>
          <w:highlight w:val="none"/>
        </w:rPr>
      </w:pPr>
    </w:p>
    <w:p>
      <w:pPr>
        <w:spacing w:line="360" w:lineRule="auto"/>
        <w:rPr>
          <w:rFonts w:ascii="仿宋_GB2312" w:hAnsi="仿宋_GB2312" w:eastAsia="仿宋_GB2312" w:cs="仿宋_GB2312"/>
          <w:b/>
          <w:bCs/>
          <w:color w:val="auto"/>
          <w:sz w:val="32"/>
          <w:szCs w:val="32"/>
          <w:highlight w:val="none"/>
        </w:rPr>
      </w:pPr>
    </w:p>
    <w:p>
      <w:pPr>
        <w:spacing w:line="360" w:lineRule="auto"/>
        <w:rPr>
          <w:rFonts w:ascii="仿宋_GB2312" w:hAnsi="仿宋_GB2312" w:eastAsia="仿宋_GB2312" w:cs="仿宋_GB2312"/>
          <w:b/>
          <w:bCs/>
          <w:color w:val="auto"/>
          <w:sz w:val="32"/>
          <w:szCs w:val="32"/>
          <w:highlight w:val="none"/>
        </w:rPr>
      </w:pPr>
    </w:p>
    <w:p>
      <w:pPr>
        <w:spacing w:line="360" w:lineRule="auto"/>
        <w:rPr>
          <w:rFonts w:ascii="仿宋_GB2312" w:hAnsi="仿宋_GB2312" w:eastAsia="仿宋_GB2312" w:cs="仿宋_GB2312"/>
          <w:b/>
          <w:bCs/>
          <w:color w:val="auto"/>
          <w:sz w:val="32"/>
          <w:szCs w:val="32"/>
          <w:highlight w:val="none"/>
        </w:rPr>
      </w:pPr>
    </w:p>
    <w:p>
      <w:pPr>
        <w:spacing w:line="360" w:lineRule="auto"/>
        <w:rPr>
          <w:rFonts w:ascii="仿宋_GB2312" w:hAnsi="仿宋_GB2312" w:eastAsia="仿宋_GB2312" w:cs="仿宋_GB2312"/>
          <w:b/>
          <w:bCs/>
          <w:color w:val="auto"/>
          <w:sz w:val="32"/>
          <w:szCs w:val="32"/>
          <w:highlight w:val="none"/>
        </w:rPr>
      </w:pPr>
    </w:p>
    <w:p>
      <w:pPr>
        <w:spacing w:line="360" w:lineRule="auto"/>
        <w:rPr>
          <w:rFonts w:ascii="仿宋_GB2312" w:hAnsi="仿宋_GB2312" w:eastAsia="仿宋_GB2312" w:cs="仿宋_GB2312"/>
          <w:b/>
          <w:bCs/>
          <w:color w:val="auto"/>
          <w:sz w:val="32"/>
          <w:szCs w:val="32"/>
          <w:highlight w:val="none"/>
        </w:rPr>
      </w:pPr>
    </w:p>
    <w:p>
      <w:pPr>
        <w:spacing w:line="360" w:lineRule="auto"/>
        <w:rPr>
          <w:rFonts w:ascii="仿宋_GB2312" w:hAnsi="仿宋_GB2312" w:eastAsia="仿宋_GB2312" w:cs="仿宋_GB2312"/>
          <w:b/>
          <w:bCs/>
          <w:color w:val="auto"/>
          <w:sz w:val="32"/>
          <w:szCs w:val="32"/>
          <w:highlight w:val="none"/>
        </w:rPr>
      </w:pPr>
    </w:p>
    <w:p>
      <w:pPr>
        <w:spacing w:line="360" w:lineRule="auto"/>
        <w:rPr>
          <w:rFonts w:ascii="仿宋_GB2312" w:hAnsi="仿宋_GB2312" w:eastAsia="仿宋_GB2312" w:cs="仿宋_GB2312"/>
          <w:b/>
          <w:bCs/>
          <w:color w:val="auto"/>
          <w:sz w:val="32"/>
          <w:szCs w:val="32"/>
          <w:highlight w:val="none"/>
        </w:rPr>
      </w:pPr>
    </w:p>
    <w:p>
      <w:pPr>
        <w:spacing w:line="360" w:lineRule="auto"/>
        <w:rPr>
          <w:rFonts w:ascii="仿宋_GB2312" w:hAnsi="仿宋_GB2312" w:eastAsia="仿宋_GB2312" w:cs="仿宋_GB2312"/>
          <w:b/>
          <w:bCs/>
          <w:color w:val="auto"/>
          <w:sz w:val="32"/>
          <w:szCs w:val="32"/>
          <w:highlight w:val="none"/>
        </w:rPr>
      </w:pPr>
    </w:p>
    <w:p>
      <w:pPr>
        <w:spacing w:line="360" w:lineRule="auto"/>
        <w:rPr>
          <w:rFonts w:ascii="仿宋_GB2312" w:hAnsi="仿宋_GB2312" w:eastAsia="仿宋_GB2312" w:cs="仿宋_GB2312"/>
          <w:b/>
          <w:bCs/>
          <w:color w:val="auto"/>
          <w:sz w:val="32"/>
          <w:szCs w:val="32"/>
          <w:highlight w:val="none"/>
        </w:rPr>
      </w:pPr>
    </w:p>
    <w:p>
      <w:pPr>
        <w:spacing w:line="360" w:lineRule="auto"/>
        <w:rPr>
          <w:rFonts w:ascii="仿宋_GB2312" w:hAnsi="仿宋_GB2312" w:eastAsia="仿宋_GB2312" w:cs="仿宋_GB2312"/>
          <w:b/>
          <w:bCs/>
          <w:color w:val="auto"/>
          <w:sz w:val="32"/>
          <w:szCs w:val="32"/>
          <w:highlight w:val="none"/>
        </w:rPr>
      </w:pPr>
    </w:p>
    <w:p>
      <w:pPr>
        <w:pStyle w:val="30"/>
        <w:rPr>
          <w:rFonts w:ascii="仿宋_GB2312" w:hAnsi="仿宋_GB2312" w:eastAsia="仿宋_GB2312" w:cs="仿宋_GB2312"/>
          <w:b/>
          <w:bCs/>
          <w:color w:val="auto"/>
          <w:sz w:val="32"/>
          <w:szCs w:val="32"/>
          <w:highlight w:val="none"/>
        </w:rPr>
      </w:pPr>
      <w:r>
        <w:rPr>
          <w:rFonts w:hint="eastAsia"/>
          <w:color w:val="auto"/>
          <w:highlight w:val="none"/>
        </w:rPr>
        <w:fldChar w:fldCharType="begin"/>
      </w:r>
      <w:r>
        <w:rPr>
          <w:color w:val="auto"/>
          <w:highlight w:val="none"/>
        </w:rPr>
        <w:instrText xml:space="preserve"> HYPERLINK \l "_Toc339625070"</w:instrText>
      </w:r>
      <w:r>
        <w:rPr>
          <w:rFonts w:hint="eastAsia"/>
          <w:color w:val="auto"/>
          <w:highlight w:val="none"/>
        </w:rPr>
        <w:fldChar w:fldCharType="separate"/>
      </w:r>
      <w:r>
        <w:rPr>
          <w:rFonts w:hint="eastAsia" w:ascii="仿宋_GB2312" w:hAnsi="仿宋_GB2312" w:eastAsia="仿宋_GB2312" w:cs="仿宋_GB2312"/>
          <w:b/>
          <w:bCs/>
          <w:color w:val="auto"/>
          <w:sz w:val="32"/>
          <w:szCs w:val="32"/>
          <w:highlight w:val="none"/>
        </w:rPr>
        <w:t>附件5 资格证明文件</w:t>
      </w:r>
    </w:p>
    <w:p>
      <w:pPr>
        <w:widowControl/>
        <w:spacing w:line="360" w:lineRule="auto"/>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 xml:space="preserve">    </w:t>
      </w:r>
      <w:r>
        <w:rPr>
          <w:rFonts w:hint="eastAsia" w:ascii="仿宋_GB2312" w:hAnsi="仿宋_GB2312" w:eastAsia="仿宋_GB2312" w:cs="仿宋_GB2312"/>
          <w:color w:val="auto"/>
          <w:kern w:val="0"/>
          <w:sz w:val="28"/>
          <w:szCs w:val="28"/>
          <w:highlight w:val="none"/>
        </w:rPr>
        <w:t>本次</w:t>
      </w:r>
      <w:r>
        <w:rPr>
          <w:rFonts w:hint="eastAsia" w:ascii="仿宋_GB2312" w:hAnsi="仿宋_GB2312" w:eastAsia="仿宋_GB2312" w:cs="仿宋_GB2312"/>
          <w:color w:val="auto"/>
          <w:kern w:val="0"/>
          <w:sz w:val="28"/>
          <w:szCs w:val="28"/>
          <w:highlight w:val="none"/>
          <w:lang w:eastAsia="zh-CN"/>
        </w:rPr>
        <w:t>公开竞争性比选</w:t>
      </w:r>
      <w:r>
        <w:rPr>
          <w:rFonts w:hint="eastAsia" w:ascii="仿宋_GB2312" w:hAnsi="仿宋_GB2312" w:eastAsia="仿宋_GB2312" w:cs="仿宋_GB2312"/>
          <w:color w:val="auto"/>
          <w:kern w:val="0"/>
          <w:sz w:val="28"/>
          <w:szCs w:val="28"/>
          <w:highlight w:val="none"/>
        </w:rPr>
        <w:t>实行资格后审，</w:t>
      </w:r>
      <w:r>
        <w:rPr>
          <w:rFonts w:hint="eastAsia" w:ascii="仿宋_GB2312" w:hAnsi="仿宋_GB2312" w:eastAsia="仿宋_GB2312" w:cs="仿宋_GB2312"/>
          <w:color w:val="auto"/>
          <w:kern w:val="0"/>
          <w:sz w:val="28"/>
          <w:szCs w:val="28"/>
          <w:highlight w:val="none"/>
          <w:lang w:eastAsia="zh-CN"/>
        </w:rPr>
        <w:t>公开竞争性比选</w:t>
      </w:r>
      <w:r>
        <w:rPr>
          <w:rFonts w:hint="eastAsia" w:ascii="仿宋_GB2312" w:hAnsi="仿宋_GB2312" w:eastAsia="仿宋_GB2312" w:cs="仿宋_GB2312"/>
          <w:color w:val="auto"/>
          <w:kern w:val="0"/>
          <w:sz w:val="28"/>
          <w:szCs w:val="28"/>
          <w:highlight w:val="none"/>
        </w:rPr>
        <w:t>时必须提交以下资格证明文件的</w:t>
      </w:r>
      <w:r>
        <w:rPr>
          <w:rFonts w:hint="eastAsia" w:ascii="仿宋_GB2312" w:hAnsi="仿宋_GB2312" w:eastAsia="仿宋_GB2312" w:cs="仿宋_GB2312"/>
          <w:color w:val="auto"/>
          <w:kern w:val="0"/>
          <w:sz w:val="28"/>
          <w:szCs w:val="28"/>
          <w:highlight w:val="none"/>
          <w:lang w:eastAsia="zh-CN"/>
        </w:rPr>
        <w:t>复印件加盖公章</w:t>
      </w:r>
      <w:r>
        <w:rPr>
          <w:rFonts w:hint="eastAsia" w:ascii="仿宋_GB2312" w:hAnsi="仿宋_GB2312" w:eastAsia="仿宋_GB2312" w:cs="仿宋_GB2312"/>
          <w:color w:val="auto"/>
          <w:kern w:val="0"/>
          <w:sz w:val="28"/>
          <w:szCs w:val="28"/>
          <w:highlight w:val="none"/>
        </w:rPr>
        <w:t>，由</w:t>
      </w:r>
      <w:r>
        <w:rPr>
          <w:rFonts w:hint="eastAsia" w:ascii="仿宋_GB2312" w:hAnsi="仿宋_GB2312" w:eastAsia="仿宋_GB2312" w:cs="仿宋_GB2312"/>
          <w:color w:val="auto"/>
          <w:kern w:val="0"/>
          <w:sz w:val="28"/>
          <w:szCs w:val="28"/>
          <w:highlight w:val="none"/>
          <w:lang w:eastAsia="zh-CN"/>
        </w:rPr>
        <w:t>公开竞争性比选评审</w:t>
      </w:r>
      <w:r>
        <w:rPr>
          <w:rFonts w:hint="eastAsia" w:ascii="仿宋_GB2312" w:hAnsi="仿宋_GB2312" w:eastAsia="仿宋_GB2312" w:cs="仿宋_GB2312"/>
          <w:color w:val="auto"/>
          <w:kern w:val="0"/>
          <w:sz w:val="28"/>
          <w:szCs w:val="28"/>
          <w:highlight w:val="none"/>
        </w:rPr>
        <w:t>小组审查，资格证明文件用档案袋装好并写上公司名称与</w:t>
      </w:r>
      <w:r>
        <w:rPr>
          <w:rFonts w:hint="eastAsia" w:ascii="仿宋_GB2312" w:hAnsi="仿宋_GB2312" w:eastAsia="仿宋_GB2312" w:cs="仿宋_GB2312"/>
          <w:color w:val="auto"/>
          <w:kern w:val="0"/>
          <w:sz w:val="28"/>
          <w:szCs w:val="28"/>
          <w:highlight w:val="none"/>
          <w:lang w:eastAsia="zh-CN"/>
        </w:rPr>
        <w:t>投标</w:t>
      </w:r>
      <w:r>
        <w:rPr>
          <w:rFonts w:hint="eastAsia" w:ascii="仿宋_GB2312" w:hAnsi="仿宋_GB2312" w:eastAsia="仿宋_GB2312" w:cs="仿宋_GB2312"/>
          <w:color w:val="auto"/>
          <w:kern w:val="0"/>
          <w:sz w:val="28"/>
          <w:szCs w:val="28"/>
          <w:highlight w:val="none"/>
        </w:rPr>
        <w:t>文件一并递交,未递交或资质审查不合格的视为无效投标。</w:t>
      </w:r>
    </w:p>
    <w:p>
      <w:pPr>
        <w:widowControl/>
        <w:spacing w:line="360" w:lineRule="auto"/>
        <w:ind w:firstLine="675"/>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（1）企业法人营业执照</w:t>
      </w:r>
    </w:p>
    <w:p>
      <w:pPr>
        <w:widowControl/>
        <w:spacing w:line="360" w:lineRule="auto"/>
        <w:ind w:firstLine="675"/>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（2）法定代表人资格证明书和身份证或法定代表人授权委托书和委托人身份证（需加盖公司鲜章）</w:t>
      </w:r>
    </w:p>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rPr>
        <w:t>（3）投标人银行基本账户开户许可证</w:t>
      </w:r>
    </w:p>
    <w:p>
      <w:pPr>
        <w:widowControl/>
        <w:spacing w:line="360" w:lineRule="auto"/>
        <w:ind w:firstLine="675"/>
        <w:jc w:val="left"/>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rPr>
        <w:t>（4）</w:t>
      </w:r>
      <w:r>
        <w:rPr>
          <w:rFonts w:hint="eastAsia" w:ascii="仿宋_GB2312" w:hAnsi="仿宋_GB2312" w:eastAsia="仿宋_GB2312" w:cs="仿宋_GB2312"/>
          <w:color w:val="auto"/>
          <w:kern w:val="0"/>
          <w:sz w:val="28"/>
          <w:szCs w:val="28"/>
          <w:highlight w:val="none"/>
          <w:lang w:val="en-US" w:eastAsia="zh-CN"/>
        </w:rPr>
        <w:t>其他证明材料</w:t>
      </w:r>
    </w:p>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b/>
          <w:bCs/>
          <w:color w:val="auto"/>
          <w:sz w:val="32"/>
          <w:szCs w:val="32"/>
          <w:highlight w:val="none"/>
        </w:rPr>
        <w:fldChar w:fldCharType="end"/>
      </w:r>
      <w:bookmarkEnd w:id="8"/>
      <w:bookmarkEnd w:id="9"/>
      <w:bookmarkEnd w:id="10"/>
      <w:bookmarkEnd w:id="11"/>
      <w:bookmarkEnd w:id="12"/>
      <w:r>
        <w:rPr>
          <w:rFonts w:hint="eastAsia" w:ascii="仿宋_GB2312" w:hAnsi="仿宋_GB2312" w:eastAsia="仿宋_GB2312" w:cs="仿宋_GB2312"/>
          <w:color w:val="auto"/>
          <w:kern w:val="0"/>
          <w:sz w:val="28"/>
          <w:szCs w:val="28"/>
          <w:highlight w:val="none"/>
          <w:lang w:val="en-US" w:eastAsia="zh-CN"/>
        </w:rPr>
        <w:t>报价人基本信息表</w:t>
      </w:r>
    </w:p>
    <w:tbl>
      <w:tblPr>
        <w:tblStyle w:val="17"/>
        <w:tblW w:w="920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48"/>
        <w:gridCol w:w="1236"/>
        <w:gridCol w:w="3531"/>
        <w:gridCol w:w="1325"/>
        <w:gridCol w:w="26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448" w:type="dxa"/>
            <w:vMerge w:val="restart"/>
            <w:tcBorders>
              <w:right w:val="single" w:color="auto" w:sz="4" w:space="0"/>
            </w:tcBorders>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一基本信息</w:t>
            </w:r>
          </w:p>
        </w:tc>
        <w:tc>
          <w:tcPr>
            <w:tcW w:w="1236" w:type="dxa"/>
            <w:tcBorders>
              <w:left w:val="single" w:color="auto" w:sz="4" w:space="0"/>
            </w:tcBorders>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单位名称</w:t>
            </w:r>
          </w:p>
        </w:tc>
        <w:tc>
          <w:tcPr>
            <w:tcW w:w="3531" w:type="dxa"/>
            <w:vAlign w:val="center"/>
          </w:tcPr>
          <w:p>
            <w:pPr>
              <w:widowControl/>
              <w:spacing w:line="360" w:lineRule="auto"/>
              <w:ind w:firstLine="675"/>
              <w:jc w:val="left"/>
              <w:rPr>
                <w:rFonts w:hint="eastAsia" w:ascii="仿宋_GB2312" w:hAnsi="仿宋_GB2312" w:eastAsia="仿宋_GB2312" w:cs="仿宋_GB2312"/>
                <w:color w:val="auto"/>
                <w:kern w:val="0"/>
                <w:sz w:val="22"/>
                <w:szCs w:val="22"/>
                <w:highlight w:val="none"/>
                <w:lang w:val="en-US" w:eastAsia="zh-CN"/>
              </w:rPr>
            </w:pPr>
          </w:p>
        </w:tc>
        <w:tc>
          <w:tcPr>
            <w:tcW w:w="1325"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电话</w:t>
            </w:r>
          </w:p>
        </w:tc>
        <w:tc>
          <w:tcPr>
            <w:tcW w:w="2661" w:type="dxa"/>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448" w:type="dxa"/>
            <w:vMerge w:val="continue"/>
            <w:tcBorders>
              <w:right w:val="single" w:color="auto" w:sz="4" w:space="0"/>
            </w:tcBorders>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c>
          <w:tcPr>
            <w:tcW w:w="1236" w:type="dxa"/>
            <w:tcBorders>
              <w:left w:val="single" w:color="auto" w:sz="4" w:space="0"/>
            </w:tcBorders>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办公地址</w:t>
            </w:r>
          </w:p>
        </w:tc>
        <w:tc>
          <w:tcPr>
            <w:tcW w:w="3531" w:type="dxa"/>
            <w:vAlign w:val="center"/>
          </w:tcPr>
          <w:p>
            <w:pPr>
              <w:widowControl/>
              <w:spacing w:line="360" w:lineRule="auto"/>
              <w:ind w:firstLine="675"/>
              <w:jc w:val="left"/>
              <w:rPr>
                <w:rFonts w:hint="eastAsia" w:ascii="仿宋_GB2312" w:hAnsi="仿宋_GB2312" w:eastAsia="仿宋_GB2312" w:cs="仿宋_GB2312"/>
                <w:color w:val="auto"/>
                <w:kern w:val="0"/>
                <w:sz w:val="22"/>
                <w:szCs w:val="22"/>
                <w:highlight w:val="none"/>
                <w:lang w:val="en-US" w:eastAsia="zh-CN"/>
              </w:rPr>
            </w:pPr>
          </w:p>
        </w:tc>
        <w:tc>
          <w:tcPr>
            <w:tcW w:w="1325"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传真</w:t>
            </w:r>
          </w:p>
        </w:tc>
        <w:tc>
          <w:tcPr>
            <w:tcW w:w="2661" w:type="dxa"/>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28" w:hRule="atLeast"/>
        </w:trPr>
        <w:tc>
          <w:tcPr>
            <w:tcW w:w="448" w:type="dxa"/>
            <w:vMerge w:val="continue"/>
            <w:tcBorders>
              <w:right w:val="single" w:color="auto" w:sz="4" w:space="0"/>
            </w:tcBorders>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c>
          <w:tcPr>
            <w:tcW w:w="1236" w:type="dxa"/>
            <w:tcBorders>
              <w:left w:val="single" w:color="auto" w:sz="4" w:space="0"/>
            </w:tcBorders>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企业法定代表人</w:t>
            </w:r>
          </w:p>
        </w:tc>
        <w:tc>
          <w:tcPr>
            <w:tcW w:w="3531"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姓名：</w:t>
            </w:r>
          </w:p>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职务：</w:t>
            </w:r>
          </w:p>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联系方式：</w:t>
            </w:r>
          </w:p>
        </w:tc>
        <w:tc>
          <w:tcPr>
            <w:tcW w:w="1325"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本次采购</w:t>
            </w:r>
          </w:p>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业务联系人</w:t>
            </w:r>
          </w:p>
        </w:tc>
        <w:tc>
          <w:tcPr>
            <w:tcW w:w="2661"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姓名：</w:t>
            </w:r>
          </w:p>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职务：</w:t>
            </w:r>
          </w:p>
          <w:p>
            <w:pPr>
              <w:widowControl/>
              <w:spacing w:line="360" w:lineRule="auto"/>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2"/>
                <w:szCs w:val="22"/>
                <w:highlight w:val="none"/>
                <w:lang w:val="en-US" w:eastAsia="zh-CN"/>
              </w:rPr>
              <w:t>联系方式：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448" w:type="dxa"/>
            <w:vMerge w:val="continue"/>
            <w:tcBorders>
              <w:right w:val="single" w:color="auto" w:sz="4" w:space="0"/>
            </w:tcBorders>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c>
          <w:tcPr>
            <w:tcW w:w="1236" w:type="dxa"/>
            <w:tcBorders>
              <w:left w:val="single" w:color="auto" w:sz="4" w:space="0"/>
            </w:tcBorders>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公司性质</w:t>
            </w:r>
          </w:p>
        </w:tc>
        <w:tc>
          <w:tcPr>
            <w:tcW w:w="3531" w:type="dxa"/>
            <w:vAlign w:val="center"/>
          </w:tcPr>
          <w:p>
            <w:pPr>
              <w:widowControl/>
              <w:spacing w:line="360" w:lineRule="auto"/>
              <w:ind w:firstLine="675"/>
              <w:jc w:val="left"/>
              <w:rPr>
                <w:rFonts w:hint="eastAsia" w:ascii="仿宋_GB2312" w:hAnsi="仿宋_GB2312" w:eastAsia="仿宋_GB2312" w:cs="仿宋_GB2312"/>
                <w:color w:val="auto"/>
                <w:kern w:val="0"/>
                <w:sz w:val="22"/>
                <w:szCs w:val="22"/>
                <w:highlight w:val="none"/>
                <w:lang w:val="en-US" w:eastAsia="zh-CN"/>
              </w:rPr>
            </w:pPr>
          </w:p>
        </w:tc>
        <w:tc>
          <w:tcPr>
            <w:tcW w:w="1325"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注册资金</w:t>
            </w:r>
          </w:p>
        </w:tc>
        <w:tc>
          <w:tcPr>
            <w:tcW w:w="2661" w:type="dxa"/>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9" w:hRule="atLeast"/>
        </w:trPr>
        <w:tc>
          <w:tcPr>
            <w:tcW w:w="448" w:type="dxa"/>
            <w:vMerge w:val="continue"/>
            <w:tcBorders>
              <w:right w:val="single" w:color="auto" w:sz="4" w:space="0"/>
            </w:tcBorders>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c>
          <w:tcPr>
            <w:tcW w:w="1236" w:type="dxa"/>
            <w:tcBorders>
              <w:left w:val="single" w:color="auto" w:sz="4" w:space="0"/>
            </w:tcBorders>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税务登记证号</w:t>
            </w:r>
          </w:p>
        </w:tc>
        <w:tc>
          <w:tcPr>
            <w:tcW w:w="3531" w:type="dxa"/>
            <w:vAlign w:val="center"/>
          </w:tcPr>
          <w:p>
            <w:pPr>
              <w:widowControl/>
              <w:spacing w:line="360" w:lineRule="auto"/>
              <w:ind w:firstLine="675"/>
              <w:jc w:val="left"/>
              <w:rPr>
                <w:rFonts w:hint="eastAsia" w:ascii="仿宋_GB2312" w:hAnsi="仿宋_GB2312" w:eastAsia="仿宋_GB2312" w:cs="仿宋_GB2312"/>
                <w:color w:val="auto"/>
                <w:kern w:val="0"/>
                <w:sz w:val="22"/>
                <w:szCs w:val="22"/>
                <w:highlight w:val="none"/>
                <w:lang w:val="en-US" w:eastAsia="zh-CN"/>
              </w:rPr>
            </w:pPr>
          </w:p>
        </w:tc>
        <w:tc>
          <w:tcPr>
            <w:tcW w:w="1325"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组织机构代码</w:t>
            </w:r>
          </w:p>
        </w:tc>
        <w:tc>
          <w:tcPr>
            <w:tcW w:w="2661" w:type="dxa"/>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9" w:hRule="atLeast"/>
        </w:trPr>
        <w:tc>
          <w:tcPr>
            <w:tcW w:w="448" w:type="dxa"/>
            <w:vMerge w:val="continue"/>
            <w:tcBorders>
              <w:right w:val="single" w:color="auto" w:sz="4" w:space="0"/>
            </w:tcBorders>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c>
          <w:tcPr>
            <w:tcW w:w="1236" w:type="dxa"/>
            <w:tcBorders>
              <w:left w:val="single" w:color="auto" w:sz="4" w:space="0"/>
            </w:tcBorders>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主要经营范围</w:t>
            </w:r>
          </w:p>
        </w:tc>
        <w:tc>
          <w:tcPr>
            <w:tcW w:w="3531" w:type="dxa"/>
            <w:vAlign w:val="center"/>
          </w:tcPr>
          <w:p>
            <w:pPr>
              <w:widowControl/>
              <w:spacing w:line="360" w:lineRule="auto"/>
              <w:ind w:firstLine="675"/>
              <w:jc w:val="left"/>
              <w:rPr>
                <w:rFonts w:hint="eastAsia" w:ascii="仿宋_GB2312" w:hAnsi="仿宋_GB2312" w:eastAsia="仿宋_GB2312" w:cs="仿宋_GB2312"/>
                <w:color w:val="auto"/>
                <w:kern w:val="0"/>
                <w:sz w:val="22"/>
                <w:szCs w:val="22"/>
                <w:highlight w:val="none"/>
                <w:lang w:val="en-US" w:eastAsia="zh-CN"/>
              </w:rPr>
            </w:pPr>
          </w:p>
        </w:tc>
        <w:tc>
          <w:tcPr>
            <w:tcW w:w="1325"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企业资质</w:t>
            </w:r>
          </w:p>
        </w:tc>
        <w:tc>
          <w:tcPr>
            <w:tcW w:w="2661" w:type="dxa"/>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448" w:type="dxa"/>
            <w:vMerge w:val="continue"/>
            <w:tcBorders>
              <w:right w:val="single" w:color="auto" w:sz="4" w:space="0"/>
            </w:tcBorders>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c>
          <w:tcPr>
            <w:tcW w:w="1236" w:type="dxa"/>
            <w:tcBorders>
              <w:left w:val="single" w:color="auto" w:sz="4" w:space="0"/>
            </w:tcBorders>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开户银行</w:t>
            </w:r>
          </w:p>
        </w:tc>
        <w:tc>
          <w:tcPr>
            <w:tcW w:w="3531" w:type="dxa"/>
            <w:vAlign w:val="center"/>
          </w:tcPr>
          <w:p>
            <w:pPr>
              <w:widowControl/>
              <w:spacing w:line="360" w:lineRule="auto"/>
              <w:ind w:firstLine="675"/>
              <w:jc w:val="left"/>
              <w:rPr>
                <w:rFonts w:hint="eastAsia" w:ascii="仿宋_GB2312" w:hAnsi="仿宋_GB2312" w:eastAsia="仿宋_GB2312" w:cs="仿宋_GB2312"/>
                <w:color w:val="auto"/>
                <w:kern w:val="0"/>
                <w:sz w:val="22"/>
                <w:szCs w:val="22"/>
                <w:highlight w:val="none"/>
                <w:lang w:val="en-US" w:eastAsia="zh-CN"/>
              </w:rPr>
            </w:pPr>
          </w:p>
        </w:tc>
        <w:tc>
          <w:tcPr>
            <w:tcW w:w="1325"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银行账号</w:t>
            </w:r>
          </w:p>
        </w:tc>
        <w:tc>
          <w:tcPr>
            <w:tcW w:w="2661" w:type="dxa"/>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r>
    </w:tbl>
    <w:p>
      <w:pPr>
        <w:widowControl/>
        <w:spacing w:line="360" w:lineRule="auto"/>
        <w:ind w:firstLine="675"/>
        <w:jc w:val="left"/>
        <w:rPr>
          <w:rFonts w:ascii="方正仿宋_GBK" w:eastAsia="方正仿宋_GBK" w:cs="方正仿宋_GBK"/>
          <w:color w:val="auto"/>
          <w:sz w:val="24"/>
          <w:szCs w:val="24"/>
          <w:highlight w:val="none"/>
        </w:rPr>
      </w:pPr>
    </w:p>
    <w:p>
      <w:pPr>
        <w:pageBreakBefore w:val="0"/>
        <w:kinsoku/>
        <w:wordWrap/>
        <w:overflowPunct/>
        <w:bidi w:val="0"/>
        <w:adjustRightInd w:val="0"/>
        <w:snapToGrid w:val="0"/>
        <w:spacing w:line="360" w:lineRule="auto"/>
        <w:ind w:firstLine="562" w:firstLineChars="200"/>
        <w:jc w:val="center"/>
        <w:rPr>
          <w:rFonts w:hint="eastAsia" w:ascii="宋体" w:hAnsi="宋体" w:eastAsia="宋体" w:cs="宋体"/>
          <w:b/>
          <w:bCs/>
          <w:color w:val="auto"/>
          <w:kern w:val="0"/>
          <w:sz w:val="28"/>
          <w:szCs w:val="28"/>
          <w:highlight w:val="none"/>
          <w:lang w:val="en-US" w:eastAsia="zh-CN" w:bidi="ar-SA"/>
        </w:rPr>
      </w:pPr>
    </w:p>
    <w:p>
      <w:pPr>
        <w:pageBreakBefore w:val="0"/>
        <w:kinsoku/>
        <w:wordWrap/>
        <w:overflowPunct/>
        <w:bidi w:val="0"/>
        <w:adjustRightInd w:val="0"/>
        <w:snapToGrid w:val="0"/>
        <w:spacing w:line="360" w:lineRule="auto"/>
        <w:ind w:firstLine="562" w:firstLineChars="200"/>
        <w:jc w:val="both"/>
        <w:rPr>
          <w:rFonts w:hint="eastAsia" w:ascii="宋体" w:hAnsi="宋体" w:eastAsia="宋体" w:cs="宋体"/>
          <w:b/>
          <w:bCs/>
          <w:color w:val="auto"/>
          <w:kern w:val="0"/>
          <w:sz w:val="28"/>
          <w:szCs w:val="28"/>
          <w:highlight w:val="none"/>
          <w:lang w:val="en-US" w:eastAsia="zh-CN" w:bidi="ar-SA"/>
        </w:rPr>
      </w:pPr>
      <w:r>
        <w:rPr>
          <w:rFonts w:hint="eastAsia" w:ascii="宋体" w:hAnsi="宋体" w:cs="宋体"/>
          <w:b/>
          <w:bCs/>
          <w:color w:val="auto"/>
          <w:kern w:val="0"/>
          <w:sz w:val="28"/>
          <w:szCs w:val="28"/>
          <w:highlight w:val="none"/>
          <w:lang w:val="en-US" w:eastAsia="zh-CN" w:bidi="ar-SA"/>
        </w:rPr>
        <w:t>附件六</w:t>
      </w:r>
      <w:r>
        <w:rPr>
          <w:rFonts w:hint="eastAsia" w:ascii="宋体" w:hAnsi="宋体" w:eastAsia="宋体" w:cs="宋体"/>
          <w:b/>
          <w:bCs/>
          <w:color w:val="auto"/>
          <w:kern w:val="0"/>
          <w:sz w:val="28"/>
          <w:szCs w:val="28"/>
          <w:highlight w:val="none"/>
          <w:lang w:val="en-US" w:eastAsia="zh-CN" w:bidi="ar-SA"/>
        </w:rPr>
        <w:t>、信誉声明</w:t>
      </w:r>
    </w:p>
    <w:p>
      <w:pPr>
        <w:pageBreakBefore w:val="0"/>
        <w:kinsoku/>
        <w:wordWrap/>
        <w:overflowPunct/>
        <w:bidi w:val="0"/>
        <w:adjustRightInd w:val="0"/>
        <w:snapToGrid w:val="0"/>
        <w:spacing w:line="360" w:lineRule="auto"/>
        <w:ind w:firstLine="643" w:firstLineChars="200"/>
        <w:jc w:val="center"/>
        <w:rPr>
          <w:rFonts w:ascii="宋体" w:hAnsi="宋体"/>
          <w:b/>
          <w:bCs/>
          <w:color w:val="auto"/>
          <w:sz w:val="32"/>
          <w:szCs w:val="32"/>
          <w:highlight w:val="none"/>
        </w:rPr>
      </w:pPr>
    </w:p>
    <w:p>
      <w:pPr>
        <w:pageBreakBefore w:val="0"/>
        <w:kinsoku/>
        <w:wordWrap/>
        <w:overflowPunct/>
        <w:bidi w:val="0"/>
        <w:adjustRightInd w:val="0"/>
        <w:snapToGrid w:val="0"/>
        <w:spacing w:line="360" w:lineRule="auto"/>
        <w:ind w:firstLine="643" w:firstLineChars="200"/>
        <w:jc w:val="center"/>
        <w:rPr>
          <w:rFonts w:ascii="宋体" w:hAnsi="宋体"/>
          <w:b/>
          <w:bCs/>
          <w:color w:val="auto"/>
          <w:sz w:val="32"/>
          <w:szCs w:val="32"/>
          <w:highlight w:val="none"/>
        </w:rPr>
      </w:pPr>
    </w:p>
    <w:p>
      <w:pPr>
        <w:pageBreakBefore w:val="0"/>
        <w:kinsoku/>
        <w:wordWrap/>
        <w:overflowPunct/>
        <w:bidi w:val="0"/>
        <w:adjustRightInd w:val="0"/>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致：</w:t>
      </w:r>
      <w:r>
        <w:rPr>
          <w:rFonts w:ascii="宋体" w:hAnsi="宋体"/>
          <w:color w:val="auto"/>
          <w:sz w:val="24"/>
          <w:highlight w:val="none"/>
          <w:u w:val="single"/>
        </w:rPr>
        <w:t xml:space="preserve">        （招标人）        </w:t>
      </w:r>
    </w:p>
    <w:p>
      <w:pPr>
        <w:pageBreakBefore w:val="0"/>
        <w:kinsoku/>
        <w:wordWrap/>
        <w:overflowPunct/>
        <w:bidi w:val="0"/>
        <w:adjustRightInd w:val="0"/>
        <w:snapToGrid w:val="0"/>
        <w:spacing w:line="360" w:lineRule="auto"/>
        <w:ind w:firstLine="480" w:firstLineChars="200"/>
        <w:jc w:val="left"/>
        <w:rPr>
          <w:rFonts w:ascii="宋体" w:hAnsi="宋体"/>
          <w:color w:val="auto"/>
          <w:sz w:val="24"/>
          <w:highlight w:val="none"/>
        </w:rPr>
      </w:pPr>
    </w:p>
    <w:p>
      <w:pPr>
        <w:pageBreakBefore w:val="0"/>
        <w:kinsoku/>
        <w:wordWrap/>
        <w:overflowPunct/>
        <w:bidi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我单位参加</w:t>
      </w:r>
      <w:r>
        <w:rPr>
          <w:rFonts w:ascii="宋体" w:hAnsi="宋体"/>
          <w:color w:val="auto"/>
          <w:szCs w:val="21"/>
          <w:highlight w:val="none"/>
          <w:u w:val="single"/>
        </w:rPr>
        <w:t xml:space="preserve">              </w:t>
      </w:r>
      <w:r>
        <w:rPr>
          <w:rFonts w:ascii="宋体" w:hAnsi="宋体"/>
          <w:color w:val="auto"/>
          <w:szCs w:val="21"/>
          <w:highlight w:val="none"/>
        </w:rPr>
        <w:t>（项目名称）的投标，对以下内容作出承诺：</w:t>
      </w:r>
    </w:p>
    <w:p>
      <w:pPr>
        <w:pageBreakBefore w:val="0"/>
        <w:kinsoku/>
        <w:wordWrap/>
        <w:overflowPunct/>
        <w:bidi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未</w:t>
      </w:r>
      <w:r>
        <w:rPr>
          <w:rFonts w:hint="eastAsia" w:ascii="宋体" w:hAnsi="宋体"/>
          <w:color w:val="auto"/>
          <w:szCs w:val="21"/>
          <w:highlight w:val="none"/>
        </w:rPr>
        <w:t>被人民法院列入失信被执行人名单且在被执行期内；</w:t>
      </w:r>
    </w:p>
    <w:p>
      <w:pPr>
        <w:pageBreakBefore w:val="0"/>
        <w:kinsoku/>
        <w:wordWrap/>
        <w:overflowPunct/>
        <w:bidi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未</w:t>
      </w:r>
      <w:r>
        <w:rPr>
          <w:rFonts w:hint="eastAsia" w:ascii="宋体" w:hAnsi="宋体"/>
          <w:color w:val="auto"/>
          <w:szCs w:val="21"/>
          <w:highlight w:val="none"/>
        </w:rPr>
        <w:t>被国家、重庆市（含市或任意区县）有关行政部门处以暂停投标资格行政处罚，且在处罚期限内；</w:t>
      </w:r>
    </w:p>
    <w:p>
      <w:pPr>
        <w:pageBreakBefore w:val="0"/>
        <w:kinsoku/>
        <w:wordWrap/>
        <w:overflowPunct/>
        <w:bidi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未</w:t>
      </w:r>
      <w:r>
        <w:rPr>
          <w:rFonts w:hint="eastAsia" w:ascii="宋体" w:hAnsi="宋体"/>
          <w:color w:val="auto"/>
          <w:szCs w:val="21"/>
          <w:highlight w:val="none"/>
        </w:rPr>
        <w:t>被重庆市交通主管部门暂停在渝承揽新业务且在暂停期内；</w:t>
      </w:r>
    </w:p>
    <w:p>
      <w:pPr>
        <w:pageBreakBefore w:val="0"/>
        <w:kinsoku/>
        <w:wordWrap/>
        <w:overflowPunct/>
        <w:bidi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val="en-US" w:eastAsia="zh-CN"/>
        </w:rPr>
        <w:t>未</w:t>
      </w:r>
      <w:r>
        <w:rPr>
          <w:rFonts w:hint="eastAsia" w:ascii="宋体" w:hAnsi="宋体"/>
          <w:color w:val="auto"/>
          <w:szCs w:val="21"/>
          <w:highlight w:val="none"/>
        </w:rPr>
        <w:t>被责令停业，暂扣或吊销执照，或吊销资质证书；</w:t>
      </w:r>
    </w:p>
    <w:p>
      <w:pPr>
        <w:pageBreakBefore w:val="0"/>
        <w:kinsoku/>
        <w:wordWrap/>
        <w:overflowPunct/>
        <w:bidi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未</w:t>
      </w:r>
      <w:r>
        <w:rPr>
          <w:rFonts w:hint="eastAsia" w:ascii="宋体" w:hAnsi="宋体"/>
          <w:color w:val="auto"/>
          <w:szCs w:val="21"/>
          <w:highlight w:val="none"/>
        </w:rPr>
        <w:t>进入清算程序，或被宣告破产，或其他丧失履约能力的情形；</w:t>
      </w:r>
    </w:p>
    <w:p>
      <w:pPr>
        <w:pageBreakBefore w:val="0"/>
        <w:kinsoku/>
        <w:wordWrap/>
        <w:overflowPunct/>
        <w:bidi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lang w:val="en-US" w:eastAsia="zh-CN"/>
        </w:rPr>
        <w:t>未</w:t>
      </w:r>
      <w:r>
        <w:rPr>
          <w:rFonts w:hint="eastAsia" w:ascii="宋体" w:hAnsi="宋体"/>
          <w:color w:val="auto"/>
          <w:szCs w:val="21"/>
          <w:highlight w:val="none"/>
        </w:rPr>
        <w:t>在国家企业信用信息公示系统（http://www.gsxt.gov.cn/）中被列入严重违法失信企业名单；</w:t>
      </w:r>
    </w:p>
    <w:p>
      <w:pPr>
        <w:pageBreakBefore w:val="0"/>
        <w:kinsoku/>
        <w:wordWrap/>
        <w:overflowPunct/>
        <w:bidi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（7）投标人或其法定代表人、拟委任的项目经理在近两年内</w:t>
      </w:r>
      <w:r>
        <w:rPr>
          <w:rFonts w:hint="eastAsia" w:ascii="宋体" w:hAnsi="宋体"/>
          <w:color w:val="auto"/>
          <w:szCs w:val="21"/>
          <w:highlight w:val="none"/>
          <w:lang w:val="en-US" w:eastAsia="zh-CN"/>
        </w:rPr>
        <w:t>未</w:t>
      </w:r>
      <w:r>
        <w:rPr>
          <w:rFonts w:hint="eastAsia" w:ascii="宋体" w:hAnsi="宋体"/>
          <w:color w:val="auto"/>
          <w:szCs w:val="21"/>
          <w:highlight w:val="none"/>
        </w:rPr>
        <w:t>有行贿犯罪行为的。</w:t>
      </w:r>
    </w:p>
    <w:p>
      <w:pPr>
        <w:pStyle w:val="8"/>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20" w:firstLineChars="200"/>
        <w:jc w:val="left"/>
        <w:textAlignment w:val="auto"/>
        <w:rPr>
          <w:rFonts w:hint="eastAsia" w:ascii="宋体" w:hAnsi="宋体" w:eastAsia="宋体" w:cs="Times New Roman"/>
          <w:color w:val="auto"/>
          <w:kern w:val="0"/>
          <w:sz w:val="24"/>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（8）最近三年内没有发生骗取中标、严重违约等不良行为</w:t>
      </w:r>
    </w:p>
    <w:p>
      <w:pPr>
        <w:pStyle w:val="23"/>
        <w:rPr>
          <w:rFonts w:hint="default" w:eastAsia="宋体"/>
          <w:color w:val="auto"/>
          <w:highlight w:val="none"/>
          <w:lang w:val="en-US" w:eastAsia="zh-CN"/>
        </w:rPr>
      </w:pPr>
    </w:p>
    <w:p>
      <w:pPr>
        <w:pageBreakBefore w:val="0"/>
        <w:kinsoku/>
        <w:wordWrap/>
        <w:overflowPunct/>
        <w:bidi w:val="0"/>
        <w:adjustRightInd w:val="0"/>
        <w:snapToGrid w:val="0"/>
        <w:spacing w:line="360" w:lineRule="auto"/>
        <w:ind w:firstLine="480" w:firstLineChars="200"/>
        <w:jc w:val="left"/>
        <w:rPr>
          <w:rFonts w:ascii="宋体" w:hAnsi="宋体"/>
          <w:color w:val="auto"/>
          <w:sz w:val="24"/>
          <w:highlight w:val="none"/>
        </w:rPr>
      </w:pPr>
    </w:p>
    <w:p>
      <w:pPr>
        <w:pageBreakBefore w:val="0"/>
        <w:kinsoku/>
        <w:wordWrap/>
        <w:overflowPunct/>
        <w:bidi w:val="0"/>
        <w:adjustRightInd w:val="0"/>
        <w:snapToGrid w:val="0"/>
        <w:spacing w:line="360" w:lineRule="auto"/>
        <w:ind w:firstLine="480" w:firstLineChars="200"/>
        <w:jc w:val="left"/>
        <w:rPr>
          <w:rFonts w:ascii="宋体" w:hAnsi="宋体"/>
          <w:color w:val="auto"/>
          <w:sz w:val="24"/>
          <w:highlight w:val="none"/>
        </w:rPr>
      </w:pPr>
    </w:p>
    <w:p>
      <w:pPr>
        <w:pageBreakBefore w:val="0"/>
        <w:kinsoku/>
        <w:wordWrap/>
        <w:overflowPunct/>
        <w:bidi w:val="0"/>
        <w:adjustRightInd w:val="0"/>
        <w:snapToGrid w:val="0"/>
        <w:spacing w:line="360" w:lineRule="auto"/>
        <w:ind w:firstLine="560" w:firstLineChars="200"/>
        <w:jc w:val="center"/>
        <w:rPr>
          <w:rFonts w:ascii="宋体" w:hAnsi="宋体"/>
          <w:color w:val="auto"/>
          <w:sz w:val="28"/>
          <w:szCs w:val="28"/>
          <w:highlight w:val="none"/>
        </w:rPr>
      </w:pPr>
    </w:p>
    <w:p>
      <w:pPr>
        <w:pageBreakBefore w:val="0"/>
        <w:kinsoku/>
        <w:wordWrap/>
        <w:overflowPunct/>
        <w:bidi w:val="0"/>
        <w:adjustRightInd w:val="0"/>
        <w:snapToGrid w:val="0"/>
        <w:spacing w:line="360" w:lineRule="auto"/>
        <w:ind w:firstLine="420" w:firstLineChars="200"/>
        <w:jc w:val="right"/>
        <w:rPr>
          <w:rFonts w:ascii="宋体" w:hAnsi="宋体"/>
          <w:color w:val="auto"/>
          <w:szCs w:val="21"/>
          <w:highlight w:val="none"/>
        </w:rPr>
      </w:pPr>
      <w:r>
        <w:rPr>
          <w:rFonts w:ascii="宋体" w:hAnsi="宋体"/>
          <w:color w:val="auto"/>
          <w:szCs w:val="21"/>
          <w:highlight w:val="none"/>
        </w:rPr>
        <w:t xml:space="preserve">投标人: </w:t>
      </w:r>
      <w:r>
        <w:rPr>
          <w:rFonts w:ascii="宋体" w:hAnsi="宋体"/>
          <w:color w:val="auto"/>
          <w:szCs w:val="21"/>
          <w:highlight w:val="none"/>
          <w:u w:val="single"/>
        </w:rPr>
        <w:t xml:space="preserve">                  （全称）（盖章）</w:t>
      </w:r>
      <w:r>
        <w:rPr>
          <w:rFonts w:ascii="宋体" w:hAnsi="宋体"/>
          <w:color w:val="auto"/>
          <w:szCs w:val="21"/>
          <w:highlight w:val="none"/>
        </w:rPr>
        <w:t xml:space="preserve"> </w:t>
      </w:r>
    </w:p>
    <w:p>
      <w:pPr>
        <w:pageBreakBefore w:val="0"/>
        <w:kinsoku/>
        <w:wordWrap/>
        <w:overflowPunct/>
        <w:bidi w:val="0"/>
        <w:adjustRightInd w:val="0"/>
        <w:snapToGrid w:val="0"/>
        <w:spacing w:line="360" w:lineRule="auto"/>
        <w:ind w:firstLine="420" w:firstLineChars="200"/>
        <w:jc w:val="right"/>
        <w:rPr>
          <w:rFonts w:ascii="宋体" w:hAnsi="宋体"/>
          <w:color w:val="auto"/>
          <w:szCs w:val="21"/>
          <w:highlight w:val="none"/>
          <w:u w:val="single"/>
        </w:rPr>
      </w:pPr>
    </w:p>
    <w:p>
      <w:pPr>
        <w:pageBreakBefore w:val="0"/>
        <w:kinsoku/>
        <w:wordWrap/>
        <w:overflowPunct/>
        <w:bidi w:val="0"/>
        <w:adjustRightInd w:val="0"/>
        <w:snapToGrid w:val="0"/>
        <w:spacing w:line="360" w:lineRule="auto"/>
        <w:ind w:firstLine="420" w:firstLineChars="200"/>
        <w:jc w:val="right"/>
        <w:rPr>
          <w:rFonts w:ascii="宋体" w:hAnsi="宋体"/>
          <w:color w:val="auto"/>
          <w:szCs w:val="21"/>
          <w:highlight w:val="none"/>
          <w:u w:val="single"/>
        </w:rPr>
      </w:pPr>
      <w:r>
        <w:rPr>
          <w:rFonts w:ascii="宋体" w:hAnsi="宋体"/>
          <w:color w:val="auto"/>
          <w:szCs w:val="21"/>
          <w:highlight w:val="none"/>
        </w:rPr>
        <w:t>法定代表人或其授权的代理人:</w:t>
      </w:r>
      <w:r>
        <w:rPr>
          <w:rFonts w:ascii="宋体" w:hAnsi="宋体"/>
          <w:color w:val="auto"/>
          <w:szCs w:val="21"/>
          <w:highlight w:val="none"/>
          <w:u w:val="single"/>
        </w:rPr>
        <w:t xml:space="preserve">       （签字）</w:t>
      </w:r>
    </w:p>
    <w:p>
      <w:pPr>
        <w:pageBreakBefore w:val="0"/>
        <w:kinsoku/>
        <w:wordWrap/>
        <w:overflowPunct/>
        <w:bidi w:val="0"/>
        <w:adjustRightInd w:val="0"/>
        <w:snapToGrid w:val="0"/>
        <w:spacing w:line="360" w:lineRule="auto"/>
        <w:ind w:firstLine="420" w:firstLineChars="200"/>
        <w:jc w:val="right"/>
        <w:rPr>
          <w:rFonts w:ascii="宋体" w:hAnsi="宋体"/>
          <w:color w:val="auto"/>
          <w:szCs w:val="21"/>
          <w:highlight w:val="none"/>
        </w:rPr>
      </w:pPr>
      <w:r>
        <w:rPr>
          <w:rFonts w:ascii="宋体" w:hAnsi="宋体"/>
          <w:color w:val="auto"/>
          <w:szCs w:val="21"/>
          <w:highlight w:val="none"/>
        </w:rPr>
        <w:t xml:space="preserve"> </w:t>
      </w:r>
    </w:p>
    <w:p>
      <w:pPr>
        <w:pStyle w:val="23"/>
        <w:pageBreakBefore w:val="0"/>
        <w:kinsoku/>
        <w:wordWrap/>
        <w:overflowPunct/>
        <w:bidi w:val="0"/>
        <w:adjustRightInd w:val="0"/>
        <w:snapToGrid w:val="0"/>
        <w:spacing w:line="360" w:lineRule="auto"/>
        <w:ind w:firstLine="480" w:firstLineChars="200"/>
        <w:rPr>
          <w:rFonts w:hint="eastAsia" w:ascii="宋体" w:hAnsi="宋体"/>
          <w:color w:val="auto"/>
          <w:kern w:val="0"/>
          <w:szCs w:val="21"/>
          <w:highlight w:val="none"/>
        </w:rPr>
        <w:sectPr>
          <w:pgSz w:w="12240" w:h="15840"/>
          <w:pgMar w:top="1440" w:right="1800" w:bottom="1440" w:left="1800" w:header="720" w:footer="720" w:gutter="0"/>
          <w:cols w:space="720" w:num="1"/>
          <w:docGrid w:linePitch="285" w:charSpace="0"/>
        </w:sectPr>
      </w:pPr>
    </w:p>
    <w:p>
      <w:pPr>
        <w:widowControl/>
        <w:spacing w:line="360" w:lineRule="auto"/>
        <w:ind w:firstLine="675"/>
        <w:jc w:val="left"/>
        <w:rPr>
          <w:rFonts w:ascii="方正仿宋_GBK" w:eastAsia="方正仿宋_GBK" w:cs="方正仿宋_GBK"/>
          <w:color w:val="auto"/>
          <w:sz w:val="24"/>
          <w:szCs w:val="24"/>
          <w:highlight w:val="none"/>
        </w:rPr>
      </w:pPr>
    </w:p>
    <w:p>
      <w:pPr>
        <w:widowControl/>
        <w:spacing w:line="360" w:lineRule="auto"/>
        <w:ind w:firstLine="675"/>
        <w:jc w:val="left"/>
        <w:rPr>
          <w:rFonts w:ascii="方正仿宋_GBK" w:eastAsia="方正仿宋_GBK" w:cs="方正仿宋_GBK"/>
          <w:color w:val="auto"/>
          <w:sz w:val="24"/>
          <w:szCs w:val="24"/>
          <w:highlight w:val="none"/>
        </w:rPr>
      </w:pPr>
    </w:p>
    <w:bookmarkEnd w:id="0"/>
    <w:bookmarkEnd w:id="1"/>
    <w:p>
      <w:pPr>
        <w:widowControl/>
        <w:spacing w:line="360" w:lineRule="auto"/>
        <w:ind w:firstLine="675"/>
        <w:jc w:val="left"/>
        <w:rPr>
          <w:rFonts w:ascii="方正仿宋_GBK" w:eastAsia="方正仿宋_GBK" w:cs="方正仿宋_GBK"/>
          <w:color w:val="auto"/>
          <w:sz w:val="24"/>
          <w:szCs w:val="24"/>
          <w:highlight w:val="none"/>
        </w:rPr>
      </w:pPr>
    </w:p>
    <w:sectPr>
      <w:footerReference r:id="rId3" w:type="default"/>
      <w:pgSz w:w="11906" w:h="16838"/>
      <w:pgMar w:top="1701" w:right="1134" w:bottom="170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decorative"/>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rPr>
        <w:rStyle w:val="21"/>
      </w:rPr>
      <w:instrText xml:space="preserve"> PAGE </w:instrText>
    </w:r>
    <w:r>
      <w:fldChar w:fldCharType="separate"/>
    </w:r>
    <w:r>
      <w:rPr>
        <w:rStyle w:val="21"/>
      </w:rPr>
      <w:t>7</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33F5B8"/>
    <w:multiLevelType w:val="singleLevel"/>
    <w:tmpl w:val="5833F5B8"/>
    <w:lvl w:ilvl="0" w:tentative="0">
      <w:start w:val="3"/>
      <w:numFmt w:val="decimal"/>
      <w:suff w:val="nothing"/>
      <w:lvlText w:val="%1、"/>
      <w:lvlJc w:val="left"/>
    </w:lvl>
  </w:abstractNum>
  <w:abstractNum w:abstractNumId="1">
    <w:nsid w:val="5833F855"/>
    <w:multiLevelType w:val="singleLevel"/>
    <w:tmpl w:val="5833F855"/>
    <w:lvl w:ilvl="0" w:tentative="0">
      <w:start w:val="8"/>
      <w:numFmt w:val="decimal"/>
      <w:suff w:val="nothing"/>
      <w:lvlText w:val="%1."/>
      <w:lvlJc w:val="left"/>
    </w:lvl>
  </w:abstractNum>
  <w:abstractNum w:abstractNumId="2">
    <w:nsid w:val="59B8E0E8"/>
    <w:multiLevelType w:val="singleLevel"/>
    <w:tmpl w:val="59B8E0E8"/>
    <w:lvl w:ilvl="0" w:tentative="0">
      <w:start w:val="7"/>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NTM1NWFkM2Y4NzRiN2Q4ZWE1YjkyOTQzMjJlZTcifQ=="/>
  </w:docVars>
  <w:rsids>
    <w:rsidRoot w:val="00251FBA"/>
    <w:rsid w:val="00251FBA"/>
    <w:rsid w:val="007850E5"/>
    <w:rsid w:val="00E55797"/>
    <w:rsid w:val="01623EBC"/>
    <w:rsid w:val="03766C52"/>
    <w:rsid w:val="066F4040"/>
    <w:rsid w:val="083F10BE"/>
    <w:rsid w:val="099B28B0"/>
    <w:rsid w:val="0AF16B56"/>
    <w:rsid w:val="0BCB401D"/>
    <w:rsid w:val="0D2F5C8F"/>
    <w:rsid w:val="0DD30E18"/>
    <w:rsid w:val="0DD900B3"/>
    <w:rsid w:val="0E03759D"/>
    <w:rsid w:val="0E6E20ED"/>
    <w:rsid w:val="11CF29DE"/>
    <w:rsid w:val="15694068"/>
    <w:rsid w:val="16A36211"/>
    <w:rsid w:val="186E7FB5"/>
    <w:rsid w:val="1BEE6112"/>
    <w:rsid w:val="1DF011DD"/>
    <w:rsid w:val="1FB27BCD"/>
    <w:rsid w:val="21A41B3A"/>
    <w:rsid w:val="21AB1FF6"/>
    <w:rsid w:val="223128BF"/>
    <w:rsid w:val="22EF5314"/>
    <w:rsid w:val="25350626"/>
    <w:rsid w:val="25705169"/>
    <w:rsid w:val="25FC5F42"/>
    <w:rsid w:val="26BA3267"/>
    <w:rsid w:val="27660ED5"/>
    <w:rsid w:val="29423FA6"/>
    <w:rsid w:val="29755BE3"/>
    <w:rsid w:val="29EA0E08"/>
    <w:rsid w:val="2A445861"/>
    <w:rsid w:val="2B534335"/>
    <w:rsid w:val="2D5F4741"/>
    <w:rsid w:val="31F3202C"/>
    <w:rsid w:val="32901F78"/>
    <w:rsid w:val="33C70B68"/>
    <w:rsid w:val="358A06FF"/>
    <w:rsid w:val="35CA40FC"/>
    <w:rsid w:val="39AD5FF0"/>
    <w:rsid w:val="39CA33C0"/>
    <w:rsid w:val="3A347E7D"/>
    <w:rsid w:val="3ADA1E17"/>
    <w:rsid w:val="3B062E58"/>
    <w:rsid w:val="3D2247B6"/>
    <w:rsid w:val="3DB56C4E"/>
    <w:rsid w:val="4076195A"/>
    <w:rsid w:val="41014165"/>
    <w:rsid w:val="423740B9"/>
    <w:rsid w:val="43F8616C"/>
    <w:rsid w:val="47A50380"/>
    <w:rsid w:val="481A126F"/>
    <w:rsid w:val="481E13A4"/>
    <w:rsid w:val="4C0C24BE"/>
    <w:rsid w:val="4CA36718"/>
    <w:rsid w:val="4CD40B95"/>
    <w:rsid w:val="51E40088"/>
    <w:rsid w:val="51EB29D1"/>
    <w:rsid w:val="53FF1E63"/>
    <w:rsid w:val="549E75D5"/>
    <w:rsid w:val="550E205E"/>
    <w:rsid w:val="56994E73"/>
    <w:rsid w:val="58790181"/>
    <w:rsid w:val="5B385418"/>
    <w:rsid w:val="5B8C74F9"/>
    <w:rsid w:val="5E400616"/>
    <w:rsid w:val="60520B33"/>
    <w:rsid w:val="61561451"/>
    <w:rsid w:val="64595628"/>
    <w:rsid w:val="653D0C3B"/>
    <w:rsid w:val="6585094D"/>
    <w:rsid w:val="65A460A7"/>
    <w:rsid w:val="674C5065"/>
    <w:rsid w:val="6850425F"/>
    <w:rsid w:val="68EC7223"/>
    <w:rsid w:val="69702B5C"/>
    <w:rsid w:val="6B0D620C"/>
    <w:rsid w:val="6B920581"/>
    <w:rsid w:val="6C5749F5"/>
    <w:rsid w:val="6D363F37"/>
    <w:rsid w:val="6E101157"/>
    <w:rsid w:val="707F5916"/>
    <w:rsid w:val="70F614FF"/>
    <w:rsid w:val="712A134A"/>
    <w:rsid w:val="72271664"/>
    <w:rsid w:val="722D32FF"/>
    <w:rsid w:val="73662A66"/>
    <w:rsid w:val="73D26201"/>
    <w:rsid w:val="73F63A88"/>
    <w:rsid w:val="748D6CDD"/>
    <w:rsid w:val="75267A28"/>
    <w:rsid w:val="75405C24"/>
    <w:rsid w:val="77F80E16"/>
    <w:rsid w:val="791456D1"/>
    <w:rsid w:val="7A12215E"/>
    <w:rsid w:val="7B351C6E"/>
    <w:rsid w:val="7DF96777"/>
    <w:rsid w:val="7EB30543"/>
    <w:rsid w:val="7EF051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Cambria" w:hAnsi="Cambria" w:cs="Times New Roman"/>
      <w:b/>
      <w:bCs/>
      <w:sz w:val="32"/>
      <w:szCs w:val="32"/>
    </w:rPr>
  </w:style>
  <w:style w:type="paragraph" w:styleId="2">
    <w:name w:val="heading 3"/>
    <w:basedOn w:val="1"/>
    <w:next w:val="1"/>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keepNext/>
      <w:keepLines/>
      <w:spacing w:before="280" w:after="290" w:line="377" w:lineRule="auto"/>
      <w:outlineLvl w:val="3"/>
    </w:pPr>
    <w:rPr>
      <w:rFonts w:ascii="Cambria" w:hAnsi="Cambria" w:cs="Times New Roman"/>
      <w:b/>
      <w:bCs/>
      <w:sz w:val="28"/>
      <w:szCs w:val="28"/>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6">
    <w:name w:val="Document Map"/>
    <w:basedOn w:val="1"/>
    <w:qFormat/>
    <w:uiPriority w:val="0"/>
    <w:rPr>
      <w:rFonts w:ascii="微软雅黑" w:eastAsia="微软雅黑"/>
      <w:sz w:val="18"/>
      <w:szCs w:val="18"/>
    </w:rPr>
  </w:style>
  <w:style w:type="paragraph" w:styleId="7">
    <w:name w:val="annotation text"/>
    <w:next w:val="6"/>
    <w:qFormat/>
    <w:uiPriority w:val="0"/>
    <w:pPr>
      <w:widowControl w:val="0"/>
    </w:pPr>
    <w:rPr>
      <w:rFonts w:ascii="Times New Roman" w:hAnsi="Times New Roman" w:eastAsia="宋体" w:cs="Times New Roman"/>
      <w:kern w:val="2"/>
      <w:sz w:val="21"/>
      <w:lang w:val="en-US" w:eastAsia="zh-CN" w:bidi="ar-SA"/>
    </w:rPr>
  </w:style>
  <w:style w:type="paragraph" w:styleId="8">
    <w:name w:val="Body Text"/>
    <w:basedOn w:val="1"/>
    <w:next w:val="1"/>
    <w:qFormat/>
    <w:uiPriority w:val="99"/>
    <w:pPr>
      <w:spacing w:after="120"/>
    </w:pPr>
  </w:style>
  <w:style w:type="paragraph" w:styleId="9">
    <w:name w:val="endnote text"/>
    <w:basedOn w:val="1"/>
    <w:qFormat/>
    <w:uiPriority w:val="0"/>
    <w:pPr>
      <w:snapToGrid w:val="0"/>
      <w:jc w:val="left"/>
    </w:p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Body Text Indent 3"/>
    <w:basedOn w:val="1"/>
    <w:qFormat/>
    <w:uiPriority w:val="0"/>
    <w:pPr>
      <w:ind w:left="540" w:leftChars="257" w:firstLine="420" w:firstLineChars="200"/>
    </w:pPr>
    <w:rPr>
      <w:rFonts w:ascii="宋体" w:hAnsi="宋体"/>
    </w:rPr>
  </w:style>
  <w:style w:type="paragraph" w:styleId="15">
    <w:name w:val="toc 2"/>
    <w:basedOn w:val="1"/>
    <w:next w:val="1"/>
    <w:qFormat/>
    <w:uiPriority w:val="0"/>
    <w:pPr>
      <w:ind w:left="200" w:leftChars="200"/>
    </w:pPr>
  </w:style>
  <w:style w:type="paragraph" w:styleId="16">
    <w:name w:val="annotation subject"/>
    <w:next w:val="6"/>
    <w:qFormat/>
    <w:uiPriority w:val="0"/>
    <w:pPr>
      <w:widowControl w:val="0"/>
    </w:pPr>
    <w:rPr>
      <w:rFonts w:ascii="Times New Roman" w:hAnsi="Times New Roman" w:eastAsia="宋体" w:cs="Times New Roman"/>
      <w:b/>
      <w:kern w:val="2"/>
      <w:sz w:val="21"/>
      <w:lang w:val="en-US" w:eastAsia="zh-CN" w:bidi="ar-SA"/>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endnote reference"/>
    <w:basedOn w:val="19"/>
    <w:qFormat/>
    <w:uiPriority w:val="0"/>
    <w:rPr>
      <w:vertAlign w:val="superscript"/>
    </w:rPr>
  </w:style>
  <w:style w:type="character" w:styleId="21">
    <w:name w:val="page number"/>
    <w:basedOn w:val="19"/>
    <w:qFormat/>
    <w:uiPriority w:val="0"/>
  </w:style>
  <w:style w:type="character" w:styleId="22">
    <w:name w:val="Hyperlink"/>
    <w:basedOn w:val="19"/>
    <w:qFormat/>
    <w:uiPriority w:val="0"/>
    <w:rPr>
      <w:color w:val="0000FF"/>
      <w:u w:val="single"/>
    </w:rPr>
  </w:style>
  <w:style w:type="paragraph" w:customStyle="1" w:styleId="2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4">
    <w:name w:val="标题 1 Char"/>
    <w:basedOn w:val="19"/>
    <w:link w:val="3"/>
    <w:qFormat/>
    <w:uiPriority w:val="0"/>
    <w:rPr>
      <w:rFonts w:ascii="Calibri" w:hAnsi="Calibri" w:eastAsia="宋体" w:cs="Arial"/>
      <w:b/>
      <w:bCs/>
      <w:kern w:val="44"/>
      <w:sz w:val="44"/>
      <w:szCs w:val="44"/>
      <w:lang w:val="en-US" w:eastAsia="zh-CN" w:bidi="ar-SA"/>
    </w:rPr>
  </w:style>
  <w:style w:type="paragraph" w:customStyle="1" w:styleId="25">
    <w:name w:val="TOC 标题1"/>
    <w:basedOn w:val="3"/>
    <w:next w:val="1"/>
    <w:qFormat/>
    <w:uiPriority w:val="0"/>
    <w:pPr>
      <w:widowControl/>
      <w:spacing w:before="480" w:after="0" w:line="276" w:lineRule="auto"/>
      <w:jc w:val="left"/>
      <w:outlineLvl w:val="9"/>
    </w:pPr>
    <w:rPr>
      <w:rFonts w:ascii="Cambria" w:hAnsi="Cambria" w:cs="Times New Roman"/>
      <w:color w:val="366091"/>
      <w:kern w:val="0"/>
      <w:sz w:val="28"/>
      <w:szCs w:val="28"/>
    </w:rPr>
  </w:style>
  <w:style w:type="paragraph" w:customStyle="1" w:styleId="26">
    <w:name w:val="列出段落1"/>
    <w:basedOn w:val="1"/>
    <w:qFormat/>
    <w:uiPriority w:val="0"/>
    <w:pPr>
      <w:ind w:firstLine="200" w:firstLineChars="200"/>
    </w:pPr>
  </w:style>
  <w:style w:type="paragraph" w:customStyle="1" w:styleId="27">
    <w:name w:val="样式 标题 2 + 首行缩进:  2 字符"/>
    <w:basedOn w:val="4"/>
    <w:qFormat/>
    <w:uiPriority w:val="0"/>
    <w:pPr>
      <w:tabs>
        <w:tab w:val="left" w:pos="860"/>
      </w:tabs>
      <w:spacing w:line="240" w:lineRule="auto"/>
      <w:ind w:firstLine="723" w:firstLineChars="200"/>
    </w:pPr>
    <w:rPr>
      <w:rFonts w:eastAsia="仿宋_GB2312" w:cs="宋体"/>
      <w:sz w:val="36"/>
      <w:szCs w:val="20"/>
    </w:rPr>
  </w:style>
  <w:style w:type="paragraph" w:customStyle="1" w:styleId="28">
    <w:name w:val="样式 样式 样式 标题 2 + 首行缩进:  2 字符 + 首行缩进:  2 字符 + 首行缩进:  2 字符"/>
    <w:basedOn w:val="29"/>
    <w:qFormat/>
    <w:uiPriority w:val="0"/>
    <w:pPr>
      <w:tabs>
        <w:tab w:val="left" w:pos="860"/>
      </w:tabs>
      <w:ind w:firstLine="0" w:firstLineChars="0"/>
    </w:pPr>
  </w:style>
  <w:style w:type="paragraph" w:customStyle="1" w:styleId="29">
    <w:name w:val="样式 样式 标题 2 + 首行缩进:  2 字符 + 首行缩进:  2 字符"/>
    <w:basedOn w:val="27"/>
    <w:qFormat/>
    <w:uiPriority w:val="0"/>
    <w:pPr>
      <w:ind w:firstLine="720"/>
    </w:pPr>
    <w:rPr>
      <w:sz w:val="30"/>
    </w:rPr>
  </w:style>
  <w:style w:type="paragraph" w:customStyle="1" w:styleId="30">
    <w:name w:val="样式 标题 2 + Times New Roman 四号 非加粗 段前: 5 磅 段后: 0 磅 行距: 固定值 20..."/>
    <w:basedOn w:val="4"/>
    <w:qFormat/>
    <w:uiPriority w:val="0"/>
    <w:pPr>
      <w:tabs>
        <w:tab w:val="left" w:pos="860"/>
      </w:tabs>
      <w:spacing w:line="400" w:lineRule="exact"/>
    </w:pPr>
    <w:rPr>
      <w:rFonts w:ascii="Times New Roman" w:hAnsi="Times New Roman" w:cs="宋体"/>
      <w:b w:val="0"/>
      <w:bCs w:val="0"/>
      <w:sz w:val="28"/>
      <w:szCs w:val="20"/>
    </w:rPr>
  </w:style>
  <w:style w:type="character" w:customStyle="1" w:styleId="31">
    <w:name w:val="xdrichtextbox"/>
    <w:basedOn w:val="1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0FBCC-3527-4FCE-AB16-4667023A3EBD}">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3683</Words>
  <Characters>3872</Characters>
  <Lines>35</Lines>
  <Paragraphs>9</Paragraphs>
  <TotalTime>30</TotalTime>
  <ScaleCrop>false</ScaleCrop>
  <LinksUpToDate>false</LinksUpToDate>
  <CharactersWithSpaces>4134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2018-04-27T06:45:00Z</dcterms:created>
  <dc:creator>Hopen</dc:creator>
  <cp:lastModifiedBy>ypm</cp:lastModifiedBy>
  <cp:lastPrinted>2018-10-12T06:15:00Z</cp:lastPrinted>
  <dcterms:modified xsi:type="dcterms:W3CDTF">2022-07-13T05:39:56Z</dcterms:modified>
  <cp:revision>421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44667D61639C4692A1C654855BAB6921</vt:lpwstr>
  </property>
</Properties>
</file>