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重庆高速集团长大桥梁结构健康监测系统建设及监测技术服务项目 JKJC-1 标段中标候选人公示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重庆高速集团长大桥梁结构健康监测系统建设及监测技术服务项目 JKJC-1 标段</w:t>
            </w:r>
          </w:p>
        </w:tc>
        <w:tc>
          <w:tcPr>
            <w:tcW w:w="1390" w:type="dxa"/>
            <w:gridSpan w:val="2"/>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auto"/>
                <w:kern w:val="0"/>
                <w:sz w:val="20"/>
                <w:szCs w:val="20"/>
                <w:lang w:val="en-US"/>
              </w:rPr>
            </w:pPr>
            <w:r>
              <w:rPr>
                <w:rFonts w:hint="eastAsia" w:ascii="宋体" w:hAnsi="宋体" w:eastAsia="宋体" w:cs="宋体"/>
                <w:color w:val="auto"/>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50000120221031025100101</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023-89138598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auto"/>
                <w:kern w:val="0"/>
                <w:sz w:val="22"/>
              </w:rPr>
            </w:pPr>
            <w:r>
              <w:rPr>
                <w:rFonts w:hint="eastAsia" w:ascii="Calibri" w:hAnsi="Calibri" w:eastAsia="宋体" w:cs="Calibri"/>
                <w:color w:val="auto"/>
                <w:kern w:val="0"/>
                <w:sz w:val="22"/>
                <w:lang w:val="en-US" w:eastAsia="zh-CN"/>
              </w:rPr>
              <w:t>工程</w:t>
            </w:r>
            <w:r>
              <w:rPr>
                <w:rFonts w:ascii="Calibri" w:hAnsi="Calibri" w:eastAsia="宋体" w:cs="Calibri"/>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auto"/>
                <w:kern w:val="0"/>
                <w:sz w:val="22"/>
              </w:rPr>
            </w:pPr>
          </w:p>
        </w:tc>
        <w:tc>
          <w:tcPr>
            <w:tcW w:w="1513" w:type="dxa"/>
            <w:vMerge w:val="continue"/>
            <w:vAlign w:val="center"/>
          </w:tcPr>
          <w:p>
            <w:pPr>
              <w:widowControl/>
              <w:jc w:val="left"/>
              <w:rPr>
                <w:rFonts w:ascii="宋体" w:hAnsi="宋体" w:eastAsia="宋体" w:cs="宋体"/>
                <w:color w:val="auto"/>
                <w:kern w:val="0"/>
                <w:sz w:val="22"/>
              </w:rPr>
            </w:pPr>
          </w:p>
        </w:tc>
        <w:tc>
          <w:tcPr>
            <w:tcW w:w="1438" w:type="dxa"/>
            <w:vMerge w:val="continue"/>
            <w:vAlign w:val="center"/>
          </w:tcPr>
          <w:p>
            <w:pPr>
              <w:widowControl/>
              <w:jc w:val="left"/>
              <w:rPr>
                <w:rFonts w:ascii="宋体" w:hAnsi="宋体" w:eastAsia="宋体" w:cs="宋体"/>
                <w:color w:val="auto"/>
                <w:kern w:val="0"/>
                <w:sz w:val="22"/>
              </w:rPr>
            </w:pPr>
          </w:p>
        </w:tc>
        <w:tc>
          <w:tcPr>
            <w:tcW w:w="990" w:type="dxa"/>
            <w:gridSpan w:val="2"/>
            <w:vMerge w:val="continue"/>
            <w:vAlign w:val="center"/>
          </w:tcPr>
          <w:p>
            <w:pPr>
              <w:widowControl/>
              <w:jc w:val="left"/>
              <w:rPr>
                <w:rFonts w:ascii="宋体" w:hAnsi="宋体" w:eastAsia="宋体" w:cs="宋体"/>
                <w:color w:val="auto"/>
                <w:kern w:val="0"/>
                <w:sz w:val="22"/>
              </w:rPr>
            </w:pPr>
          </w:p>
        </w:tc>
        <w:tc>
          <w:tcPr>
            <w:tcW w:w="1174" w:type="dxa"/>
            <w:vMerge w:val="continue"/>
            <w:vAlign w:val="center"/>
          </w:tcPr>
          <w:p>
            <w:pPr>
              <w:widowControl/>
              <w:jc w:val="left"/>
              <w:rPr>
                <w:rFonts w:ascii="宋体" w:hAnsi="宋体" w:eastAsia="宋体" w:cs="宋体"/>
                <w:color w:val="auto"/>
                <w:kern w:val="0"/>
                <w:sz w:val="22"/>
              </w:rPr>
            </w:pPr>
          </w:p>
        </w:tc>
        <w:tc>
          <w:tcPr>
            <w:tcW w:w="851" w:type="dxa"/>
            <w:shd w:val="clear" w:color="auto" w:fill="auto"/>
            <w:vAlign w:val="center"/>
          </w:tcPr>
          <w:p>
            <w:pPr>
              <w:widowControl/>
              <w:jc w:val="center"/>
              <w:rPr>
                <w:rFonts w:ascii="Calibri" w:hAnsi="Calibri" w:eastAsia="宋体" w:cs="Calibri"/>
                <w:color w:val="auto"/>
                <w:kern w:val="0"/>
                <w:sz w:val="22"/>
              </w:rPr>
            </w:pPr>
            <w:r>
              <w:rPr>
                <w:rFonts w:ascii="Calibri" w:hAnsi="Calibri" w:eastAsia="宋体" w:cs="Calibri"/>
                <w:color w:val="auto"/>
                <w:kern w:val="0"/>
                <w:sz w:val="22"/>
              </w:rPr>
              <w:t>姓名</w:t>
            </w:r>
          </w:p>
        </w:tc>
        <w:tc>
          <w:tcPr>
            <w:tcW w:w="1109" w:type="dxa"/>
            <w:gridSpan w:val="2"/>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证书名称</w:t>
            </w:r>
          </w:p>
        </w:tc>
        <w:tc>
          <w:tcPr>
            <w:tcW w:w="1537" w:type="dxa"/>
            <w:shd w:val="clear" w:color="auto" w:fill="auto"/>
            <w:vAlign w:val="center"/>
          </w:tcPr>
          <w:p>
            <w:pPr>
              <w:widowControl/>
              <w:jc w:val="center"/>
              <w:rPr>
                <w:rFonts w:hint="eastAsia" w:ascii="Calibri" w:hAnsi="Calibri" w:eastAsia="宋体" w:cs="Calibri"/>
                <w:color w:val="auto"/>
                <w:kern w:val="0"/>
                <w:sz w:val="22"/>
              </w:rPr>
            </w:pPr>
            <w:r>
              <w:rPr>
                <w:rFonts w:ascii="Calibri" w:hAnsi="Calibri" w:eastAsia="宋体" w:cs="Calibri"/>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第一名</w:t>
            </w:r>
          </w:p>
        </w:tc>
        <w:tc>
          <w:tcPr>
            <w:tcW w:w="151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中交公路规划设计院有限公司</w:t>
            </w:r>
          </w:p>
        </w:tc>
        <w:tc>
          <w:tcPr>
            <w:tcW w:w="143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96.98</w:t>
            </w:r>
          </w:p>
        </w:tc>
        <w:tc>
          <w:tcPr>
            <w:tcW w:w="990"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叶志龙</w:t>
            </w:r>
          </w:p>
        </w:tc>
        <w:tc>
          <w:tcPr>
            <w:tcW w:w="1109"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正高级工程师</w:t>
            </w:r>
          </w:p>
        </w:tc>
        <w:tc>
          <w:tcPr>
            <w:tcW w:w="1537"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1200185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第二名</w:t>
            </w:r>
          </w:p>
        </w:tc>
        <w:tc>
          <w:tcPr>
            <w:tcW w:w="151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贵州宏信创达工程检测咨询有限公司</w:t>
            </w:r>
          </w:p>
        </w:tc>
        <w:tc>
          <w:tcPr>
            <w:tcW w:w="143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95.50</w:t>
            </w:r>
          </w:p>
        </w:tc>
        <w:tc>
          <w:tcPr>
            <w:tcW w:w="9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张建</w:t>
            </w:r>
          </w:p>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平</w:t>
            </w:r>
          </w:p>
        </w:tc>
        <w:tc>
          <w:tcPr>
            <w:tcW w:w="1109" w:type="dxa"/>
            <w:gridSpan w:val="2"/>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高级工程</w:t>
            </w:r>
          </w:p>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师</w:t>
            </w:r>
          </w:p>
        </w:tc>
        <w:tc>
          <w:tcPr>
            <w:tcW w:w="1537"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黔高201702978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第三名</w:t>
            </w:r>
          </w:p>
        </w:tc>
        <w:tc>
          <w:tcPr>
            <w:tcW w:w="151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重庆市交通工程质量检测有限公司</w:t>
            </w:r>
          </w:p>
        </w:tc>
        <w:tc>
          <w:tcPr>
            <w:tcW w:w="143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97.88</w:t>
            </w:r>
          </w:p>
        </w:tc>
        <w:tc>
          <w:tcPr>
            <w:tcW w:w="990"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满足招标文件要求</w:t>
            </w:r>
          </w:p>
        </w:tc>
        <w:tc>
          <w:tcPr>
            <w:tcW w:w="851"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杜松</w:t>
            </w:r>
          </w:p>
        </w:tc>
        <w:tc>
          <w:tcPr>
            <w:tcW w:w="1109" w:type="dxa"/>
            <w:gridSpan w:val="2"/>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高级工程</w:t>
            </w:r>
          </w:p>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师</w:t>
            </w:r>
          </w:p>
        </w:tc>
        <w:tc>
          <w:tcPr>
            <w:tcW w:w="1537" w:type="dxa"/>
            <w:shd w:val="clear" w:color="auto" w:fill="auto"/>
            <w:vAlign w:val="center"/>
          </w:tcPr>
          <w:p>
            <w:pPr>
              <w:widowControl/>
              <w:jc w:val="both"/>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021401004355</w:t>
            </w:r>
          </w:p>
          <w:p>
            <w:pPr>
              <w:widowControl/>
              <w:ind w:firstLine="220" w:firstLineChars="100"/>
              <w:jc w:val="both"/>
              <w:rPr>
                <w:rFonts w:hint="default" w:ascii="宋体" w:hAnsi="宋体" w:eastAsia="宋体" w:cs="宋体"/>
                <w:color w:val="auto"/>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widowControl/>
              <w:suppressLineNumbers w:val="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lang w:val="en-US" w:eastAsia="zh-CN"/>
              </w:rPr>
              <w:t>第一中标候选人：中交公路规划设计院有限公司</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1"/>
                <w:szCs w:val="21"/>
                <w:lang w:val="en-US" w:eastAsia="zh-CN" w:bidi="ar"/>
              </w:rPr>
              <w:t>宜昌长江大桥建设营运集团有限公司桥梁结构健康监测和运营综合管理系统建设项目（结构健康监测部分）、九江长江大桥结构健康监测系统建设项目、浙江省乐清湾大桥及接线工程桥梁结构安全监测综合管理系统设计与实施技术服务、岱山县官山至秀山公路秀山大桥和岱山县牛轭至官山公路官山大桥健康监测系统设计与实施、江津经习水至古蔺高速公路赤水河大桥运营期结构健康监测系统设计与实施、</w:t>
            </w:r>
            <w:r>
              <w:rPr>
                <w:rFonts w:hint="eastAsia" w:ascii="宋体" w:hAnsi="宋体" w:eastAsia="宋体" w:cs="宋体"/>
                <w:color w:val="auto"/>
                <w:kern w:val="0"/>
                <w:sz w:val="21"/>
                <w:szCs w:val="21"/>
                <w:lang w:val="en-US" w:eastAsia="zh-CN" w:bidi="ar"/>
              </w:rPr>
              <w:t>云南省华丽高速公路金安金沙江大桥结构健康监测系统设计与实施、</w:t>
            </w:r>
            <w:r>
              <w:rPr>
                <w:rFonts w:hint="default" w:ascii="Times New Roman" w:hAnsi="Times New Roman" w:eastAsia="宋体" w:cs="Times New Roman"/>
                <w:color w:val="auto"/>
                <w:kern w:val="0"/>
                <w:sz w:val="21"/>
                <w:szCs w:val="21"/>
                <w:lang w:val="en-US" w:eastAsia="zh-CN" w:bidi="ar"/>
              </w:rPr>
              <w:t>2020</w:t>
            </w:r>
            <w:r>
              <w:rPr>
                <w:rFonts w:hint="eastAsia" w:ascii="宋体" w:hAnsi="宋体" w:eastAsia="宋体" w:cs="宋体"/>
                <w:color w:val="auto"/>
                <w:kern w:val="0"/>
                <w:sz w:val="21"/>
                <w:szCs w:val="21"/>
                <w:lang w:val="en-US" w:eastAsia="zh-CN" w:bidi="ar"/>
              </w:rPr>
              <w:t>年度国省干线公路网技术状况监测项目</w:t>
            </w:r>
            <w:r>
              <w:rPr>
                <w:rFonts w:hint="default" w:ascii="Times New Roman" w:hAnsi="Times New Roman" w:eastAsia="宋体" w:cs="Times New Roman"/>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重点桥梁监测</w:t>
            </w:r>
            <w:r>
              <w:rPr>
                <w:rFonts w:hint="default" w:ascii="Times New Roman" w:hAnsi="Times New Roman" w:eastAsia="宋体" w:cs="Times New Roman"/>
                <w:color w:val="auto"/>
                <w:kern w:val="0"/>
                <w:sz w:val="21"/>
                <w:szCs w:val="21"/>
                <w:lang w:val="en-US" w:eastAsia="zh-CN" w:bidi="ar"/>
              </w:rPr>
              <w:t>01</w:t>
            </w:r>
            <w:r>
              <w:rPr>
                <w:rFonts w:hint="eastAsia" w:ascii="宋体" w:hAnsi="宋体" w:eastAsia="宋体" w:cs="宋体"/>
                <w:color w:val="auto"/>
                <w:kern w:val="0"/>
                <w:sz w:val="21"/>
                <w:szCs w:val="21"/>
                <w:lang w:val="en-US" w:eastAsia="zh-CN" w:bidi="ar"/>
              </w:rPr>
              <w:t>包、</w:t>
            </w:r>
            <w:r>
              <w:rPr>
                <w:rFonts w:hint="default" w:ascii="Times New Roman" w:hAnsi="Times New Roman" w:eastAsia="宋体" w:cs="Times New Roman"/>
                <w:color w:val="auto"/>
                <w:kern w:val="0"/>
                <w:sz w:val="22"/>
                <w:szCs w:val="22"/>
                <w:lang w:val="en-US" w:eastAsia="zh-CN" w:bidi="ar"/>
              </w:rPr>
              <w:t>2021</w:t>
            </w:r>
            <w:r>
              <w:rPr>
                <w:rFonts w:hint="eastAsia" w:ascii="宋体" w:hAnsi="宋体" w:eastAsia="宋体" w:cs="宋体"/>
                <w:color w:val="auto"/>
                <w:kern w:val="0"/>
                <w:sz w:val="22"/>
                <w:szCs w:val="22"/>
                <w:lang w:val="en-US" w:eastAsia="zh-CN" w:bidi="ar"/>
              </w:rPr>
              <w:t>年度国省干线公路网技术状况监测</w:t>
            </w:r>
            <w:r>
              <w:rPr>
                <w:rFonts w:hint="default" w:ascii="Times New Roman" w:hAnsi="Times New Roman" w:eastAsia="宋体" w:cs="Times New Roman"/>
                <w:color w:val="auto"/>
                <w:kern w:val="0"/>
                <w:sz w:val="22"/>
                <w:szCs w:val="22"/>
                <w:lang w:val="en-US" w:eastAsia="zh-CN" w:bidi="ar"/>
              </w:rPr>
              <w:t>02</w:t>
            </w:r>
            <w:r>
              <w:rPr>
                <w:rFonts w:hint="eastAsia" w:ascii="宋体" w:hAnsi="宋体" w:eastAsia="宋体" w:cs="宋体"/>
                <w:color w:val="auto"/>
                <w:kern w:val="0"/>
                <w:sz w:val="22"/>
                <w:szCs w:val="22"/>
                <w:lang w:val="en-US" w:eastAsia="zh-CN" w:bidi="ar"/>
              </w:rPr>
              <w:t>包 、</w:t>
            </w:r>
            <w:r>
              <w:rPr>
                <w:rFonts w:hint="default" w:ascii="Times New Roman" w:hAnsi="Times New Roman" w:eastAsia="宋体" w:cs="Times New Roman"/>
                <w:color w:val="auto"/>
                <w:kern w:val="0"/>
                <w:sz w:val="22"/>
                <w:szCs w:val="22"/>
                <w:lang w:val="en-US" w:eastAsia="zh-CN" w:bidi="ar"/>
              </w:rPr>
              <w:t>2022</w:t>
            </w:r>
            <w:r>
              <w:rPr>
                <w:rFonts w:hint="eastAsia" w:ascii="宋体" w:hAnsi="宋体" w:eastAsia="宋体" w:cs="宋体"/>
                <w:color w:val="auto"/>
                <w:kern w:val="0"/>
                <w:sz w:val="22"/>
                <w:szCs w:val="22"/>
                <w:lang w:val="en-US" w:eastAsia="zh-CN" w:bidi="ar"/>
              </w:rPr>
              <w:t>年度国省干线公路网技术状况监测</w:t>
            </w:r>
            <w:r>
              <w:rPr>
                <w:rFonts w:hint="default" w:ascii="Times New Roman" w:hAnsi="Times New Roman" w:eastAsia="宋体" w:cs="Times New Roman"/>
                <w:color w:val="auto"/>
                <w:kern w:val="0"/>
                <w:sz w:val="22"/>
                <w:szCs w:val="22"/>
                <w:lang w:val="en-US" w:eastAsia="zh-CN" w:bidi="ar"/>
              </w:rPr>
              <w:t>02</w:t>
            </w:r>
            <w:r>
              <w:rPr>
                <w:rFonts w:hint="eastAsia" w:ascii="宋体" w:hAnsi="宋体" w:eastAsia="宋体" w:cs="宋体"/>
                <w:color w:val="auto"/>
                <w:kern w:val="0"/>
                <w:sz w:val="22"/>
                <w:szCs w:val="22"/>
                <w:lang w:val="en-US" w:eastAsia="zh-CN" w:bidi="ar"/>
              </w:rPr>
              <w:t xml:space="preserve">包 </w:t>
            </w:r>
            <w:r>
              <w:rPr>
                <w:rFonts w:hint="eastAsia" w:ascii="宋体" w:hAnsi="宋体" w:eastAsia="宋体" w:cs="宋体"/>
                <w:color w:val="auto"/>
                <w:kern w:val="0"/>
                <w:sz w:val="22"/>
                <w:lang w:val="en-US" w:eastAsia="zh-CN"/>
              </w:rPr>
              <w:t>。</w:t>
            </w:r>
          </w:p>
          <w:p>
            <w:pPr>
              <w:keepNext w:val="0"/>
              <w:keepLines w:val="0"/>
              <w:widowControl/>
              <w:suppressLineNumbers w:val="0"/>
              <w:jc w:val="left"/>
              <w:rPr>
                <w:rFonts w:hint="eastAsia" w:ascii="宋体" w:hAnsi="宋体" w:cs="宋体"/>
                <w:color w:val="auto"/>
                <w:kern w:val="0"/>
                <w:sz w:val="22"/>
                <w:lang w:val="en-US" w:eastAsia="zh-CN"/>
              </w:rPr>
            </w:pPr>
            <w:r>
              <w:rPr>
                <w:rFonts w:hint="eastAsia" w:ascii="宋体" w:hAnsi="宋体" w:cs="宋体"/>
                <w:b/>
                <w:bCs/>
                <w:color w:val="auto"/>
                <w:kern w:val="0"/>
                <w:sz w:val="22"/>
                <w:lang w:val="en-US" w:eastAsia="zh-CN"/>
              </w:rPr>
              <w:t>项目负责人业绩：</w:t>
            </w:r>
            <w:r>
              <w:rPr>
                <w:rFonts w:hint="eastAsia" w:ascii="宋体" w:hAnsi="宋体" w:cs="宋体"/>
                <w:color w:val="auto"/>
                <w:kern w:val="0"/>
                <w:sz w:val="22"/>
                <w:lang w:val="en-US" w:eastAsia="zh-CN"/>
              </w:rPr>
              <w:t>宜昌长江大桥建设营运集团有限公司桥梁结构健康监测和运营综合管理系统建设项目（结构健康监测部分）、浙江省乐清湾大桥及接线工程桥梁结构安全监测综合管理系统设计与实施技术服务、</w:t>
            </w:r>
            <w:r>
              <w:rPr>
                <w:rFonts w:hint="eastAsia" w:ascii="宋体" w:hAnsi="宋体" w:eastAsia="宋体" w:cs="宋体"/>
                <w:color w:val="auto"/>
                <w:kern w:val="0"/>
                <w:sz w:val="21"/>
                <w:szCs w:val="21"/>
                <w:lang w:val="en-US" w:eastAsia="zh-CN" w:bidi="ar"/>
              </w:rPr>
              <w:t>岱山县官山至秀山公路秀山大桥和岱山县牛轭至官山公路官山大桥健康监测系统设计与实施</w:t>
            </w:r>
            <w:r>
              <w:rPr>
                <w:rFonts w:hint="eastAsia" w:ascii="宋体" w:hAnsi="宋体" w:cs="宋体"/>
                <w:color w:val="auto"/>
                <w:kern w:val="0"/>
                <w:sz w:val="22"/>
                <w:lang w:val="en-US" w:eastAsia="zh-CN"/>
              </w:rPr>
              <w:t>。</w:t>
            </w:r>
          </w:p>
          <w:p>
            <w:pPr>
              <w:rPr>
                <w:rFonts w:hint="eastAsia"/>
                <w:color w:val="auto"/>
                <w:lang w:val="en-US" w:eastAsia="zh-CN"/>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auto"/>
                <w:kern w:val="0"/>
                <w:sz w:val="21"/>
                <w:szCs w:val="21"/>
                <w:lang w:val="en-US" w:eastAsia="zh-CN" w:bidi="ar"/>
              </w:rPr>
              <w:t>铜陵长江公路大桥结构健康监测系统试点建设项目、浙江省乐清湾大桥及接线工程桥梁结构安全监测综合管理系统设计与实施技术服务、宁波舟山港主通道（鱼山石化疏港公路）公路工程桥梁结构安全监测综合管理系统设计与实施技术服务。</w:t>
            </w:r>
          </w:p>
          <w:p>
            <w:pPr>
              <w:pStyle w:val="2"/>
              <w:rPr>
                <w:rFonts w:hint="eastAsia"/>
                <w:color w:val="auto"/>
                <w:lang w:val="en-US" w:eastAsia="zh-CN"/>
              </w:rPr>
            </w:pPr>
          </w:p>
          <w:p>
            <w:pPr>
              <w:keepNext w:val="0"/>
              <w:keepLines w:val="0"/>
              <w:widowControl/>
              <w:suppressLineNumbers w:val="0"/>
              <w:jc w:val="left"/>
              <w:rPr>
                <w:color w:val="auto"/>
              </w:rPr>
            </w:pPr>
            <w:r>
              <w:rPr>
                <w:rFonts w:hint="eastAsia" w:ascii="宋体" w:hAnsi="宋体" w:eastAsia="宋体" w:cs="宋体"/>
                <w:b/>
                <w:bCs/>
                <w:color w:val="auto"/>
                <w:kern w:val="0"/>
                <w:sz w:val="22"/>
                <w:lang w:val="en-US" w:eastAsia="zh-CN"/>
              </w:rPr>
              <w:t>第二中标候选人：贵州宏信创达工程检测咨询有限公司</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1"/>
                <w:szCs w:val="21"/>
                <w:lang w:val="en-US" w:eastAsia="zh-CN" w:bidi="ar"/>
              </w:rPr>
              <w:t>2020 年度营运高速公路索结构桥梁（六广河特大桥）健康监测系统建设及运维服务项目、2020 年度营运高速公路索结构桥梁（六冲河特大桥）健康监测系统建设及运维服务项目、</w:t>
            </w:r>
            <w:r>
              <w:rPr>
                <w:rFonts w:hint="eastAsia" w:ascii="宋体" w:hAnsi="宋体" w:eastAsia="宋体" w:cs="宋体"/>
                <w:color w:val="auto"/>
                <w:kern w:val="0"/>
                <w:sz w:val="21"/>
                <w:szCs w:val="21"/>
                <w:lang w:val="en-US" w:eastAsia="zh-CN" w:bidi="ar"/>
              </w:rPr>
              <w:t>贵州省余庆至安龙高速公路平塘至罗甸段平塘特大桥及大小井特大桥健康监测服务EQJKJC-1 标段 。</w:t>
            </w:r>
          </w:p>
          <w:p>
            <w:pPr>
              <w:keepNext w:val="0"/>
              <w:keepLines w:val="0"/>
              <w:widowControl/>
              <w:suppressLineNumbers w:val="0"/>
              <w:jc w:val="left"/>
              <w:rPr>
                <w:b w:val="0"/>
                <w:bCs w:val="0"/>
                <w:color w:val="auto"/>
              </w:rPr>
            </w:pPr>
            <w:r>
              <w:rPr>
                <w:rFonts w:hint="eastAsia" w:ascii="宋体" w:hAnsi="宋体" w:cs="宋体"/>
                <w:b/>
                <w:bCs/>
                <w:color w:val="auto"/>
                <w:kern w:val="0"/>
                <w:sz w:val="22"/>
                <w:lang w:val="en-US" w:eastAsia="zh-CN"/>
              </w:rPr>
              <w:t>项目负责人业绩：</w:t>
            </w:r>
            <w:r>
              <w:rPr>
                <w:rFonts w:hint="eastAsia" w:ascii="宋体" w:hAnsi="宋体" w:eastAsia="宋体" w:cs="宋体"/>
                <w:b w:val="0"/>
                <w:bCs w:val="0"/>
                <w:color w:val="auto"/>
                <w:kern w:val="0"/>
                <w:sz w:val="21"/>
                <w:szCs w:val="21"/>
                <w:lang w:val="en-US" w:eastAsia="zh-CN" w:bidi="ar"/>
              </w:rPr>
              <w:t>黔西南州兴义环城高速公路义龙至木贾段峰林特大桥健康监测（主跨采用 550米大跨径钢混叠合梁悬索桥，跨径为130m+550m+210m）</w:t>
            </w:r>
            <w:r>
              <w:rPr>
                <w:rFonts w:hint="eastAsia" w:ascii="宋体" w:hAnsi="宋体" w:eastAsia="宋体" w:cs="宋体"/>
                <w:color w:val="auto"/>
                <w:kern w:val="0"/>
                <w:sz w:val="21"/>
                <w:szCs w:val="21"/>
                <w:lang w:val="en-US" w:eastAsia="zh-CN" w:bidi="ar"/>
              </w:rPr>
              <w:t>。</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b w:val="0"/>
                <w:bCs w:val="0"/>
                <w:color w:val="auto"/>
                <w:kern w:val="0"/>
                <w:sz w:val="21"/>
                <w:szCs w:val="21"/>
                <w:lang w:val="en-US" w:eastAsia="zh-CN" w:bidi="ar"/>
              </w:rPr>
              <w:t>贵州高速公路集团有限公司 2018 年营运桥梁定期检查工作项目 QLJC-1 标段（包含桥梁定期检测及桥梁健康监测）（韩家店 I 号特大桥主桥为三跨预应力混凝土连续刚构，跨径为 122m+210m+122m）</w:t>
            </w:r>
            <w:r>
              <w:rPr>
                <w:rFonts w:hint="eastAsia" w:ascii="宋体" w:hAnsi="宋体" w:cs="宋体"/>
                <w:b w:val="0"/>
                <w:bCs w:val="0"/>
                <w:color w:val="auto"/>
                <w:kern w:val="0"/>
                <w:sz w:val="21"/>
                <w:szCs w:val="21"/>
                <w:lang w:val="en-US" w:eastAsia="zh-CN" w:bidi="ar"/>
              </w:rPr>
              <w:t>、黔西南州兴义环城高速公路义龙至木贾段峰林特大桥健康监测（主跨采用 550米大跨径钢混叠合梁悬索桥，跨径为130m+550m+210m）。</w:t>
            </w:r>
          </w:p>
          <w:p>
            <w:pPr>
              <w:pStyle w:val="2"/>
              <w:rPr>
                <w:rFonts w:hint="eastAsia"/>
                <w:color w:val="auto"/>
                <w:lang w:val="en-US" w:eastAsia="zh-CN"/>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auto"/>
                <w:kern w:val="0"/>
                <w:sz w:val="22"/>
                <w:lang w:val="en-US" w:eastAsia="zh-CN"/>
              </w:rPr>
              <w:t>第三中标候选人：重庆市交通工程质量检测有限公司，</w:t>
            </w:r>
            <w:r>
              <w:rPr>
                <w:rFonts w:hint="eastAsia" w:ascii="宋体" w:hAnsi="宋体" w:eastAsia="宋体" w:cs="宋体"/>
                <w:b w:val="0"/>
                <w:bCs w:val="0"/>
                <w:color w:val="auto"/>
                <w:kern w:val="0"/>
                <w:sz w:val="21"/>
                <w:szCs w:val="21"/>
                <w:lang w:val="en-US" w:eastAsia="zh-CN" w:bidi="ar"/>
              </w:rPr>
              <w:t>宜宾至彝良高速公路 K70+907 四方碑沟特大桥结构监测、宜宾至彝良高速公路南广河特大桥结构监测。</w:t>
            </w:r>
          </w:p>
          <w:p>
            <w:pPr>
              <w:keepNext w:val="0"/>
              <w:keepLines w:val="0"/>
              <w:widowControl/>
              <w:suppressLineNumbers w:val="0"/>
              <w:jc w:val="left"/>
              <w:rPr>
                <w:rFonts w:hint="eastAsia" w:ascii="宋体" w:hAnsi="宋体" w:cs="宋体"/>
                <w:b/>
                <w:bCs/>
                <w:color w:val="auto"/>
                <w:kern w:val="0"/>
                <w:sz w:val="22"/>
                <w:lang w:val="en-US" w:eastAsia="zh-CN"/>
              </w:rPr>
            </w:pPr>
            <w:r>
              <w:rPr>
                <w:rFonts w:hint="eastAsia" w:ascii="宋体" w:hAnsi="宋体" w:cs="宋体"/>
                <w:b/>
                <w:bCs/>
                <w:color w:val="auto"/>
                <w:kern w:val="0"/>
                <w:sz w:val="22"/>
                <w:lang w:val="en-US" w:eastAsia="zh-CN"/>
              </w:rPr>
              <w:t>项目负责人业绩：</w:t>
            </w:r>
            <w:r>
              <w:rPr>
                <w:rFonts w:hint="eastAsia" w:ascii="宋体" w:hAnsi="宋体" w:eastAsia="宋体" w:cs="宋体"/>
                <w:color w:val="auto"/>
                <w:kern w:val="0"/>
                <w:sz w:val="21"/>
                <w:szCs w:val="21"/>
                <w:lang w:val="en-US" w:eastAsia="zh-CN" w:bidi="ar"/>
              </w:rPr>
              <w:t>宜宾至彝良高速公路南广河特大桥结构监测、宜宾至彝良高速公路</w:t>
            </w:r>
            <w:r>
              <w:rPr>
                <w:rFonts w:ascii="Arial" w:hAnsi="Arial" w:eastAsia="宋体" w:cs="Arial"/>
                <w:color w:val="auto"/>
                <w:kern w:val="0"/>
                <w:sz w:val="21"/>
                <w:szCs w:val="21"/>
                <w:lang w:val="en-US" w:eastAsia="zh-CN" w:bidi="ar"/>
              </w:rPr>
              <w:t>K70+907</w:t>
            </w:r>
            <w:r>
              <w:rPr>
                <w:rFonts w:hint="eastAsia" w:ascii="宋体" w:hAnsi="宋体" w:eastAsia="宋体" w:cs="宋体"/>
                <w:color w:val="auto"/>
                <w:kern w:val="0"/>
                <w:sz w:val="21"/>
                <w:szCs w:val="21"/>
                <w:lang w:val="en-US" w:eastAsia="zh-CN" w:bidi="ar"/>
              </w:rPr>
              <w:t>四方碑沟特大桥结构监测。</w:t>
            </w:r>
          </w:p>
          <w:p>
            <w:pPr>
              <w:keepNext w:val="0"/>
              <w:keepLines w:val="0"/>
              <w:widowControl/>
              <w:suppressLineNumbers w:val="0"/>
              <w:jc w:val="left"/>
              <w:rPr>
                <w:rFonts w:hint="eastAsia"/>
                <w:color w:val="auto"/>
                <w:lang w:val="en-US" w:eastAsia="zh-CN"/>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auto"/>
                <w:kern w:val="0"/>
                <w:sz w:val="21"/>
                <w:szCs w:val="21"/>
                <w:lang w:val="en-US" w:eastAsia="zh-CN" w:bidi="ar"/>
              </w:rPr>
              <w:t>宜宾至彝良高速公路南广河特大桥结构监测、宜宾至彝良高速公路</w:t>
            </w:r>
            <w:r>
              <w:rPr>
                <w:rFonts w:ascii="Arial" w:hAnsi="Arial" w:eastAsia="宋体" w:cs="Arial"/>
                <w:color w:val="auto"/>
                <w:kern w:val="0"/>
                <w:sz w:val="21"/>
                <w:szCs w:val="21"/>
                <w:lang w:val="en-US" w:eastAsia="zh-CN" w:bidi="ar"/>
              </w:rPr>
              <w:t>K70+907</w:t>
            </w:r>
            <w:r>
              <w:rPr>
                <w:rFonts w:hint="eastAsia" w:ascii="宋体" w:hAnsi="宋体" w:eastAsia="宋体" w:cs="宋体"/>
                <w:color w:val="auto"/>
                <w:kern w:val="0"/>
                <w:sz w:val="21"/>
                <w:szCs w:val="21"/>
                <w:lang w:val="en-US" w:eastAsia="zh-CN" w:bidi="ar"/>
              </w:rPr>
              <w:t>四方碑沟特大桥结构监测。</w:t>
            </w:r>
          </w:p>
          <w:p>
            <w:pPr>
              <w:widowControl/>
              <w:jc w:val="left"/>
              <w:rPr>
                <w:rFonts w:hint="eastAsia" w:ascii="宋体" w:hAnsi="宋体" w:eastAsia="宋体" w:cs="宋体"/>
                <w:color w:val="auto"/>
                <w:kern w:val="0"/>
                <w:sz w:val="22"/>
                <w:lang w:eastAsia="zh-CN"/>
              </w:rPr>
            </w:pPr>
            <w:r>
              <w:rPr>
                <w:rFonts w:hint="eastAsia" w:ascii="宋体" w:hAnsi="宋体" w:eastAsia="宋体" w:cs="宋体"/>
                <w:b/>
                <w:bCs/>
                <w:color w:val="auto"/>
                <w:kern w:val="0"/>
                <w:sz w:val="22"/>
                <w:lang w:eastAsia="zh-CN"/>
              </w:rPr>
              <w:t>否决投标情况：</w:t>
            </w:r>
            <w:r>
              <w:rPr>
                <w:rFonts w:hint="eastAsia" w:ascii="宋体" w:hAnsi="宋体" w:eastAsia="宋体" w:cs="宋体"/>
                <w:b/>
                <w:bCs/>
                <w:color w:val="auto"/>
                <w:kern w:val="0"/>
                <w:sz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bookmarkStart w:id="0" w:name="_GoBack"/>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投标人或者其他利害关系人对评标结果有异议的，应在中标候选人公示期内以书面形式向招标人：重庆高速公路路网管理有限公司</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(联系人：</w:t>
            </w:r>
            <w:r>
              <w:rPr>
                <w:rFonts w:hint="eastAsia" w:ascii="宋体" w:hAnsi="宋体" w:eastAsia="宋体" w:cs="宋体"/>
                <w:color w:val="auto"/>
                <w:kern w:val="0"/>
                <w:sz w:val="22"/>
                <w:lang w:val="en-US" w:eastAsia="zh-CN"/>
              </w:rPr>
              <w:t>吴老师</w:t>
            </w:r>
            <w:r>
              <w:rPr>
                <w:rFonts w:hint="eastAsia" w:ascii="宋体" w:hAnsi="宋体" w:eastAsia="宋体" w:cs="宋体"/>
                <w:color w:val="auto"/>
                <w:kern w:val="0"/>
                <w:sz w:val="22"/>
              </w:rPr>
              <w:t>，联系电话：023-89138598 ）提出异议。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70"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重庆高速公路路网管理有限公司 </w:t>
            </w:r>
          </w:p>
          <w:p>
            <w:pPr>
              <w:pStyle w:val="2"/>
              <w:rPr>
                <w:rFonts w:hint="eastAsia" w:ascii="宋体" w:hAnsi="宋体" w:eastAsia="宋体" w:cs="宋体"/>
                <w:color w:val="auto"/>
                <w:kern w:val="0"/>
                <w:sz w:val="22"/>
              </w:rPr>
            </w:pP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21</w:t>
            </w:r>
            <w:r>
              <w:rPr>
                <w:rFonts w:hint="eastAsia" w:ascii="宋体" w:hAnsi="宋体" w:eastAsia="宋体" w:cs="宋体"/>
                <w:color w:val="auto"/>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21 </w:t>
            </w:r>
            <w:r>
              <w:rPr>
                <w:rFonts w:hint="eastAsia" w:ascii="宋体" w:hAnsi="宋体" w:eastAsia="宋体" w:cs="宋体"/>
                <w:color w:val="auto"/>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34D0DC7"/>
    <w:rsid w:val="038076F6"/>
    <w:rsid w:val="0429305B"/>
    <w:rsid w:val="043B3CCE"/>
    <w:rsid w:val="047F1DAB"/>
    <w:rsid w:val="0733430F"/>
    <w:rsid w:val="084819CC"/>
    <w:rsid w:val="08884840"/>
    <w:rsid w:val="08F21A03"/>
    <w:rsid w:val="09834A1F"/>
    <w:rsid w:val="0A0C3409"/>
    <w:rsid w:val="0AB80DB3"/>
    <w:rsid w:val="0AD80180"/>
    <w:rsid w:val="0AFE4225"/>
    <w:rsid w:val="0B725406"/>
    <w:rsid w:val="0E090577"/>
    <w:rsid w:val="0E95291F"/>
    <w:rsid w:val="0F474788"/>
    <w:rsid w:val="0F7110E9"/>
    <w:rsid w:val="14947D5C"/>
    <w:rsid w:val="15791A87"/>
    <w:rsid w:val="158226E9"/>
    <w:rsid w:val="160805D7"/>
    <w:rsid w:val="166B41F1"/>
    <w:rsid w:val="18C67B43"/>
    <w:rsid w:val="198C002F"/>
    <w:rsid w:val="19C14582"/>
    <w:rsid w:val="1A182FA5"/>
    <w:rsid w:val="1E110AAE"/>
    <w:rsid w:val="1E2433C8"/>
    <w:rsid w:val="1EBE0C60"/>
    <w:rsid w:val="21442F49"/>
    <w:rsid w:val="242C0AC7"/>
    <w:rsid w:val="273121C1"/>
    <w:rsid w:val="27762747"/>
    <w:rsid w:val="2887022B"/>
    <w:rsid w:val="2A067935"/>
    <w:rsid w:val="2AED63FF"/>
    <w:rsid w:val="2B6851C9"/>
    <w:rsid w:val="2C3F2C8B"/>
    <w:rsid w:val="2CEA4F93"/>
    <w:rsid w:val="2EBD258D"/>
    <w:rsid w:val="2F25085E"/>
    <w:rsid w:val="2F334741"/>
    <w:rsid w:val="3290545A"/>
    <w:rsid w:val="337E22EA"/>
    <w:rsid w:val="339B0D78"/>
    <w:rsid w:val="33C00B55"/>
    <w:rsid w:val="33FE5081"/>
    <w:rsid w:val="34014CC9"/>
    <w:rsid w:val="34310729"/>
    <w:rsid w:val="346B1830"/>
    <w:rsid w:val="34880F47"/>
    <w:rsid w:val="351B09A1"/>
    <w:rsid w:val="381256F7"/>
    <w:rsid w:val="394A036E"/>
    <w:rsid w:val="39D71B1E"/>
    <w:rsid w:val="3A1B6D32"/>
    <w:rsid w:val="3D3B0A08"/>
    <w:rsid w:val="3DF92F26"/>
    <w:rsid w:val="3EF94F1B"/>
    <w:rsid w:val="3FF746D7"/>
    <w:rsid w:val="40471EFB"/>
    <w:rsid w:val="40477F08"/>
    <w:rsid w:val="43767507"/>
    <w:rsid w:val="43DE0C50"/>
    <w:rsid w:val="44F56185"/>
    <w:rsid w:val="456E1846"/>
    <w:rsid w:val="46024FFD"/>
    <w:rsid w:val="466C06C8"/>
    <w:rsid w:val="473016F6"/>
    <w:rsid w:val="47596E9F"/>
    <w:rsid w:val="47E524E0"/>
    <w:rsid w:val="47F92D32"/>
    <w:rsid w:val="47FA230E"/>
    <w:rsid w:val="4812474D"/>
    <w:rsid w:val="48B42A45"/>
    <w:rsid w:val="48CC36A0"/>
    <w:rsid w:val="48FC21D7"/>
    <w:rsid w:val="4AC9760C"/>
    <w:rsid w:val="4B1D633D"/>
    <w:rsid w:val="4C7B50C0"/>
    <w:rsid w:val="4D300D98"/>
    <w:rsid w:val="4ED32720"/>
    <w:rsid w:val="4EFE2381"/>
    <w:rsid w:val="4FFB3C11"/>
    <w:rsid w:val="50661029"/>
    <w:rsid w:val="509727E6"/>
    <w:rsid w:val="515F3303"/>
    <w:rsid w:val="53956916"/>
    <w:rsid w:val="574B7F6D"/>
    <w:rsid w:val="59803E57"/>
    <w:rsid w:val="59BE6F2B"/>
    <w:rsid w:val="5BA72C22"/>
    <w:rsid w:val="5CB32EB5"/>
    <w:rsid w:val="5CFD0323"/>
    <w:rsid w:val="5D694D67"/>
    <w:rsid w:val="60642993"/>
    <w:rsid w:val="61670F69"/>
    <w:rsid w:val="63924BE7"/>
    <w:rsid w:val="63F20A4B"/>
    <w:rsid w:val="63F86CD6"/>
    <w:rsid w:val="657C50E7"/>
    <w:rsid w:val="65AF2D06"/>
    <w:rsid w:val="65DC2D1D"/>
    <w:rsid w:val="66707909"/>
    <w:rsid w:val="67147067"/>
    <w:rsid w:val="683706DE"/>
    <w:rsid w:val="69793BB8"/>
    <w:rsid w:val="6992522B"/>
    <w:rsid w:val="69F34AD9"/>
    <w:rsid w:val="6C922387"/>
    <w:rsid w:val="6D836174"/>
    <w:rsid w:val="6DD644F6"/>
    <w:rsid w:val="6FAA35E5"/>
    <w:rsid w:val="6FC90C65"/>
    <w:rsid w:val="7031057E"/>
    <w:rsid w:val="70E976A8"/>
    <w:rsid w:val="71066FB1"/>
    <w:rsid w:val="74655CAA"/>
    <w:rsid w:val="76B24303"/>
    <w:rsid w:val="7775502F"/>
    <w:rsid w:val="77C43611"/>
    <w:rsid w:val="78F9553C"/>
    <w:rsid w:val="792C5912"/>
    <w:rsid w:val="79A9134B"/>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1747</Words>
  <Characters>1968</Characters>
  <Lines>5</Lines>
  <Paragraphs>1</Paragraphs>
  <TotalTime>7</TotalTime>
  <ScaleCrop>false</ScaleCrop>
  <LinksUpToDate>false</LinksUpToDate>
  <CharactersWithSpaces>2100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2022-12-21T06:52:30Z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