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cs="仿宋"/>
          <w:b/>
          <w:bCs/>
          <w:sz w:val="36"/>
          <w:szCs w:val="36"/>
        </w:rPr>
      </w:pPr>
      <w:r>
        <w:rPr>
          <w:rFonts w:hint="eastAsia" w:ascii="仿宋" w:hAnsi="仿宋" w:eastAsia="仿宋" w:cs="仿宋"/>
          <w:b/>
          <w:bCs/>
          <w:sz w:val="36"/>
          <w:szCs w:val="36"/>
        </w:rPr>
        <w:t>渝湘高速公路复线（巴南至彭水段）、（彭水至酉阳段）、武隆至道真（重庆段）高速公路项目</w:t>
      </w:r>
    </w:p>
    <w:p>
      <w:pPr>
        <w:autoSpaceDE w:val="0"/>
        <w:autoSpaceDN w:val="0"/>
        <w:adjustRightInd w:val="0"/>
        <w:snapToGrid w:val="0"/>
        <w:spacing w:line="520" w:lineRule="exact"/>
        <w:jc w:val="center"/>
        <w:rPr>
          <w:rFonts w:ascii="仿宋" w:hAnsi="仿宋" w:eastAsia="仿宋" w:cs="仿宋"/>
          <w:b/>
          <w:bCs/>
          <w:sz w:val="36"/>
          <w:szCs w:val="36"/>
        </w:rPr>
      </w:pPr>
      <w:r>
        <w:rPr>
          <w:rFonts w:hint="eastAsia" w:ascii="仿宋" w:hAnsi="仿宋" w:eastAsia="仿宋" w:cs="仿宋"/>
          <w:b/>
          <w:bCs/>
          <w:sz w:val="36"/>
          <w:szCs w:val="36"/>
        </w:rPr>
        <w:t>改迁及拆迁工程造价咨询服务</w:t>
      </w:r>
    </w:p>
    <w:p>
      <w:pPr>
        <w:autoSpaceDE w:val="0"/>
        <w:autoSpaceDN w:val="0"/>
        <w:adjustRightInd w:val="0"/>
        <w:snapToGrid w:val="0"/>
        <w:spacing w:line="360" w:lineRule="auto"/>
        <w:jc w:val="center"/>
        <w:rPr>
          <w:rFonts w:ascii="仿宋" w:hAnsi="仿宋" w:eastAsia="仿宋" w:cs="仿宋"/>
          <w:sz w:val="36"/>
          <w:szCs w:val="36"/>
        </w:rPr>
      </w:pPr>
    </w:p>
    <w:p>
      <w:pPr>
        <w:autoSpaceDE w:val="0"/>
        <w:autoSpaceDN w:val="0"/>
        <w:adjustRightInd w:val="0"/>
        <w:snapToGrid w:val="0"/>
        <w:spacing w:line="360" w:lineRule="auto"/>
        <w:jc w:val="center"/>
        <w:rPr>
          <w:rFonts w:ascii="仿宋" w:hAnsi="仿宋" w:eastAsia="仿宋" w:cs="仿宋"/>
          <w:b/>
          <w:color w:val="000000"/>
          <w:kern w:val="0"/>
          <w:sz w:val="36"/>
          <w:szCs w:val="36"/>
        </w:rPr>
      </w:pPr>
    </w:p>
    <w:p>
      <w:pPr>
        <w:spacing w:before="480"/>
        <w:jc w:val="center"/>
        <w:rPr>
          <w:rFonts w:ascii="方正黑体_GBK" w:hAnsi="方正黑体_GBK" w:eastAsia="方正黑体_GBK" w:cs="方正黑体_GBK"/>
          <w:bCs/>
          <w:color w:val="000000"/>
          <w:spacing w:val="80"/>
          <w:sz w:val="96"/>
          <w:szCs w:val="96"/>
        </w:rPr>
      </w:pPr>
      <w:r>
        <w:rPr>
          <w:rFonts w:hint="eastAsia" w:ascii="方正黑体_GBK" w:hAnsi="方正黑体_GBK" w:eastAsia="方正黑体_GBK" w:cs="方正黑体_GBK"/>
          <w:bCs/>
          <w:color w:val="000000"/>
          <w:spacing w:val="80"/>
          <w:sz w:val="96"/>
          <w:szCs w:val="96"/>
        </w:rPr>
        <w:t>询价文件</w:t>
      </w:r>
    </w:p>
    <w:p>
      <w:pPr>
        <w:jc w:val="center"/>
        <w:rPr>
          <w:rFonts w:ascii="仿宋" w:hAnsi="仿宋" w:eastAsia="仿宋" w:cs="仿宋"/>
          <w:b/>
          <w:color w:val="000000"/>
          <w:sz w:val="30"/>
          <w:szCs w:val="30"/>
        </w:rPr>
      </w:pPr>
      <w:r>
        <w:rPr>
          <w:rFonts w:hint="eastAsia" w:ascii="仿宋" w:hAnsi="仿宋" w:eastAsia="仿宋" w:cs="仿宋"/>
          <w:b/>
          <w:color w:val="000000"/>
          <w:sz w:val="30"/>
          <w:szCs w:val="30"/>
        </w:rPr>
        <w:t xml:space="preserve"> </w:t>
      </w: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rPr>
          <w:rFonts w:ascii="方正仿宋_GBK" w:hAnsi="方正仿宋_GBK" w:eastAsia="方正仿宋_GBK" w:cs="方正仿宋_GBK"/>
          <w:color w:val="000000"/>
          <w:sz w:val="32"/>
          <w:szCs w:val="32"/>
        </w:rPr>
      </w:pPr>
    </w:p>
    <w:p>
      <w:pPr>
        <w:rPr>
          <w:rFonts w:ascii="方正仿宋_GBK" w:hAnsi="方正仿宋_GBK" w:eastAsia="方正仿宋_GBK" w:cs="方正仿宋_GBK"/>
          <w:color w:val="000000"/>
          <w:sz w:val="32"/>
          <w:szCs w:val="32"/>
        </w:rPr>
      </w:pPr>
    </w:p>
    <w:p>
      <w:pPr>
        <w:snapToGrid w:val="0"/>
        <w:ind w:firstLine="948" w:firstLineChars="295"/>
        <w:rPr>
          <w:rFonts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 xml:space="preserve">  </w:t>
      </w:r>
    </w:p>
    <w:p>
      <w:pPr>
        <w:snapToGrid w:val="0"/>
        <w:ind w:firstLine="948" w:firstLineChars="295"/>
        <w:rPr>
          <w:rFonts w:ascii="方正仿宋_GBK" w:hAnsi="方正仿宋_GBK" w:eastAsia="方正仿宋_GBK" w:cs="方正仿宋_GBK"/>
          <w:b/>
          <w:color w:val="000000"/>
          <w:kern w:val="0"/>
          <w:sz w:val="32"/>
          <w:szCs w:val="32"/>
        </w:rPr>
      </w:pPr>
    </w:p>
    <w:p>
      <w:pPr>
        <w:snapToGrid w:val="0"/>
        <w:jc w:val="center"/>
        <w:rPr>
          <w:rFonts w:ascii="方正仿宋_GBK" w:hAnsi="方正仿宋_GBK" w:eastAsia="方正仿宋_GBK" w:cs="方正仿宋_GBK"/>
          <w:b/>
          <w:color w:val="000000"/>
          <w:spacing w:val="15"/>
          <w:sz w:val="32"/>
          <w:szCs w:val="32"/>
          <w:u w:val="single"/>
        </w:rPr>
      </w:pPr>
      <w:r>
        <w:rPr>
          <w:rFonts w:hint="eastAsia" w:ascii="方正仿宋_GBK" w:hAnsi="方正仿宋_GBK" w:eastAsia="方正仿宋_GBK" w:cs="方正仿宋_GBK"/>
          <w:b/>
          <w:color w:val="000000"/>
          <w:kern w:val="0"/>
          <w:sz w:val="32"/>
          <w:szCs w:val="32"/>
        </w:rPr>
        <w:t>询 价 人：</w:t>
      </w:r>
      <w:r>
        <w:rPr>
          <w:rFonts w:hint="eastAsia" w:ascii="方正仿宋_GBK" w:hAnsi="方正仿宋_GBK" w:eastAsia="方正仿宋_GBK" w:cs="方正仿宋_GBK"/>
          <w:b/>
          <w:snapToGrid w:val="0"/>
          <w:spacing w:val="-10"/>
          <w:sz w:val="32"/>
          <w:szCs w:val="32"/>
          <w:u w:val="single"/>
        </w:rPr>
        <w:t>重庆渝湘复线高速公路有限公司</w:t>
      </w:r>
    </w:p>
    <w:p>
      <w:pPr>
        <w:snapToGrid w:val="0"/>
        <w:rPr>
          <w:rFonts w:ascii="方正仿宋_GBK" w:hAnsi="方正仿宋_GBK" w:eastAsia="方正仿宋_GBK" w:cs="方正仿宋_GBK"/>
          <w:b/>
          <w:color w:val="000000"/>
          <w:sz w:val="32"/>
          <w:szCs w:val="32"/>
          <w:u w:val="single"/>
        </w:rPr>
      </w:pPr>
    </w:p>
    <w:p>
      <w:pPr>
        <w:pStyle w:val="7"/>
        <w:snapToGrid w:val="0"/>
        <w:ind w:left="5250"/>
        <w:jc w:val="center"/>
        <w:rPr>
          <w:rFonts w:ascii="方正仿宋_GBK" w:hAnsi="方正仿宋_GBK" w:eastAsia="方正仿宋_GBK" w:cs="方正仿宋_GBK"/>
          <w:b/>
          <w:color w:val="000000"/>
          <w:sz w:val="32"/>
          <w:szCs w:val="32"/>
        </w:rPr>
      </w:pPr>
    </w:p>
    <w:p>
      <w:pPr>
        <w:rPr>
          <w:rFonts w:ascii="方正仿宋_GBK" w:hAnsi="方正仿宋_GBK" w:eastAsia="方正仿宋_GBK" w:cs="方正仿宋_GBK"/>
          <w:color w:val="000000"/>
          <w:sz w:val="32"/>
          <w:szCs w:val="32"/>
        </w:rPr>
      </w:pPr>
    </w:p>
    <w:p>
      <w:pPr>
        <w:snapToGrid w:val="0"/>
        <w:ind w:right="17"/>
        <w:jc w:val="center"/>
        <w:rPr>
          <w:rFonts w:ascii="方正仿宋_GBK" w:hAnsi="方正仿宋_GBK" w:eastAsia="方正仿宋_GBK" w:cs="方正仿宋_GBK"/>
          <w:b/>
          <w:color w:val="000000"/>
          <w:sz w:val="32"/>
          <w:szCs w:val="32"/>
        </w:rPr>
      </w:pPr>
    </w:p>
    <w:p>
      <w:pPr>
        <w:spacing w:line="360" w:lineRule="auto"/>
        <w:jc w:val="center"/>
        <w:rPr>
          <w:rFonts w:ascii="方正仿宋_GBK" w:hAnsi="方正仿宋_GBK" w:eastAsia="方正仿宋_GBK" w:cs="方正仿宋_GBK"/>
          <w:b/>
          <w:color w:val="000000"/>
          <w:sz w:val="32"/>
          <w:szCs w:val="32"/>
          <w:shd w:val="clear" w:color="auto" w:fill="FFFFFF"/>
        </w:rPr>
      </w:pPr>
      <w:r>
        <w:rPr>
          <w:rFonts w:hint="eastAsia" w:ascii="方正仿宋_GBK" w:hAnsi="方正仿宋_GBK" w:eastAsia="方正仿宋_GBK" w:cs="方正仿宋_GBK"/>
          <w:b/>
          <w:color w:val="000000"/>
          <w:sz w:val="32"/>
          <w:szCs w:val="32"/>
        </w:rPr>
        <w:t>二〇二</w:t>
      </w:r>
      <w:r>
        <w:rPr>
          <w:rFonts w:hint="eastAsia" w:ascii="方正仿宋_GBK" w:hAnsi="方正仿宋_GBK" w:eastAsia="方正仿宋_GBK" w:cs="方正仿宋_GBK"/>
          <w:b/>
          <w:color w:val="000000"/>
          <w:sz w:val="32"/>
          <w:szCs w:val="32"/>
          <w:lang w:val="en-US" w:eastAsia="zh-CN"/>
        </w:rPr>
        <w:t>二</w:t>
      </w:r>
      <w:r>
        <w:rPr>
          <w:rFonts w:hint="eastAsia" w:ascii="方正仿宋_GBK" w:hAnsi="方正仿宋_GBK" w:eastAsia="方正仿宋_GBK" w:cs="方正仿宋_GBK"/>
          <w:b/>
          <w:color w:val="000000"/>
          <w:sz w:val="32"/>
          <w:szCs w:val="32"/>
        </w:rPr>
        <w:t>年</w:t>
      </w:r>
      <w:r>
        <w:rPr>
          <w:rFonts w:hint="eastAsia" w:ascii="方正仿宋_GBK" w:hAnsi="方正仿宋_GBK" w:eastAsia="方正仿宋_GBK" w:cs="方正仿宋_GBK"/>
          <w:b/>
          <w:color w:val="000000"/>
          <w:sz w:val="32"/>
          <w:szCs w:val="32"/>
          <w:lang w:val="en-US" w:eastAsia="zh-CN"/>
        </w:rPr>
        <w:t>一</w:t>
      </w:r>
      <w:r>
        <w:rPr>
          <w:rFonts w:hint="eastAsia" w:ascii="方正仿宋_GBK" w:hAnsi="方正仿宋_GBK" w:eastAsia="方正仿宋_GBK" w:cs="方正仿宋_GBK"/>
          <w:b/>
          <w:color w:val="000000"/>
          <w:sz w:val="32"/>
          <w:szCs w:val="32"/>
        </w:rPr>
        <w:t>月</w:t>
      </w:r>
    </w:p>
    <w:p>
      <w:pPr>
        <w:tabs>
          <w:tab w:val="left" w:pos="3200"/>
          <w:tab w:val="left" w:pos="4320"/>
          <w:tab w:val="left" w:pos="5420"/>
        </w:tabs>
        <w:autoSpaceDE w:val="0"/>
        <w:autoSpaceDN w:val="0"/>
        <w:adjustRightInd w:val="0"/>
        <w:spacing w:line="300" w:lineRule="exact"/>
        <w:ind w:right="-20"/>
        <w:jc w:val="center"/>
        <w:rPr>
          <w:rFonts w:ascii="仿宋" w:hAnsi="仿宋" w:eastAsia="仿宋" w:cs="仿宋"/>
          <w:b/>
          <w:color w:val="000000"/>
          <w:kern w:val="0"/>
          <w:position w:val="-2"/>
          <w:sz w:val="32"/>
          <w:szCs w:val="32"/>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7" w:h="16840"/>
          <w:pgMar w:top="1417" w:right="1701" w:bottom="1417" w:left="1701" w:header="720" w:footer="720" w:gutter="0"/>
          <w:pgNumType w:start="0"/>
          <w:cols w:space="720" w:num="1"/>
          <w:titlePg/>
          <w:docGrid w:linePitch="286" w:charSpace="0"/>
        </w:sectPr>
      </w:pPr>
    </w:p>
    <w:p>
      <w:pPr>
        <w:jc w:val="center"/>
        <w:rPr>
          <w:rFonts w:ascii="方正黑体_GBK" w:hAnsi="方正黑体_GBK" w:eastAsia="方正黑体_GBK" w:cs="方正黑体_GBK"/>
          <w:b/>
          <w:bCs/>
          <w:sz w:val="36"/>
          <w:szCs w:val="36"/>
        </w:rPr>
      </w:pPr>
      <w:r>
        <w:rPr>
          <w:rFonts w:hint="eastAsia" w:ascii="方正黑体_GBK" w:hAnsi="方正黑体_GBK" w:eastAsia="方正黑体_GBK" w:cs="方正黑体_GBK"/>
          <w:b/>
          <w:bCs/>
          <w:sz w:val="36"/>
          <w:szCs w:val="36"/>
        </w:rPr>
        <w:t>目录</w:t>
      </w:r>
    </w:p>
    <w:p>
      <w:pPr>
        <w:pStyle w:val="14"/>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一、竞争性询价函</w:t>
      </w:r>
    </w:p>
    <w:p>
      <w:pPr>
        <w:pStyle w:val="15"/>
        <w:tabs>
          <w:tab w:val="right" w:leader="dot" w:pos="8505"/>
        </w:tabs>
        <w:spacing w:line="8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1.项目概况</w:t>
      </w:r>
    </w:p>
    <w:p>
      <w:pPr>
        <w:pStyle w:val="15"/>
        <w:tabs>
          <w:tab w:val="right" w:leader="dot" w:pos="8505"/>
        </w:tabs>
        <w:spacing w:line="8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2.询价内容及合同段划分</w:t>
      </w:r>
    </w:p>
    <w:p>
      <w:pPr>
        <w:pStyle w:val="15"/>
        <w:tabs>
          <w:tab w:val="right" w:leader="dot" w:pos="8505"/>
        </w:tabs>
        <w:spacing w:line="8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3.报价人资质要求</w:t>
      </w:r>
    </w:p>
    <w:p>
      <w:pPr>
        <w:pStyle w:val="15"/>
        <w:tabs>
          <w:tab w:val="right" w:leader="dot" w:pos="8505"/>
        </w:tabs>
        <w:spacing w:line="8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4.最高限价及报价方式</w:t>
      </w:r>
    </w:p>
    <w:p>
      <w:pPr>
        <w:pStyle w:val="15"/>
        <w:tabs>
          <w:tab w:val="right" w:leader="dot" w:pos="8505"/>
        </w:tabs>
        <w:spacing w:line="8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5.评审办法</w:t>
      </w:r>
    </w:p>
    <w:p>
      <w:pPr>
        <w:pStyle w:val="15"/>
        <w:tabs>
          <w:tab w:val="right" w:leader="dot" w:pos="8505"/>
        </w:tabs>
        <w:spacing w:line="8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6.报价文件要求</w:t>
      </w:r>
    </w:p>
    <w:p>
      <w:pPr>
        <w:pStyle w:val="15"/>
        <w:tabs>
          <w:tab w:val="right" w:leader="dot" w:pos="8505"/>
        </w:tabs>
        <w:spacing w:line="8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7.报价文件的递交</w:t>
      </w:r>
    </w:p>
    <w:p>
      <w:pPr>
        <w:pStyle w:val="15"/>
        <w:tabs>
          <w:tab w:val="right" w:leader="dot" w:pos="8505"/>
        </w:tabs>
        <w:spacing w:line="800" w:lineRule="exact"/>
        <w:rPr>
          <w:rFonts w:ascii="方正楷体_GBK" w:hAnsi="方正楷体_GBK" w:eastAsia="方正楷体_GBK" w:cs="方正楷体_GBK"/>
          <w:sz w:val="28"/>
          <w:szCs w:val="28"/>
        </w:rPr>
      </w:pPr>
      <w:r>
        <w:rPr>
          <w:rFonts w:hint="eastAsia" w:ascii="方正仿宋_GBK" w:hAnsi="方正仿宋_GBK" w:eastAsia="方正仿宋_GBK" w:cs="方正仿宋_GBK"/>
          <w:sz w:val="28"/>
          <w:szCs w:val="28"/>
        </w:rPr>
        <w:t>8.联系方式</w:t>
      </w:r>
    </w:p>
    <w:p>
      <w:pPr>
        <w:pStyle w:val="15"/>
        <w:tabs>
          <w:tab w:val="right" w:leader="dot" w:pos="8505"/>
        </w:tabs>
        <w:spacing w:line="800" w:lineRule="exac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二、渝湘高速公路复线（巴南至彭水段）、（彭水至酉阳段）、武隆至道真（重庆段）高速公路项目改迁及拆迁工程造价咨询服务报价文件格式</w:t>
      </w:r>
    </w:p>
    <w:p>
      <w:pPr>
        <w:pStyle w:val="15"/>
        <w:tabs>
          <w:tab w:val="right" w:leader="dot" w:pos="8505"/>
        </w:tabs>
        <w:spacing w:line="800" w:lineRule="exac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三、合同条款及格式</w:t>
      </w:r>
    </w:p>
    <w:p>
      <w:pPr>
        <w:pStyle w:val="14"/>
        <w:rPr>
          <w:rFonts w:ascii="方正楷体_GBK" w:hAnsi="方正楷体_GBK" w:eastAsia="方正楷体_GBK" w:cs="方正楷体_GBK"/>
          <w:sz w:val="28"/>
          <w:szCs w:val="28"/>
        </w:rPr>
      </w:pPr>
    </w:p>
    <w:p>
      <w:pPr>
        <w:pStyle w:val="3"/>
        <w:spacing w:line="800" w:lineRule="exact"/>
        <w:ind w:left="3105" w:hanging="3105"/>
        <w:rPr>
          <w:rFonts w:ascii="仿宋" w:hAnsi="仿宋" w:eastAsia="仿宋" w:cs="仿宋"/>
          <w:b/>
          <w:snapToGrid w:val="0"/>
          <w:color w:val="000000"/>
          <w:kern w:val="0"/>
          <w:sz w:val="32"/>
          <w:szCs w:val="32"/>
        </w:rPr>
      </w:pPr>
      <w:bookmarkStart w:id="0" w:name="_Toc16877_WPSOffice_Level1"/>
      <w:bookmarkStart w:id="1" w:name="_Toc9798_WPSOffice_Level1"/>
      <w:bookmarkStart w:id="2" w:name="_Toc259797058"/>
      <w:bookmarkStart w:id="3" w:name="_Toc257373094"/>
      <w:bookmarkStart w:id="4" w:name="_Toc470130537"/>
      <w:bookmarkStart w:id="5" w:name="_Toc12517_WPSOffice_Level1"/>
      <w:bookmarkStart w:id="6" w:name="_Toc364411325"/>
      <w:bookmarkStart w:id="7" w:name="_Toc200359427"/>
      <w:bookmarkStart w:id="8" w:name="_Toc364411502"/>
      <w:bookmarkStart w:id="9" w:name="_Toc200359238"/>
    </w:p>
    <w:p>
      <w:pPr>
        <w:pStyle w:val="3"/>
        <w:ind w:left="3105" w:hanging="3105"/>
        <w:rPr>
          <w:rFonts w:ascii="仿宋" w:hAnsi="仿宋" w:eastAsia="仿宋" w:cs="仿宋"/>
          <w:b/>
          <w:snapToGrid w:val="0"/>
          <w:color w:val="000000"/>
          <w:kern w:val="0"/>
          <w:sz w:val="32"/>
          <w:szCs w:val="32"/>
        </w:rPr>
      </w:pPr>
    </w:p>
    <w:p>
      <w:pPr>
        <w:pStyle w:val="3"/>
        <w:ind w:left="3105" w:hanging="3105"/>
        <w:rPr>
          <w:rFonts w:ascii="仿宋" w:hAnsi="仿宋" w:eastAsia="仿宋" w:cs="仿宋"/>
          <w:b/>
          <w:snapToGrid w:val="0"/>
          <w:color w:val="000000"/>
          <w:kern w:val="0"/>
          <w:sz w:val="32"/>
          <w:szCs w:val="32"/>
        </w:rPr>
      </w:pPr>
    </w:p>
    <w:p>
      <w:pPr>
        <w:rPr>
          <w:b/>
          <w:bCs/>
          <w:sz w:val="72"/>
          <w:szCs w:val="72"/>
        </w:rPr>
      </w:pPr>
    </w:p>
    <w:p>
      <w:pPr>
        <w:rPr>
          <w:b/>
          <w:bCs/>
          <w:sz w:val="72"/>
          <w:szCs w:val="72"/>
        </w:rPr>
      </w:pPr>
    </w:p>
    <w:p>
      <w:pPr>
        <w:rPr>
          <w:b/>
          <w:bCs/>
          <w:sz w:val="72"/>
          <w:szCs w:val="72"/>
        </w:rPr>
      </w:pPr>
    </w:p>
    <w:p>
      <w:pPr>
        <w:rPr>
          <w:b/>
          <w:bCs/>
          <w:sz w:val="72"/>
          <w:szCs w:val="72"/>
        </w:rPr>
      </w:pPr>
    </w:p>
    <w:p>
      <w:pPr>
        <w:rPr>
          <w:b/>
          <w:bCs/>
          <w:sz w:val="72"/>
          <w:szCs w:val="72"/>
        </w:rPr>
      </w:pPr>
    </w:p>
    <w:p>
      <w:pPr>
        <w:rPr>
          <w:b/>
          <w:bCs/>
          <w:sz w:val="72"/>
          <w:szCs w:val="72"/>
        </w:rPr>
      </w:pPr>
    </w:p>
    <w:p>
      <w:pPr>
        <w:rPr>
          <w:b/>
          <w:bCs/>
          <w:sz w:val="72"/>
          <w:szCs w:val="72"/>
        </w:rPr>
      </w:pPr>
    </w:p>
    <w:p>
      <w:pPr>
        <w:rPr>
          <w:b/>
          <w:bCs/>
          <w:sz w:val="72"/>
          <w:szCs w:val="72"/>
        </w:rPr>
      </w:pPr>
    </w:p>
    <w:p>
      <w:pPr>
        <w:rPr>
          <w:b/>
          <w:bCs/>
          <w:sz w:val="72"/>
          <w:szCs w:val="72"/>
        </w:rPr>
      </w:pPr>
    </w:p>
    <w:p>
      <w:pPr>
        <w:rPr>
          <w:b/>
          <w:bCs/>
          <w:sz w:val="72"/>
          <w:szCs w:val="72"/>
        </w:rPr>
      </w:pPr>
      <w:r>
        <w:rPr>
          <w:rFonts w:hint="eastAsia"/>
          <w:b/>
          <w:bCs/>
          <w:sz w:val="72"/>
          <w:szCs w:val="72"/>
        </w:rPr>
        <w:t>一、竞争性询价函</w:t>
      </w:r>
    </w:p>
    <w:p>
      <w:pPr>
        <w:pStyle w:val="3"/>
        <w:ind w:left="0" w:firstLine="0"/>
        <w:jc w:val="both"/>
        <w:rPr>
          <w:rFonts w:ascii="仿宋" w:hAnsi="仿宋" w:eastAsia="仿宋" w:cs="仿宋"/>
          <w:b/>
          <w:snapToGrid w:val="0"/>
          <w:color w:val="000000"/>
          <w:kern w:val="0"/>
          <w:sz w:val="32"/>
          <w:szCs w:val="32"/>
        </w:rPr>
        <w:sectPr>
          <w:headerReference r:id="rId9" w:type="default"/>
          <w:footerReference r:id="rId10" w:type="default"/>
          <w:pgSz w:w="11907" w:h="16839"/>
          <w:pgMar w:top="1417" w:right="1701" w:bottom="1417" w:left="1701" w:header="720" w:footer="720" w:gutter="0"/>
          <w:cols w:space="720" w:num="1"/>
          <w:docGrid w:linePitch="286" w:charSpace="0"/>
        </w:sectPr>
      </w:pPr>
    </w:p>
    <w:bookmarkEnd w:id="0"/>
    <w:bookmarkEnd w:id="1"/>
    <w:bookmarkEnd w:id="2"/>
    <w:bookmarkEnd w:id="3"/>
    <w:bookmarkEnd w:id="4"/>
    <w:bookmarkEnd w:id="5"/>
    <w:bookmarkEnd w:id="6"/>
    <w:bookmarkEnd w:id="7"/>
    <w:bookmarkEnd w:id="8"/>
    <w:bookmarkEnd w:id="9"/>
    <w:p>
      <w:pPr>
        <w:autoSpaceDE w:val="0"/>
        <w:autoSpaceDN w:val="0"/>
        <w:adjustRightInd w:val="0"/>
        <w:snapToGrid w:val="0"/>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渝湘高速公路复线（巴南至彭水段）、（彭水至酉阳段）、</w:t>
      </w:r>
    </w:p>
    <w:p>
      <w:pPr>
        <w:autoSpaceDE w:val="0"/>
        <w:autoSpaceDN w:val="0"/>
        <w:adjustRightInd w:val="0"/>
        <w:snapToGrid w:val="0"/>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武隆至道真（重庆段）高速公路项目改迁及拆迁工程造价咨询服务竞争性询价函</w:t>
      </w:r>
    </w:p>
    <w:p>
      <w:pPr>
        <w:tabs>
          <w:tab w:val="left" w:pos="4950"/>
        </w:tabs>
        <w:autoSpaceDE w:val="0"/>
        <w:autoSpaceDN w:val="0"/>
        <w:adjustRightInd w:val="0"/>
        <w:snapToGrid w:val="0"/>
        <w:spacing w:line="360" w:lineRule="auto"/>
        <w:jc w:val="left"/>
        <w:rPr>
          <w:rFonts w:ascii="仿宋" w:hAnsi="仿宋" w:eastAsia="仿宋" w:cs="仿宋"/>
          <w:b/>
          <w:snapToGrid w:val="0"/>
          <w:w w:val="99"/>
          <w:kern w:val="0"/>
          <w:sz w:val="28"/>
          <w:szCs w:val="28"/>
          <w:u w:val="single"/>
        </w:rPr>
      </w:pPr>
    </w:p>
    <w:p>
      <w:pPr>
        <w:ind w:firstLine="600" w:firstLineChars="200"/>
        <w:rPr>
          <w:rFonts w:ascii="方正仿宋_GBK" w:hAnsi="方正仿宋_GBK" w:eastAsia="方正仿宋_GBK" w:cs="方正仿宋_GBK"/>
          <w:sz w:val="30"/>
          <w:szCs w:val="30"/>
        </w:rPr>
      </w:pPr>
      <w:bookmarkStart w:id="10" w:name="_Toc470130541"/>
      <w:bookmarkStart w:id="11" w:name="_Toc421899214"/>
      <w:r>
        <w:rPr>
          <w:rFonts w:hint="eastAsia" w:ascii="方正仿宋_GBK" w:hAnsi="方正仿宋_GBK" w:eastAsia="方正仿宋_GBK" w:cs="方正仿宋_GBK"/>
          <w:sz w:val="30"/>
          <w:szCs w:val="30"/>
        </w:rPr>
        <w:t>渝湘高速公路复线（巴南至彭水段）、（彭水至酉阳段）、武隆至道真（重庆段）高速公路项目，经重庆市发展和改革委员会批复核准（核准文号：渝发改交[2019]1035号、渝发改交[2017]1379号、渝发改交通[2020]158号），三个项目是西部国际陆海贸易新通道的重要组成，属重庆市交通建设三年行动计划重点建设项目。为确保渝湘复线征地拆迁工作依法依规有序开展，降低投资成本及风险，保障投资人权益，拟按照《重庆高速公路集团有限公司招标管理办法》相关规定，通过竞争性比选方式确定承包商（以下简称乙方）开展项目拆迁工作中涉及的需要通过第三方造价审核的事宜。</w:t>
      </w:r>
    </w:p>
    <w:p>
      <w:pPr>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一、项目概况</w:t>
      </w:r>
      <w:bookmarkEnd w:id="10"/>
      <w:bookmarkEnd w:id="11"/>
    </w:p>
    <w:p>
      <w:pPr>
        <w:ind w:firstLine="600" w:firstLineChars="200"/>
        <w:rPr>
          <w:rFonts w:ascii="方正仿宋_GBK" w:hAnsi="方正仿宋_GBK" w:eastAsia="方正仿宋_GBK" w:cs="方正仿宋_GBK"/>
          <w:sz w:val="30"/>
          <w:szCs w:val="30"/>
        </w:rPr>
      </w:pPr>
      <w:bookmarkStart w:id="12" w:name="_Toc200359240"/>
      <w:bookmarkStart w:id="13" w:name="_Toc470130542"/>
      <w:bookmarkStart w:id="14" w:name="_Toc364411504"/>
      <w:bookmarkStart w:id="15" w:name="_Toc364411327"/>
      <w:bookmarkStart w:id="16" w:name="_Toc200359429"/>
      <w:bookmarkStart w:id="17" w:name="_Toc421899215"/>
      <w:bookmarkStart w:id="18" w:name="_Toc257373096"/>
      <w:bookmarkStart w:id="19" w:name="_Toc259797060"/>
      <w:r>
        <w:rPr>
          <w:rFonts w:hint="eastAsia" w:ascii="方正仿宋_GBK" w:hAnsi="方正仿宋_GBK" w:eastAsia="方正仿宋_GBK" w:cs="方正仿宋_GBK"/>
          <w:color w:val="000000"/>
          <w:sz w:val="30"/>
          <w:szCs w:val="30"/>
        </w:rPr>
        <w:t xml:space="preserve"> </w:t>
      </w:r>
      <w:r>
        <w:rPr>
          <w:rFonts w:hint="eastAsia" w:ascii="方正仿宋_GBK" w:hAnsi="方正仿宋_GBK" w:eastAsia="方正仿宋_GBK" w:cs="方正仿宋_GBK"/>
          <w:sz w:val="30"/>
          <w:szCs w:val="30"/>
        </w:rPr>
        <w:t xml:space="preserve">渝湘复线巴南至彭水段高速公路，起于巴南鹿角接天鹿大道，止于彭水县（钟家壕）与彭酉高速公路相接，全长157.25公里，概算总投资398.38亿元，起点至主线站长6.20公里，采用双向六车道设计时速80公里/小时，桥隧比72.16%；主线站至水江段长70.31公里，采用双向六车道设计时速100公里/小时；水江至中咀段长55.10公里，采用双向六车道设计时速80公里/小时；中咀至彭水段长25.74公里，采用双向四车道设计时速80公里/小时。全线特大桥15980.7m/11座，大中桥22750 .29m/67.5座；特长隧道49568m/9座，长隧道21883.8m/12座，中、短隧道3296.5米/5座；涵洞及通道139道；天桥4座；设互通式立交12座；设主线收费站1处，匝道收费站9处；全线设置停车区1处、服务区3处；彭水隧道应急救援1处、隧道管理站5处、路段管理分中心1处，养护工区2处。 </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渝湘复线彭水至酉阳段高速公路，起于彭水县靛水，止于酉阳县铜西，接酉沿高速，全长91.58公里，概算总投资164.33亿元，采用双向四车道、设计时速80公里/小时标准建设，桥隧比73.86%；全线特大桥2464.1米/2座，大中桥11705.315m/44座；特长隧道24050m/6座，长隧道25679.5m/14座，中、短隧道3745m/6座；涵洞及通道71座；天桥5座；设互通式立交7座；分离式立交5座；设匝道收费站8处；服务区3处；路段管理分中心1处、养护工作2处。</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武隆至道真（重庆段）高速公路,起于武隆区斑竹林、接G65渝湘高速，止于渝黔省界子母岩，全长31.24公里，概算总投资77.81亿元，采用双向四车道设计时速80公里/小时标准建设，桥隧比92.25%；全线特大桥3114.37m/4座，大中桥4565.015m/10座；特长隧道12597.45m/3座，长隧道6466m/4座，中隧道1717m/2座，短隧道359.5m/1座；涵洞及通道13道；设互通式立交5座；全线设服务区1处，隧道管理站2处，匝道收费站3处，路段管理分中心1处，养护工区1处。</w:t>
      </w:r>
    </w:p>
    <w:p>
      <w:pPr>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二、询价内容及合同段划分</w:t>
      </w:r>
    </w:p>
    <w:p>
      <w:pPr>
        <w:pStyle w:val="6"/>
        <w:spacing w:line="240" w:lineRule="auto"/>
        <w:ind w:firstLine="600" w:firstLineChars="200"/>
        <w:rPr>
          <w:rFonts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30"/>
          <w:szCs w:val="30"/>
        </w:rPr>
        <w:t>1、询价内容</w:t>
      </w:r>
    </w:p>
    <w:p>
      <w:pPr>
        <w:ind w:firstLine="43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（1）询价人委托报价人对高速公路建设拆迁还建（或补偿）涉及的管网（电力、通信、光缆、光纤等）、管道（气管、水管、油管等）、建筑物（</w:t>
      </w:r>
      <w:r>
        <w:rPr>
          <w:rFonts w:hint="eastAsia" w:ascii="方正仿宋_GBK" w:hAnsi="方正仿宋_GBK" w:eastAsia="方正仿宋_GBK" w:cs="方正仿宋_GBK"/>
          <w:sz w:val="30"/>
          <w:szCs w:val="30"/>
          <w:lang w:val="en-US" w:eastAsia="zh-CN"/>
        </w:rPr>
        <w:t>房建工程、</w:t>
      </w:r>
      <w:r>
        <w:rPr>
          <w:rFonts w:hint="eastAsia" w:ascii="方正仿宋_GBK" w:hAnsi="方正仿宋_GBK" w:eastAsia="方正仿宋_GBK" w:cs="方正仿宋_GBK"/>
          <w:sz w:val="30"/>
          <w:szCs w:val="30"/>
        </w:rPr>
        <w:t>道路、挡墙、水利设施等）等编制预算或进行造价费用审核。</w:t>
      </w:r>
    </w:p>
    <w:p>
      <w:pPr>
        <w:ind w:firstLine="43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（2）报价人全程按询价人指定地点接受产权单位对其编制费用或审核费用的咨询。</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2、合同段划分：</w:t>
      </w:r>
    </w:p>
    <w:tbl>
      <w:tblPr>
        <w:tblStyle w:val="10"/>
        <w:tblpPr w:leftFromText="180" w:rightFromText="180" w:vertAnchor="text" w:horzAnchor="page" w:tblpX="1773" w:tblpY="367"/>
        <w:tblOverlap w:val="never"/>
        <w:tblW w:w="878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88"/>
        <w:gridCol w:w="7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1288" w:type="dxa"/>
            <w:vAlign w:val="center"/>
          </w:tcPr>
          <w:p>
            <w:pPr>
              <w:widowControl/>
              <w:adjustRightInd w:val="0"/>
              <w:snapToGrid w:val="0"/>
              <w:spacing w:line="320" w:lineRule="exact"/>
              <w:jc w:val="center"/>
              <w:rPr>
                <w:rFonts w:ascii="仿宋_GB2312" w:hAnsi="Tahoma" w:eastAsia="仿宋_GB2312"/>
                <w:color w:val="000000"/>
                <w:kern w:val="0"/>
                <w:szCs w:val="21"/>
              </w:rPr>
            </w:pPr>
            <w:r>
              <w:rPr>
                <w:rFonts w:hint="eastAsia" w:ascii="仿宋_GB2312" w:hAnsi="Tahoma" w:eastAsia="仿宋_GB2312"/>
                <w:color w:val="000000"/>
                <w:kern w:val="0"/>
                <w:szCs w:val="21"/>
              </w:rPr>
              <w:t>标段</w:t>
            </w:r>
          </w:p>
        </w:tc>
        <w:tc>
          <w:tcPr>
            <w:tcW w:w="7500" w:type="dxa"/>
            <w:vAlign w:val="center"/>
          </w:tcPr>
          <w:p>
            <w:pPr>
              <w:widowControl/>
              <w:adjustRightInd w:val="0"/>
              <w:snapToGrid w:val="0"/>
              <w:spacing w:line="320" w:lineRule="exact"/>
              <w:jc w:val="center"/>
              <w:rPr>
                <w:rFonts w:ascii="仿宋_GB2312" w:hAnsi="Tahoma" w:eastAsia="仿宋_GB2312"/>
                <w:color w:val="000000"/>
                <w:kern w:val="0"/>
                <w:szCs w:val="21"/>
              </w:rPr>
            </w:pPr>
            <w:r>
              <w:rPr>
                <w:rFonts w:hint="eastAsia" w:ascii="仿宋_GB2312" w:hAnsi="Tahoma" w:eastAsia="仿宋_GB2312"/>
                <w:color w:val="000000"/>
                <w:kern w:val="0"/>
                <w:szCs w:val="21"/>
              </w:rPr>
              <w:t>报价标段名称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trPr>
        <w:tc>
          <w:tcPr>
            <w:tcW w:w="1288" w:type="dxa"/>
            <w:vAlign w:val="center"/>
          </w:tcPr>
          <w:p>
            <w:pPr>
              <w:widowControl/>
              <w:adjustRightInd w:val="0"/>
              <w:snapToGrid w:val="0"/>
              <w:spacing w:line="320" w:lineRule="exact"/>
              <w:jc w:val="center"/>
              <w:rPr>
                <w:rFonts w:ascii="仿宋_GB2312" w:hAnsi="Tahoma" w:eastAsia="仿宋_GB2312"/>
                <w:color w:val="000000"/>
                <w:kern w:val="0"/>
                <w:szCs w:val="21"/>
              </w:rPr>
            </w:pPr>
            <w:r>
              <w:rPr>
                <w:rFonts w:hint="eastAsia" w:ascii="仿宋_GB2312" w:hAnsi="Tahoma" w:eastAsia="仿宋_GB2312"/>
                <w:color w:val="000000"/>
                <w:kern w:val="0"/>
                <w:szCs w:val="21"/>
              </w:rPr>
              <w:t>合同段1</w:t>
            </w:r>
          </w:p>
        </w:tc>
        <w:tc>
          <w:tcPr>
            <w:tcW w:w="7500" w:type="dxa"/>
            <w:tcBorders>
              <w:top w:val="single" w:color="auto" w:sz="4" w:space="0"/>
            </w:tcBorders>
            <w:vAlign w:val="center"/>
          </w:tcPr>
          <w:p>
            <w:pPr>
              <w:widowControl/>
              <w:adjustRightInd w:val="0"/>
              <w:snapToGrid w:val="0"/>
              <w:spacing w:line="320" w:lineRule="exact"/>
              <w:jc w:val="left"/>
              <w:rPr>
                <w:rFonts w:ascii="仿宋_GB2312" w:hAnsi="Tahoma" w:eastAsia="仿宋_GB2312"/>
                <w:color w:val="000000"/>
                <w:kern w:val="0"/>
                <w:szCs w:val="21"/>
              </w:rPr>
            </w:pPr>
            <w:r>
              <w:rPr>
                <w:rFonts w:hint="eastAsia" w:ascii="仿宋_GB2312" w:hAnsi="Tahoma" w:eastAsia="仿宋_GB2312"/>
                <w:color w:val="000000"/>
                <w:kern w:val="0"/>
                <w:szCs w:val="21"/>
              </w:rPr>
              <w:t>渝湘高速公路复线（巴南至彭水段）项目改迁及拆迁工程造价咨询服务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1288" w:type="dxa"/>
            <w:vAlign w:val="center"/>
          </w:tcPr>
          <w:p>
            <w:pPr>
              <w:widowControl/>
              <w:adjustRightInd w:val="0"/>
              <w:snapToGrid w:val="0"/>
              <w:spacing w:line="320" w:lineRule="exact"/>
              <w:jc w:val="center"/>
              <w:rPr>
                <w:rFonts w:ascii="仿宋_GB2312" w:hAnsi="Tahoma" w:eastAsia="仿宋_GB2312"/>
                <w:color w:val="000000"/>
                <w:kern w:val="0"/>
                <w:szCs w:val="21"/>
              </w:rPr>
            </w:pPr>
            <w:r>
              <w:rPr>
                <w:rFonts w:hint="eastAsia" w:ascii="仿宋_GB2312" w:hAnsi="Tahoma" w:eastAsia="仿宋_GB2312"/>
                <w:color w:val="000000"/>
                <w:kern w:val="0"/>
                <w:szCs w:val="21"/>
              </w:rPr>
              <w:t>合同段2</w:t>
            </w:r>
          </w:p>
        </w:tc>
        <w:tc>
          <w:tcPr>
            <w:tcW w:w="7500" w:type="dxa"/>
            <w:vAlign w:val="center"/>
          </w:tcPr>
          <w:p>
            <w:pPr>
              <w:widowControl/>
              <w:adjustRightInd w:val="0"/>
              <w:snapToGrid w:val="0"/>
              <w:spacing w:line="320" w:lineRule="exact"/>
              <w:jc w:val="left"/>
              <w:rPr>
                <w:rFonts w:ascii="仿宋_GB2312" w:hAnsi="Tahoma" w:eastAsia="仿宋_GB2312"/>
                <w:color w:val="000000"/>
                <w:kern w:val="0"/>
                <w:szCs w:val="21"/>
              </w:rPr>
            </w:pPr>
            <w:r>
              <w:rPr>
                <w:rFonts w:hint="eastAsia" w:ascii="仿宋_GB2312" w:hAnsi="Tahoma" w:eastAsia="仿宋_GB2312"/>
                <w:color w:val="000000"/>
                <w:kern w:val="0"/>
                <w:szCs w:val="21"/>
              </w:rPr>
              <w:t>重庆彭水至酉阳高速公路一期工程项目改迁及拆迁工程造价咨询服务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trPr>
        <w:tc>
          <w:tcPr>
            <w:tcW w:w="1288" w:type="dxa"/>
            <w:vAlign w:val="center"/>
          </w:tcPr>
          <w:p>
            <w:pPr>
              <w:widowControl/>
              <w:adjustRightInd w:val="0"/>
              <w:snapToGrid w:val="0"/>
              <w:spacing w:line="320" w:lineRule="exact"/>
              <w:jc w:val="center"/>
              <w:rPr>
                <w:rFonts w:ascii="仿宋_GB2312" w:hAnsi="Tahoma" w:eastAsia="仿宋_GB2312"/>
                <w:color w:val="000000"/>
                <w:kern w:val="0"/>
                <w:szCs w:val="21"/>
              </w:rPr>
            </w:pPr>
            <w:r>
              <w:rPr>
                <w:rFonts w:hint="eastAsia" w:ascii="仿宋_GB2312" w:hAnsi="Tahoma" w:eastAsia="仿宋_GB2312"/>
                <w:color w:val="000000"/>
                <w:kern w:val="0"/>
                <w:szCs w:val="21"/>
              </w:rPr>
              <w:t>合同段3</w:t>
            </w:r>
          </w:p>
        </w:tc>
        <w:tc>
          <w:tcPr>
            <w:tcW w:w="7500" w:type="dxa"/>
            <w:vAlign w:val="center"/>
          </w:tcPr>
          <w:p>
            <w:pPr>
              <w:widowControl/>
              <w:adjustRightInd w:val="0"/>
              <w:snapToGrid w:val="0"/>
              <w:spacing w:line="320" w:lineRule="exact"/>
              <w:jc w:val="left"/>
              <w:rPr>
                <w:rFonts w:ascii="仿宋_GB2312" w:hAnsi="Tahoma" w:eastAsia="仿宋_GB2312"/>
                <w:color w:val="000000"/>
                <w:kern w:val="0"/>
                <w:szCs w:val="21"/>
              </w:rPr>
            </w:pPr>
            <w:r>
              <w:rPr>
                <w:rFonts w:hint="eastAsia" w:ascii="仿宋_GB2312" w:hAnsi="Tahoma" w:eastAsia="仿宋_GB2312"/>
                <w:color w:val="000000"/>
                <w:kern w:val="0"/>
                <w:szCs w:val="21"/>
              </w:rPr>
              <w:t>武隆至道真（重庆境）高速公路项目改迁及拆迁工程造价咨询服务</w:t>
            </w:r>
          </w:p>
        </w:tc>
      </w:tr>
    </w:tbl>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本次询价按合同段划分，询价人与中标单位</w:t>
      </w:r>
      <w:r>
        <w:rPr>
          <w:rFonts w:hint="eastAsia" w:ascii="方正仿宋_GBK" w:hAnsi="方正仿宋_GBK" w:eastAsia="方正仿宋_GBK" w:cs="方正仿宋_GBK"/>
          <w:sz w:val="30"/>
          <w:szCs w:val="30"/>
          <w:lang w:val="en-US" w:eastAsia="zh-CN"/>
        </w:rPr>
        <w:t>分别</w:t>
      </w:r>
      <w:r>
        <w:rPr>
          <w:rFonts w:hint="eastAsia" w:ascii="方正仿宋_GBK" w:hAnsi="方正仿宋_GBK" w:eastAsia="方正仿宋_GBK" w:cs="方正仿宋_GBK"/>
          <w:color w:val="000000" w:themeColor="text1"/>
          <w:sz w:val="30"/>
          <w:szCs w:val="30"/>
          <w14:textFill>
            <w14:solidFill>
              <w14:schemeClr w14:val="tx1"/>
            </w14:solidFill>
          </w14:textFill>
        </w:rPr>
        <w:t>签订</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三个</w:t>
      </w:r>
      <w:r>
        <w:rPr>
          <w:rFonts w:hint="eastAsia" w:ascii="方正仿宋_GBK" w:hAnsi="方正仿宋_GBK" w:eastAsia="方正仿宋_GBK" w:cs="方正仿宋_GBK"/>
          <w:color w:val="000000" w:themeColor="text1"/>
          <w:sz w:val="30"/>
          <w:szCs w:val="30"/>
          <w14:textFill>
            <w14:solidFill>
              <w14:schemeClr w14:val="tx1"/>
            </w14:solidFill>
          </w14:textFill>
        </w:rPr>
        <w:t>合同</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段的咨询服务合同</w:t>
      </w: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hint="eastAsia" w:ascii="方正仿宋_GBK" w:hAnsi="方正仿宋_GBK" w:eastAsia="方正仿宋_GBK" w:cs="方正仿宋_GBK"/>
          <w:color w:val="auto"/>
          <w:sz w:val="30"/>
          <w:szCs w:val="30"/>
        </w:rPr>
        <w:t>合同期限</w:t>
      </w:r>
      <w:r>
        <w:rPr>
          <w:rFonts w:hint="eastAsia" w:ascii="方正仿宋_GBK" w:hAnsi="方正仿宋_GBK" w:eastAsia="方正仿宋_GBK" w:cs="方正仿宋_GBK"/>
          <w:color w:val="auto"/>
          <w:sz w:val="30"/>
          <w:szCs w:val="30"/>
          <w:lang w:val="en-US" w:eastAsia="zh-CN"/>
        </w:rPr>
        <w:t>为</w:t>
      </w:r>
      <w:r>
        <w:rPr>
          <w:rFonts w:hint="eastAsia" w:ascii="方正仿宋_GBK" w:hAnsi="方正仿宋_GBK" w:eastAsia="方正仿宋_GBK" w:cs="方正仿宋_GBK"/>
          <w:color w:val="auto"/>
          <w:sz w:val="30"/>
          <w:szCs w:val="30"/>
        </w:rPr>
        <w:t>合同签署之日起</w:t>
      </w:r>
      <w:r>
        <w:rPr>
          <w:rFonts w:hint="eastAsia" w:ascii="方正仿宋_GBK" w:hAnsi="方正仿宋_GBK" w:eastAsia="方正仿宋_GBK" w:cs="方正仿宋_GBK"/>
          <w:color w:val="auto"/>
          <w:sz w:val="30"/>
          <w:szCs w:val="30"/>
          <w:lang w:val="en-US" w:eastAsia="zh-CN"/>
        </w:rPr>
        <w:t>至</w:t>
      </w:r>
      <w:r>
        <w:rPr>
          <w:rFonts w:hint="eastAsia" w:ascii="方正仿宋_GBK" w:hAnsi="方正仿宋_GBK" w:eastAsia="方正仿宋_GBK" w:cs="方正仿宋_GBK"/>
          <w:color w:val="auto"/>
          <w:sz w:val="30"/>
          <w:szCs w:val="30"/>
        </w:rPr>
        <w:t>项目交工验收之日</w:t>
      </w:r>
      <w:r>
        <w:rPr>
          <w:rFonts w:hint="eastAsia" w:ascii="方正仿宋_GBK" w:hAnsi="方正仿宋_GBK" w:eastAsia="方正仿宋_GBK" w:cs="方正仿宋_GBK"/>
          <w:color w:val="auto"/>
          <w:sz w:val="30"/>
          <w:szCs w:val="30"/>
          <w:lang w:val="en-US" w:eastAsia="zh-CN"/>
        </w:rPr>
        <w:t>止</w:t>
      </w:r>
      <w:r>
        <w:rPr>
          <w:rFonts w:hint="eastAsia" w:ascii="方正仿宋_GBK" w:hAnsi="方正仿宋_GBK" w:eastAsia="方正仿宋_GBK" w:cs="方正仿宋_GBK"/>
          <w:color w:val="auto"/>
          <w:sz w:val="30"/>
          <w:szCs w:val="30"/>
        </w:rPr>
        <w:t>。费用按完成10个以上的工程造价咨询项目或合同满6个月时，双方可结</w:t>
      </w:r>
      <w:r>
        <w:rPr>
          <w:rFonts w:hint="eastAsia" w:ascii="方正仿宋_GBK" w:hAnsi="方正仿宋_GBK" w:eastAsia="方正仿宋_GBK" w:cs="方正仿宋_GBK"/>
          <w:color w:val="000000" w:themeColor="text1"/>
          <w:sz w:val="30"/>
          <w:szCs w:val="30"/>
          <w14:textFill>
            <w14:solidFill>
              <w14:schemeClr w14:val="tx1"/>
            </w14:solidFill>
          </w14:textFill>
        </w:rPr>
        <w:t>算一次费用，合同期满结算已完成工程造价咨询项目尾款。</w:t>
      </w:r>
    </w:p>
    <w:p>
      <w:pPr>
        <w:ind w:firstLine="435"/>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3、服务要求：询价人分批次（或分项）委托乙方开展造价咨询工作，乙方受托后5日内完成造价咨询现场踏勘，现场踏勘完成后7日内向询价人提供造价咨询报告。</w:t>
      </w:r>
    </w:p>
    <w:bookmarkEnd w:id="12"/>
    <w:bookmarkEnd w:id="13"/>
    <w:bookmarkEnd w:id="14"/>
    <w:bookmarkEnd w:id="15"/>
    <w:bookmarkEnd w:id="16"/>
    <w:bookmarkEnd w:id="17"/>
    <w:bookmarkEnd w:id="18"/>
    <w:bookmarkEnd w:id="19"/>
    <w:p>
      <w:pPr>
        <w:ind w:firstLine="600" w:firstLineChars="200"/>
        <w:rPr>
          <w:rFonts w:ascii="方正楷体_GBK" w:hAnsi="方正楷体_GBK" w:eastAsia="方正楷体_GBK" w:cs="方正楷体_GBK"/>
          <w:bCs/>
          <w:color w:val="000000" w:themeColor="text1"/>
          <w:sz w:val="30"/>
          <w:szCs w:val="30"/>
          <w14:textFill>
            <w14:solidFill>
              <w14:schemeClr w14:val="tx1"/>
            </w14:solidFill>
          </w14:textFill>
        </w:rPr>
      </w:pPr>
      <w:r>
        <w:rPr>
          <w:rFonts w:hint="eastAsia" w:ascii="方正楷体_GBK" w:hAnsi="方正楷体_GBK" w:eastAsia="方正楷体_GBK" w:cs="方正楷体_GBK"/>
          <w:bCs/>
          <w:color w:val="000000" w:themeColor="text1"/>
          <w:sz w:val="30"/>
          <w:szCs w:val="30"/>
          <w14:textFill>
            <w14:solidFill>
              <w14:schemeClr w14:val="tx1"/>
            </w14:solidFill>
          </w14:textFill>
        </w:rPr>
        <w:t>三、报价人资质要求</w:t>
      </w:r>
    </w:p>
    <w:p>
      <w:pPr>
        <w:pStyle w:val="16"/>
        <w:ind w:firstLine="600" w:firstLineChars="200"/>
        <w:rPr>
          <w:rFonts w:ascii="方正仿宋_GBK" w:hAnsi="方正仿宋_GBK" w:eastAsia="方正仿宋_GBK" w:cs="方正仿宋_GBK"/>
          <w:kern w:val="2"/>
          <w:sz w:val="30"/>
          <w:szCs w:val="30"/>
          <w:highlight w:val="red"/>
        </w:rPr>
      </w:pPr>
      <w:r>
        <w:rPr>
          <w:rFonts w:hint="eastAsia" w:ascii="方正仿宋_GBK" w:hAnsi="方正仿宋_GBK" w:eastAsia="方正仿宋_GBK" w:cs="方正仿宋_GBK"/>
          <w:kern w:val="2"/>
          <w:sz w:val="30"/>
          <w:szCs w:val="30"/>
        </w:rPr>
        <w:t>1、建设行政主管部门颁发且经过建设部门核发的建设工程造价咨询甲级以上（含甲级）资质。</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报价人若为重庆市外企业应按《重庆市市外工程造价咨询企业入渝信息报送管理办法》（渝建发〔2016〕34号）相关规定在重庆市城乡建设委完成入渝信息报送手续，并已纳入“市外工程造价咨询企业入渝信息库”，提供重庆建委官网查询企业入渝信息页的复印件并加盖报价人鲜章；</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3、近5年（2016年以来）独立完成1个及以上高速公路（或铁路）项目的电力、管线、企业拆迁等拆迁项目造价咨询工作（提供合同复印件）。</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4、造价咨询项目负责人必须具备造价咨询行业副高级及以上职称。</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5、报价人必须为重庆市高速集团合格供方库中介机构库入库单位（提供证明材料）；</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报价人若为分支机构的，必须取得总公司（所）的授权书。经营规模、综合实力等相应情况以分支机构的情况为准。总公司（所）仅能授权一家分支机构进行报价，且发出授权后总公司（所）不得与分支机构一同参与报价。</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7、未被“信用中国”网站(http：//www.creditchina.gov.cn/)中列入失信被执行人名单。</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8、凡不满足以上资质要求的报价文件均被否决。</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9、如不符合报价人资格要求，询价人可以随时取消其报价或中标资格，询价人对报价人的一切损失不负任何责任。</w:t>
      </w:r>
    </w:p>
    <w:p>
      <w:pPr>
        <w:pStyle w:val="14"/>
        <w:rPr>
          <w:rFonts w:ascii="方正楷体_GBK" w:hAnsi="方正楷体_GBK" w:eastAsia="方正楷体_GBK" w:cs="方正楷体_GBK"/>
          <w:bCs/>
          <w:snapToGrid w:val="0"/>
          <w:sz w:val="30"/>
          <w:szCs w:val="30"/>
        </w:rPr>
      </w:pPr>
      <w:r>
        <w:rPr>
          <w:rFonts w:hint="eastAsia" w:ascii="方正楷体_GBK" w:hAnsi="方正楷体_GBK" w:eastAsia="方正楷体_GBK" w:cs="方正楷体_GBK"/>
          <w:bCs/>
          <w:snapToGrid w:val="0"/>
          <w:sz w:val="30"/>
          <w:szCs w:val="30"/>
        </w:rPr>
        <w:t>四、最高限价及报价方式</w:t>
      </w:r>
    </w:p>
    <w:p>
      <w:pPr>
        <w:pStyle w:val="14"/>
        <w:rPr>
          <w:rFonts w:ascii="方正楷体_GBK" w:hAnsi="方正楷体_GBK" w:eastAsia="方正楷体_GBK" w:cs="方正楷体_GBK"/>
          <w:bCs/>
          <w:snapToGrid w:val="0"/>
          <w:sz w:val="30"/>
          <w:szCs w:val="30"/>
        </w:rPr>
      </w:pPr>
      <w:r>
        <w:rPr>
          <w:rFonts w:hint="eastAsia" w:ascii="方正楷体_GBK" w:hAnsi="方正楷体_GBK" w:eastAsia="方正楷体_GBK" w:cs="方正楷体_GBK"/>
          <w:bCs/>
          <w:snapToGrid w:val="0"/>
          <w:sz w:val="30"/>
          <w:szCs w:val="30"/>
        </w:rPr>
        <w:t xml:space="preserve">    </w:t>
      </w:r>
      <w:r>
        <w:rPr>
          <w:rFonts w:hint="eastAsia" w:ascii="方正仿宋_GBK" w:hAnsi="方正仿宋_GBK" w:eastAsia="方正仿宋_GBK" w:cs="方正仿宋_GBK"/>
          <w:bCs/>
          <w:snapToGrid w:val="0"/>
          <w:sz w:val="30"/>
          <w:szCs w:val="30"/>
        </w:rPr>
        <w:t>1、报价人按照询价文件第二条所列项目名称，对合同段一、合同段二、合同段三，三个项目的</w:t>
      </w:r>
      <w:r>
        <w:rPr>
          <w:rFonts w:hint="eastAsia" w:ascii="方正仿宋_GBK" w:hAnsi="方正仿宋_GBK" w:eastAsia="方正仿宋_GBK" w:cs="方正仿宋_GBK"/>
          <w:bCs/>
          <w:color w:val="000000" w:themeColor="text1"/>
          <w:sz w:val="30"/>
          <w:szCs w:val="30"/>
          <w14:textFill>
            <w14:solidFill>
              <w14:schemeClr w14:val="tx1"/>
            </w14:solidFill>
          </w14:textFill>
        </w:rPr>
        <w:t>造价审核咨询费率</w:t>
      </w:r>
      <w:r>
        <w:rPr>
          <w:rFonts w:hint="eastAsia" w:ascii="方正仿宋_GBK" w:hAnsi="方正仿宋_GBK" w:eastAsia="方正仿宋_GBK" w:cs="方正仿宋_GBK"/>
          <w:bCs/>
          <w:snapToGrid w:val="0"/>
          <w:sz w:val="30"/>
          <w:szCs w:val="30"/>
        </w:rPr>
        <w:t>进行</w:t>
      </w:r>
      <w:r>
        <w:rPr>
          <w:rFonts w:hint="eastAsia" w:ascii="方正仿宋_GBK" w:hAnsi="方正仿宋_GBK" w:eastAsia="方正仿宋_GBK" w:cs="方正仿宋_GBK"/>
          <w:bCs/>
          <w:snapToGrid w:val="0"/>
          <w:sz w:val="30"/>
          <w:szCs w:val="30"/>
          <w:lang w:val="en-US" w:eastAsia="zh-CN"/>
        </w:rPr>
        <w:t>统一</w:t>
      </w:r>
      <w:r>
        <w:rPr>
          <w:rFonts w:hint="eastAsia" w:ascii="方正仿宋_GBK" w:hAnsi="方正仿宋_GBK" w:eastAsia="方正仿宋_GBK" w:cs="方正仿宋_GBK"/>
          <w:bCs/>
          <w:snapToGrid w:val="0"/>
          <w:sz w:val="30"/>
          <w:szCs w:val="30"/>
        </w:rPr>
        <w:t>报价。</w:t>
      </w:r>
    </w:p>
    <w:p>
      <w:pPr>
        <w:pStyle w:val="14"/>
        <w:ind w:firstLine="600" w:firstLineChars="200"/>
        <w:rPr>
          <w:rFonts w:ascii="方正仿宋_GBK" w:hAnsi="方正仿宋_GBK" w:eastAsia="方正仿宋_GBK" w:cs="方正仿宋_GBK"/>
          <w:bCs/>
          <w:snapToGrid w:val="0"/>
          <w:color w:val="000000" w:themeColor="text1"/>
          <w:sz w:val="30"/>
          <w:szCs w:val="30"/>
          <w14:textFill>
            <w14:solidFill>
              <w14:schemeClr w14:val="tx1"/>
            </w14:solidFill>
          </w14:textFill>
        </w:rPr>
      </w:pPr>
      <w:r>
        <w:rPr>
          <w:rFonts w:hint="eastAsia" w:ascii="方正仿宋_GBK" w:hAnsi="方正仿宋_GBK" w:eastAsia="方正仿宋_GBK" w:cs="方正仿宋_GBK"/>
          <w:bCs/>
          <w:color w:val="000000" w:themeColor="text1"/>
          <w:sz w:val="30"/>
          <w:szCs w:val="30"/>
          <w14:textFill>
            <w14:solidFill>
              <w14:schemeClr w14:val="tx1"/>
            </w14:solidFill>
          </w14:textFill>
        </w:rPr>
        <w:t>2、造价审核咨询费率</w:t>
      </w:r>
      <w:r>
        <w:rPr>
          <w:rFonts w:hint="eastAsia" w:ascii="方正仿宋_GBK" w:hAnsi="方正仿宋_GBK" w:eastAsia="方正仿宋_GBK" w:cs="方正仿宋_GBK"/>
          <w:bCs/>
          <w:snapToGrid w:val="0"/>
          <w:color w:val="000000" w:themeColor="text1"/>
          <w:sz w:val="30"/>
          <w:szCs w:val="30"/>
          <w14:textFill>
            <w14:solidFill>
              <w14:schemeClr w14:val="tx1"/>
            </w14:solidFill>
          </w14:textFill>
        </w:rPr>
        <w:t>报价的最高限价为4.00‰，费率报价取小数点后两位（如3.88‰）,不得等于或大于最高限价，否则，报价文件将被否决。费用计算基础是询价人采信造价额</w:t>
      </w:r>
      <w:bookmarkStart w:id="30" w:name="_GoBack"/>
      <w:bookmarkEnd w:id="30"/>
      <w:r>
        <w:rPr>
          <w:rFonts w:hint="eastAsia" w:ascii="方正仿宋_GBK" w:hAnsi="方正仿宋_GBK" w:eastAsia="方正仿宋_GBK" w:cs="方正仿宋_GBK"/>
          <w:bCs/>
          <w:snapToGrid w:val="0"/>
          <w:color w:val="000000" w:themeColor="text1"/>
          <w:sz w:val="30"/>
          <w:szCs w:val="30"/>
          <w14:textFill>
            <w14:solidFill>
              <w14:schemeClr w14:val="tx1"/>
            </w14:solidFill>
          </w14:textFill>
        </w:rPr>
        <w:t>（即询价人与拆迁方签定的合同金额）。</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3、咨询费计算方式：咨询费用=询价人采信的造价额*中标单位（以下简称乙方）所报费率。</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4、单批次项目咨询费用不足3000元的，按照3000元计算。</w:t>
      </w:r>
    </w:p>
    <w:p>
      <w:pPr>
        <w:pStyle w:val="14"/>
        <w:rPr>
          <w:rFonts w:eastAsia="方正仿宋_GBK"/>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5、现场踏勘费（单列）：</w:t>
      </w:r>
      <w:r>
        <w:rPr>
          <w:rFonts w:hint="eastAsia" w:ascii="方正仿宋_GBK" w:hAnsi="方正仿宋_GBK" w:eastAsia="方正仿宋_GBK" w:cs="方正仿宋_GBK"/>
          <w:color w:val="auto"/>
          <w:sz w:val="30"/>
          <w:szCs w:val="30"/>
        </w:rPr>
        <w:t>乙方</w:t>
      </w:r>
      <w:r>
        <w:rPr>
          <w:rFonts w:hint="eastAsia" w:ascii="方正仿宋_GBK" w:hAnsi="方正仿宋_GBK" w:eastAsia="方正仿宋_GBK" w:cs="方正仿宋_GBK"/>
          <w:color w:val="000000" w:themeColor="text1"/>
          <w:sz w:val="30"/>
          <w:szCs w:val="30"/>
          <w14:textFill>
            <w14:solidFill>
              <w14:schemeClr w14:val="tx1"/>
            </w14:solidFill>
          </w14:textFill>
        </w:rPr>
        <w:t>现场踏勘不得收费，甲方要求</w:t>
      </w:r>
      <w:r>
        <w:rPr>
          <w:rFonts w:hint="eastAsia" w:ascii="方正仿宋_GBK" w:hAnsi="方正仿宋_GBK" w:eastAsia="方正仿宋_GBK" w:cs="方正仿宋_GBK"/>
          <w:color w:val="auto"/>
          <w:sz w:val="30"/>
          <w:szCs w:val="30"/>
        </w:rPr>
        <w:t>乙方</w:t>
      </w:r>
      <w:r>
        <w:rPr>
          <w:rFonts w:hint="eastAsia" w:ascii="方正仿宋_GBK" w:hAnsi="方正仿宋_GBK" w:eastAsia="方正仿宋_GBK" w:cs="方正仿宋_GBK"/>
          <w:color w:val="000000" w:themeColor="text1"/>
          <w:sz w:val="30"/>
          <w:szCs w:val="30"/>
          <w14:textFill>
            <w14:solidFill>
              <w14:schemeClr w14:val="tx1"/>
            </w14:solidFill>
          </w14:textFill>
        </w:rPr>
        <w:t>当面与拆迁补偿方进行当面咨询(或谈判)，巴南、南川境800元/次,武隆、彭水、酉阳境1000元/次，乙方每次当面参与咨询或谈判，需有甲方有关（含区县指挥部）的两人以上的人员签字记录。</w:t>
      </w:r>
    </w:p>
    <w:p>
      <w:pPr>
        <w:ind w:firstLine="600" w:firstLineChars="200"/>
      </w:pPr>
      <w:r>
        <w:rPr>
          <w:rFonts w:hint="eastAsia" w:ascii="方正仿宋_GBK" w:hAnsi="方正仿宋_GBK" w:eastAsia="方正仿宋_GBK" w:cs="方正仿宋_GBK"/>
          <w:sz w:val="30"/>
          <w:szCs w:val="30"/>
        </w:rPr>
        <w:t>6、报价人所报价包括但不限于为完成本次询价的全部工作内容所需的评审费、工作经费、差旅费、劳务、测绘、会务费、加班费、专家咨询费、材料、管理、税费、利润等所有费用，以及本《竞争性询价文件》明示或暗示的所有责任、义务和一般风险。本次报价为该项目单价包干价。</w:t>
      </w:r>
    </w:p>
    <w:p>
      <w:pPr>
        <w:pStyle w:val="14"/>
        <w:ind w:firstLine="600" w:firstLineChars="200"/>
        <w:rPr>
          <w:rFonts w:ascii="方正楷体_GBK" w:hAnsi="方正楷体_GBK" w:eastAsia="方正楷体_GBK" w:cs="方正楷体_GBK"/>
          <w:bCs/>
          <w:snapToGrid w:val="0"/>
          <w:sz w:val="30"/>
          <w:szCs w:val="30"/>
        </w:rPr>
      </w:pPr>
      <w:r>
        <w:rPr>
          <w:rFonts w:hint="eastAsia" w:ascii="方正楷体_GBK" w:hAnsi="方正楷体_GBK" w:eastAsia="方正楷体_GBK" w:cs="方正楷体_GBK"/>
          <w:bCs/>
          <w:snapToGrid w:val="0"/>
          <w:sz w:val="30"/>
          <w:szCs w:val="30"/>
        </w:rPr>
        <w:t>五、评审办法</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1、评审组按照最低价法，分别对</w:t>
      </w:r>
      <w:r>
        <w:rPr>
          <w:rFonts w:hint="eastAsia" w:ascii="方正仿宋_GBK" w:hAnsi="方正仿宋_GBK" w:eastAsia="方正仿宋_GBK" w:cs="方正仿宋_GBK"/>
          <w:bCs/>
          <w:snapToGrid w:val="0"/>
          <w:sz w:val="30"/>
          <w:szCs w:val="30"/>
        </w:rPr>
        <w:t>合同段一、合同段二、合同段三，三</w:t>
      </w:r>
      <w:r>
        <w:rPr>
          <w:rFonts w:hint="eastAsia" w:ascii="方正仿宋_GBK" w:hAnsi="方正仿宋_GBK" w:eastAsia="方正仿宋_GBK" w:cs="方正仿宋_GBK"/>
          <w:sz w:val="30"/>
          <w:szCs w:val="30"/>
        </w:rPr>
        <w:t>个项目评审。</w:t>
      </w:r>
    </w:p>
    <w:p>
      <w:pPr>
        <w:ind w:firstLine="600" w:firstLineChars="200"/>
        <w:rPr>
          <w:rFonts w:ascii="方正仿宋_GBK" w:hAnsi="方正仿宋_GBK" w:eastAsia="方正仿宋_GBK" w:cs="方正仿宋_GBK"/>
          <w:bCs/>
          <w:sz w:val="30"/>
          <w:szCs w:val="30"/>
        </w:rPr>
      </w:pPr>
      <w:r>
        <w:rPr>
          <w:rFonts w:hint="eastAsia" w:ascii="方正仿宋_GBK" w:hAnsi="方正仿宋_GBK" w:eastAsia="方正仿宋_GBK" w:cs="方正仿宋_GBK"/>
          <w:sz w:val="30"/>
          <w:szCs w:val="30"/>
        </w:rPr>
        <w:t>2、每个项目按照造价审核费率报价由低到高的顺序推荐一名成交候选人。报价相等时，评标委员会依次按照以下优先顺序推荐成交候选人：（1）单位业绩金额高的优先；（2）评标委员会投票确定。</w:t>
      </w:r>
      <w:r>
        <w:rPr>
          <w:rFonts w:hint="eastAsia" w:ascii="方正仿宋_GBK" w:hAnsi="方正仿宋_GBK" w:eastAsia="方正仿宋_GBK" w:cs="方正仿宋_GBK"/>
          <w:bCs/>
          <w:sz w:val="30"/>
          <w:szCs w:val="30"/>
        </w:rPr>
        <w:t xml:space="preserve">   </w:t>
      </w:r>
    </w:p>
    <w:p>
      <w:pPr>
        <w:spacing w:line="520" w:lineRule="exact"/>
        <w:ind w:firstLine="600" w:firstLineChars="200"/>
        <w:rPr>
          <w:rFonts w:ascii="方正楷体_GBK" w:hAnsi="方正楷体_GBK" w:eastAsia="方正楷体_GBK" w:cs="方正楷体_GBK"/>
          <w:bCs/>
          <w:sz w:val="30"/>
          <w:szCs w:val="30"/>
        </w:rPr>
      </w:pPr>
      <w:r>
        <w:rPr>
          <w:rFonts w:hint="eastAsia" w:ascii="方正楷体_GBK" w:hAnsi="方正楷体_GBK" w:eastAsia="方正楷体_GBK" w:cs="方正楷体_GBK"/>
          <w:bCs/>
          <w:sz w:val="30"/>
          <w:szCs w:val="30"/>
        </w:rPr>
        <w:t>六、报价文件要求</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1、报价文件包含内容如下：</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（1）报价文件封面（需加盖报价人单位公章）</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（2）报价函</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（3）报价表</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（4）法定代表人身份证明</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（5）授权委托书（若有）</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（6）资格审查表</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表1、报价人基本情况表</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表2、项目负责人资历表</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表3、报价人近年完成的类似项目汇总表</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（7）其他资料（若有）（需加盖报价人单位公章）</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2、报价文件的封装</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（1）报价文件按合同段划分，分别提供正副本各一份。</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（2）报价文件应装订成册，不得采用活页装订。否则，询价人对由于报价文件装订松散而造成的丢失或其他后果不承担任何责任。报价文件应编制目录，并且从目录开始逐页标注连续页码。</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（3）报价文件应密封在封套中，未密封的报价文件将不予签收。</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（5）报价文件的任何一处涂改、行间插字或删除，均应由前款规定的报价文件签署人在修改处签署姓名并加盖报价人单位公章。</w:t>
      </w:r>
    </w:p>
    <w:p>
      <w:pPr>
        <w:ind w:firstLine="600" w:firstLineChars="200"/>
        <w:rPr>
          <w:rFonts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rPr>
        <w:t>（6）报价人对</w:t>
      </w:r>
      <w:r>
        <w:rPr>
          <w:rFonts w:hint="eastAsia" w:ascii="方正仿宋_GBK" w:hAnsi="方正仿宋_GBK" w:eastAsia="方正仿宋_GBK" w:cs="方正仿宋_GBK"/>
          <w:sz w:val="30"/>
          <w:szCs w:val="30"/>
          <w:lang w:val="zh-TW"/>
        </w:rPr>
        <w:t>所提供的所有报价资料均保证其真实性和合法性，如有虚假，询价人将取消其报价及中标资格；若在合同实施期间发现中标人提供了虚假资料，询价人有权单方面解除合同，并上报上级主管部门。</w:t>
      </w:r>
    </w:p>
    <w:p>
      <w:pPr>
        <w:ind w:firstLine="600" w:firstLineChars="200"/>
        <w:rPr>
          <w:rFonts w:ascii="方正楷体_GBK" w:hAnsi="方正楷体_GBK" w:eastAsia="方正楷体_GBK" w:cs="方正楷体_GBK"/>
          <w:sz w:val="30"/>
          <w:szCs w:val="30"/>
          <w:lang w:val="zh-TW"/>
        </w:rPr>
      </w:pPr>
      <w:r>
        <w:rPr>
          <w:rFonts w:hint="eastAsia" w:ascii="方正楷体_GBK" w:hAnsi="方正楷体_GBK" w:eastAsia="方正楷体_GBK" w:cs="方正楷体_GBK"/>
          <w:sz w:val="30"/>
          <w:szCs w:val="30"/>
        </w:rPr>
        <w:t>七</w:t>
      </w:r>
      <w:r>
        <w:rPr>
          <w:rFonts w:hint="eastAsia" w:ascii="方正楷体_GBK" w:hAnsi="方正楷体_GBK" w:eastAsia="方正楷体_GBK" w:cs="方正楷体_GBK"/>
          <w:sz w:val="30"/>
          <w:szCs w:val="30"/>
          <w:lang w:val="zh-TW"/>
        </w:rPr>
        <w:t>、报价文件的递交</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报价文件递交的截止时间为202</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年1月</w:t>
      </w: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日1</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0(北京时间)，报价文件必须于202</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年1月</w:t>
      </w: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日1</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0(北京时间)前递交至重庆渝湘复线高速公路有限公司1702室（重庆市渝北区银杉路66号）。</w:t>
      </w:r>
    </w:p>
    <w:p>
      <w:pPr>
        <w:pStyle w:val="14"/>
        <w:spacing w:line="52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八、联系方式</w:t>
      </w:r>
    </w:p>
    <w:p>
      <w:pPr>
        <w:spacing w:line="52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询价人：重庆渝湘复线高速公路有限公司</w:t>
      </w:r>
    </w:p>
    <w:p>
      <w:pPr>
        <w:widowControl/>
        <w:spacing w:line="520" w:lineRule="exact"/>
        <w:ind w:firstLine="600" w:firstLineChars="200"/>
        <w:rPr>
          <w:rFonts w:ascii="方正仿宋_GBK" w:hAnsi="方正仿宋_GBK" w:eastAsia="方正仿宋_GBK" w:cs="方正仿宋_GBK"/>
          <w:sz w:val="30"/>
          <w:szCs w:val="30"/>
          <w:u w:val="single"/>
        </w:rPr>
      </w:pPr>
      <w:r>
        <w:rPr>
          <w:rFonts w:hint="eastAsia" w:ascii="方正仿宋_GBK" w:hAnsi="方正仿宋_GBK" w:eastAsia="方正仿宋_GBK" w:cs="方正仿宋_GBK"/>
          <w:kern w:val="0"/>
          <w:sz w:val="30"/>
          <w:szCs w:val="30"/>
        </w:rPr>
        <w:t>地  址：</w:t>
      </w:r>
      <w:r>
        <w:rPr>
          <w:rFonts w:hint="eastAsia" w:ascii="方正仿宋_GBK" w:hAnsi="方正仿宋_GBK" w:eastAsia="方正仿宋_GBK" w:cs="方正仿宋_GBK"/>
          <w:sz w:val="30"/>
          <w:szCs w:val="30"/>
        </w:rPr>
        <w:t>重庆市渝北区银杉路66号（重庆高速集团）</w:t>
      </w:r>
      <w:r>
        <w:rPr>
          <w:rFonts w:hint="eastAsia" w:ascii="方正仿宋_GBK" w:hAnsi="方正仿宋_GBK" w:eastAsia="方正仿宋_GBK" w:cs="方正仿宋_GBK"/>
          <w:sz w:val="30"/>
          <w:szCs w:val="30"/>
          <w:lang w:val="en-US" w:eastAsia="zh-CN"/>
        </w:rPr>
        <w:t>17</w:t>
      </w:r>
      <w:r>
        <w:rPr>
          <w:rFonts w:hint="eastAsia" w:ascii="方正仿宋_GBK" w:hAnsi="方正仿宋_GBK" w:eastAsia="方正仿宋_GBK" w:cs="方正仿宋_GBK"/>
          <w:sz w:val="30"/>
          <w:szCs w:val="30"/>
        </w:rPr>
        <w:t>楼</w:t>
      </w:r>
      <w:r>
        <w:rPr>
          <w:rFonts w:hint="eastAsia" w:ascii="方正仿宋_GBK" w:hAnsi="方正仿宋_GBK" w:eastAsia="方正仿宋_GBK" w:cs="方正仿宋_GBK"/>
          <w:sz w:val="30"/>
          <w:szCs w:val="30"/>
          <w:lang w:val="en-US" w:eastAsia="zh-CN"/>
        </w:rPr>
        <w:t>02</w:t>
      </w:r>
      <w:r>
        <w:rPr>
          <w:rFonts w:hint="eastAsia" w:ascii="方正仿宋_GBK" w:hAnsi="方正仿宋_GBK" w:eastAsia="方正仿宋_GBK" w:cs="方正仿宋_GBK"/>
          <w:sz w:val="30"/>
          <w:szCs w:val="30"/>
        </w:rPr>
        <w:t>室</w:t>
      </w:r>
    </w:p>
    <w:p>
      <w:pPr>
        <w:widowControl/>
        <w:spacing w:line="520" w:lineRule="exact"/>
        <w:ind w:firstLine="600" w:firstLineChars="20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邮  编：401121</w:t>
      </w:r>
    </w:p>
    <w:p>
      <w:pPr>
        <w:spacing w:line="52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联系人：</w:t>
      </w:r>
      <w:r>
        <w:rPr>
          <w:rFonts w:hint="eastAsia" w:ascii="方正仿宋_GBK" w:hAnsi="方正仿宋_GBK" w:eastAsia="方正仿宋_GBK" w:cs="方正仿宋_GBK"/>
          <w:sz w:val="30"/>
          <w:szCs w:val="30"/>
          <w:lang w:val="en-US" w:eastAsia="zh-CN"/>
        </w:rPr>
        <w:t>林浩</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89136376</w:t>
      </w:r>
      <w:r>
        <w:rPr>
          <w:rFonts w:hint="eastAsia" w:ascii="方正仿宋_GBK" w:hAnsi="方正仿宋_GBK" w:eastAsia="方正仿宋_GBK" w:cs="方正仿宋_GBK"/>
          <w:sz w:val="30"/>
          <w:szCs w:val="30"/>
        </w:rPr>
        <w:t xml:space="preserve"> </w:t>
      </w:r>
    </w:p>
    <w:p>
      <w:pPr>
        <w:autoSpaceDE w:val="0"/>
        <w:autoSpaceDN w:val="0"/>
        <w:adjustRightInd w:val="0"/>
        <w:snapToGrid w:val="0"/>
        <w:spacing w:line="360" w:lineRule="auto"/>
        <w:jc w:val="left"/>
        <w:rPr>
          <w:rFonts w:ascii="方正仿宋_GBK" w:hAnsi="方正仿宋_GBK" w:eastAsia="方正仿宋_GBK" w:cs="方正仿宋_GBK"/>
          <w:sz w:val="30"/>
          <w:szCs w:val="30"/>
        </w:rPr>
      </w:pPr>
    </w:p>
    <w:p>
      <w:pPr>
        <w:autoSpaceDE w:val="0"/>
        <w:autoSpaceDN w:val="0"/>
        <w:adjustRightInd w:val="0"/>
        <w:snapToGrid w:val="0"/>
        <w:spacing w:line="360" w:lineRule="auto"/>
        <w:jc w:val="left"/>
        <w:rPr>
          <w:rFonts w:ascii="方正仿宋_GBK" w:hAnsi="方正仿宋_GBK" w:eastAsia="方正仿宋_GBK" w:cs="方正仿宋_GBK"/>
          <w:sz w:val="30"/>
          <w:szCs w:val="30"/>
        </w:rPr>
      </w:pPr>
    </w:p>
    <w:p>
      <w:pPr>
        <w:autoSpaceDE w:val="0"/>
        <w:autoSpaceDN w:val="0"/>
        <w:adjustRightInd w:val="0"/>
        <w:snapToGrid w:val="0"/>
        <w:spacing w:line="360" w:lineRule="auto"/>
        <w:jc w:val="righ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二0二一年十二月</w:t>
      </w:r>
      <w:r>
        <w:rPr>
          <w:rFonts w:hint="eastAsia" w:ascii="方正仿宋_GBK" w:hAnsi="方正仿宋_GBK" w:eastAsia="方正仿宋_GBK" w:cs="方正仿宋_GBK"/>
          <w:sz w:val="30"/>
          <w:szCs w:val="30"/>
          <w:lang w:val="en-US" w:eastAsia="zh-CN"/>
        </w:rPr>
        <w:t>三十</w:t>
      </w:r>
      <w:r>
        <w:rPr>
          <w:rFonts w:hint="eastAsia" w:ascii="方正仿宋_GBK" w:hAnsi="方正仿宋_GBK" w:eastAsia="方正仿宋_GBK" w:cs="方正仿宋_GBK"/>
          <w:sz w:val="30"/>
          <w:szCs w:val="30"/>
        </w:rPr>
        <w:t>日</w:t>
      </w: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adjustRightInd w:val="0"/>
        <w:spacing w:line="315" w:lineRule="atLeast"/>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b/>
          <w:color w:val="000000"/>
          <w:sz w:val="36"/>
          <w:szCs w:val="36"/>
        </w:rPr>
      </w:pPr>
    </w:p>
    <w:p>
      <w:pPr>
        <w:adjustRightInd w:val="0"/>
        <w:spacing w:line="315" w:lineRule="atLeast"/>
        <w:textAlignment w:val="baseline"/>
        <w:rPr>
          <w:rFonts w:ascii="黑体" w:hAnsi="黑体" w:eastAsia="黑体" w:cs="黑体"/>
          <w:b/>
          <w:color w:val="000000"/>
          <w:sz w:val="36"/>
          <w:szCs w:val="36"/>
        </w:rPr>
      </w:pPr>
    </w:p>
    <w:p>
      <w:pPr>
        <w:adjustRightInd w:val="0"/>
        <w:spacing w:line="315" w:lineRule="atLeast"/>
        <w:jc w:val="center"/>
        <w:textAlignment w:val="baseline"/>
        <w:rPr>
          <w:rFonts w:ascii="黑体" w:hAnsi="黑体" w:eastAsia="黑体" w:cs="黑体"/>
          <w:kern w:val="0"/>
          <w:sz w:val="28"/>
          <w:szCs w:val="20"/>
        </w:rPr>
      </w:pPr>
      <w:r>
        <w:rPr>
          <w:rFonts w:hint="eastAsia" w:ascii="黑体" w:hAnsi="黑体" w:eastAsia="黑体" w:cs="黑体"/>
          <w:b/>
          <w:color w:val="000000"/>
          <w:sz w:val="36"/>
          <w:szCs w:val="36"/>
        </w:rPr>
        <w:t>渝湘高速公路复线（巴南至彭水段）</w:t>
      </w:r>
      <w:r>
        <w:rPr>
          <w:rFonts w:hint="eastAsia" w:ascii="黑体" w:hAnsi="黑体" w:eastAsia="黑体" w:cs="黑体"/>
          <w:b/>
          <w:color w:val="000000"/>
          <w:sz w:val="36"/>
          <w:szCs w:val="36"/>
          <w:lang w:eastAsia="zh-CN"/>
        </w:rPr>
        <w:t>、</w:t>
      </w:r>
      <w:r>
        <w:rPr>
          <w:rFonts w:hint="eastAsia" w:ascii="黑体" w:hAnsi="黑体" w:eastAsia="黑体" w:cs="黑体"/>
          <w:b/>
          <w:color w:val="000000"/>
          <w:sz w:val="36"/>
          <w:szCs w:val="36"/>
          <w:lang w:val="en-US" w:eastAsia="zh-CN"/>
        </w:rPr>
        <w:t>（彭水至酉阳段）、（武隆至道真）重庆段</w:t>
      </w:r>
      <w:r>
        <w:rPr>
          <w:rFonts w:hint="eastAsia" w:ascii="黑体" w:hAnsi="黑体" w:eastAsia="黑体" w:cs="黑体"/>
          <w:b/>
          <w:color w:val="000000"/>
          <w:sz w:val="36"/>
          <w:szCs w:val="36"/>
        </w:rPr>
        <w:t>高速公路项目改迁及拆迁工程造价咨询服务竞争性询价</w:t>
      </w:r>
    </w:p>
    <w:p>
      <w:pPr>
        <w:adjustRightInd w:val="0"/>
        <w:spacing w:line="315" w:lineRule="atLeast"/>
        <w:jc w:val="left"/>
        <w:textAlignment w:val="baseline"/>
        <w:rPr>
          <w:rFonts w:ascii="黑体" w:hAnsi="黑体" w:eastAsia="黑体" w:cs="黑体"/>
          <w:kern w:val="0"/>
          <w:sz w:val="28"/>
          <w:szCs w:val="20"/>
        </w:rPr>
      </w:pPr>
    </w:p>
    <w:p>
      <w:pPr>
        <w:adjustRightInd w:val="0"/>
        <w:spacing w:line="315" w:lineRule="atLeast"/>
        <w:jc w:val="left"/>
        <w:textAlignment w:val="baseline"/>
        <w:rPr>
          <w:rFonts w:ascii="黑体" w:hAnsi="黑体" w:eastAsia="黑体" w:cs="黑体"/>
          <w:kern w:val="0"/>
          <w:sz w:val="28"/>
          <w:szCs w:val="20"/>
        </w:rPr>
      </w:pPr>
    </w:p>
    <w:p>
      <w:pPr>
        <w:adjustRightInd w:val="0"/>
        <w:spacing w:line="315" w:lineRule="atLeast"/>
        <w:jc w:val="left"/>
        <w:textAlignment w:val="baseline"/>
        <w:rPr>
          <w:kern w:val="0"/>
          <w:sz w:val="28"/>
          <w:szCs w:val="20"/>
        </w:rPr>
      </w:pPr>
    </w:p>
    <w:p>
      <w:pPr>
        <w:adjustRightInd w:val="0"/>
        <w:spacing w:before="600" w:line="315" w:lineRule="atLeast"/>
        <w:jc w:val="center"/>
        <w:textAlignment w:val="baseline"/>
        <w:rPr>
          <w:rFonts w:eastAsia="黑体"/>
          <w:b/>
          <w:spacing w:val="160"/>
          <w:kern w:val="0"/>
          <w:sz w:val="84"/>
          <w:szCs w:val="84"/>
        </w:rPr>
      </w:pPr>
      <w:r>
        <w:rPr>
          <w:rFonts w:hint="eastAsia" w:eastAsia="黑体"/>
          <w:b/>
          <w:spacing w:val="160"/>
          <w:kern w:val="0"/>
          <w:sz w:val="84"/>
          <w:szCs w:val="84"/>
        </w:rPr>
        <w:t>报 价 文 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b/>
          <w:kern w:val="0"/>
          <w:sz w:val="24"/>
          <w:szCs w:val="20"/>
        </w:rPr>
      </w:pPr>
    </w:p>
    <w:p>
      <w:pPr>
        <w:pStyle w:val="14"/>
      </w:pPr>
    </w:p>
    <w:p>
      <w:pPr>
        <w:adjustRightInd w:val="0"/>
        <w:spacing w:line="315" w:lineRule="atLeast"/>
        <w:jc w:val="left"/>
        <w:textAlignment w:val="baseline"/>
        <w:rPr>
          <w:b/>
          <w:kern w:val="0"/>
          <w:sz w:val="24"/>
          <w:szCs w:val="20"/>
        </w:rPr>
      </w:pPr>
    </w:p>
    <w:p>
      <w:pPr>
        <w:adjustRightInd w:val="0"/>
        <w:spacing w:line="315" w:lineRule="atLeast"/>
        <w:jc w:val="left"/>
        <w:textAlignment w:val="baseline"/>
        <w:rPr>
          <w:b/>
          <w:kern w:val="0"/>
          <w:sz w:val="24"/>
          <w:szCs w:val="20"/>
        </w:rPr>
      </w:pPr>
    </w:p>
    <w:p>
      <w:pPr>
        <w:pStyle w:val="14"/>
        <w:rPr>
          <w:b/>
          <w:szCs w:val="20"/>
        </w:rPr>
      </w:pPr>
    </w:p>
    <w:p>
      <w:pPr>
        <w:pStyle w:val="14"/>
        <w:rPr>
          <w:b/>
          <w:szCs w:val="20"/>
        </w:rPr>
      </w:pPr>
    </w:p>
    <w:p>
      <w:pPr>
        <w:pStyle w:val="14"/>
        <w:rPr>
          <w:b/>
          <w:szCs w:val="20"/>
        </w:rPr>
      </w:pPr>
    </w:p>
    <w:p>
      <w:pPr>
        <w:pStyle w:val="14"/>
        <w:rPr>
          <w:b/>
          <w:szCs w:val="20"/>
        </w:rPr>
      </w:pPr>
    </w:p>
    <w:p>
      <w:pPr>
        <w:pStyle w:val="14"/>
        <w:rPr>
          <w:b/>
          <w:szCs w:val="20"/>
        </w:rPr>
      </w:pPr>
    </w:p>
    <w:p>
      <w:pPr>
        <w:pStyle w:val="14"/>
        <w:rPr>
          <w:b/>
          <w:szCs w:val="20"/>
        </w:rPr>
      </w:pPr>
    </w:p>
    <w:p>
      <w:pPr>
        <w:jc w:val="center"/>
        <w:rPr>
          <w:rFonts w:ascii="宋体" w:hAnsi="宋体"/>
          <w:b/>
          <w:sz w:val="28"/>
          <w:szCs w:val="28"/>
        </w:rPr>
      </w:pPr>
      <w:r>
        <w:rPr>
          <w:rFonts w:ascii="宋体" w:hAnsi="宋体"/>
          <w:b/>
          <w:sz w:val="28"/>
          <w:szCs w:val="28"/>
        </w:rPr>
        <w:t>报价人：</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ascii="宋体" w:hAnsi="宋体"/>
          <w:b/>
          <w:sz w:val="28"/>
          <w:szCs w:val="28"/>
        </w:rPr>
        <w:t>（盖单位章）</w:t>
      </w:r>
    </w:p>
    <w:p>
      <w:pPr>
        <w:ind w:firstLine="2530" w:firstLineChars="900"/>
        <w:rPr>
          <w:rFonts w:ascii="宋体" w:hAnsi="宋体"/>
          <w:sz w:val="24"/>
        </w:rPr>
      </w:pPr>
      <w:r>
        <w:rPr>
          <w:rFonts w:ascii="宋体" w:hAnsi="宋体"/>
          <w:b/>
          <w:sz w:val="28"/>
          <w:szCs w:val="28"/>
        </w:rPr>
        <w:t xml:space="preserve"> </w:t>
      </w:r>
      <w:r>
        <w:rPr>
          <w:rFonts w:ascii="宋体" w:hAnsi="宋体"/>
          <w:b/>
          <w:sz w:val="28"/>
          <w:szCs w:val="28"/>
          <w:u w:val="single"/>
        </w:rPr>
        <w:t xml:space="preserve">     </w:t>
      </w:r>
      <w:r>
        <w:rPr>
          <w:rFonts w:ascii="宋体" w:hAnsi="宋体"/>
          <w:b/>
          <w:sz w:val="28"/>
          <w:szCs w:val="28"/>
        </w:rPr>
        <w:t>年</w:t>
      </w:r>
      <w:r>
        <w:rPr>
          <w:rFonts w:ascii="宋体" w:hAnsi="宋体"/>
          <w:b/>
          <w:sz w:val="28"/>
          <w:szCs w:val="28"/>
          <w:u w:val="single"/>
        </w:rPr>
        <w:t xml:space="preserve">     </w:t>
      </w:r>
      <w:r>
        <w:rPr>
          <w:rFonts w:ascii="宋体" w:hAnsi="宋体"/>
          <w:b/>
          <w:sz w:val="28"/>
          <w:szCs w:val="28"/>
        </w:rPr>
        <w:t>月</w:t>
      </w:r>
      <w:r>
        <w:rPr>
          <w:rFonts w:ascii="宋体" w:hAnsi="宋体"/>
          <w:b/>
          <w:sz w:val="28"/>
          <w:szCs w:val="28"/>
          <w:u w:val="single"/>
        </w:rPr>
        <w:t xml:space="preserve">     </w:t>
      </w:r>
      <w:r>
        <w:rPr>
          <w:rFonts w:ascii="宋体" w:hAnsi="宋体"/>
          <w:b/>
          <w:sz w:val="28"/>
          <w:szCs w:val="28"/>
        </w:rPr>
        <w:t>日</w:t>
      </w:r>
      <w:bookmarkStart w:id="20" w:name="_Toc152042576"/>
      <w:bookmarkStart w:id="21" w:name="_Toc152045787"/>
      <w:bookmarkStart w:id="22" w:name="_Toc240180937"/>
      <w:bookmarkStart w:id="23" w:name="_Toc144974856"/>
    </w:p>
    <w:p>
      <w:pPr>
        <w:jc w:val="center"/>
        <w:rPr>
          <w:rFonts w:ascii="黑体" w:hAnsi="黑体" w:eastAsia="黑体"/>
          <w:b/>
          <w:sz w:val="44"/>
          <w:szCs w:val="44"/>
        </w:rPr>
      </w:pPr>
    </w:p>
    <w:p>
      <w:pPr>
        <w:rPr>
          <w:rFonts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目    录</w:t>
      </w:r>
    </w:p>
    <w:p>
      <w:pPr>
        <w:rPr>
          <w:rFonts w:ascii="宋体" w:hAnsi="宋体"/>
        </w:rPr>
      </w:pPr>
    </w:p>
    <w:bookmarkEnd w:id="20"/>
    <w:bookmarkEnd w:id="21"/>
    <w:bookmarkEnd w:id="22"/>
    <w:bookmarkEnd w:id="23"/>
    <w:p>
      <w:pPr>
        <w:spacing w:line="360" w:lineRule="auto"/>
        <w:rPr>
          <w:rFonts w:ascii="宋体" w:hAnsi="宋体"/>
          <w:sz w:val="28"/>
          <w:szCs w:val="28"/>
        </w:rPr>
      </w:pPr>
      <w:r>
        <w:rPr>
          <w:rFonts w:hint="eastAsia" w:ascii="宋体" w:hAnsi="宋体"/>
          <w:sz w:val="28"/>
          <w:szCs w:val="28"/>
        </w:rPr>
        <w:t>一、报价函</w:t>
      </w:r>
    </w:p>
    <w:p>
      <w:pPr>
        <w:spacing w:line="360" w:lineRule="auto"/>
        <w:rPr>
          <w:rFonts w:ascii="宋体" w:hAnsi="宋体"/>
          <w:sz w:val="28"/>
          <w:szCs w:val="28"/>
        </w:rPr>
      </w:pPr>
      <w:r>
        <w:rPr>
          <w:rFonts w:hint="eastAsia" w:ascii="宋体" w:hAnsi="宋体"/>
          <w:sz w:val="28"/>
          <w:szCs w:val="28"/>
        </w:rPr>
        <w:t>二、报价表</w:t>
      </w:r>
    </w:p>
    <w:p>
      <w:pPr>
        <w:spacing w:line="360" w:lineRule="auto"/>
        <w:rPr>
          <w:rFonts w:ascii="宋体" w:hAnsi="宋体"/>
          <w:sz w:val="28"/>
          <w:szCs w:val="28"/>
        </w:rPr>
      </w:pPr>
      <w:r>
        <w:rPr>
          <w:rFonts w:hint="eastAsia" w:ascii="宋体" w:hAnsi="宋体"/>
          <w:sz w:val="28"/>
          <w:szCs w:val="28"/>
        </w:rPr>
        <w:t>三、法定代表人身份证明</w:t>
      </w:r>
    </w:p>
    <w:p>
      <w:pPr>
        <w:spacing w:line="360" w:lineRule="auto"/>
        <w:rPr>
          <w:rFonts w:ascii="宋体" w:hAnsi="宋体"/>
          <w:sz w:val="28"/>
          <w:szCs w:val="28"/>
        </w:rPr>
      </w:pPr>
      <w:r>
        <w:rPr>
          <w:rFonts w:hint="eastAsia" w:ascii="宋体" w:hAnsi="宋体"/>
          <w:sz w:val="28"/>
          <w:szCs w:val="28"/>
        </w:rPr>
        <w:t>四、</w:t>
      </w:r>
      <w:r>
        <w:rPr>
          <w:rFonts w:ascii="宋体" w:hAnsi="宋体"/>
          <w:sz w:val="28"/>
          <w:szCs w:val="28"/>
        </w:rPr>
        <w:t>授权委托书</w:t>
      </w:r>
      <w:r>
        <w:rPr>
          <w:rFonts w:hint="eastAsia" w:ascii="宋体" w:hAnsi="宋体"/>
          <w:sz w:val="28"/>
          <w:szCs w:val="28"/>
        </w:rPr>
        <w:t>（若有）</w:t>
      </w:r>
    </w:p>
    <w:p>
      <w:pPr>
        <w:spacing w:line="360" w:lineRule="auto"/>
        <w:rPr>
          <w:rFonts w:ascii="宋体" w:hAnsi="宋体"/>
          <w:sz w:val="28"/>
          <w:szCs w:val="28"/>
        </w:rPr>
      </w:pPr>
      <w:r>
        <w:rPr>
          <w:rFonts w:hint="eastAsia" w:ascii="宋体" w:hAnsi="宋体"/>
          <w:sz w:val="28"/>
          <w:szCs w:val="28"/>
        </w:rPr>
        <w:t>五、资格审查表</w:t>
      </w:r>
    </w:p>
    <w:p>
      <w:pPr>
        <w:spacing w:line="360" w:lineRule="auto"/>
        <w:rPr>
          <w:rFonts w:hAnsi="宋体"/>
          <w:sz w:val="28"/>
          <w:szCs w:val="28"/>
        </w:rPr>
      </w:pPr>
      <w:r>
        <w:rPr>
          <w:rFonts w:hint="eastAsia" w:hAnsi="宋体"/>
          <w:sz w:val="28"/>
          <w:szCs w:val="28"/>
        </w:rPr>
        <w:t>（</w:t>
      </w:r>
      <w:r>
        <w:rPr>
          <w:rFonts w:hint="eastAsia" w:ascii="宋体" w:hAnsi="宋体" w:cs="宋体"/>
          <w:color w:val="000000"/>
          <w:kern w:val="0"/>
          <w:sz w:val="28"/>
          <w:szCs w:val="28"/>
        </w:rPr>
        <w:t>表1</w:t>
      </w:r>
      <w:r>
        <w:rPr>
          <w:rFonts w:hint="eastAsia" w:hAnsi="宋体"/>
          <w:sz w:val="28"/>
          <w:szCs w:val="28"/>
        </w:rPr>
        <w:t>）报价人基本情况表</w:t>
      </w:r>
    </w:p>
    <w:p>
      <w:pPr>
        <w:pStyle w:val="14"/>
        <w:rPr>
          <w:rFonts w:hAnsi="宋体"/>
          <w:sz w:val="28"/>
          <w:szCs w:val="28"/>
        </w:rPr>
      </w:pPr>
      <w:r>
        <w:rPr>
          <w:rFonts w:hint="eastAsia" w:hAnsi="宋体"/>
          <w:sz w:val="28"/>
          <w:szCs w:val="28"/>
        </w:rPr>
        <w:t>（表2）拟委任的主要人员资历表</w:t>
      </w:r>
    </w:p>
    <w:p>
      <w:pPr>
        <w:pStyle w:val="14"/>
        <w:rPr>
          <w:rFonts w:hAnsi="宋体"/>
          <w:sz w:val="28"/>
          <w:szCs w:val="28"/>
        </w:rPr>
      </w:pPr>
      <w:r>
        <w:rPr>
          <w:rFonts w:hint="eastAsia" w:hAnsi="宋体"/>
          <w:sz w:val="28"/>
          <w:szCs w:val="28"/>
        </w:rPr>
        <w:t>（表3）报价人近年完成的类似项目汇总表</w:t>
      </w:r>
    </w:p>
    <w:p>
      <w:pPr>
        <w:spacing w:line="360" w:lineRule="auto"/>
        <w:rPr>
          <w:rFonts w:ascii="宋体" w:hAnsi="宋体"/>
          <w:sz w:val="28"/>
          <w:szCs w:val="28"/>
        </w:rPr>
      </w:pPr>
      <w:r>
        <w:rPr>
          <w:rFonts w:hint="eastAsia" w:ascii="宋体" w:hAnsi="宋体"/>
          <w:sz w:val="28"/>
          <w:szCs w:val="28"/>
        </w:rPr>
        <w:t>六</w:t>
      </w:r>
      <w:r>
        <w:rPr>
          <w:rFonts w:hint="eastAsia" w:ascii="宋体" w:hAnsi="宋体" w:cs="宋体"/>
          <w:color w:val="000000"/>
          <w:kern w:val="0"/>
          <w:sz w:val="28"/>
          <w:szCs w:val="28"/>
        </w:rPr>
        <w:t>、</w:t>
      </w:r>
      <w:r>
        <w:rPr>
          <w:rFonts w:hint="eastAsia" w:ascii="宋体" w:hAnsi="宋体"/>
          <w:sz w:val="28"/>
          <w:szCs w:val="28"/>
        </w:rPr>
        <w:t>其他资料</w:t>
      </w:r>
    </w:p>
    <w:p>
      <w:pPr>
        <w:pStyle w:val="14"/>
        <w:rPr>
          <w:rFonts w:hAnsi="宋体"/>
          <w:sz w:val="28"/>
          <w:szCs w:val="28"/>
        </w:rPr>
      </w:pPr>
    </w:p>
    <w:p>
      <w:pPr>
        <w:spacing w:line="360" w:lineRule="auto"/>
        <w:rPr>
          <w:rFonts w:ascii="宋体" w:hAnsi="宋体"/>
          <w:sz w:val="28"/>
          <w:szCs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spacing w:line="360" w:lineRule="auto"/>
        <w:jc w:val="center"/>
        <w:rPr>
          <w:rFonts w:ascii="宋体" w:hAnsi="宋体"/>
          <w:b/>
          <w:sz w:val="32"/>
          <w:szCs w:val="32"/>
        </w:rPr>
      </w:pPr>
      <w:r>
        <w:rPr>
          <w:rFonts w:hint="eastAsia" w:ascii="宋体" w:hAnsi="宋体"/>
          <w:b/>
          <w:sz w:val="32"/>
          <w:szCs w:val="32"/>
        </w:rPr>
        <w:t>一、报 价 函</w:t>
      </w:r>
    </w:p>
    <w:p>
      <w:pPr>
        <w:spacing w:line="360" w:lineRule="auto"/>
        <w:rPr>
          <w:rFonts w:ascii="宋体" w:hAnsi="宋体"/>
          <w:szCs w:val="21"/>
        </w:rPr>
      </w:pPr>
    </w:p>
    <w:p>
      <w:pPr>
        <w:adjustRightInd w:val="0"/>
        <w:spacing w:line="315" w:lineRule="atLeast"/>
        <w:textAlignment w:val="baseline"/>
        <w:rPr>
          <w:rFonts w:asciiTheme="majorEastAsia" w:hAnsiTheme="majorEastAsia" w:eastAsiaTheme="majorEastAsia" w:cstheme="majorEastAsia"/>
          <w:sz w:val="24"/>
        </w:rPr>
      </w:pPr>
      <w:r>
        <w:rPr>
          <w:rFonts w:hint="eastAsia" w:asciiTheme="majorEastAsia" w:hAnsiTheme="majorEastAsia" w:eastAsiaTheme="majorEastAsia" w:cstheme="majorEastAsia"/>
          <w:sz w:val="24"/>
          <w:u w:val="single"/>
        </w:rPr>
        <w:t>重庆渝湘复线高速公路有限公司</w:t>
      </w:r>
      <w:r>
        <w:rPr>
          <w:rFonts w:hint="eastAsia" w:asciiTheme="majorEastAsia" w:hAnsiTheme="majorEastAsia" w:eastAsiaTheme="majorEastAsia" w:cstheme="majorEastAsia"/>
          <w:sz w:val="24"/>
        </w:rPr>
        <w:t>：</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1、我方已仔细研究了</w:t>
      </w:r>
      <w:r>
        <w:rPr>
          <w:rFonts w:hint="eastAsia" w:asciiTheme="majorEastAsia" w:hAnsiTheme="majorEastAsia" w:eastAsiaTheme="majorEastAsia" w:cstheme="majorEastAsia"/>
          <w:sz w:val="24"/>
          <w:u w:val="single"/>
        </w:rPr>
        <w:t>渝湘高速公路复线（巴南至彭水段）</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彭水至酉阳段</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武隆至道真</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重庆段</w:t>
      </w:r>
      <w:r>
        <w:rPr>
          <w:rFonts w:hint="eastAsia" w:asciiTheme="majorEastAsia" w:hAnsiTheme="majorEastAsia" w:eastAsiaTheme="majorEastAsia" w:cstheme="majorEastAsia"/>
          <w:sz w:val="24"/>
          <w:u w:val="single"/>
        </w:rPr>
        <w:t>高速公路项目改迁及拆迁工程造价咨询服务竞争性询价</w:t>
      </w:r>
      <w:r>
        <w:rPr>
          <w:rFonts w:hint="eastAsia" w:asciiTheme="majorEastAsia" w:hAnsiTheme="majorEastAsia" w:eastAsiaTheme="majorEastAsia" w:cstheme="majorEastAsia"/>
          <w:sz w:val="24"/>
        </w:rPr>
        <w:t>的全部内容，愿意以</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‰的造价审核费率，完成</w:t>
      </w:r>
      <w:r>
        <w:rPr>
          <w:rFonts w:hint="eastAsia" w:asciiTheme="majorEastAsia" w:hAnsiTheme="majorEastAsia" w:eastAsiaTheme="majorEastAsia" w:cstheme="majorEastAsia"/>
          <w:sz w:val="24"/>
          <w:u w:val="single"/>
        </w:rPr>
        <w:t>渝湘高速公路复线（巴南至彭水段）</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彭水至酉阳段</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武隆至道真</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重庆段</w:t>
      </w:r>
      <w:r>
        <w:rPr>
          <w:rFonts w:hint="eastAsia" w:asciiTheme="majorEastAsia" w:hAnsiTheme="majorEastAsia" w:eastAsiaTheme="majorEastAsia" w:cstheme="majorEastAsia"/>
          <w:sz w:val="24"/>
          <w:u w:val="single"/>
        </w:rPr>
        <w:t>高速公路项目改迁及拆迁工程造价咨询服务询价文件</w:t>
      </w:r>
      <w:r>
        <w:rPr>
          <w:rFonts w:hint="eastAsia" w:asciiTheme="majorEastAsia" w:hAnsiTheme="majorEastAsia" w:eastAsiaTheme="majorEastAsia" w:cstheme="majorEastAsia"/>
          <w:sz w:val="24"/>
        </w:rPr>
        <w:t>约定的全部工作内容，确保认真履职、服务满意。</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2、我方承诺在投标有效期内不修改、撤销本次报价的全部内容。</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3、如我方中标，我方承诺在收到中标通知书后，在中标通知书规定的期限内与你方签订合同。</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4、我方在此声明，所递交的全部资料内容完整、真实和准确。</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5、在合同协议书正式签署生效之前（不限于投标有效期内），本投标函连同你方的中标通知书将构成我们双方之间共同遵守的文件。对双方具有约束力。</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p>
    <w:p>
      <w:pPr>
        <w:spacing w:line="360" w:lineRule="auto"/>
        <w:rPr>
          <w:rFonts w:asciiTheme="majorEastAsia" w:hAnsiTheme="majorEastAsia" w:eastAsiaTheme="majorEastAsia" w:cstheme="majorEastAsia"/>
          <w:sz w:val="24"/>
        </w:rPr>
      </w:pPr>
    </w:p>
    <w:p>
      <w:pPr>
        <w:spacing w:line="360" w:lineRule="auto"/>
        <w:ind w:firstLine="2880" w:firstLineChars="1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报价人：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（盖单位公章）</w:t>
      </w:r>
    </w:p>
    <w:p>
      <w:pPr>
        <w:spacing w:line="360" w:lineRule="auto"/>
        <w:ind w:firstLine="2880" w:firstLineChars="1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法定代表人或其委托代理人：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（签字）</w:t>
      </w:r>
    </w:p>
    <w:p>
      <w:pPr>
        <w:spacing w:line="360" w:lineRule="auto"/>
        <w:ind w:firstLine="4200" w:firstLineChars="17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地址：</w:t>
      </w:r>
      <w:r>
        <w:rPr>
          <w:rFonts w:hint="eastAsia" w:asciiTheme="majorEastAsia" w:hAnsiTheme="majorEastAsia" w:eastAsiaTheme="majorEastAsia" w:cstheme="majorEastAsia"/>
          <w:sz w:val="24"/>
          <w:u w:val="single"/>
        </w:rPr>
        <w:t xml:space="preserve">                                     </w:t>
      </w:r>
    </w:p>
    <w:p>
      <w:pPr>
        <w:spacing w:line="360" w:lineRule="auto"/>
        <w:ind w:firstLine="4200" w:firstLineChars="17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网址：</w:t>
      </w:r>
      <w:r>
        <w:rPr>
          <w:rFonts w:hint="eastAsia" w:asciiTheme="majorEastAsia" w:hAnsiTheme="majorEastAsia" w:eastAsiaTheme="majorEastAsia" w:cstheme="majorEastAsia"/>
          <w:sz w:val="24"/>
          <w:u w:val="single"/>
        </w:rPr>
        <w:t xml:space="preserve">                                     </w:t>
      </w:r>
    </w:p>
    <w:p>
      <w:pPr>
        <w:spacing w:line="360" w:lineRule="auto"/>
        <w:ind w:firstLine="4200" w:firstLineChars="17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r>
        <w:rPr>
          <w:rFonts w:hint="eastAsia" w:asciiTheme="majorEastAsia" w:hAnsiTheme="majorEastAsia" w:eastAsiaTheme="majorEastAsia" w:cstheme="majorEastAsia"/>
          <w:sz w:val="24"/>
          <w:u w:val="single"/>
        </w:rPr>
        <w:t xml:space="preserve">                                     </w:t>
      </w:r>
    </w:p>
    <w:p>
      <w:pPr>
        <w:spacing w:line="360" w:lineRule="auto"/>
        <w:ind w:firstLine="4200" w:firstLineChars="17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传真：</w:t>
      </w:r>
      <w:r>
        <w:rPr>
          <w:rFonts w:hint="eastAsia" w:asciiTheme="majorEastAsia" w:hAnsiTheme="majorEastAsia" w:eastAsiaTheme="majorEastAsia" w:cstheme="majorEastAsia"/>
          <w:sz w:val="24"/>
          <w:u w:val="single"/>
        </w:rPr>
        <w:t xml:space="preserve">                                     </w:t>
      </w:r>
    </w:p>
    <w:p>
      <w:pPr>
        <w:spacing w:line="360" w:lineRule="auto"/>
        <w:ind w:firstLine="4200" w:firstLineChars="17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r>
        <w:rPr>
          <w:rFonts w:hint="eastAsia" w:asciiTheme="majorEastAsia" w:hAnsiTheme="majorEastAsia" w:eastAsiaTheme="majorEastAsia" w:cstheme="majorEastAsia"/>
          <w:sz w:val="24"/>
          <w:u w:val="single"/>
        </w:rPr>
        <w:t xml:space="preserve">                                 </w:t>
      </w:r>
    </w:p>
    <w:p>
      <w:pPr>
        <w:spacing w:line="360" w:lineRule="auto"/>
        <w:ind w:firstLine="4560" w:firstLineChars="1900"/>
        <w:rPr>
          <w:rFonts w:asciiTheme="majorEastAsia" w:hAnsiTheme="majorEastAsia" w:eastAsiaTheme="majorEastAsia" w:cstheme="majorEastAsia"/>
          <w:sz w:val="24"/>
        </w:rPr>
      </w:pP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日</w:t>
      </w:r>
    </w:p>
    <w:p>
      <w:pPr>
        <w:pStyle w:val="14"/>
        <w:rPr>
          <w:rFonts w:hAnsi="宋体"/>
          <w:sz w:val="28"/>
          <w:szCs w:val="28"/>
        </w:rPr>
      </w:pPr>
    </w:p>
    <w:p>
      <w:pPr>
        <w:pStyle w:val="14"/>
        <w:rPr>
          <w:rFonts w:hAnsi="宋体"/>
          <w:sz w:val="28"/>
          <w:szCs w:val="28"/>
        </w:rPr>
      </w:pPr>
    </w:p>
    <w:p>
      <w:pPr>
        <w:pStyle w:val="14"/>
        <w:rPr>
          <w:rFonts w:hAnsi="宋体"/>
          <w:sz w:val="28"/>
          <w:szCs w:val="28"/>
        </w:rPr>
      </w:pPr>
    </w:p>
    <w:p>
      <w:pPr>
        <w:spacing w:line="360" w:lineRule="auto"/>
        <w:jc w:val="both"/>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二、报价表</w:t>
      </w:r>
      <w:r>
        <w:rPr>
          <w:rFonts w:ascii="宋体" w:hAnsi="宋体"/>
          <w:sz w:val="24"/>
        </w:rPr>
        <w:t>（盖单位</w:t>
      </w:r>
      <w:r>
        <w:rPr>
          <w:rFonts w:hint="eastAsia" w:ascii="宋体" w:hAnsi="宋体"/>
          <w:sz w:val="24"/>
        </w:rPr>
        <w:t>公</w:t>
      </w:r>
      <w:r>
        <w:rPr>
          <w:rFonts w:ascii="宋体" w:hAnsi="宋体"/>
          <w:sz w:val="24"/>
        </w:rPr>
        <w:t>章）</w:t>
      </w:r>
    </w:p>
    <w:tbl>
      <w:tblPr>
        <w:tblStyle w:val="11"/>
        <w:tblW w:w="9156"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4"/>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44" w:type="dxa"/>
            <w:vAlign w:val="center"/>
          </w:tcPr>
          <w:p>
            <w:pPr>
              <w:pStyle w:val="14"/>
              <w:jc w:val="center"/>
            </w:pPr>
            <w:r>
              <w:rPr>
                <w:rFonts w:hint="eastAsia"/>
              </w:rPr>
              <w:t>项目</w:t>
            </w:r>
          </w:p>
        </w:tc>
        <w:tc>
          <w:tcPr>
            <w:tcW w:w="4212" w:type="dxa"/>
            <w:vAlign w:val="center"/>
          </w:tcPr>
          <w:p>
            <w:pPr>
              <w:pStyle w:val="14"/>
              <w:jc w:val="center"/>
            </w:pPr>
            <w:r>
              <w:rPr>
                <w:rFonts w:hint="eastAsia" w:asciiTheme="majorEastAsia" w:hAnsiTheme="majorEastAsia" w:eastAsiaTheme="majorEastAsia" w:cstheme="majorEastAsia"/>
              </w:rPr>
              <w:t>造价审核费率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944" w:type="dxa"/>
            <w:vAlign w:val="center"/>
          </w:tcPr>
          <w:p>
            <w:pPr>
              <w:pStyle w:val="14"/>
              <w:jc w:val="center"/>
            </w:pPr>
            <w:r>
              <w:rPr>
                <w:rFonts w:hint="eastAsia"/>
              </w:rPr>
              <w:t>渝湘高速公路复线</w:t>
            </w:r>
            <w:r>
              <w:rPr>
                <w:rFonts w:hint="eastAsia" w:asciiTheme="majorEastAsia" w:hAnsiTheme="majorEastAsia" w:eastAsiaTheme="majorEastAsia" w:cstheme="majorEastAsia"/>
                <w:sz w:val="24"/>
                <w:u w:val="single"/>
              </w:rPr>
              <w:t>（巴南至彭水段）</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彭水至酉阳段</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武隆至道真</w:t>
            </w:r>
            <w:r>
              <w:rPr>
                <w:rFonts w:hint="eastAsia" w:asciiTheme="majorEastAsia" w:hAnsiTheme="majorEastAsia" w:eastAsiaTheme="majorEastAsia" w:cstheme="majorEastAsia"/>
                <w:sz w:val="24"/>
                <w:u w:val="single"/>
                <w:lang w:eastAsia="zh-CN"/>
              </w:rPr>
              <w:t>）</w:t>
            </w:r>
            <w:r>
              <w:rPr>
                <w:rFonts w:hint="eastAsia" w:asciiTheme="majorEastAsia" w:hAnsiTheme="majorEastAsia" w:eastAsiaTheme="majorEastAsia" w:cstheme="majorEastAsia"/>
                <w:sz w:val="24"/>
                <w:u w:val="single"/>
                <w:lang w:val="en-US" w:eastAsia="zh-CN"/>
              </w:rPr>
              <w:t>重庆段</w:t>
            </w:r>
            <w:r>
              <w:rPr>
                <w:rFonts w:hint="eastAsia"/>
              </w:rPr>
              <w:t>高速公路项目改迁及拆迁工程造价咨询服务</w:t>
            </w:r>
          </w:p>
        </w:tc>
        <w:tc>
          <w:tcPr>
            <w:tcW w:w="4212" w:type="dxa"/>
            <w:vAlign w:val="center"/>
          </w:tcPr>
          <w:p>
            <w:pPr>
              <w:pStyle w:val="14"/>
              <w:jc w:val="center"/>
            </w:pP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w:t>
            </w:r>
          </w:p>
        </w:tc>
      </w:tr>
    </w:tbl>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spacing w:line="360" w:lineRule="auto"/>
        <w:jc w:val="center"/>
        <w:rPr>
          <w:rFonts w:ascii="宋体" w:hAnsi="宋体"/>
          <w:b/>
          <w:sz w:val="32"/>
          <w:szCs w:val="32"/>
        </w:rPr>
      </w:pPr>
      <w:r>
        <w:rPr>
          <w:rFonts w:hint="eastAsia" w:ascii="宋体" w:hAnsi="宋体"/>
          <w:b/>
          <w:sz w:val="32"/>
          <w:szCs w:val="32"/>
        </w:rPr>
        <w:t>三、法定代表人身份证明</w:t>
      </w:r>
    </w:p>
    <w:p>
      <w:pPr>
        <w:pStyle w:val="14"/>
      </w:pPr>
    </w:p>
    <w:p>
      <w:pPr>
        <w:spacing w:line="360" w:lineRule="auto"/>
        <w:rPr>
          <w:rFonts w:ascii="宋体" w:hAnsi="宋体"/>
          <w:sz w:val="24"/>
        </w:rPr>
      </w:pPr>
      <w:r>
        <w:rPr>
          <w:rFonts w:ascii="宋体" w:hAnsi="宋体"/>
          <w:sz w:val="24"/>
        </w:rPr>
        <w:t>投标人名称：</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ascii="宋体" w:hAnsi="宋体"/>
          <w:sz w:val="24"/>
        </w:rPr>
        <w:t>地址：</w:t>
      </w:r>
      <w:r>
        <w:rPr>
          <w:rFonts w:ascii="宋体" w:hAnsi="宋体"/>
          <w:sz w:val="24"/>
          <w:u w:val="single"/>
        </w:rPr>
        <w:t xml:space="preserve">                                   </w:t>
      </w:r>
    </w:p>
    <w:p>
      <w:pPr>
        <w:spacing w:line="360" w:lineRule="auto"/>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rPr>
          <w:rFonts w:ascii="宋体" w:hAnsi="宋体"/>
          <w:sz w:val="24"/>
        </w:rPr>
      </w:pPr>
      <w:r>
        <w:rPr>
          <w:rFonts w:ascii="宋体" w:hAnsi="宋体"/>
          <w:sz w:val="24"/>
        </w:rPr>
        <w:t>经营期限：</w:t>
      </w:r>
      <w:r>
        <w:rPr>
          <w:rFonts w:ascii="宋体" w:hAnsi="宋体"/>
          <w:sz w:val="24"/>
          <w:u w:val="single"/>
        </w:rPr>
        <w:t xml:space="preserve">                               </w:t>
      </w:r>
    </w:p>
    <w:p>
      <w:pPr>
        <w:spacing w:line="360" w:lineRule="auto"/>
        <w:rPr>
          <w:rFonts w:ascii="宋体" w:hAnsi="宋体"/>
          <w:sz w:val="24"/>
        </w:rPr>
      </w:pPr>
      <w:r>
        <w:rPr>
          <w:rFonts w:ascii="宋体" w:hAnsi="宋体"/>
          <w:sz w:val="24"/>
        </w:rPr>
        <w:t>姓名：</w:t>
      </w:r>
      <w:r>
        <w:rPr>
          <w:rFonts w:hint="eastAsia" w:ascii="宋体" w:hAnsi="宋体"/>
          <w:sz w:val="24"/>
          <w:u w:val="single"/>
        </w:rPr>
        <w:t>（法定代表人签字）</w:t>
      </w:r>
      <w:r>
        <w:rPr>
          <w:rFonts w:ascii="宋体" w:hAnsi="宋体"/>
          <w:sz w:val="24"/>
        </w:rPr>
        <w:t xml:space="preserve"> 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pPr>
        <w:spacing w:line="360" w:lineRule="auto"/>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 xml:space="preserve"> </w:t>
      </w:r>
      <w:r>
        <w:rPr>
          <w:rFonts w:hint="eastAsia" w:ascii="宋体" w:hAnsi="宋体"/>
          <w:sz w:val="24"/>
        </w:rPr>
        <w:t>（</w:t>
      </w:r>
      <w:r>
        <w:rPr>
          <w:rFonts w:ascii="宋体" w:hAnsi="宋体"/>
          <w:sz w:val="24"/>
        </w:rPr>
        <w:t>投标人名称</w:t>
      </w:r>
      <w:r>
        <w:rPr>
          <w:rFonts w:hint="eastAsia" w:ascii="宋体" w:hAnsi="宋体"/>
          <w:sz w:val="24"/>
        </w:rPr>
        <w:t>）</w:t>
      </w:r>
      <w:r>
        <w:rPr>
          <w:rFonts w:ascii="宋体" w:hAnsi="宋体"/>
          <w:sz w:val="24"/>
        </w:rPr>
        <w:t>的法定代表人。</w:t>
      </w:r>
    </w:p>
    <w:p>
      <w:pPr>
        <w:spacing w:line="360" w:lineRule="auto"/>
        <w:ind w:firstLine="480" w:firstLineChars="200"/>
        <w:rPr>
          <w:rFonts w:ascii="宋体" w:hAnsi="宋体"/>
          <w:sz w:val="24"/>
        </w:rPr>
      </w:pPr>
      <w:r>
        <w:rPr>
          <w:rFonts w:ascii="宋体" w:hAnsi="宋体"/>
          <w:sz w:val="24"/>
        </w:rPr>
        <w:t>特此证明。</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投标人：</w:t>
      </w:r>
      <w:r>
        <w:rPr>
          <w:rFonts w:ascii="宋体" w:hAnsi="宋体"/>
          <w:sz w:val="24"/>
          <w:u w:val="single"/>
        </w:rPr>
        <w:t xml:space="preserve">                 </w:t>
      </w:r>
      <w:r>
        <w:rPr>
          <w:rFonts w:ascii="宋体" w:hAnsi="宋体"/>
          <w:sz w:val="24"/>
        </w:rPr>
        <w:t>（盖单位</w:t>
      </w:r>
      <w:r>
        <w:rPr>
          <w:rFonts w:hint="eastAsia" w:ascii="宋体" w:hAnsi="宋体"/>
          <w:sz w:val="24"/>
        </w:rPr>
        <w:t>公章</w:t>
      </w:r>
      <w:r>
        <w:rPr>
          <w:rFonts w:ascii="宋体" w:hAnsi="宋体"/>
          <w:sz w:val="24"/>
        </w:rPr>
        <w:t>）</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pPr>
        <w:spacing w:line="360" w:lineRule="auto"/>
        <w:ind w:firstLine="120" w:firstLineChars="50"/>
        <w:rPr>
          <w:rFonts w:ascii="宋体" w:hAnsi="宋体"/>
          <w:sz w:val="24"/>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spacing w:line="360" w:lineRule="auto"/>
        <w:ind w:firstLine="120" w:firstLineChars="50"/>
        <w:rPr>
          <w:rFonts w:ascii="宋体" w:hAnsi="宋体"/>
          <w:sz w:val="24"/>
        </w:rPr>
      </w:pPr>
    </w:p>
    <w:p>
      <w:pPr>
        <w:spacing w:line="360" w:lineRule="auto"/>
        <w:ind w:left="840" w:hanging="840" w:hangingChars="350"/>
        <w:rPr>
          <w:rFonts w:ascii="宋体" w:hAnsi="宋体"/>
          <w:bCs/>
          <w:sz w:val="24"/>
        </w:rPr>
      </w:pPr>
      <w:r>
        <w:rPr>
          <w:rFonts w:hint="eastAsia" w:ascii="宋体" w:hAnsi="宋体"/>
          <w:bCs/>
          <w:sz w:val="24"/>
        </w:rPr>
        <w:t>注：1. 法定代表人的签字必须是亲笔签字，不得使用印章、签名章或者其它电子制版签名代替；</w:t>
      </w:r>
    </w:p>
    <w:p>
      <w:pPr>
        <w:spacing w:line="360" w:lineRule="auto"/>
        <w:ind w:left="780" w:leftChars="200" w:hanging="360" w:hangingChars="150"/>
        <w:rPr>
          <w:rFonts w:ascii="宋体" w:hAnsi="宋体"/>
          <w:bCs/>
          <w:sz w:val="24"/>
        </w:rPr>
      </w:pPr>
      <w:r>
        <w:rPr>
          <w:rFonts w:hint="eastAsia" w:ascii="宋体" w:hAnsi="宋体"/>
          <w:bCs/>
          <w:sz w:val="24"/>
        </w:rPr>
        <w:t>2. 需附上法定代表人身份证复印件；</w:t>
      </w:r>
    </w:p>
    <w:p>
      <w:pPr>
        <w:spacing w:line="360" w:lineRule="auto"/>
        <w:ind w:left="780" w:leftChars="200" w:hanging="360" w:hangingChars="150"/>
        <w:rPr>
          <w:rFonts w:ascii="宋体" w:hAnsi="宋体"/>
          <w:bCs/>
          <w:sz w:val="24"/>
        </w:rPr>
      </w:pPr>
      <w:r>
        <w:rPr>
          <w:rFonts w:hint="eastAsia" w:ascii="宋体" w:hAnsi="宋体"/>
          <w:bCs/>
          <w:sz w:val="24"/>
        </w:rPr>
        <w:t>3. 如果由报价人的法定代表人签署所有报价文件，则不需提交授权委托书。</w:t>
      </w:r>
    </w:p>
    <w:p>
      <w:pPr>
        <w:spacing w:line="360" w:lineRule="auto"/>
        <w:jc w:val="center"/>
        <w:rPr>
          <w:rFonts w:ascii="宋体" w:hAnsi="宋体"/>
          <w:b/>
          <w:sz w:val="28"/>
          <w:szCs w:val="28"/>
        </w:rPr>
      </w:pPr>
      <w:r>
        <w:rPr>
          <w:rFonts w:hint="eastAsia" w:ascii="宋体" w:hAnsi="宋体"/>
          <w:b/>
          <w:szCs w:val="21"/>
        </w:rPr>
        <w:br w:type="page"/>
      </w:r>
      <w:bookmarkStart w:id="24" w:name="_Toc144974861"/>
      <w:bookmarkStart w:id="25" w:name="_Toc152042581"/>
      <w:bookmarkStart w:id="26" w:name="_Toc152045792"/>
      <w:r>
        <w:rPr>
          <w:rFonts w:hint="eastAsia" w:ascii="宋体" w:hAnsi="宋体"/>
          <w:b/>
          <w:sz w:val="32"/>
          <w:szCs w:val="32"/>
        </w:rPr>
        <w:t>四、授权委托书</w:t>
      </w:r>
      <w:bookmarkEnd w:id="24"/>
      <w:bookmarkEnd w:id="25"/>
      <w:bookmarkEnd w:id="26"/>
    </w:p>
    <w:p>
      <w:pPr>
        <w:spacing w:line="360" w:lineRule="auto"/>
        <w:rPr>
          <w:rFonts w:ascii="宋体" w:hAnsi="宋体"/>
          <w:sz w:val="28"/>
          <w:szCs w:val="28"/>
        </w:rPr>
      </w:pP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w:t>
      </w:r>
      <w:r>
        <w:rPr>
          <w:rFonts w:hint="eastAsia" w:ascii="宋体" w:hAnsi="宋体"/>
          <w:sz w:val="24"/>
        </w:rPr>
        <w:t>报价</w:t>
      </w:r>
      <w:r>
        <w:rPr>
          <w:rFonts w:ascii="宋体" w:hAnsi="宋体"/>
          <w:sz w:val="24"/>
        </w:rPr>
        <w:t>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b/>
          <w:sz w:val="24"/>
          <w:u w:val="single"/>
        </w:rPr>
        <w:t>渝湘高速公路复线（巴南至彭水段）</w:t>
      </w:r>
      <w:r>
        <w:rPr>
          <w:rFonts w:hint="eastAsia" w:ascii="宋体" w:hAnsi="宋体"/>
          <w:b/>
          <w:sz w:val="24"/>
          <w:u w:val="single"/>
          <w:lang w:eastAsia="zh-CN"/>
        </w:rPr>
        <w:t>、（</w:t>
      </w:r>
      <w:r>
        <w:rPr>
          <w:rFonts w:hint="eastAsia" w:ascii="宋体" w:hAnsi="宋体"/>
          <w:b/>
          <w:sz w:val="24"/>
          <w:u w:val="single"/>
          <w:lang w:val="en-US" w:eastAsia="zh-CN"/>
        </w:rPr>
        <w:t>彭水至酉阳段</w:t>
      </w:r>
      <w:r>
        <w:rPr>
          <w:rFonts w:hint="eastAsia" w:ascii="宋体" w:hAnsi="宋体"/>
          <w:b/>
          <w:sz w:val="24"/>
          <w:u w:val="single"/>
          <w:lang w:eastAsia="zh-CN"/>
        </w:rPr>
        <w:t>）、（</w:t>
      </w:r>
      <w:r>
        <w:rPr>
          <w:rFonts w:hint="eastAsia" w:ascii="宋体" w:hAnsi="宋体"/>
          <w:b/>
          <w:sz w:val="24"/>
          <w:u w:val="single"/>
          <w:lang w:val="en-US" w:eastAsia="zh-CN"/>
        </w:rPr>
        <w:t>武隆至道真</w:t>
      </w:r>
      <w:r>
        <w:rPr>
          <w:rFonts w:hint="eastAsia" w:ascii="宋体" w:hAnsi="宋体"/>
          <w:b/>
          <w:sz w:val="24"/>
          <w:u w:val="single"/>
          <w:lang w:eastAsia="zh-CN"/>
        </w:rPr>
        <w:t>）</w:t>
      </w:r>
      <w:r>
        <w:rPr>
          <w:rFonts w:hint="eastAsia" w:ascii="宋体" w:hAnsi="宋体"/>
          <w:b/>
          <w:sz w:val="24"/>
          <w:u w:val="single"/>
          <w:lang w:val="en-US" w:eastAsia="zh-CN"/>
        </w:rPr>
        <w:t>重庆段</w:t>
      </w:r>
      <w:r>
        <w:rPr>
          <w:rFonts w:hint="eastAsia" w:ascii="宋体" w:hAnsi="宋体"/>
          <w:b/>
          <w:sz w:val="24"/>
          <w:u w:val="single"/>
        </w:rPr>
        <w:t>高速公路项目改迁及拆迁工程造价咨询服务竞争性询价</w:t>
      </w:r>
      <w:r>
        <w:rPr>
          <w:rFonts w:hint="eastAsia" w:ascii="宋体" w:hAnsi="宋体"/>
          <w:sz w:val="24"/>
        </w:rPr>
        <w:t>相关报价资料</w:t>
      </w:r>
      <w:r>
        <w:rPr>
          <w:rFonts w:ascii="宋体" w:hAnsi="宋体"/>
          <w:sz w:val="24"/>
        </w:rPr>
        <w:t>、</w:t>
      </w:r>
      <w:r>
        <w:rPr>
          <w:rFonts w:hint="eastAsia" w:ascii="宋体" w:hAnsi="宋体"/>
          <w:sz w:val="24"/>
        </w:rPr>
        <w:t>编制</w:t>
      </w:r>
      <w:r>
        <w:rPr>
          <w:rFonts w:ascii="宋体" w:hAnsi="宋体"/>
          <w:sz w:val="24"/>
        </w:rPr>
        <w:t>合同和处理有关事宜，其法律后果由我方承担。</w:t>
      </w:r>
    </w:p>
    <w:p>
      <w:pPr>
        <w:spacing w:line="360" w:lineRule="auto"/>
        <w:rPr>
          <w:rFonts w:ascii="宋体" w:hAnsi="宋体"/>
          <w:sz w:val="24"/>
        </w:rPr>
      </w:pPr>
      <w:r>
        <w:rPr>
          <w:rFonts w:ascii="宋体" w:hAnsi="宋体"/>
          <w:sz w:val="24"/>
        </w:rPr>
        <w:t xml:space="preserve">    委托期限：</w:t>
      </w:r>
      <w:r>
        <w:rPr>
          <w:rFonts w:hint="eastAsia" w:ascii="宋体" w:hAnsi="宋体"/>
          <w:sz w:val="24"/>
          <w:u w:val="single"/>
        </w:rPr>
        <w:t>本项目投标有效期内</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代理人无转委托权。</w:t>
      </w:r>
    </w:p>
    <w:p>
      <w:pPr>
        <w:spacing w:line="360" w:lineRule="auto"/>
        <w:ind w:firstLine="480" w:firstLineChars="200"/>
        <w:rPr>
          <w:rFonts w:ascii="宋体" w:hAnsi="宋体"/>
          <w:sz w:val="24"/>
        </w:rPr>
      </w:pPr>
      <w:r>
        <w:rPr>
          <w:rFonts w:hint="eastAsia" w:ascii="宋体" w:hAnsi="宋体"/>
          <w:sz w:val="24"/>
        </w:rPr>
        <w:t>附：法定代表人身份证明</w:t>
      </w:r>
    </w:p>
    <w:p>
      <w:pPr>
        <w:spacing w:line="360" w:lineRule="auto"/>
        <w:rPr>
          <w:rFonts w:ascii="宋体" w:hAnsi="宋体"/>
          <w:sz w:val="24"/>
        </w:rPr>
      </w:pPr>
    </w:p>
    <w:p>
      <w:pPr>
        <w:spacing w:line="360" w:lineRule="auto"/>
        <w:rPr>
          <w:rFonts w:ascii="宋体" w:hAnsi="宋体"/>
          <w:sz w:val="24"/>
        </w:rPr>
      </w:pPr>
      <w:r>
        <w:rPr>
          <w:rFonts w:ascii="宋体" w:hAnsi="宋体"/>
          <w:sz w:val="24"/>
        </w:rPr>
        <w:t>投标人：</w:t>
      </w:r>
      <w:r>
        <w:rPr>
          <w:rFonts w:ascii="宋体" w:hAnsi="宋体"/>
          <w:sz w:val="24"/>
          <w:u w:val="single"/>
        </w:rPr>
        <w:t xml:space="preserve">                               </w:t>
      </w:r>
      <w:r>
        <w:rPr>
          <w:rFonts w:hint="eastAsia" w:ascii="宋体" w:hAnsi="宋体"/>
          <w:sz w:val="24"/>
          <w:u w:val="single"/>
        </w:rPr>
        <w:t xml:space="preserve">    </w:t>
      </w:r>
      <w:r>
        <w:rPr>
          <w:rFonts w:ascii="宋体" w:hAnsi="宋体"/>
          <w:sz w:val="24"/>
        </w:rPr>
        <w:t>（盖单位</w:t>
      </w:r>
      <w:r>
        <w:rPr>
          <w:rFonts w:hint="eastAsia" w:ascii="宋体" w:hAnsi="宋体"/>
          <w:sz w:val="24"/>
        </w:rPr>
        <w:t>公</w:t>
      </w:r>
      <w:r>
        <w:rPr>
          <w:rFonts w:ascii="宋体" w:hAnsi="宋体"/>
          <w:sz w:val="24"/>
        </w:rPr>
        <w:t>章）</w:t>
      </w:r>
    </w:p>
    <w:p>
      <w:pPr>
        <w:spacing w:line="360" w:lineRule="auto"/>
        <w:rPr>
          <w:rFonts w:ascii="宋体" w:hAnsi="宋体"/>
          <w:sz w:val="24"/>
        </w:rPr>
      </w:pPr>
      <w:r>
        <w:rPr>
          <w:rFonts w:ascii="宋体" w:hAnsi="宋体"/>
          <w:sz w:val="24"/>
        </w:rPr>
        <w:t>法定代表人：</w:t>
      </w:r>
      <w:r>
        <w:rPr>
          <w:rFonts w:ascii="宋体" w:hAnsi="宋体"/>
          <w:sz w:val="24"/>
          <w:u w:val="single"/>
        </w:rPr>
        <w:t xml:space="preserve">                               </w:t>
      </w:r>
      <w:r>
        <w:rPr>
          <w:rFonts w:hint="eastAsia" w:ascii="宋体" w:hAnsi="宋体"/>
          <w:sz w:val="24"/>
          <w:u w:val="single"/>
        </w:rPr>
        <w:t xml:space="preserve">     </w:t>
      </w:r>
      <w:r>
        <w:rPr>
          <w:rFonts w:ascii="宋体" w:hAnsi="宋体"/>
          <w:sz w:val="24"/>
        </w:rPr>
        <w:t>（签字）</w:t>
      </w:r>
    </w:p>
    <w:p>
      <w:pPr>
        <w:spacing w:line="360" w:lineRule="auto"/>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spacing w:line="360" w:lineRule="auto"/>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p>
    <w:p>
      <w:pPr>
        <w:spacing w:line="360" w:lineRule="auto"/>
        <w:ind w:firstLine="3360" w:firstLineChars="14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napToGrid w:val="0"/>
        <w:spacing w:after="120" w:line="360" w:lineRule="auto"/>
        <w:rPr>
          <w:rFonts w:ascii="宋体" w:hAnsi="宋体"/>
          <w:sz w:val="24"/>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pStyle w:val="14"/>
        <w:rPr>
          <w:rFonts w:hAnsi="宋体"/>
        </w:rPr>
      </w:pPr>
    </w:p>
    <w:p>
      <w:pPr>
        <w:snapToGrid w:val="0"/>
        <w:spacing w:after="120" w:line="360" w:lineRule="auto"/>
        <w:rPr>
          <w:rFonts w:ascii="宋体" w:hAnsi="宋体"/>
          <w:sz w:val="24"/>
        </w:rPr>
      </w:pPr>
      <w:r>
        <w:rPr>
          <w:rFonts w:hint="eastAsia" w:ascii="宋体" w:hAnsi="宋体"/>
          <w:sz w:val="24"/>
        </w:rPr>
        <w:t>注：授权人和被授权人的签字必须是亲笔签名，不得用印章、签名章或其他电子制版签名。报价申请人还需附上授权人和被授权人的身份证复印件。</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五、资格审查表</w:t>
      </w:r>
    </w:p>
    <w:p>
      <w:pPr>
        <w:jc w:val="center"/>
        <w:rPr>
          <w:b/>
          <w:sz w:val="28"/>
          <w:szCs w:val="28"/>
        </w:rPr>
      </w:pPr>
      <w:r>
        <w:rPr>
          <w:b/>
          <w:sz w:val="28"/>
          <w:szCs w:val="28"/>
        </w:rPr>
        <w:t>（</w:t>
      </w:r>
      <w:r>
        <w:rPr>
          <w:rFonts w:hint="eastAsia"/>
          <w:b/>
          <w:sz w:val="28"/>
          <w:szCs w:val="28"/>
        </w:rPr>
        <w:t>表1</w:t>
      </w:r>
      <w:r>
        <w:rPr>
          <w:b/>
          <w:sz w:val="28"/>
          <w:szCs w:val="28"/>
        </w:rPr>
        <w:t>）报价人基本情况表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107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14"/>
              <w:spacing w:line="360" w:lineRule="auto"/>
              <w:jc w:val="center"/>
              <w:rPr>
                <w:color w:val="auto"/>
              </w:rPr>
            </w:pPr>
            <w:r>
              <w:rPr>
                <w:color w:val="auto"/>
              </w:rPr>
              <w:t>申请人名称</w:t>
            </w:r>
          </w:p>
        </w:tc>
        <w:tc>
          <w:tcPr>
            <w:tcW w:w="7125" w:type="dxa"/>
            <w:gridSpan w:val="7"/>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14"/>
              <w:spacing w:line="360" w:lineRule="auto"/>
              <w:jc w:val="center"/>
              <w:rPr>
                <w:color w:val="auto"/>
              </w:rPr>
            </w:pPr>
            <w:r>
              <w:rPr>
                <w:color w:val="auto"/>
              </w:rPr>
              <w:t>注册地址</w:t>
            </w:r>
          </w:p>
        </w:tc>
        <w:tc>
          <w:tcPr>
            <w:tcW w:w="2695" w:type="dxa"/>
            <w:gridSpan w:val="3"/>
            <w:vAlign w:val="center"/>
          </w:tcPr>
          <w:p>
            <w:pPr>
              <w:pStyle w:val="14"/>
              <w:spacing w:line="360" w:lineRule="auto"/>
              <w:jc w:val="center"/>
              <w:rPr>
                <w:color w:val="auto"/>
              </w:rPr>
            </w:pPr>
          </w:p>
        </w:tc>
        <w:tc>
          <w:tcPr>
            <w:tcW w:w="1260" w:type="dxa"/>
            <w:gridSpan w:val="2"/>
            <w:vAlign w:val="center"/>
          </w:tcPr>
          <w:p>
            <w:pPr>
              <w:pStyle w:val="14"/>
              <w:spacing w:line="360" w:lineRule="auto"/>
              <w:jc w:val="center"/>
              <w:rPr>
                <w:color w:val="auto"/>
              </w:rPr>
            </w:pPr>
            <w:r>
              <w:rPr>
                <w:color w:val="auto"/>
              </w:rPr>
              <w:t>邮政编码</w:t>
            </w:r>
          </w:p>
        </w:tc>
        <w:tc>
          <w:tcPr>
            <w:tcW w:w="3170" w:type="dxa"/>
            <w:gridSpan w:val="2"/>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2" w:type="dxa"/>
            <w:vMerge w:val="restart"/>
            <w:vAlign w:val="center"/>
          </w:tcPr>
          <w:p>
            <w:pPr>
              <w:pStyle w:val="14"/>
              <w:spacing w:line="360" w:lineRule="auto"/>
              <w:jc w:val="center"/>
              <w:rPr>
                <w:color w:val="auto"/>
              </w:rPr>
            </w:pPr>
            <w:r>
              <w:rPr>
                <w:color w:val="auto"/>
              </w:rPr>
              <w:t>联系方式</w:t>
            </w:r>
          </w:p>
        </w:tc>
        <w:tc>
          <w:tcPr>
            <w:tcW w:w="857" w:type="dxa"/>
            <w:vAlign w:val="center"/>
          </w:tcPr>
          <w:p>
            <w:pPr>
              <w:pStyle w:val="14"/>
              <w:spacing w:line="360" w:lineRule="auto"/>
              <w:jc w:val="center"/>
              <w:rPr>
                <w:color w:val="auto"/>
              </w:rPr>
            </w:pPr>
            <w:r>
              <w:rPr>
                <w:color w:val="auto"/>
              </w:rPr>
              <w:t>联系人</w:t>
            </w:r>
          </w:p>
        </w:tc>
        <w:tc>
          <w:tcPr>
            <w:tcW w:w="1838" w:type="dxa"/>
            <w:gridSpan w:val="2"/>
            <w:vAlign w:val="center"/>
          </w:tcPr>
          <w:p>
            <w:pPr>
              <w:pStyle w:val="14"/>
              <w:spacing w:line="360" w:lineRule="auto"/>
              <w:jc w:val="center"/>
              <w:rPr>
                <w:color w:val="auto"/>
              </w:rPr>
            </w:pPr>
          </w:p>
        </w:tc>
        <w:tc>
          <w:tcPr>
            <w:tcW w:w="1260" w:type="dxa"/>
            <w:gridSpan w:val="2"/>
            <w:vAlign w:val="center"/>
          </w:tcPr>
          <w:p>
            <w:pPr>
              <w:pStyle w:val="14"/>
              <w:spacing w:line="360" w:lineRule="auto"/>
              <w:jc w:val="center"/>
              <w:rPr>
                <w:color w:val="auto"/>
              </w:rPr>
            </w:pPr>
            <w:r>
              <w:rPr>
                <w:color w:val="auto"/>
              </w:rPr>
              <w:t>电话</w:t>
            </w:r>
          </w:p>
        </w:tc>
        <w:tc>
          <w:tcPr>
            <w:tcW w:w="3181" w:type="dxa"/>
            <w:gridSpan w:val="3"/>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2" w:type="dxa"/>
            <w:vMerge w:val="continue"/>
            <w:vAlign w:val="center"/>
          </w:tcPr>
          <w:p>
            <w:pPr>
              <w:pStyle w:val="14"/>
              <w:spacing w:line="360" w:lineRule="auto"/>
              <w:jc w:val="center"/>
              <w:rPr>
                <w:color w:val="auto"/>
              </w:rPr>
            </w:pPr>
          </w:p>
        </w:tc>
        <w:tc>
          <w:tcPr>
            <w:tcW w:w="857" w:type="dxa"/>
            <w:vAlign w:val="center"/>
          </w:tcPr>
          <w:p>
            <w:pPr>
              <w:pStyle w:val="14"/>
              <w:spacing w:line="360" w:lineRule="auto"/>
              <w:jc w:val="center"/>
              <w:rPr>
                <w:color w:val="auto"/>
              </w:rPr>
            </w:pPr>
            <w:r>
              <w:rPr>
                <w:color w:val="auto"/>
              </w:rPr>
              <w:t>传真</w:t>
            </w:r>
          </w:p>
        </w:tc>
        <w:tc>
          <w:tcPr>
            <w:tcW w:w="1838" w:type="dxa"/>
            <w:gridSpan w:val="2"/>
            <w:vAlign w:val="center"/>
          </w:tcPr>
          <w:p>
            <w:pPr>
              <w:pStyle w:val="14"/>
              <w:spacing w:line="360" w:lineRule="auto"/>
              <w:jc w:val="center"/>
              <w:rPr>
                <w:color w:val="auto"/>
              </w:rPr>
            </w:pPr>
          </w:p>
        </w:tc>
        <w:tc>
          <w:tcPr>
            <w:tcW w:w="1260" w:type="dxa"/>
            <w:gridSpan w:val="2"/>
            <w:vAlign w:val="center"/>
          </w:tcPr>
          <w:p>
            <w:pPr>
              <w:pStyle w:val="14"/>
              <w:spacing w:line="360" w:lineRule="auto"/>
              <w:jc w:val="center"/>
              <w:rPr>
                <w:color w:val="auto"/>
              </w:rPr>
            </w:pPr>
            <w:r>
              <w:rPr>
                <w:color w:val="auto"/>
              </w:rPr>
              <w:t>电子邮件</w:t>
            </w:r>
          </w:p>
        </w:tc>
        <w:tc>
          <w:tcPr>
            <w:tcW w:w="3181" w:type="dxa"/>
            <w:gridSpan w:val="3"/>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14"/>
              <w:spacing w:line="360" w:lineRule="auto"/>
              <w:jc w:val="center"/>
              <w:rPr>
                <w:color w:val="auto"/>
              </w:rPr>
            </w:pPr>
            <w:r>
              <w:rPr>
                <w:color w:val="auto"/>
              </w:rPr>
              <w:t>法定代表人</w:t>
            </w:r>
          </w:p>
        </w:tc>
        <w:tc>
          <w:tcPr>
            <w:tcW w:w="857" w:type="dxa"/>
            <w:vAlign w:val="center"/>
          </w:tcPr>
          <w:p>
            <w:pPr>
              <w:pStyle w:val="14"/>
              <w:spacing w:line="360" w:lineRule="auto"/>
              <w:jc w:val="center"/>
              <w:rPr>
                <w:color w:val="auto"/>
              </w:rPr>
            </w:pPr>
            <w:r>
              <w:rPr>
                <w:color w:val="auto"/>
              </w:rPr>
              <w:t>姓名</w:t>
            </w:r>
          </w:p>
        </w:tc>
        <w:tc>
          <w:tcPr>
            <w:tcW w:w="765" w:type="dxa"/>
            <w:vAlign w:val="center"/>
          </w:tcPr>
          <w:p>
            <w:pPr>
              <w:pStyle w:val="14"/>
              <w:spacing w:line="360" w:lineRule="auto"/>
              <w:jc w:val="center"/>
              <w:rPr>
                <w:color w:val="auto"/>
              </w:rPr>
            </w:pPr>
          </w:p>
        </w:tc>
        <w:tc>
          <w:tcPr>
            <w:tcW w:w="1236" w:type="dxa"/>
            <w:gridSpan w:val="2"/>
            <w:vAlign w:val="center"/>
          </w:tcPr>
          <w:p>
            <w:pPr>
              <w:pStyle w:val="14"/>
              <w:spacing w:line="360" w:lineRule="auto"/>
              <w:jc w:val="center"/>
              <w:rPr>
                <w:color w:val="auto"/>
              </w:rPr>
            </w:pPr>
            <w:r>
              <w:rPr>
                <w:color w:val="auto"/>
              </w:rPr>
              <w:t>技术职称</w:t>
            </w:r>
          </w:p>
        </w:tc>
        <w:tc>
          <w:tcPr>
            <w:tcW w:w="1097" w:type="dxa"/>
            <w:vAlign w:val="center"/>
          </w:tcPr>
          <w:p>
            <w:pPr>
              <w:pStyle w:val="14"/>
              <w:spacing w:line="360" w:lineRule="auto"/>
              <w:jc w:val="center"/>
              <w:rPr>
                <w:color w:val="auto"/>
              </w:rPr>
            </w:pPr>
          </w:p>
        </w:tc>
        <w:tc>
          <w:tcPr>
            <w:tcW w:w="904" w:type="dxa"/>
            <w:vAlign w:val="center"/>
          </w:tcPr>
          <w:p>
            <w:pPr>
              <w:pStyle w:val="14"/>
              <w:spacing w:line="360" w:lineRule="auto"/>
              <w:jc w:val="center"/>
              <w:rPr>
                <w:color w:val="auto"/>
              </w:rPr>
            </w:pPr>
            <w:r>
              <w:rPr>
                <w:color w:val="auto"/>
              </w:rPr>
              <w:t>电话</w:t>
            </w:r>
          </w:p>
        </w:tc>
        <w:tc>
          <w:tcPr>
            <w:tcW w:w="2266" w:type="dxa"/>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922" w:type="dxa"/>
            <w:vAlign w:val="center"/>
          </w:tcPr>
          <w:p>
            <w:pPr>
              <w:pStyle w:val="14"/>
              <w:spacing w:line="360" w:lineRule="auto"/>
              <w:jc w:val="center"/>
              <w:rPr>
                <w:color w:val="auto"/>
              </w:rPr>
            </w:pPr>
            <w:r>
              <w:rPr>
                <w:color w:val="auto"/>
              </w:rPr>
              <w:t>技术负责人</w:t>
            </w:r>
          </w:p>
        </w:tc>
        <w:tc>
          <w:tcPr>
            <w:tcW w:w="857" w:type="dxa"/>
            <w:vAlign w:val="center"/>
          </w:tcPr>
          <w:p>
            <w:pPr>
              <w:pStyle w:val="14"/>
              <w:spacing w:line="360" w:lineRule="auto"/>
              <w:jc w:val="center"/>
              <w:rPr>
                <w:color w:val="auto"/>
              </w:rPr>
            </w:pPr>
            <w:r>
              <w:rPr>
                <w:color w:val="auto"/>
              </w:rPr>
              <w:t>姓名</w:t>
            </w:r>
          </w:p>
        </w:tc>
        <w:tc>
          <w:tcPr>
            <w:tcW w:w="765" w:type="dxa"/>
            <w:vAlign w:val="center"/>
          </w:tcPr>
          <w:p>
            <w:pPr>
              <w:pStyle w:val="14"/>
              <w:spacing w:line="360" w:lineRule="auto"/>
              <w:jc w:val="center"/>
              <w:rPr>
                <w:color w:val="auto"/>
              </w:rPr>
            </w:pPr>
          </w:p>
        </w:tc>
        <w:tc>
          <w:tcPr>
            <w:tcW w:w="1236" w:type="dxa"/>
            <w:gridSpan w:val="2"/>
            <w:vAlign w:val="center"/>
          </w:tcPr>
          <w:p>
            <w:pPr>
              <w:pStyle w:val="14"/>
              <w:spacing w:line="360" w:lineRule="auto"/>
              <w:jc w:val="center"/>
              <w:rPr>
                <w:color w:val="auto"/>
              </w:rPr>
            </w:pPr>
            <w:r>
              <w:rPr>
                <w:color w:val="auto"/>
              </w:rPr>
              <w:t>技术职称</w:t>
            </w:r>
          </w:p>
        </w:tc>
        <w:tc>
          <w:tcPr>
            <w:tcW w:w="1097" w:type="dxa"/>
            <w:vAlign w:val="center"/>
          </w:tcPr>
          <w:p>
            <w:pPr>
              <w:pStyle w:val="14"/>
              <w:spacing w:line="360" w:lineRule="auto"/>
              <w:jc w:val="center"/>
              <w:rPr>
                <w:color w:val="auto"/>
              </w:rPr>
            </w:pPr>
          </w:p>
        </w:tc>
        <w:tc>
          <w:tcPr>
            <w:tcW w:w="904" w:type="dxa"/>
            <w:vAlign w:val="center"/>
          </w:tcPr>
          <w:p>
            <w:pPr>
              <w:pStyle w:val="14"/>
              <w:spacing w:line="360" w:lineRule="auto"/>
              <w:jc w:val="center"/>
              <w:rPr>
                <w:color w:val="auto"/>
              </w:rPr>
            </w:pPr>
            <w:r>
              <w:rPr>
                <w:color w:val="auto"/>
              </w:rPr>
              <w:t>电话</w:t>
            </w:r>
          </w:p>
        </w:tc>
        <w:tc>
          <w:tcPr>
            <w:tcW w:w="2266" w:type="dxa"/>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14"/>
              <w:spacing w:line="360" w:lineRule="auto"/>
              <w:jc w:val="center"/>
              <w:rPr>
                <w:color w:val="auto"/>
              </w:rPr>
            </w:pPr>
            <w:r>
              <w:rPr>
                <w:color w:val="auto"/>
              </w:rPr>
              <w:t>成立时间</w:t>
            </w:r>
          </w:p>
        </w:tc>
        <w:tc>
          <w:tcPr>
            <w:tcW w:w="1622" w:type="dxa"/>
            <w:gridSpan w:val="2"/>
            <w:vAlign w:val="center"/>
          </w:tcPr>
          <w:p>
            <w:pPr>
              <w:pStyle w:val="14"/>
              <w:spacing w:line="360" w:lineRule="auto"/>
              <w:jc w:val="center"/>
              <w:rPr>
                <w:color w:val="auto"/>
              </w:rPr>
            </w:pPr>
          </w:p>
        </w:tc>
        <w:tc>
          <w:tcPr>
            <w:tcW w:w="5503" w:type="dxa"/>
            <w:gridSpan w:val="5"/>
            <w:vAlign w:val="center"/>
          </w:tcPr>
          <w:p>
            <w:pPr>
              <w:pStyle w:val="14"/>
              <w:spacing w:line="360" w:lineRule="auto"/>
              <w:jc w:val="center"/>
              <w:rPr>
                <w:color w:val="auto"/>
              </w:rPr>
            </w:pPr>
            <w:r>
              <w:rPr>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14"/>
              <w:spacing w:line="360" w:lineRule="auto"/>
              <w:jc w:val="center"/>
              <w:rPr>
                <w:color w:val="auto"/>
              </w:rPr>
            </w:pPr>
            <w:r>
              <w:rPr>
                <w:color w:val="auto"/>
              </w:rPr>
              <w:t>资质等级</w:t>
            </w:r>
          </w:p>
        </w:tc>
        <w:tc>
          <w:tcPr>
            <w:tcW w:w="7125" w:type="dxa"/>
            <w:gridSpan w:val="7"/>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14"/>
              <w:spacing w:line="360" w:lineRule="auto"/>
              <w:jc w:val="center"/>
              <w:rPr>
                <w:color w:val="auto"/>
              </w:rPr>
            </w:pPr>
            <w:r>
              <w:rPr>
                <w:color w:val="auto"/>
              </w:rPr>
              <w:t>资质名称</w:t>
            </w:r>
          </w:p>
        </w:tc>
        <w:tc>
          <w:tcPr>
            <w:tcW w:w="7125" w:type="dxa"/>
            <w:gridSpan w:val="7"/>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11" w:hRule="atLeast"/>
          <w:jc w:val="center"/>
        </w:trPr>
        <w:tc>
          <w:tcPr>
            <w:tcW w:w="1922" w:type="dxa"/>
            <w:vAlign w:val="center"/>
          </w:tcPr>
          <w:p>
            <w:pPr>
              <w:pStyle w:val="14"/>
              <w:spacing w:line="360" w:lineRule="auto"/>
              <w:jc w:val="center"/>
              <w:rPr>
                <w:color w:val="auto"/>
              </w:rPr>
            </w:pPr>
            <w:r>
              <w:rPr>
                <w:color w:val="auto"/>
              </w:rPr>
              <w:t>营业执照号</w:t>
            </w:r>
          </w:p>
        </w:tc>
        <w:tc>
          <w:tcPr>
            <w:tcW w:w="7125" w:type="dxa"/>
            <w:gridSpan w:val="7"/>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03" w:hRule="atLeast"/>
          <w:jc w:val="center"/>
        </w:trPr>
        <w:tc>
          <w:tcPr>
            <w:tcW w:w="1922" w:type="dxa"/>
            <w:vAlign w:val="center"/>
          </w:tcPr>
          <w:p>
            <w:pPr>
              <w:pStyle w:val="14"/>
              <w:spacing w:line="360" w:lineRule="auto"/>
              <w:jc w:val="center"/>
              <w:rPr>
                <w:color w:val="auto"/>
              </w:rPr>
            </w:pPr>
            <w:r>
              <w:rPr>
                <w:color w:val="auto"/>
              </w:rPr>
              <w:t>注册资金</w:t>
            </w:r>
          </w:p>
        </w:tc>
        <w:tc>
          <w:tcPr>
            <w:tcW w:w="7125" w:type="dxa"/>
            <w:gridSpan w:val="7"/>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7" w:hRule="atLeast"/>
          <w:jc w:val="center"/>
        </w:trPr>
        <w:tc>
          <w:tcPr>
            <w:tcW w:w="1922" w:type="dxa"/>
            <w:vAlign w:val="center"/>
          </w:tcPr>
          <w:p>
            <w:pPr>
              <w:pStyle w:val="14"/>
              <w:spacing w:line="360" w:lineRule="auto"/>
              <w:jc w:val="center"/>
              <w:rPr>
                <w:color w:val="auto"/>
              </w:rPr>
            </w:pPr>
            <w:r>
              <w:rPr>
                <w:color w:val="auto"/>
              </w:rPr>
              <w:t>基本账户开户银行</w:t>
            </w:r>
          </w:p>
        </w:tc>
        <w:tc>
          <w:tcPr>
            <w:tcW w:w="7125" w:type="dxa"/>
            <w:gridSpan w:val="7"/>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87" w:hRule="atLeast"/>
          <w:jc w:val="center"/>
        </w:trPr>
        <w:tc>
          <w:tcPr>
            <w:tcW w:w="1922" w:type="dxa"/>
            <w:vAlign w:val="center"/>
          </w:tcPr>
          <w:p>
            <w:pPr>
              <w:pStyle w:val="14"/>
              <w:spacing w:line="360" w:lineRule="auto"/>
              <w:jc w:val="center"/>
              <w:rPr>
                <w:color w:val="auto"/>
              </w:rPr>
            </w:pPr>
            <w:r>
              <w:rPr>
                <w:color w:val="auto"/>
              </w:rPr>
              <w:t>基本账户账号</w:t>
            </w:r>
          </w:p>
        </w:tc>
        <w:tc>
          <w:tcPr>
            <w:tcW w:w="7125" w:type="dxa"/>
            <w:gridSpan w:val="7"/>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14"/>
              <w:spacing w:line="360" w:lineRule="auto"/>
              <w:jc w:val="center"/>
              <w:rPr>
                <w:color w:val="auto"/>
              </w:rPr>
            </w:pPr>
            <w:r>
              <w:rPr>
                <w:color w:val="auto"/>
              </w:rPr>
              <w:t>经营范围</w:t>
            </w:r>
          </w:p>
        </w:tc>
        <w:tc>
          <w:tcPr>
            <w:tcW w:w="7125" w:type="dxa"/>
            <w:gridSpan w:val="7"/>
            <w:vAlign w:val="center"/>
          </w:tcPr>
          <w:p>
            <w:pPr>
              <w:pStyle w:val="14"/>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14"/>
              <w:spacing w:line="360" w:lineRule="auto"/>
              <w:jc w:val="center"/>
              <w:rPr>
                <w:color w:val="auto"/>
              </w:rPr>
            </w:pPr>
            <w:r>
              <w:rPr>
                <w:color w:val="auto"/>
              </w:rPr>
              <w:t>备注</w:t>
            </w:r>
          </w:p>
        </w:tc>
        <w:tc>
          <w:tcPr>
            <w:tcW w:w="7125" w:type="dxa"/>
            <w:gridSpan w:val="7"/>
            <w:vAlign w:val="center"/>
          </w:tcPr>
          <w:p>
            <w:pPr>
              <w:pStyle w:val="14"/>
              <w:spacing w:line="360" w:lineRule="auto"/>
              <w:jc w:val="center"/>
              <w:rPr>
                <w:color w:val="auto"/>
              </w:rPr>
            </w:pPr>
          </w:p>
        </w:tc>
      </w:tr>
    </w:tbl>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sz w:val="24"/>
        </w:rPr>
        <w:t>注：在本表后应附企业法人营业执照副本（全本）的复印件（并加盖单位章），资质证书副本(全本)的复印件（并加盖单位章）、基本账户开户许可证（全本）的复印件（并加盖单位章）、</w:t>
      </w:r>
      <w:r>
        <w:rPr>
          <w:rFonts w:hint="eastAsia"/>
          <w:sz w:val="24"/>
        </w:rPr>
        <w:t>重庆市高速集团合格供方库中介机构库入库单位</w:t>
      </w:r>
      <w:r>
        <w:rPr>
          <w:sz w:val="24"/>
        </w:rPr>
        <w:t>，并被邀请到的中介单位的网站截图打印件（并加盖单位章）、报价人在“信用中国”网站(http：//www.creditchina.gov.cn/)上诚信记录的截图打印件（并加盖单位章）。</w:t>
      </w:r>
    </w:p>
    <w:p>
      <w:pPr>
        <w:jc w:val="center"/>
      </w:pPr>
      <w:r>
        <w:rPr>
          <w:b/>
          <w:sz w:val="32"/>
          <w:szCs w:val="32"/>
        </w:rPr>
        <w:br w:type="page"/>
      </w:r>
      <w:r>
        <w:rPr>
          <w:b/>
          <w:sz w:val="32"/>
          <w:szCs w:val="32"/>
        </w:rPr>
        <w:t>（</w:t>
      </w:r>
      <w:r>
        <w:rPr>
          <w:rFonts w:hint="eastAsia"/>
          <w:b/>
          <w:sz w:val="32"/>
          <w:szCs w:val="32"/>
        </w:rPr>
        <w:t>表2</w:t>
      </w:r>
      <w:r>
        <w:rPr>
          <w:b/>
          <w:sz w:val="32"/>
          <w:szCs w:val="32"/>
        </w:rPr>
        <w:t>）</w:t>
      </w:r>
      <w:r>
        <w:rPr>
          <w:rFonts w:hint="eastAsia"/>
          <w:b/>
          <w:sz w:val="28"/>
          <w:szCs w:val="28"/>
        </w:rPr>
        <w:t>拟委任的主要人员资历表</w:t>
      </w:r>
    </w:p>
    <w:tbl>
      <w:tblPr>
        <w:tblStyle w:val="10"/>
        <w:tblW w:w="891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2"/>
        <w:gridCol w:w="1485"/>
        <w:gridCol w:w="1046"/>
        <w:gridCol w:w="1362"/>
        <w:gridCol w:w="283"/>
        <w:gridCol w:w="1572"/>
        <w:gridCol w:w="33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 w:hRule="atLeast"/>
        </w:trPr>
        <w:tc>
          <w:tcPr>
            <w:tcW w:w="1512" w:type="dxa"/>
            <w:vAlign w:val="center"/>
          </w:tcPr>
          <w:p>
            <w:pPr>
              <w:autoSpaceDE w:val="0"/>
              <w:autoSpaceDN w:val="0"/>
              <w:spacing w:before="78" w:beforeLines="25" w:after="78" w:afterLines="25" w:line="400" w:lineRule="atLeast"/>
              <w:jc w:val="center"/>
              <w:textAlignment w:val="bottom"/>
              <w:rPr>
                <w:sz w:val="24"/>
              </w:rPr>
            </w:pPr>
            <w:r>
              <w:rPr>
                <w:sz w:val="24"/>
              </w:rPr>
              <w:t>姓名</w:t>
            </w:r>
          </w:p>
        </w:tc>
        <w:tc>
          <w:tcPr>
            <w:tcW w:w="1485" w:type="dxa"/>
            <w:vAlign w:val="center"/>
          </w:tcPr>
          <w:p>
            <w:pPr>
              <w:autoSpaceDE w:val="0"/>
              <w:autoSpaceDN w:val="0"/>
              <w:spacing w:before="78" w:beforeLines="25" w:after="78" w:afterLines="25" w:line="400" w:lineRule="atLeast"/>
              <w:jc w:val="center"/>
              <w:textAlignment w:val="bottom"/>
              <w:rPr>
                <w:sz w:val="24"/>
              </w:rPr>
            </w:pPr>
          </w:p>
        </w:tc>
        <w:tc>
          <w:tcPr>
            <w:tcW w:w="1046" w:type="dxa"/>
            <w:vAlign w:val="center"/>
          </w:tcPr>
          <w:p>
            <w:pPr>
              <w:autoSpaceDE w:val="0"/>
              <w:autoSpaceDN w:val="0"/>
              <w:spacing w:before="78" w:beforeLines="25" w:after="78" w:afterLines="25" w:line="400" w:lineRule="atLeast"/>
              <w:jc w:val="center"/>
              <w:textAlignment w:val="bottom"/>
              <w:rPr>
                <w:sz w:val="24"/>
              </w:rPr>
            </w:pPr>
            <w:r>
              <w:rPr>
                <w:sz w:val="24"/>
              </w:rPr>
              <w:t>年龄</w:t>
            </w:r>
          </w:p>
        </w:tc>
        <w:tc>
          <w:tcPr>
            <w:tcW w:w="1362" w:type="dxa"/>
          </w:tcPr>
          <w:p>
            <w:pPr>
              <w:autoSpaceDE w:val="0"/>
              <w:autoSpaceDN w:val="0"/>
              <w:spacing w:before="78" w:beforeLines="25" w:after="78" w:afterLines="25" w:line="400" w:lineRule="atLeast"/>
              <w:jc w:val="center"/>
              <w:textAlignment w:val="bottom"/>
              <w:rPr>
                <w:sz w:val="24"/>
              </w:rPr>
            </w:pPr>
          </w:p>
        </w:tc>
        <w:tc>
          <w:tcPr>
            <w:tcW w:w="1855" w:type="dxa"/>
            <w:gridSpan w:val="2"/>
          </w:tcPr>
          <w:p>
            <w:pPr>
              <w:autoSpaceDE w:val="0"/>
              <w:autoSpaceDN w:val="0"/>
              <w:spacing w:before="78" w:beforeLines="25" w:after="78" w:afterLines="25" w:line="400" w:lineRule="atLeast"/>
              <w:jc w:val="center"/>
              <w:textAlignment w:val="bottom"/>
              <w:rPr>
                <w:sz w:val="24"/>
              </w:rPr>
            </w:pPr>
            <w:r>
              <w:rPr>
                <w:sz w:val="24"/>
              </w:rPr>
              <w:t>执业或职业资格证书名称</w:t>
            </w:r>
          </w:p>
        </w:tc>
        <w:tc>
          <w:tcPr>
            <w:tcW w:w="1651" w:type="dxa"/>
            <w:gridSpan w:val="2"/>
          </w:tcPr>
          <w:p>
            <w:pPr>
              <w:autoSpaceDE w:val="0"/>
              <w:autoSpaceDN w:val="0"/>
              <w:spacing w:before="78" w:beforeLines="25" w:after="78" w:afterLines="25" w:line="400" w:lineRule="atLeast"/>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78" w:beforeLines="25" w:after="78" w:afterLines="25" w:line="400" w:lineRule="atLeast"/>
              <w:jc w:val="center"/>
              <w:textAlignment w:val="bottom"/>
              <w:rPr>
                <w:sz w:val="24"/>
              </w:rPr>
            </w:pPr>
            <w:r>
              <w:rPr>
                <w:sz w:val="24"/>
              </w:rPr>
              <w:t>技术职称</w:t>
            </w:r>
          </w:p>
        </w:tc>
        <w:tc>
          <w:tcPr>
            <w:tcW w:w="1485" w:type="dxa"/>
            <w:vAlign w:val="center"/>
          </w:tcPr>
          <w:p>
            <w:pPr>
              <w:autoSpaceDE w:val="0"/>
              <w:autoSpaceDN w:val="0"/>
              <w:spacing w:before="78" w:beforeLines="25" w:after="78" w:afterLines="25" w:line="400" w:lineRule="atLeast"/>
              <w:jc w:val="center"/>
              <w:textAlignment w:val="bottom"/>
              <w:rPr>
                <w:sz w:val="24"/>
              </w:rPr>
            </w:pPr>
          </w:p>
        </w:tc>
        <w:tc>
          <w:tcPr>
            <w:tcW w:w="1046" w:type="dxa"/>
            <w:vAlign w:val="center"/>
          </w:tcPr>
          <w:p>
            <w:pPr>
              <w:autoSpaceDE w:val="0"/>
              <w:autoSpaceDN w:val="0"/>
              <w:spacing w:before="78" w:beforeLines="25" w:after="78" w:afterLines="25" w:line="400" w:lineRule="atLeast"/>
              <w:jc w:val="center"/>
              <w:textAlignment w:val="bottom"/>
              <w:rPr>
                <w:sz w:val="24"/>
              </w:rPr>
            </w:pPr>
            <w:r>
              <w:rPr>
                <w:sz w:val="24"/>
              </w:rPr>
              <w:t>学历</w:t>
            </w:r>
          </w:p>
        </w:tc>
        <w:tc>
          <w:tcPr>
            <w:tcW w:w="1362" w:type="dxa"/>
          </w:tcPr>
          <w:p>
            <w:pPr>
              <w:autoSpaceDE w:val="0"/>
              <w:autoSpaceDN w:val="0"/>
              <w:spacing w:before="78" w:beforeLines="25" w:after="78" w:afterLines="25" w:line="400" w:lineRule="atLeast"/>
              <w:jc w:val="center"/>
              <w:textAlignment w:val="bottom"/>
              <w:rPr>
                <w:sz w:val="24"/>
              </w:rPr>
            </w:pPr>
          </w:p>
        </w:tc>
        <w:tc>
          <w:tcPr>
            <w:tcW w:w="1855" w:type="dxa"/>
            <w:gridSpan w:val="2"/>
          </w:tcPr>
          <w:p>
            <w:pPr>
              <w:autoSpaceDE w:val="0"/>
              <w:autoSpaceDN w:val="0"/>
              <w:spacing w:before="78" w:beforeLines="25" w:after="78" w:afterLines="25" w:line="400" w:lineRule="atLeast"/>
              <w:jc w:val="center"/>
              <w:textAlignment w:val="bottom"/>
              <w:rPr>
                <w:sz w:val="24"/>
              </w:rPr>
            </w:pPr>
            <w:r>
              <w:rPr>
                <w:sz w:val="24"/>
              </w:rPr>
              <w:t>拟在本标段</w:t>
            </w:r>
          </w:p>
          <w:p>
            <w:pPr>
              <w:autoSpaceDE w:val="0"/>
              <w:autoSpaceDN w:val="0"/>
              <w:spacing w:before="78" w:beforeLines="25" w:after="78" w:afterLines="25" w:line="400" w:lineRule="atLeast"/>
              <w:jc w:val="center"/>
              <w:textAlignment w:val="bottom"/>
              <w:rPr>
                <w:sz w:val="24"/>
              </w:rPr>
            </w:pPr>
            <w:r>
              <w:rPr>
                <w:sz w:val="24"/>
              </w:rPr>
              <w:t>工程任职</w:t>
            </w:r>
          </w:p>
        </w:tc>
        <w:tc>
          <w:tcPr>
            <w:tcW w:w="1651" w:type="dxa"/>
            <w:gridSpan w:val="2"/>
          </w:tcPr>
          <w:p>
            <w:pPr>
              <w:autoSpaceDE w:val="0"/>
              <w:autoSpaceDN w:val="0"/>
              <w:spacing w:before="78" w:beforeLines="25" w:after="78" w:afterLines="25" w:line="400" w:lineRule="atLeast"/>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78" w:beforeLines="25" w:after="78" w:afterLines="25" w:line="400" w:lineRule="atLeast"/>
              <w:jc w:val="center"/>
              <w:textAlignment w:val="bottom"/>
              <w:rPr>
                <w:sz w:val="24"/>
              </w:rPr>
            </w:pPr>
            <w:r>
              <w:rPr>
                <w:sz w:val="24"/>
              </w:rPr>
              <w:t>工作年限</w:t>
            </w:r>
          </w:p>
        </w:tc>
        <w:tc>
          <w:tcPr>
            <w:tcW w:w="3893" w:type="dxa"/>
            <w:gridSpan w:val="3"/>
            <w:vAlign w:val="center"/>
          </w:tcPr>
          <w:p>
            <w:pPr>
              <w:autoSpaceDE w:val="0"/>
              <w:autoSpaceDN w:val="0"/>
              <w:spacing w:before="78" w:beforeLines="25" w:after="78" w:afterLines="25" w:line="400" w:lineRule="atLeast"/>
              <w:jc w:val="center"/>
              <w:textAlignment w:val="bottom"/>
              <w:rPr>
                <w:sz w:val="24"/>
              </w:rPr>
            </w:pPr>
          </w:p>
        </w:tc>
        <w:tc>
          <w:tcPr>
            <w:tcW w:w="1855" w:type="dxa"/>
            <w:gridSpan w:val="2"/>
            <w:vAlign w:val="center"/>
          </w:tcPr>
          <w:p>
            <w:pPr>
              <w:autoSpaceDE w:val="0"/>
              <w:autoSpaceDN w:val="0"/>
              <w:spacing w:before="78" w:beforeLines="25" w:after="78" w:afterLines="25" w:line="400" w:lineRule="atLeast"/>
              <w:jc w:val="center"/>
              <w:textAlignment w:val="bottom"/>
              <w:rPr>
                <w:sz w:val="24"/>
              </w:rPr>
            </w:pPr>
            <w:r>
              <w:rPr>
                <w:sz w:val="24"/>
              </w:rPr>
              <w:t>从事类似项目工作年限</w:t>
            </w:r>
          </w:p>
        </w:tc>
        <w:tc>
          <w:tcPr>
            <w:tcW w:w="1651" w:type="dxa"/>
            <w:gridSpan w:val="2"/>
          </w:tcPr>
          <w:p>
            <w:pPr>
              <w:autoSpaceDE w:val="0"/>
              <w:autoSpaceDN w:val="0"/>
              <w:spacing w:before="78" w:beforeLines="25" w:after="78" w:afterLines="25" w:line="400" w:lineRule="atLeast"/>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512" w:type="dxa"/>
            <w:vAlign w:val="center"/>
          </w:tcPr>
          <w:p>
            <w:pPr>
              <w:autoSpaceDE w:val="0"/>
              <w:autoSpaceDN w:val="0"/>
              <w:spacing w:before="78" w:beforeLines="25" w:after="78" w:afterLines="25" w:line="400" w:lineRule="atLeast"/>
              <w:jc w:val="center"/>
              <w:textAlignment w:val="bottom"/>
              <w:rPr>
                <w:sz w:val="24"/>
              </w:rPr>
            </w:pPr>
            <w:r>
              <w:rPr>
                <w:sz w:val="24"/>
              </w:rPr>
              <w:t>毕业学校</w:t>
            </w:r>
          </w:p>
        </w:tc>
        <w:tc>
          <w:tcPr>
            <w:tcW w:w="7399" w:type="dxa"/>
            <w:gridSpan w:val="7"/>
            <w:vAlign w:val="center"/>
          </w:tcPr>
          <w:p>
            <w:pPr>
              <w:autoSpaceDE w:val="0"/>
              <w:autoSpaceDN w:val="0"/>
              <w:spacing w:before="78" w:beforeLines="25" w:after="78" w:afterLines="25" w:line="400" w:lineRule="atLeast"/>
              <w:ind w:left="-187" w:leftChars="-89"/>
              <w:jc w:val="center"/>
              <w:textAlignment w:val="bottom"/>
              <w:rPr>
                <w:sz w:val="24"/>
              </w:rPr>
            </w:pPr>
            <w:r>
              <w:rPr>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911" w:type="dxa"/>
            <w:gridSpan w:val="8"/>
            <w:vAlign w:val="center"/>
          </w:tcPr>
          <w:p>
            <w:pPr>
              <w:autoSpaceDE w:val="0"/>
              <w:autoSpaceDN w:val="0"/>
              <w:spacing w:before="78" w:beforeLines="25" w:after="78" w:afterLines="25" w:line="400" w:lineRule="atLeast"/>
              <w:jc w:val="center"/>
              <w:textAlignment w:val="bottom"/>
              <w:rPr>
                <w:sz w:val="24"/>
              </w:rPr>
            </w:pPr>
            <w:r>
              <w:rPr>
                <w:rFonts w:hint="eastAsia"/>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78" w:beforeLines="25" w:after="78" w:afterLines="25" w:line="400" w:lineRule="atLeast"/>
              <w:jc w:val="center"/>
              <w:textAlignment w:val="bottom"/>
              <w:rPr>
                <w:sz w:val="24"/>
              </w:rPr>
            </w:pPr>
            <w:r>
              <w:rPr>
                <w:sz w:val="24"/>
              </w:rPr>
              <w:t>时间</w:t>
            </w:r>
          </w:p>
        </w:tc>
        <w:tc>
          <w:tcPr>
            <w:tcW w:w="4176" w:type="dxa"/>
            <w:gridSpan w:val="4"/>
            <w:vAlign w:val="center"/>
          </w:tcPr>
          <w:p>
            <w:pPr>
              <w:pStyle w:val="17"/>
              <w:widowControl/>
              <w:adjustRightInd/>
              <w:snapToGrid/>
              <w:spacing w:before="78" w:beforeLines="25" w:after="78" w:afterLines="25" w:line="400" w:lineRule="atLeast"/>
              <w:textAlignment w:val="bottom"/>
              <w:rPr>
                <w:spacing w:val="0"/>
                <w:kern w:val="2"/>
                <w:sz w:val="24"/>
              </w:rPr>
            </w:pPr>
            <w:r>
              <w:rPr>
                <w:spacing w:val="0"/>
                <w:kern w:val="2"/>
                <w:sz w:val="24"/>
              </w:rPr>
              <w:t>负责过的与本项目相关主要业绩</w:t>
            </w:r>
          </w:p>
          <w:p>
            <w:pPr>
              <w:pStyle w:val="17"/>
              <w:widowControl/>
              <w:adjustRightInd/>
              <w:snapToGrid/>
              <w:spacing w:before="78" w:beforeLines="25" w:after="78" w:afterLines="25" w:line="400" w:lineRule="atLeast"/>
              <w:textAlignment w:val="bottom"/>
              <w:rPr>
                <w:spacing w:val="0"/>
                <w:kern w:val="2"/>
                <w:sz w:val="24"/>
              </w:rPr>
            </w:pPr>
            <w:r>
              <w:rPr>
                <w:spacing w:val="0"/>
                <w:kern w:val="2"/>
                <w:sz w:val="24"/>
              </w:rPr>
              <w:t>（规模、工作内容）</w:t>
            </w:r>
          </w:p>
        </w:tc>
        <w:tc>
          <w:tcPr>
            <w:tcW w:w="1903" w:type="dxa"/>
            <w:gridSpan w:val="2"/>
            <w:vAlign w:val="center"/>
          </w:tcPr>
          <w:p>
            <w:pPr>
              <w:pStyle w:val="17"/>
              <w:widowControl/>
              <w:adjustRightInd/>
              <w:snapToGrid/>
              <w:spacing w:before="78" w:beforeLines="25" w:after="78" w:afterLines="25" w:line="400" w:lineRule="atLeast"/>
              <w:textAlignment w:val="bottom"/>
              <w:rPr>
                <w:spacing w:val="0"/>
                <w:kern w:val="2"/>
                <w:sz w:val="24"/>
              </w:rPr>
            </w:pPr>
            <w:r>
              <w:rPr>
                <w:spacing w:val="0"/>
                <w:kern w:val="2"/>
                <w:sz w:val="24"/>
              </w:rPr>
              <w:t>担任职务</w:t>
            </w:r>
          </w:p>
        </w:tc>
        <w:tc>
          <w:tcPr>
            <w:tcW w:w="1320" w:type="dxa"/>
            <w:vAlign w:val="center"/>
          </w:tcPr>
          <w:p>
            <w:pPr>
              <w:autoSpaceDE w:val="0"/>
              <w:autoSpaceDN w:val="0"/>
              <w:spacing w:before="78" w:beforeLines="25" w:after="78" w:afterLines="25" w:line="400" w:lineRule="atLeast"/>
              <w:jc w:val="center"/>
              <w:textAlignment w:val="bottom"/>
              <w:rPr>
                <w:sz w:val="24"/>
              </w:rPr>
            </w:pPr>
            <w:r>
              <w:rPr>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78" w:beforeLines="25" w:after="78" w:afterLines="25" w:line="400" w:lineRule="atLeast"/>
              <w:jc w:val="center"/>
              <w:textAlignment w:val="bottom"/>
              <w:rPr>
                <w:sz w:val="24"/>
              </w:rPr>
            </w:pPr>
          </w:p>
        </w:tc>
        <w:tc>
          <w:tcPr>
            <w:tcW w:w="4176" w:type="dxa"/>
            <w:gridSpan w:val="4"/>
            <w:vAlign w:val="center"/>
          </w:tcPr>
          <w:p>
            <w:pPr>
              <w:autoSpaceDE w:val="0"/>
              <w:autoSpaceDN w:val="0"/>
              <w:spacing w:before="78" w:beforeLines="25" w:after="78" w:afterLines="25" w:line="400" w:lineRule="atLeast"/>
              <w:jc w:val="center"/>
              <w:textAlignment w:val="bottom"/>
              <w:rPr>
                <w:sz w:val="24"/>
              </w:rPr>
            </w:pPr>
          </w:p>
        </w:tc>
        <w:tc>
          <w:tcPr>
            <w:tcW w:w="1903" w:type="dxa"/>
            <w:gridSpan w:val="2"/>
          </w:tcPr>
          <w:p>
            <w:pPr>
              <w:autoSpaceDE w:val="0"/>
              <w:autoSpaceDN w:val="0"/>
              <w:spacing w:before="78" w:beforeLines="25" w:after="78" w:afterLines="25" w:line="400" w:lineRule="atLeast"/>
              <w:textAlignment w:val="bottom"/>
              <w:rPr>
                <w:sz w:val="24"/>
              </w:rPr>
            </w:pPr>
          </w:p>
        </w:tc>
        <w:tc>
          <w:tcPr>
            <w:tcW w:w="1320" w:type="dxa"/>
          </w:tcPr>
          <w:p>
            <w:pPr>
              <w:autoSpaceDE w:val="0"/>
              <w:autoSpaceDN w:val="0"/>
              <w:spacing w:before="78" w:beforeLines="25" w:after="78" w:afterLines="25" w:line="400" w:lineRule="atLeast"/>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78" w:beforeLines="25" w:after="78" w:afterLines="25" w:line="400" w:lineRule="atLeast"/>
              <w:jc w:val="center"/>
              <w:textAlignment w:val="bottom"/>
              <w:rPr>
                <w:sz w:val="24"/>
              </w:rPr>
            </w:pPr>
          </w:p>
        </w:tc>
        <w:tc>
          <w:tcPr>
            <w:tcW w:w="4176" w:type="dxa"/>
            <w:gridSpan w:val="4"/>
            <w:vAlign w:val="center"/>
          </w:tcPr>
          <w:p>
            <w:pPr>
              <w:autoSpaceDE w:val="0"/>
              <w:autoSpaceDN w:val="0"/>
              <w:spacing w:before="78" w:beforeLines="25" w:after="78" w:afterLines="25" w:line="400" w:lineRule="atLeast"/>
              <w:jc w:val="center"/>
              <w:textAlignment w:val="bottom"/>
              <w:rPr>
                <w:sz w:val="24"/>
              </w:rPr>
            </w:pPr>
          </w:p>
        </w:tc>
        <w:tc>
          <w:tcPr>
            <w:tcW w:w="1903" w:type="dxa"/>
            <w:gridSpan w:val="2"/>
          </w:tcPr>
          <w:p>
            <w:pPr>
              <w:autoSpaceDE w:val="0"/>
              <w:autoSpaceDN w:val="0"/>
              <w:spacing w:before="78" w:beforeLines="25" w:after="78" w:afterLines="25" w:line="400" w:lineRule="atLeast"/>
              <w:textAlignment w:val="bottom"/>
              <w:rPr>
                <w:sz w:val="24"/>
              </w:rPr>
            </w:pPr>
          </w:p>
        </w:tc>
        <w:tc>
          <w:tcPr>
            <w:tcW w:w="1320" w:type="dxa"/>
          </w:tcPr>
          <w:p>
            <w:pPr>
              <w:autoSpaceDE w:val="0"/>
              <w:autoSpaceDN w:val="0"/>
              <w:spacing w:before="78" w:beforeLines="25" w:after="78" w:afterLines="25" w:line="400" w:lineRule="atLeast"/>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78" w:beforeLines="25" w:after="78" w:afterLines="25" w:line="400" w:lineRule="atLeast"/>
              <w:jc w:val="center"/>
              <w:textAlignment w:val="bottom"/>
              <w:rPr>
                <w:sz w:val="24"/>
              </w:rPr>
            </w:pPr>
          </w:p>
        </w:tc>
        <w:tc>
          <w:tcPr>
            <w:tcW w:w="4176" w:type="dxa"/>
            <w:gridSpan w:val="4"/>
            <w:vAlign w:val="center"/>
          </w:tcPr>
          <w:p>
            <w:pPr>
              <w:autoSpaceDE w:val="0"/>
              <w:autoSpaceDN w:val="0"/>
              <w:spacing w:before="78" w:beforeLines="25" w:after="78" w:afterLines="25" w:line="400" w:lineRule="atLeast"/>
              <w:jc w:val="center"/>
              <w:textAlignment w:val="bottom"/>
              <w:rPr>
                <w:sz w:val="24"/>
              </w:rPr>
            </w:pPr>
          </w:p>
        </w:tc>
        <w:tc>
          <w:tcPr>
            <w:tcW w:w="1903" w:type="dxa"/>
            <w:gridSpan w:val="2"/>
          </w:tcPr>
          <w:p>
            <w:pPr>
              <w:autoSpaceDE w:val="0"/>
              <w:autoSpaceDN w:val="0"/>
              <w:spacing w:before="78" w:beforeLines="25" w:after="78" w:afterLines="25" w:line="400" w:lineRule="atLeast"/>
              <w:textAlignment w:val="bottom"/>
              <w:rPr>
                <w:sz w:val="24"/>
              </w:rPr>
            </w:pPr>
          </w:p>
        </w:tc>
        <w:tc>
          <w:tcPr>
            <w:tcW w:w="1320" w:type="dxa"/>
          </w:tcPr>
          <w:p>
            <w:pPr>
              <w:autoSpaceDE w:val="0"/>
              <w:autoSpaceDN w:val="0"/>
              <w:spacing w:before="78" w:beforeLines="25" w:after="78" w:afterLines="25" w:line="400" w:lineRule="atLeast"/>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78" w:beforeLines="25" w:after="78" w:afterLines="25" w:line="400" w:lineRule="atLeast"/>
              <w:jc w:val="center"/>
              <w:textAlignment w:val="bottom"/>
              <w:rPr>
                <w:sz w:val="24"/>
              </w:rPr>
            </w:pPr>
          </w:p>
        </w:tc>
        <w:tc>
          <w:tcPr>
            <w:tcW w:w="4176" w:type="dxa"/>
            <w:gridSpan w:val="4"/>
            <w:vAlign w:val="center"/>
          </w:tcPr>
          <w:p>
            <w:pPr>
              <w:autoSpaceDE w:val="0"/>
              <w:autoSpaceDN w:val="0"/>
              <w:spacing w:before="78" w:beforeLines="25" w:after="78" w:afterLines="25" w:line="400" w:lineRule="atLeast"/>
              <w:jc w:val="center"/>
              <w:textAlignment w:val="bottom"/>
              <w:rPr>
                <w:sz w:val="24"/>
              </w:rPr>
            </w:pPr>
          </w:p>
        </w:tc>
        <w:tc>
          <w:tcPr>
            <w:tcW w:w="1903" w:type="dxa"/>
            <w:gridSpan w:val="2"/>
          </w:tcPr>
          <w:p>
            <w:pPr>
              <w:autoSpaceDE w:val="0"/>
              <w:autoSpaceDN w:val="0"/>
              <w:spacing w:before="78" w:beforeLines="25" w:after="78" w:afterLines="25" w:line="400" w:lineRule="atLeast"/>
              <w:textAlignment w:val="bottom"/>
              <w:rPr>
                <w:sz w:val="24"/>
              </w:rPr>
            </w:pPr>
          </w:p>
        </w:tc>
        <w:tc>
          <w:tcPr>
            <w:tcW w:w="1320" w:type="dxa"/>
          </w:tcPr>
          <w:p>
            <w:pPr>
              <w:autoSpaceDE w:val="0"/>
              <w:autoSpaceDN w:val="0"/>
              <w:spacing w:before="78" w:beforeLines="25" w:after="78" w:afterLines="25" w:line="400" w:lineRule="atLeast"/>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12" w:type="dxa"/>
            <w:vAlign w:val="center"/>
          </w:tcPr>
          <w:p>
            <w:pPr>
              <w:autoSpaceDE w:val="0"/>
              <w:autoSpaceDN w:val="0"/>
              <w:spacing w:before="78" w:beforeLines="25" w:after="78" w:afterLines="25" w:line="400" w:lineRule="atLeast"/>
              <w:jc w:val="center"/>
              <w:textAlignment w:val="bottom"/>
              <w:rPr>
                <w:sz w:val="24"/>
              </w:rPr>
            </w:pPr>
            <w:r>
              <w:rPr>
                <w:sz w:val="24"/>
              </w:rPr>
              <w:t>获奖情况</w:t>
            </w:r>
          </w:p>
        </w:tc>
        <w:tc>
          <w:tcPr>
            <w:tcW w:w="7399" w:type="dxa"/>
            <w:gridSpan w:val="7"/>
          </w:tcPr>
          <w:p>
            <w:pPr>
              <w:autoSpaceDE w:val="0"/>
              <w:autoSpaceDN w:val="0"/>
              <w:spacing w:before="78" w:beforeLines="25" w:after="78" w:afterLines="25" w:line="400" w:lineRule="atLeast"/>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12" w:type="dxa"/>
            <w:vAlign w:val="center"/>
          </w:tcPr>
          <w:p>
            <w:pPr>
              <w:autoSpaceDE w:val="0"/>
              <w:autoSpaceDN w:val="0"/>
              <w:spacing w:line="400" w:lineRule="atLeast"/>
              <w:jc w:val="center"/>
              <w:textAlignment w:val="bottom"/>
              <w:rPr>
                <w:sz w:val="24"/>
              </w:rPr>
            </w:pPr>
            <w:r>
              <w:rPr>
                <w:sz w:val="24"/>
              </w:rPr>
              <w:t>目前承担的任务</w:t>
            </w:r>
          </w:p>
        </w:tc>
        <w:tc>
          <w:tcPr>
            <w:tcW w:w="7399" w:type="dxa"/>
            <w:gridSpan w:val="7"/>
          </w:tcPr>
          <w:p>
            <w:pPr>
              <w:autoSpaceDE w:val="0"/>
              <w:autoSpaceDN w:val="0"/>
              <w:spacing w:line="400" w:lineRule="atLeast"/>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12" w:type="dxa"/>
            <w:vAlign w:val="center"/>
          </w:tcPr>
          <w:p>
            <w:pPr>
              <w:autoSpaceDE w:val="0"/>
              <w:autoSpaceDN w:val="0"/>
              <w:spacing w:line="400" w:lineRule="atLeast"/>
              <w:jc w:val="center"/>
              <w:textAlignment w:val="bottom"/>
              <w:rPr>
                <w:sz w:val="24"/>
              </w:rPr>
            </w:pPr>
            <w:r>
              <w:rPr>
                <w:sz w:val="24"/>
              </w:rPr>
              <w:t>备注</w:t>
            </w:r>
          </w:p>
        </w:tc>
        <w:tc>
          <w:tcPr>
            <w:tcW w:w="7399" w:type="dxa"/>
            <w:gridSpan w:val="7"/>
          </w:tcPr>
          <w:p>
            <w:pPr>
              <w:autoSpaceDE w:val="0"/>
              <w:autoSpaceDN w:val="0"/>
              <w:spacing w:line="400" w:lineRule="atLeast"/>
              <w:textAlignment w:val="bottom"/>
              <w:rPr>
                <w:sz w:val="24"/>
              </w:rPr>
            </w:pPr>
          </w:p>
        </w:tc>
      </w:tr>
    </w:tbl>
    <w:p>
      <w:pPr>
        <w:pStyle w:val="14"/>
        <w:spacing w:line="360" w:lineRule="auto"/>
        <w:rPr>
          <w:color w:val="auto"/>
        </w:rPr>
      </w:pPr>
      <w:r>
        <w:rPr>
          <w:color w:val="auto"/>
        </w:rPr>
        <w:t>注：本表应填写项目负责人相关情况</w:t>
      </w:r>
      <w:r>
        <w:rPr>
          <w:rFonts w:hint="eastAsia"/>
          <w:color w:val="auto"/>
        </w:rPr>
        <w:t>，</w:t>
      </w:r>
      <w:r>
        <w:rPr>
          <w:color w:val="auto"/>
        </w:rPr>
        <w:t>须附身份证、职称证</w:t>
      </w:r>
      <w:r>
        <w:rPr>
          <w:rFonts w:hint="eastAsia"/>
          <w:color w:val="auto"/>
        </w:rPr>
        <w:t>或执</w:t>
      </w:r>
      <w:r>
        <w:rPr>
          <w:color w:val="auto"/>
        </w:rPr>
        <w:t>业资格证、近</w:t>
      </w:r>
      <w:r>
        <w:rPr>
          <w:rFonts w:hint="eastAsia"/>
          <w:color w:val="auto"/>
        </w:rPr>
        <w:t>三个月（202</w:t>
      </w:r>
      <w:r>
        <w:rPr>
          <w:rFonts w:hint="eastAsia"/>
          <w:color w:val="auto"/>
          <w:lang w:val="en-US" w:eastAsia="zh-CN"/>
        </w:rPr>
        <w:t>1</w:t>
      </w:r>
      <w:r>
        <w:rPr>
          <w:rFonts w:hint="eastAsia"/>
          <w:color w:val="auto"/>
        </w:rPr>
        <w:t>年</w:t>
      </w:r>
      <w:r>
        <w:rPr>
          <w:rFonts w:hint="eastAsia"/>
          <w:color w:val="auto"/>
          <w:lang w:val="en-US" w:eastAsia="zh-CN"/>
        </w:rPr>
        <w:t>10</w:t>
      </w:r>
      <w:r>
        <w:rPr>
          <w:rFonts w:hint="eastAsia"/>
          <w:color w:val="auto"/>
        </w:rPr>
        <w:t>月-202</w:t>
      </w:r>
      <w:r>
        <w:rPr>
          <w:rFonts w:hint="eastAsia"/>
          <w:color w:val="auto"/>
          <w:lang w:val="en-US" w:eastAsia="zh-CN"/>
        </w:rPr>
        <w:t>1</w:t>
      </w:r>
      <w:r>
        <w:rPr>
          <w:rFonts w:hint="eastAsia"/>
          <w:color w:val="auto"/>
        </w:rPr>
        <w:t>年</w:t>
      </w:r>
      <w:r>
        <w:rPr>
          <w:rFonts w:hint="eastAsia"/>
          <w:color w:val="auto"/>
          <w:lang w:val="en-US" w:eastAsia="zh-CN"/>
        </w:rPr>
        <w:t>12</w:t>
      </w:r>
      <w:r>
        <w:rPr>
          <w:rFonts w:hint="eastAsia"/>
          <w:color w:val="auto"/>
        </w:rPr>
        <w:t>月）</w:t>
      </w:r>
      <w:r>
        <w:rPr>
          <w:color w:val="auto"/>
        </w:rPr>
        <w:t>社保证明</w:t>
      </w:r>
      <w:r>
        <w:rPr>
          <w:rFonts w:hint="eastAsia"/>
          <w:color w:val="auto"/>
        </w:rPr>
        <w:t>，</w:t>
      </w:r>
      <w:r>
        <w:rPr>
          <w:color w:val="auto"/>
        </w:rPr>
        <w:t>人员的业绩证明材料（业绩证明材料是指能反映业绩要求的合同；如合同没明确项目负责人，需发包人出具并加盖发包人公章的证明材料）的复印件或扫描件。项目负责人未经询价人同意不得随意更换</w:t>
      </w:r>
      <w:r>
        <w:rPr>
          <w:rFonts w:hint="eastAsia"/>
          <w:color w:val="auto"/>
        </w:rPr>
        <w:t>。</w:t>
      </w:r>
    </w:p>
    <w:p>
      <w:pPr>
        <w:jc w:val="center"/>
        <w:rPr>
          <w:bCs/>
          <w:sz w:val="24"/>
        </w:rPr>
      </w:pPr>
      <w:r>
        <w:rPr>
          <w:b/>
          <w:sz w:val="32"/>
          <w:szCs w:val="32"/>
        </w:rPr>
        <w:t>（</w:t>
      </w:r>
      <w:r>
        <w:rPr>
          <w:rFonts w:hint="eastAsia"/>
          <w:b/>
          <w:sz w:val="32"/>
          <w:szCs w:val="32"/>
        </w:rPr>
        <w:t>表3</w:t>
      </w:r>
      <w:r>
        <w:rPr>
          <w:b/>
          <w:sz w:val="32"/>
          <w:szCs w:val="32"/>
        </w:rPr>
        <w:t>）报价人近年完成的类似项目汇总表</w:t>
      </w:r>
    </w:p>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313"/>
        <w:gridCol w:w="2410"/>
        <w:gridCol w:w="1417"/>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92" w:type="dxa"/>
            <w:vAlign w:val="center"/>
          </w:tcPr>
          <w:p>
            <w:pPr>
              <w:widowControl/>
              <w:spacing w:line="240" w:lineRule="exact"/>
              <w:jc w:val="center"/>
              <w:rPr>
                <w:sz w:val="24"/>
              </w:rPr>
            </w:pPr>
            <w:r>
              <w:rPr>
                <w:sz w:val="24"/>
              </w:rPr>
              <w:t>序号</w:t>
            </w:r>
          </w:p>
        </w:tc>
        <w:tc>
          <w:tcPr>
            <w:tcW w:w="2313" w:type="dxa"/>
            <w:vAlign w:val="center"/>
          </w:tcPr>
          <w:p>
            <w:pPr>
              <w:widowControl/>
              <w:spacing w:line="240" w:lineRule="exact"/>
              <w:jc w:val="center"/>
              <w:rPr>
                <w:sz w:val="24"/>
              </w:rPr>
            </w:pPr>
            <w:r>
              <w:rPr>
                <w:sz w:val="24"/>
              </w:rPr>
              <w:t>项目名称</w:t>
            </w:r>
          </w:p>
        </w:tc>
        <w:tc>
          <w:tcPr>
            <w:tcW w:w="2410" w:type="dxa"/>
            <w:vAlign w:val="center"/>
          </w:tcPr>
          <w:p>
            <w:pPr>
              <w:widowControl/>
              <w:spacing w:line="240" w:lineRule="exact"/>
              <w:jc w:val="center"/>
              <w:rPr>
                <w:sz w:val="24"/>
              </w:rPr>
            </w:pPr>
            <w:r>
              <w:rPr>
                <w:sz w:val="24"/>
              </w:rPr>
              <w:t>承担的主要工作内容</w:t>
            </w:r>
          </w:p>
        </w:tc>
        <w:tc>
          <w:tcPr>
            <w:tcW w:w="1417" w:type="dxa"/>
            <w:vAlign w:val="center"/>
          </w:tcPr>
          <w:p>
            <w:pPr>
              <w:widowControl/>
              <w:spacing w:line="240" w:lineRule="exact"/>
              <w:jc w:val="center"/>
              <w:rPr>
                <w:sz w:val="24"/>
              </w:rPr>
            </w:pPr>
            <w:r>
              <w:rPr>
                <w:sz w:val="24"/>
              </w:rPr>
              <w:t>合同金额</w:t>
            </w:r>
          </w:p>
          <w:p>
            <w:pPr>
              <w:widowControl/>
              <w:spacing w:line="240" w:lineRule="exact"/>
              <w:jc w:val="center"/>
              <w:rPr>
                <w:sz w:val="24"/>
              </w:rPr>
            </w:pPr>
            <w:r>
              <w:rPr>
                <w:sz w:val="24"/>
              </w:rPr>
              <w:t>（万元）</w:t>
            </w:r>
          </w:p>
        </w:tc>
        <w:tc>
          <w:tcPr>
            <w:tcW w:w="1291" w:type="dxa"/>
            <w:vAlign w:val="center"/>
          </w:tcPr>
          <w:p>
            <w:pPr>
              <w:widowControl/>
              <w:spacing w:line="240" w:lineRule="exact"/>
              <w:jc w:val="center"/>
              <w:rPr>
                <w:sz w:val="24"/>
              </w:rPr>
            </w:pPr>
            <w:r>
              <w:rPr>
                <w:sz w:val="24"/>
              </w:rPr>
              <w:t>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autoSpaceDE w:val="0"/>
              <w:autoSpaceDN w:val="0"/>
              <w:adjustRightInd w:val="0"/>
              <w:spacing w:line="360" w:lineRule="auto"/>
              <w:jc w:val="center"/>
              <w:rPr>
                <w:spacing w:val="1"/>
                <w:w w:val="99"/>
                <w:sz w:val="24"/>
              </w:rPr>
            </w:pPr>
          </w:p>
        </w:tc>
        <w:tc>
          <w:tcPr>
            <w:tcW w:w="2313" w:type="dxa"/>
          </w:tcPr>
          <w:p>
            <w:pPr>
              <w:autoSpaceDE w:val="0"/>
              <w:autoSpaceDN w:val="0"/>
              <w:adjustRightInd w:val="0"/>
              <w:spacing w:line="360" w:lineRule="auto"/>
              <w:jc w:val="center"/>
              <w:rPr>
                <w:spacing w:val="1"/>
                <w:w w:val="99"/>
                <w:sz w:val="24"/>
              </w:rPr>
            </w:pPr>
          </w:p>
        </w:tc>
        <w:tc>
          <w:tcPr>
            <w:tcW w:w="2410" w:type="dxa"/>
          </w:tcPr>
          <w:p>
            <w:pPr>
              <w:autoSpaceDE w:val="0"/>
              <w:autoSpaceDN w:val="0"/>
              <w:adjustRightInd w:val="0"/>
              <w:spacing w:line="360" w:lineRule="auto"/>
              <w:jc w:val="center"/>
              <w:rPr>
                <w:spacing w:val="1"/>
                <w:w w:val="99"/>
                <w:sz w:val="24"/>
              </w:rPr>
            </w:pPr>
          </w:p>
        </w:tc>
        <w:tc>
          <w:tcPr>
            <w:tcW w:w="1417" w:type="dxa"/>
          </w:tcPr>
          <w:p>
            <w:pPr>
              <w:autoSpaceDE w:val="0"/>
              <w:autoSpaceDN w:val="0"/>
              <w:adjustRightInd w:val="0"/>
              <w:spacing w:line="360" w:lineRule="auto"/>
              <w:jc w:val="center"/>
              <w:rPr>
                <w:spacing w:val="1"/>
                <w:w w:val="99"/>
                <w:sz w:val="24"/>
              </w:rPr>
            </w:pPr>
          </w:p>
        </w:tc>
        <w:tc>
          <w:tcPr>
            <w:tcW w:w="1291" w:type="dxa"/>
          </w:tcPr>
          <w:p>
            <w:pPr>
              <w:autoSpaceDE w:val="0"/>
              <w:autoSpaceDN w:val="0"/>
              <w:adjustRightInd w:val="0"/>
              <w:spacing w:line="360" w:lineRule="auto"/>
              <w:jc w:val="center"/>
              <w:rPr>
                <w:spacing w:val="1"/>
                <w:w w:val="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autoSpaceDE w:val="0"/>
              <w:autoSpaceDN w:val="0"/>
              <w:adjustRightInd w:val="0"/>
              <w:spacing w:line="360" w:lineRule="auto"/>
              <w:jc w:val="center"/>
              <w:rPr>
                <w:spacing w:val="1"/>
                <w:w w:val="99"/>
                <w:sz w:val="24"/>
              </w:rPr>
            </w:pPr>
          </w:p>
        </w:tc>
        <w:tc>
          <w:tcPr>
            <w:tcW w:w="2313" w:type="dxa"/>
          </w:tcPr>
          <w:p>
            <w:pPr>
              <w:autoSpaceDE w:val="0"/>
              <w:autoSpaceDN w:val="0"/>
              <w:adjustRightInd w:val="0"/>
              <w:spacing w:line="360" w:lineRule="auto"/>
              <w:jc w:val="center"/>
              <w:rPr>
                <w:spacing w:val="1"/>
                <w:w w:val="99"/>
                <w:sz w:val="24"/>
              </w:rPr>
            </w:pPr>
          </w:p>
        </w:tc>
        <w:tc>
          <w:tcPr>
            <w:tcW w:w="2410" w:type="dxa"/>
          </w:tcPr>
          <w:p>
            <w:pPr>
              <w:autoSpaceDE w:val="0"/>
              <w:autoSpaceDN w:val="0"/>
              <w:adjustRightInd w:val="0"/>
              <w:spacing w:line="360" w:lineRule="auto"/>
              <w:jc w:val="center"/>
              <w:rPr>
                <w:spacing w:val="1"/>
                <w:w w:val="99"/>
                <w:sz w:val="24"/>
              </w:rPr>
            </w:pPr>
          </w:p>
        </w:tc>
        <w:tc>
          <w:tcPr>
            <w:tcW w:w="1417" w:type="dxa"/>
          </w:tcPr>
          <w:p>
            <w:pPr>
              <w:autoSpaceDE w:val="0"/>
              <w:autoSpaceDN w:val="0"/>
              <w:adjustRightInd w:val="0"/>
              <w:spacing w:line="360" w:lineRule="auto"/>
              <w:jc w:val="center"/>
              <w:rPr>
                <w:spacing w:val="1"/>
                <w:w w:val="99"/>
                <w:sz w:val="24"/>
              </w:rPr>
            </w:pPr>
          </w:p>
        </w:tc>
        <w:tc>
          <w:tcPr>
            <w:tcW w:w="1291" w:type="dxa"/>
          </w:tcPr>
          <w:p>
            <w:pPr>
              <w:autoSpaceDE w:val="0"/>
              <w:autoSpaceDN w:val="0"/>
              <w:adjustRightInd w:val="0"/>
              <w:spacing w:line="360" w:lineRule="auto"/>
              <w:jc w:val="center"/>
              <w:rPr>
                <w:spacing w:val="1"/>
                <w:w w:val="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autoSpaceDE w:val="0"/>
              <w:autoSpaceDN w:val="0"/>
              <w:adjustRightInd w:val="0"/>
              <w:spacing w:line="360" w:lineRule="auto"/>
              <w:jc w:val="center"/>
              <w:rPr>
                <w:spacing w:val="1"/>
                <w:w w:val="99"/>
                <w:sz w:val="24"/>
              </w:rPr>
            </w:pPr>
          </w:p>
        </w:tc>
        <w:tc>
          <w:tcPr>
            <w:tcW w:w="2313" w:type="dxa"/>
          </w:tcPr>
          <w:p>
            <w:pPr>
              <w:autoSpaceDE w:val="0"/>
              <w:autoSpaceDN w:val="0"/>
              <w:adjustRightInd w:val="0"/>
              <w:spacing w:line="360" w:lineRule="auto"/>
              <w:jc w:val="center"/>
              <w:rPr>
                <w:spacing w:val="1"/>
                <w:w w:val="99"/>
                <w:sz w:val="24"/>
              </w:rPr>
            </w:pPr>
          </w:p>
        </w:tc>
        <w:tc>
          <w:tcPr>
            <w:tcW w:w="2410" w:type="dxa"/>
          </w:tcPr>
          <w:p>
            <w:pPr>
              <w:autoSpaceDE w:val="0"/>
              <w:autoSpaceDN w:val="0"/>
              <w:adjustRightInd w:val="0"/>
              <w:spacing w:line="360" w:lineRule="auto"/>
              <w:jc w:val="center"/>
              <w:rPr>
                <w:spacing w:val="1"/>
                <w:w w:val="99"/>
                <w:sz w:val="24"/>
              </w:rPr>
            </w:pPr>
          </w:p>
        </w:tc>
        <w:tc>
          <w:tcPr>
            <w:tcW w:w="1417" w:type="dxa"/>
          </w:tcPr>
          <w:p>
            <w:pPr>
              <w:autoSpaceDE w:val="0"/>
              <w:autoSpaceDN w:val="0"/>
              <w:adjustRightInd w:val="0"/>
              <w:spacing w:line="360" w:lineRule="auto"/>
              <w:jc w:val="center"/>
              <w:rPr>
                <w:spacing w:val="1"/>
                <w:w w:val="99"/>
                <w:sz w:val="24"/>
              </w:rPr>
            </w:pPr>
          </w:p>
        </w:tc>
        <w:tc>
          <w:tcPr>
            <w:tcW w:w="1291" w:type="dxa"/>
          </w:tcPr>
          <w:p>
            <w:pPr>
              <w:autoSpaceDE w:val="0"/>
              <w:autoSpaceDN w:val="0"/>
              <w:adjustRightInd w:val="0"/>
              <w:spacing w:line="360" w:lineRule="auto"/>
              <w:jc w:val="center"/>
              <w:rPr>
                <w:spacing w:val="1"/>
                <w:w w:val="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autoSpaceDE w:val="0"/>
              <w:autoSpaceDN w:val="0"/>
              <w:adjustRightInd w:val="0"/>
              <w:spacing w:line="360" w:lineRule="auto"/>
              <w:jc w:val="center"/>
              <w:rPr>
                <w:spacing w:val="1"/>
                <w:w w:val="99"/>
                <w:sz w:val="24"/>
              </w:rPr>
            </w:pPr>
          </w:p>
        </w:tc>
        <w:tc>
          <w:tcPr>
            <w:tcW w:w="2313" w:type="dxa"/>
          </w:tcPr>
          <w:p>
            <w:pPr>
              <w:autoSpaceDE w:val="0"/>
              <w:autoSpaceDN w:val="0"/>
              <w:adjustRightInd w:val="0"/>
              <w:spacing w:line="360" w:lineRule="auto"/>
              <w:jc w:val="center"/>
              <w:rPr>
                <w:spacing w:val="1"/>
                <w:w w:val="99"/>
                <w:sz w:val="24"/>
              </w:rPr>
            </w:pPr>
          </w:p>
        </w:tc>
        <w:tc>
          <w:tcPr>
            <w:tcW w:w="2410" w:type="dxa"/>
          </w:tcPr>
          <w:p>
            <w:pPr>
              <w:autoSpaceDE w:val="0"/>
              <w:autoSpaceDN w:val="0"/>
              <w:adjustRightInd w:val="0"/>
              <w:spacing w:line="360" w:lineRule="auto"/>
              <w:jc w:val="center"/>
              <w:rPr>
                <w:spacing w:val="1"/>
                <w:w w:val="99"/>
                <w:sz w:val="24"/>
              </w:rPr>
            </w:pPr>
          </w:p>
        </w:tc>
        <w:tc>
          <w:tcPr>
            <w:tcW w:w="1417" w:type="dxa"/>
          </w:tcPr>
          <w:p>
            <w:pPr>
              <w:autoSpaceDE w:val="0"/>
              <w:autoSpaceDN w:val="0"/>
              <w:adjustRightInd w:val="0"/>
              <w:spacing w:line="360" w:lineRule="auto"/>
              <w:jc w:val="center"/>
              <w:rPr>
                <w:spacing w:val="1"/>
                <w:w w:val="99"/>
                <w:sz w:val="24"/>
              </w:rPr>
            </w:pPr>
          </w:p>
        </w:tc>
        <w:tc>
          <w:tcPr>
            <w:tcW w:w="1291" w:type="dxa"/>
          </w:tcPr>
          <w:p>
            <w:pPr>
              <w:autoSpaceDE w:val="0"/>
              <w:autoSpaceDN w:val="0"/>
              <w:adjustRightInd w:val="0"/>
              <w:spacing w:line="360" w:lineRule="auto"/>
              <w:jc w:val="center"/>
              <w:rPr>
                <w:spacing w:val="1"/>
                <w:w w:val="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autoSpaceDE w:val="0"/>
              <w:autoSpaceDN w:val="0"/>
              <w:adjustRightInd w:val="0"/>
              <w:spacing w:line="360" w:lineRule="auto"/>
              <w:jc w:val="center"/>
              <w:rPr>
                <w:spacing w:val="1"/>
                <w:w w:val="99"/>
                <w:sz w:val="24"/>
              </w:rPr>
            </w:pPr>
          </w:p>
        </w:tc>
        <w:tc>
          <w:tcPr>
            <w:tcW w:w="2313" w:type="dxa"/>
          </w:tcPr>
          <w:p>
            <w:pPr>
              <w:autoSpaceDE w:val="0"/>
              <w:autoSpaceDN w:val="0"/>
              <w:adjustRightInd w:val="0"/>
              <w:spacing w:line="360" w:lineRule="auto"/>
              <w:jc w:val="center"/>
              <w:rPr>
                <w:spacing w:val="1"/>
                <w:w w:val="99"/>
                <w:sz w:val="24"/>
              </w:rPr>
            </w:pPr>
          </w:p>
        </w:tc>
        <w:tc>
          <w:tcPr>
            <w:tcW w:w="2410" w:type="dxa"/>
          </w:tcPr>
          <w:p>
            <w:pPr>
              <w:autoSpaceDE w:val="0"/>
              <w:autoSpaceDN w:val="0"/>
              <w:adjustRightInd w:val="0"/>
              <w:spacing w:line="360" w:lineRule="auto"/>
              <w:jc w:val="center"/>
              <w:rPr>
                <w:spacing w:val="1"/>
                <w:w w:val="99"/>
                <w:sz w:val="24"/>
              </w:rPr>
            </w:pPr>
          </w:p>
        </w:tc>
        <w:tc>
          <w:tcPr>
            <w:tcW w:w="1417" w:type="dxa"/>
          </w:tcPr>
          <w:p>
            <w:pPr>
              <w:autoSpaceDE w:val="0"/>
              <w:autoSpaceDN w:val="0"/>
              <w:adjustRightInd w:val="0"/>
              <w:spacing w:line="360" w:lineRule="auto"/>
              <w:jc w:val="center"/>
              <w:rPr>
                <w:spacing w:val="1"/>
                <w:w w:val="99"/>
                <w:sz w:val="24"/>
              </w:rPr>
            </w:pPr>
          </w:p>
        </w:tc>
        <w:tc>
          <w:tcPr>
            <w:tcW w:w="1291" w:type="dxa"/>
          </w:tcPr>
          <w:p>
            <w:pPr>
              <w:autoSpaceDE w:val="0"/>
              <w:autoSpaceDN w:val="0"/>
              <w:adjustRightInd w:val="0"/>
              <w:spacing w:line="360" w:lineRule="auto"/>
              <w:jc w:val="center"/>
              <w:rPr>
                <w:spacing w:val="1"/>
                <w:w w:val="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autoSpaceDE w:val="0"/>
              <w:autoSpaceDN w:val="0"/>
              <w:adjustRightInd w:val="0"/>
              <w:spacing w:line="360" w:lineRule="auto"/>
              <w:jc w:val="center"/>
              <w:rPr>
                <w:spacing w:val="1"/>
                <w:w w:val="99"/>
                <w:sz w:val="24"/>
              </w:rPr>
            </w:pPr>
          </w:p>
        </w:tc>
        <w:tc>
          <w:tcPr>
            <w:tcW w:w="2313" w:type="dxa"/>
          </w:tcPr>
          <w:p>
            <w:pPr>
              <w:autoSpaceDE w:val="0"/>
              <w:autoSpaceDN w:val="0"/>
              <w:adjustRightInd w:val="0"/>
              <w:spacing w:line="360" w:lineRule="auto"/>
              <w:jc w:val="center"/>
              <w:rPr>
                <w:spacing w:val="1"/>
                <w:w w:val="99"/>
                <w:sz w:val="24"/>
              </w:rPr>
            </w:pPr>
          </w:p>
        </w:tc>
        <w:tc>
          <w:tcPr>
            <w:tcW w:w="2410" w:type="dxa"/>
          </w:tcPr>
          <w:p>
            <w:pPr>
              <w:autoSpaceDE w:val="0"/>
              <w:autoSpaceDN w:val="0"/>
              <w:adjustRightInd w:val="0"/>
              <w:spacing w:line="360" w:lineRule="auto"/>
              <w:jc w:val="center"/>
              <w:rPr>
                <w:spacing w:val="1"/>
                <w:w w:val="99"/>
                <w:sz w:val="24"/>
              </w:rPr>
            </w:pPr>
          </w:p>
        </w:tc>
        <w:tc>
          <w:tcPr>
            <w:tcW w:w="1417" w:type="dxa"/>
          </w:tcPr>
          <w:p>
            <w:pPr>
              <w:autoSpaceDE w:val="0"/>
              <w:autoSpaceDN w:val="0"/>
              <w:adjustRightInd w:val="0"/>
              <w:spacing w:line="360" w:lineRule="auto"/>
              <w:jc w:val="center"/>
              <w:rPr>
                <w:spacing w:val="1"/>
                <w:w w:val="99"/>
                <w:sz w:val="24"/>
              </w:rPr>
            </w:pPr>
          </w:p>
        </w:tc>
        <w:tc>
          <w:tcPr>
            <w:tcW w:w="1291" w:type="dxa"/>
          </w:tcPr>
          <w:p>
            <w:pPr>
              <w:autoSpaceDE w:val="0"/>
              <w:autoSpaceDN w:val="0"/>
              <w:adjustRightInd w:val="0"/>
              <w:spacing w:line="360" w:lineRule="auto"/>
              <w:jc w:val="center"/>
              <w:rPr>
                <w:spacing w:val="1"/>
                <w:w w:val="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autoSpaceDE w:val="0"/>
              <w:autoSpaceDN w:val="0"/>
              <w:adjustRightInd w:val="0"/>
              <w:spacing w:line="360" w:lineRule="auto"/>
              <w:jc w:val="center"/>
              <w:rPr>
                <w:spacing w:val="1"/>
                <w:w w:val="99"/>
                <w:sz w:val="24"/>
              </w:rPr>
            </w:pPr>
          </w:p>
        </w:tc>
        <w:tc>
          <w:tcPr>
            <w:tcW w:w="2313" w:type="dxa"/>
          </w:tcPr>
          <w:p>
            <w:pPr>
              <w:autoSpaceDE w:val="0"/>
              <w:autoSpaceDN w:val="0"/>
              <w:adjustRightInd w:val="0"/>
              <w:spacing w:line="360" w:lineRule="auto"/>
              <w:jc w:val="center"/>
              <w:rPr>
                <w:spacing w:val="1"/>
                <w:w w:val="99"/>
                <w:sz w:val="24"/>
              </w:rPr>
            </w:pPr>
          </w:p>
        </w:tc>
        <w:tc>
          <w:tcPr>
            <w:tcW w:w="2410" w:type="dxa"/>
          </w:tcPr>
          <w:p>
            <w:pPr>
              <w:autoSpaceDE w:val="0"/>
              <w:autoSpaceDN w:val="0"/>
              <w:adjustRightInd w:val="0"/>
              <w:spacing w:line="360" w:lineRule="auto"/>
              <w:jc w:val="center"/>
              <w:rPr>
                <w:spacing w:val="1"/>
                <w:w w:val="99"/>
                <w:sz w:val="24"/>
              </w:rPr>
            </w:pPr>
          </w:p>
        </w:tc>
        <w:tc>
          <w:tcPr>
            <w:tcW w:w="1417" w:type="dxa"/>
          </w:tcPr>
          <w:p>
            <w:pPr>
              <w:autoSpaceDE w:val="0"/>
              <w:autoSpaceDN w:val="0"/>
              <w:adjustRightInd w:val="0"/>
              <w:spacing w:line="360" w:lineRule="auto"/>
              <w:jc w:val="center"/>
              <w:rPr>
                <w:spacing w:val="1"/>
                <w:w w:val="99"/>
                <w:sz w:val="24"/>
              </w:rPr>
            </w:pPr>
          </w:p>
        </w:tc>
        <w:tc>
          <w:tcPr>
            <w:tcW w:w="1291" w:type="dxa"/>
          </w:tcPr>
          <w:p>
            <w:pPr>
              <w:autoSpaceDE w:val="0"/>
              <w:autoSpaceDN w:val="0"/>
              <w:adjustRightInd w:val="0"/>
              <w:spacing w:line="360" w:lineRule="auto"/>
              <w:jc w:val="center"/>
              <w:rPr>
                <w:spacing w:val="1"/>
                <w:w w:val="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autoSpaceDE w:val="0"/>
              <w:autoSpaceDN w:val="0"/>
              <w:adjustRightInd w:val="0"/>
              <w:spacing w:line="360" w:lineRule="auto"/>
              <w:jc w:val="center"/>
              <w:rPr>
                <w:spacing w:val="1"/>
                <w:w w:val="99"/>
                <w:sz w:val="24"/>
              </w:rPr>
            </w:pPr>
          </w:p>
        </w:tc>
        <w:tc>
          <w:tcPr>
            <w:tcW w:w="2313" w:type="dxa"/>
          </w:tcPr>
          <w:p>
            <w:pPr>
              <w:autoSpaceDE w:val="0"/>
              <w:autoSpaceDN w:val="0"/>
              <w:adjustRightInd w:val="0"/>
              <w:spacing w:line="360" w:lineRule="auto"/>
              <w:jc w:val="center"/>
              <w:rPr>
                <w:spacing w:val="1"/>
                <w:w w:val="99"/>
                <w:sz w:val="24"/>
              </w:rPr>
            </w:pPr>
          </w:p>
        </w:tc>
        <w:tc>
          <w:tcPr>
            <w:tcW w:w="2410" w:type="dxa"/>
          </w:tcPr>
          <w:p>
            <w:pPr>
              <w:autoSpaceDE w:val="0"/>
              <w:autoSpaceDN w:val="0"/>
              <w:adjustRightInd w:val="0"/>
              <w:spacing w:line="360" w:lineRule="auto"/>
              <w:jc w:val="center"/>
              <w:rPr>
                <w:spacing w:val="1"/>
                <w:w w:val="99"/>
                <w:sz w:val="24"/>
              </w:rPr>
            </w:pPr>
          </w:p>
        </w:tc>
        <w:tc>
          <w:tcPr>
            <w:tcW w:w="1417" w:type="dxa"/>
          </w:tcPr>
          <w:p>
            <w:pPr>
              <w:autoSpaceDE w:val="0"/>
              <w:autoSpaceDN w:val="0"/>
              <w:adjustRightInd w:val="0"/>
              <w:spacing w:line="360" w:lineRule="auto"/>
              <w:jc w:val="center"/>
              <w:rPr>
                <w:spacing w:val="1"/>
                <w:w w:val="99"/>
                <w:sz w:val="24"/>
              </w:rPr>
            </w:pPr>
          </w:p>
        </w:tc>
        <w:tc>
          <w:tcPr>
            <w:tcW w:w="1291" w:type="dxa"/>
          </w:tcPr>
          <w:p>
            <w:pPr>
              <w:autoSpaceDE w:val="0"/>
              <w:autoSpaceDN w:val="0"/>
              <w:adjustRightInd w:val="0"/>
              <w:spacing w:line="360" w:lineRule="auto"/>
              <w:jc w:val="center"/>
              <w:rPr>
                <w:spacing w:val="1"/>
                <w:w w:val="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autoSpaceDE w:val="0"/>
              <w:autoSpaceDN w:val="0"/>
              <w:adjustRightInd w:val="0"/>
              <w:spacing w:line="360" w:lineRule="auto"/>
              <w:jc w:val="center"/>
              <w:rPr>
                <w:spacing w:val="1"/>
                <w:w w:val="99"/>
                <w:sz w:val="24"/>
              </w:rPr>
            </w:pPr>
          </w:p>
        </w:tc>
        <w:tc>
          <w:tcPr>
            <w:tcW w:w="2313" w:type="dxa"/>
          </w:tcPr>
          <w:p>
            <w:pPr>
              <w:autoSpaceDE w:val="0"/>
              <w:autoSpaceDN w:val="0"/>
              <w:adjustRightInd w:val="0"/>
              <w:spacing w:line="360" w:lineRule="auto"/>
              <w:jc w:val="center"/>
              <w:rPr>
                <w:spacing w:val="1"/>
                <w:w w:val="99"/>
                <w:sz w:val="24"/>
              </w:rPr>
            </w:pPr>
          </w:p>
        </w:tc>
        <w:tc>
          <w:tcPr>
            <w:tcW w:w="2410" w:type="dxa"/>
          </w:tcPr>
          <w:p>
            <w:pPr>
              <w:autoSpaceDE w:val="0"/>
              <w:autoSpaceDN w:val="0"/>
              <w:adjustRightInd w:val="0"/>
              <w:spacing w:line="360" w:lineRule="auto"/>
              <w:jc w:val="center"/>
              <w:rPr>
                <w:spacing w:val="1"/>
                <w:w w:val="99"/>
                <w:sz w:val="24"/>
              </w:rPr>
            </w:pPr>
          </w:p>
        </w:tc>
        <w:tc>
          <w:tcPr>
            <w:tcW w:w="1417" w:type="dxa"/>
          </w:tcPr>
          <w:p>
            <w:pPr>
              <w:autoSpaceDE w:val="0"/>
              <w:autoSpaceDN w:val="0"/>
              <w:adjustRightInd w:val="0"/>
              <w:spacing w:line="360" w:lineRule="auto"/>
              <w:jc w:val="center"/>
              <w:rPr>
                <w:spacing w:val="1"/>
                <w:w w:val="99"/>
                <w:sz w:val="24"/>
              </w:rPr>
            </w:pPr>
          </w:p>
        </w:tc>
        <w:tc>
          <w:tcPr>
            <w:tcW w:w="1291" w:type="dxa"/>
          </w:tcPr>
          <w:p>
            <w:pPr>
              <w:autoSpaceDE w:val="0"/>
              <w:autoSpaceDN w:val="0"/>
              <w:adjustRightInd w:val="0"/>
              <w:spacing w:line="360" w:lineRule="auto"/>
              <w:jc w:val="center"/>
              <w:rPr>
                <w:spacing w:val="1"/>
                <w:w w:val="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tcPr>
          <w:p>
            <w:pPr>
              <w:autoSpaceDE w:val="0"/>
              <w:autoSpaceDN w:val="0"/>
              <w:adjustRightInd w:val="0"/>
              <w:spacing w:line="360" w:lineRule="auto"/>
              <w:jc w:val="center"/>
              <w:rPr>
                <w:spacing w:val="1"/>
                <w:w w:val="99"/>
                <w:sz w:val="24"/>
              </w:rPr>
            </w:pPr>
          </w:p>
        </w:tc>
        <w:tc>
          <w:tcPr>
            <w:tcW w:w="2313" w:type="dxa"/>
          </w:tcPr>
          <w:p>
            <w:pPr>
              <w:autoSpaceDE w:val="0"/>
              <w:autoSpaceDN w:val="0"/>
              <w:adjustRightInd w:val="0"/>
              <w:spacing w:line="360" w:lineRule="auto"/>
              <w:jc w:val="center"/>
              <w:rPr>
                <w:spacing w:val="1"/>
                <w:w w:val="99"/>
                <w:sz w:val="24"/>
              </w:rPr>
            </w:pPr>
          </w:p>
        </w:tc>
        <w:tc>
          <w:tcPr>
            <w:tcW w:w="2410" w:type="dxa"/>
          </w:tcPr>
          <w:p>
            <w:pPr>
              <w:autoSpaceDE w:val="0"/>
              <w:autoSpaceDN w:val="0"/>
              <w:adjustRightInd w:val="0"/>
              <w:spacing w:line="360" w:lineRule="auto"/>
              <w:jc w:val="center"/>
              <w:rPr>
                <w:spacing w:val="1"/>
                <w:w w:val="99"/>
                <w:sz w:val="24"/>
              </w:rPr>
            </w:pPr>
          </w:p>
        </w:tc>
        <w:tc>
          <w:tcPr>
            <w:tcW w:w="1417" w:type="dxa"/>
          </w:tcPr>
          <w:p>
            <w:pPr>
              <w:autoSpaceDE w:val="0"/>
              <w:autoSpaceDN w:val="0"/>
              <w:adjustRightInd w:val="0"/>
              <w:spacing w:line="360" w:lineRule="auto"/>
              <w:jc w:val="center"/>
              <w:rPr>
                <w:spacing w:val="1"/>
                <w:w w:val="99"/>
                <w:sz w:val="24"/>
              </w:rPr>
            </w:pPr>
          </w:p>
        </w:tc>
        <w:tc>
          <w:tcPr>
            <w:tcW w:w="1291" w:type="dxa"/>
          </w:tcPr>
          <w:p>
            <w:pPr>
              <w:autoSpaceDE w:val="0"/>
              <w:autoSpaceDN w:val="0"/>
              <w:adjustRightInd w:val="0"/>
              <w:spacing w:line="360" w:lineRule="auto"/>
              <w:jc w:val="center"/>
              <w:rPr>
                <w:spacing w:val="1"/>
                <w:w w:val="99"/>
                <w:sz w:val="24"/>
              </w:rPr>
            </w:pPr>
          </w:p>
        </w:tc>
      </w:tr>
    </w:tbl>
    <w:p>
      <w:pPr>
        <w:rPr>
          <w:sz w:val="24"/>
          <w:highlight w:val="red"/>
        </w:rPr>
      </w:pPr>
    </w:p>
    <w:p>
      <w:pPr>
        <w:spacing w:before="93" w:beforeLines="30" w:line="320" w:lineRule="exact"/>
        <w:rPr>
          <w:rFonts w:ascii="宋体" w:hAnsi="宋体"/>
          <w:sz w:val="24"/>
        </w:rPr>
      </w:pPr>
    </w:p>
    <w:p>
      <w:pPr>
        <w:spacing w:before="93" w:beforeLines="30" w:line="320" w:lineRule="exact"/>
        <w:rPr>
          <w:rFonts w:ascii="宋体" w:hAnsi="宋体"/>
          <w:sz w:val="24"/>
        </w:rPr>
      </w:pPr>
    </w:p>
    <w:p>
      <w:pPr>
        <w:spacing w:before="93" w:beforeLines="30" w:line="320" w:lineRule="exact"/>
        <w:rPr>
          <w:rFonts w:ascii="宋体" w:hAnsi="宋体"/>
          <w:sz w:val="24"/>
        </w:rPr>
      </w:pPr>
    </w:p>
    <w:p>
      <w:pPr>
        <w:spacing w:before="93" w:beforeLines="30" w:line="320" w:lineRule="exact"/>
        <w:rPr>
          <w:rFonts w:ascii="宋体" w:hAnsi="宋体"/>
          <w:sz w:val="24"/>
        </w:rPr>
      </w:pPr>
    </w:p>
    <w:p>
      <w:pPr>
        <w:spacing w:before="93" w:beforeLines="30" w:line="320" w:lineRule="exact"/>
        <w:rPr>
          <w:rFonts w:ascii="宋体" w:hAnsi="宋体"/>
          <w:sz w:val="24"/>
        </w:rPr>
      </w:pPr>
    </w:p>
    <w:p>
      <w:pPr>
        <w:spacing w:before="93" w:beforeLines="30" w:line="320" w:lineRule="exact"/>
        <w:rPr>
          <w:rFonts w:ascii="宋体" w:hAnsi="宋体"/>
          <w:sz w:val="24"/>
        </w:rPr>
      </w:pPr>
    </w:p>
    <w:p>
      <w:pPr>
        <w:spacing w:before="93" w:beforeLines="30" w:line="320" w:lineRule="exact"/>
        <w:rPr>
          <w:rFonts w:ascii="宋体" w:hAnsi="宋体"/>
          <w:sz w:val="24"/>
        </w:rPr>
      </w:pPr>
      <w:r>
        <w:rPr>
          <w:rFonts w:hint="eastAsia" w:ascii="宋体" w:hAnsi="宋体"/>
          <w:sz w:val="24"/>
        </w:rPr>
        <w:t>注：</w:t>
      </w:r>
      <w:r>
        <w:rPr>
          <w:rFonts w:ascii="宋体" w:hAnsi="宋体"/>
          <w:sz w:val="24"/>
        </w:rPr>
        <w:t>1</w:t>
      </w:r>
      <w:r>
        <w:rPr>
          <w:rFonts w:hint="eastAsia" w:ascii="宋体" w:hAnsi="宋体"/>
          <w:sz w:val="24"/>
        </w:rPr>
        <w:t>、报价人提供2016年1月1日至今已完成的类似业绩填入本表中。</w:t>
      </w:r>
    </w:p>
    <w:p>
      <w:pPr>
        <w:spacing w:before="93" w:beforeLines="30" w:line="320" w:lineRule="exact"/>
        <w:ind w:firstLine="480" w:firstLineChars="200"/>
        <w:rPr>
          <w:rFonts w:ascii="宋体" w:hAnsi="宋体"/>
          <w:sz w:val="24"/>
        </w:rPr>
      </w:pPr>
      <w:r>
        <w:rPr>
          <w:rFonts w:ascii="宋体" w:hAnsi="宋体"/>
          <w:sz w:val="24"/>
        </w:rPr>
        <w:t>2</w:t>
      </w:r>
      <w:r>
        <w:rPr>
          <w:rFonts w:hint="eastAsia" w:ascii="宋体" w:hAnsi="宋体"/>
          <w:sz w:val="24"/>
        </w:rPr>
        <w:t>、报价人所附的合同协议书应能反映本文件所要求的各项业绩指标，如不能反映以上业绩指标，则还需附委托人出具的业绩证明材料。且证明材料必须能反映本文件所要求的各项业绩指标。</w:t>
      </w:r>
    </w:p>
    <w:p>
      <w:pPr>
        <w:spacing w:before="93" w:beforeLines="30" w:line="320" w:lineRule="exact"/>
        <w:ind w:firstLine="480" w:firstLineChars="200"/>
        <w:rPr>
          <w:rFonts w:ascii="宋体" w:hAnsi="宋体"/>
          <w:sz w:val="24"/>
        </w:rPr>
      </w:pPr>
      <w:r>
        <w:rPr>
          <w:rFonts w:ascii="宋体" w:hAnsi="宋体"/>
          <w:sz w:val="24"/>
        </w:rPr>
        <w:t>3</w:t>
      </w:r>
      <w:r>
        <w:rPr>
          <w:rFonts w:hint="eastAsia" w:ascii="宋体" w:hAnsi="宋体"/>
          <w:sz w:val="24"/>
        </w:rPr>
        <w:t>、如近年来，报价人法人机构发生合法变更或重组或法人名称变更时，应提供相关部门的合法批件或其他相关证明材料来证明其所附业绩的继承性。</w:t>
      </w:r>
      <w:r>
        <w:rPr>
          <w:rFonts w:ascii="宋体" w:hAnsi="宋体"/>
          <w:sz w:val="24"/>
        </w:rPr>
        <w:t xml:space="preserve"> </w:t>
      </w:r>
    </w:p>
    <w:p>
      <w:pPr>
        <w:spacing w:before="93" w:beforeLines="30" w:line="320" w:lineRule="exact"/>
        <w:ind w:firstLine="480" w:firstLineChars="200"/>
        <w:rPr>
          <w:rFonts w:ascii="宋体" w:hAnsi="宋体"/>
          <w:sz w:val="24"/>
        </w:rPr>
      </w:pPr>
      <w:r>
        <w:rPr>
          <w:rFonts w:ascii="宋体" w:hAnsi="宋体"/>
          <w:sz w:val="24"/>
        </w:rPr>
        <w:t>4</w:t>
      </w:r>
      <w:r>
        <w:rPr>
          <w:rFonts w:hint="eastAsia" w:ascii="宋体" w:hAnsi="宋体"/>
          <w:sz w:val="24"/>
        </w:rPr>
        <w:t>、以上文件每页均应加盖报价人公章。</w:t>
      </w:r>
    </w:p>
    <w:p>
      <w:pPr>
        <w:pStyle w:val="14"/>
      </w:pPr>
    </w:p>
    <w:p/>
    <w:p>
      <w:pPr>
        <w:rPr>
          <w:rFonts w:ascii="方正仿宋_GBK" w:hAnsi="方正仿宋_GBK" w:eastAsia="方正仿宋_GBK" w:cs="方正仿宋_GBK"/>
          <w:sz w:val="32"/>
          <w:szCs w:val="32"/>
        </w:rPr>
      </w:pPr>
      <w:bookmarkStart w:id="27" w:name="_Toc472_WPSOffice_Level1"/>
      <w:bookmarkStart w:id="28" w:name="_Toc18466_WPSOffice_Level1"/>
      <w:bookmarkStart w:id="29" w:name="_Toc161_WPSOffice_Level1"/>
      <w:r>
        <w:rPr>
          <w:rFonts w:hint="eastAsia"/>
          <w:b/>
          <w:sz w:val="28"/>
          <w:szCs w:val="28"/>
        </w:rPr>
        <w:t>六、</w:t>
      </w:r>
      <w:r>
        <w:rPr>
          <w:rFonts w:hint="eastAsia"/>
          <w:b/>
          <w:sz w:val="32"/>
          <w:szCs w:val="32"/>
        </w:rPr>
        <w:t>其他资料</w:t>
      </w:r>
    </w:p>
    <w:bookmarkEnd w:id="27"/>
    <w:bookmarkEnd w:id="28"/>
    <w:bookmarkEnd w:id="29"/>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pStyle w:val="14"/>
        <w:rPr>
          <w:b/>
          <w:bCs/>
          <w:sz w:val="72"/>
          <w:szCs w:val="72"/>
        </w:rPr>
      </w:pPr>
    </w:p>
    <w:p>
      <w:pPr>
        <w:jc w:val="center"/>
        <w:rPr>
          <w:b/>
          <w:bCs/>
          <w:sz w:val="72"/>
          <w:szCs w:val="72"/>
        </w:rPr>
      </w:pPr>
    </w:p>
    <w:p>
      <w:pPr>
        <w:jc w:val="center"/>
        <w:rPr>
          <w:b/>
          <w:bCs/>
          <w:sz w:val="72"/>
          <w:szCs w:val="72"/>
        </w:rPr>
      </w:pPr>
    </w:p>
    <w:p>
      <w:pPr>
        <w:jc w:val="center"/>
        <w:rPr>
          <w:b/>
          <w:bCs/>
          <w:sz w:val="72"/>
          <w:szCs w:val="72"/>
        </w:rPr>
      </w:pPr>
    </w:p>
    <w:p>
      <w:pPr>
        <w:jc w:val="center"/>
        <w:rPr>
          <w:b/>
          <w:bCs/>
          <w:sz w:val="72"/>
          <w:szCs w:val="72"/>
        </w:rPr>
      </w:pPr>
    </w:p>
    <w:p>
      <w:pPr>
        <w:jc w:val="center"/>
        <w:rPr>
          <w:b/>
          <w:bCs/>
          <w:sz w:val="72"/>
          <w:szCs w:val="72"/>
        </w:rPr>
      </w:pPr>
    </w:p>
    <w:p>
      <w:pPr>
        <w:jc w:val="center"/>
        <w:rPr>
          <w:b/>
          <w:bCs/>
          <w:sz w:val="72"/>
          <w:szCs w:val="72"/>
        </w:rPr>
      </w:pPr>
    </w:p>
    <w:p>
      <w:pPr>
        <w:jc w:val="center"/>
        <w:rPr>
          <w:b/>
          <w:bCs/>
          <w:sz w:val="72"/>
          <w:szCs w:val="72"/>
        </w:rPr>
      </w:pPr>
    </w:p>
    <w:p>
      <w:pPr>
        <w:jc w:val="center"/>
        <w:rPr>
          <w:b/>
          <w:bCs/>
          <w:sz w:val="72"/>
          <w:szCs w:val="72"/>
        </w:rPr>
      </w:pPr>
      <w:r>
        <w:rPr>
          <w:rFonts w:hint="eastAsia"/>
          <w:b/>
          <w:bCs/>
          <w:sz w:val="72"/>
          <w:szCs w:val="72"/>
        </w:rPr>
        <w:t>三、合同条款及格式</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宋体" w:hAnsi="宋体"/>
          <w:sz w:val="28"/>
          <w:szCs w:val="28"/>
          <w:u w:val="single"/>
        </w:rPr>
        <w:t xml:space="preserve">            </w:t>
      </w: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项目改迁及拆迁工程造价咨询服务合同</w:t>
      </w:r>
    </w:p>
    <w:p>
      <w:pPr>
        <w:pStyle w:val="14"/>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甲方：重庆渝湘复线高速公路有限公司</w:t>
      </w:r>
    </w:p>
    <w:p>
      <w:pPr>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乙方：</w:t>
      </w:r>
    </w:p>
    <w:p>
      <w:pPr>
        <w:pStyle w:val="14"/>
        <w:rPr>
          <w:rFonts w:hint="eastAsia" w:ascii="方正仿宋_GBK" w:hAnsi="方正仿宋_GBK" w:eastAsia="方正仿宋_GBK" w:cs="方正仿宋_GBK"/>
        </w:rPr>
      </w:pPr>
    </w:p>
    <w:p>
      <w:pPr>
        <w:ind w:firstLine="840" w:firstLineChars="3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项目建设，需对沿线影响到的原有建构筑物或设施进行拆迁、补偿、还建、新建或修复，这类项目具有数量多且零星分散、行业广且专业性强、时间紧且任务重等特点，决定委托乙方对此</w:t>
      </w:r>
      <w:r>
        <w:rPr>
          <w:rFonts w:hint="eastAsia" w:ascii="方正仿宋_GBK" w:hAnsi="方正仿宋_GBK" w:eastAsia="方正仿宋_GBK" w:cs="方正仿宋_GBK"/>
          <w:color w:val="000000" w:themeColor="text1"/>
          <w:sz w:val="28"/>
          <w:szCs w:val="28"/>
          <w14:textFill>
            <w14:solidFill>
              <w14:schemeClr w14:val="tx1"/>
            </w14:solidFill>
          </w14:textFill>
        </w:rPr>
        <w:t>类项目进行工程造价咨询。经双方友好协商，达成协议如下：</w:t>
      </w:r>
    </w:p>
    <w:p>
      <w:pPr>
        <w:numPr>
          <w:ilvl w:val="0"/>
          <w:numId w:val="1"/>
        </w:numPr>
        <w:ind w:firstLine="435"/>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工作内容：</w:t>
      </w:r>
    </w:p>
    <w:p>
      <w:pPr>
        <w:ind w:firstLine="43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1、甲方委托乙方对高速公路建设拆迁还建（或补偿）涉及的管网（电力、通信、光缆、光纤等）、管道（气管、水管、油管等）、建筑物（</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房建工程、</w:t>
      </w:r>
      <w:r>
        <w:rPr>
          <w:rFonts w:hint="eastAsia" w:ascii="方正仿宋_GBK" w:hAnsi="方正仿宋_GBK" w:eastAsia="方正仿宋_GBK" w:cs="方正仿宋_GBK"/>
          <w:color w:val="000000" w:themeColor="text1"/>
          <w:sz w:val="28"/>
          <w:szCs w:val="28"/>
          <w14:textFill>
            <w14:solidFill>
              <w14:schemeClr w14:val="tx1"/>
            </w14:solidFill>
          </w14:textFill>
        </w:rPr>
        <w:t>道路、挡墙、水利设施等）等编制预算或进行造价费用审核。</w:t>
      </w:r>
    </w:p>
    <w:p>
      <w:pPr>
        <w:ind w:firstLine="435"/>
        <w:rPr>
          <w:rFonts w:hint="eastAsia" w:ascii="方正仿宋_GBK" w:hAnsi="方正仿宋_GBK" w:eastAsia="方正仿宋_GBK" w:cs="方正仿宋_GBK"/>
        </w:rPr>
      </w:pPr>
      <w:r>
        <w:rPr>
          <w:rFonts w:hint="eastAsia" w:ascii="方正仿宋_GBK" w:hAnsi="方正仿宋_GBK" w:eastAsia="方正仿宋_GBK" w:cs="方正仿宋_GBK"/>
          <w:color w:val="000000" w:themeColor="text1"/>
          <w:sz w:val="28"/>
          <w:szCs w:val="28"/>
          <w14:textFill>
            <w14:solidFill>
              <w14:schemeClr w14:val="tx1"/>
            </w14:solidFill>
          </w14:textFill>
        </w:rPr>
        <w:t>2、乙方全程按甲方指定地点接受产权单位对其编制费用或审核费用的咨询。</w:t>
      </w:r>
    </w:p>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sz w:val="28"/>
          <w:szCs w:val="28"/>
        </w:rPr>
        <w:t>二、基础资料的提交：</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1、甲方向乙方提供有关审核资料，所提供的资料应有甲方或甲方授权人对方案（或设计）以及工程量的签认。</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2、甲方对所提供资料的真实性负责。</w:t>
      </w:r>
    </w:p>
    <w:p>
      <w:pPr>
        <w:pStyle w:val="14"/>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sz w:val="28"/>
          <w:szCs w:val="28"/>
        </w:rPr>
        <w:t>三、工作时间及造价咨询报告的提供：</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1、甲方分批次（或分项）委托乙方开展造价咨询工作，乙方受托后后5日内完成造价项目的现场踏勘，乙方现场踏勘完成后7日内提供咨询报告。</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2、经甲方同意，乙方无需进行现场踏勘的造价咨询项目，从甲方向乙方提供资料后7日内甲方提供咨询报告。</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3、特殊情况按照双方约定时间内必须完成。</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4、乙方向甲方提供一式四份的咨询报告，所有的咨询报告必须有任职质资人员的签字或盖章，有乙方单位的盖章。</w:t>
      </w:r>
    </w:p>
    <w:p>
      <w:pPr>
        <w:ind w:firstLine="43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四、造价咨询费及支付方式：</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1、依据渝价（2013）428号文《重庆市物价局关于工程造价咨询服务收费标准的通知》精神，通竞争性询价，造价审核咨询费按审定金额的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‰收取。即，造价咨询费=审定金额×合同约定费率。其中，审定金额是甲方采信造价额（即甲方与拆迁方签定的合同金额）。</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2、乙方单个批次咨询费用不足3000元的，按照3000元计算；</w:t>
      </w:r>
    </w:p>
    <w:p>
      <w:pPr>
        <w:pStyle w:val="14"/>
        <w:ind w:firstLine="560" w:firstLineChars="200"/>
        <w:rPr>
          <w:rFonts w:hint="eastAsia" w:ascii="方正仿宋_GBK" w:hAnsi="方正仿宋_GBK" w:eastAsia="方正仿宋_GBK" w:cs="方正仿宋_GBK"/>
          <w:color w:val="000000" w:themeColor="text1"/>
          <w:kern w:val="2"/>
          <w:sz w:val="28"/>
          <w:szCs w:val="28"/>
          <w14:textFill>
            <w14:solidFill>
              <w14:schemeClr w14:val="tx1"/>
            </w14:solidFill>
          </w14:textFill>
        </w:rPr>
      </w:pPr>
      <w:r>
        <w:rPr>
          <w:rFonts w:hint="eastAsia" w:ascii="方正仿宋_GBK" w:hAnsi="方正仿宋_GBK" w:eastAsia="方正仿宋_GBK" w:cs="方正仿宋_GBK"/>
          <w:color w:val="000000" w:themeColor="text1"/>
          <w:kern w:val="2"/>
          <w:sz w:val="28"/>
          <w:szCs w:val="28"/>
          <w14:textFill>
            <w14:solidFill>
              <w14:schemeClr w14:val="tx1"/>
            </w14:solidFill>
          </w14:textFill>
        </w:rPr>
        <w:t>3、乙方现场踏勘不得收费，甲方要求乙方当面与拆迁补偿方进行当面咨询（或谈判），巴南、南川境800元/次,武隆、彭水、酉阳境1000元/次，乙方每次当面参与咨询或谈判，需有甲方有关（含区县指挥部）的两人以上的人员签字记录</w:t>
      </w:r>
      <w:r>
        <w:rPr>
          <w:rFonts w:hint="eastAsia" w:ascii="方正仿宋_GBK" w:hAnsi="方正仿宋_GBK" w:eastAsia="方正仿宋_GBK" w:cs="方正仿宋_GBK"/>
          <w:bCs/>
          <w:snapToGrid w:val="0"/>
          <w:color w:val="000000" w:themeColor="text1"/>
          <w:sz w:val="30"/>
          <w:szCs w:val="30"/>
          <w14:textFill>
            <w14:solidFill>
              <w14:schemeClr w14:val="tx1"/>
            </w14:solidFill>
          </w14:textFill>
        </w:rPr>
        <w:t>。</w:t>
      </w:r>
    </w:p>
    <w:p>
      <w:pPr>
        <w:pStyle w:val="14"/>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4、合同约定费用包含但不限于完成全部工作内容所需的评审费、工作经费、差旅费、劳务、测</w:t>
      </w:r>
      <w:r>
        <w:rPr>
          <w:rFonts w:hint="eastAsia" w:ascii="方正仿宋_GBK" w:hAnsi="方正仿宋_GBK" w:eastAsia="方正仿宋_GBK" w:cs="方正仿宋_GBK"/>
          <w:color w:val="000000" w:themeColor="text1"/>
          <w:sz w:val="28"/>
          <w:szCs w:val="28"/>
          <w14:textFill>
            <w14:solidFill>
              <w14:schemeClr w14:val="tx1"/>
            </w14:solidFill>
          </w14:textFill>
        </w:rPr>
        <w:t>绘、会务费、加班费、专家咨询费、材料、管理、税费、利润等所有费用，以及履行合</w:t>
      </w:r>
      <w:r>
        <w:rPr>
          <w:rFonts w:hint="eastAsia" w:ascii="方正仿宋_GBK" w:hAnsi="方正仿宋_GBK" w:eastAsia="方正仿宋_GBK" w:cs="方正仿宋_GBK"/>
          <w:sz w:val="28"/>
          <w:szCs w:val="28"/>
        </w:rPr>
        <w:t>同中的责任、义务和一般风险。</w:t>
      </w:r>
    </w:p>
    <w:p>
      <w:pPr>
        <w:ind w:firstLine="43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kern w:val="0"/>
          <w:sz w:val="28"/>
          <w:szCs w:val="28"/>
          <w:lang w:val="en-US" w:eastAsia="zh-CN" w:bidi="ar-SA"/>
        </w:rPr>
        <w:t>合同期限为合同签署之日起至项目交工验收之日止，</w:t>
      </w:r>
      <w:r>
        <w:rPr>
          <w:rFonts w:hint="eastAsia" w:ascii="方正仿宋_GBK" w:hAnsi="方正仿宋_GBK" w:eastAsia="方正仿宋_GBK" w:cs="方正仿宋_GBK"/>
          <w:color w:val="000000" w:themeColor="text1"/>
          <w:sz w:val="28"/>
          <w:szCs w:val="28"/>
          <w14:textFill>
            <w14:solidFill>
              <w14:schemeClr w14:val="tx1"/>
            </w14:solidFill>
          </w14:textFill>
        </w:rPr>
        <w:t>费用按乙方完成10个以上的工程造价咨询项目或合同满6个月时，双方可结算一次费用，合同期满结算已完成工程造价咨询项目尾款，甲方付款前乙方应当向甲方开具并提供对应金额的增值税发票。</w:t>
      </w:r>
    </w:p>
    <w:p>
      <w:pPr>
        <w:ind w:firstLine="43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五、甲方权利及义务</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1、甲方有权要求乙方有资质的人员参与费用协商或谈判，并接受有关各方的咨询。</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2、乙方如发生与产权单位（第三方）私下接触行为，或与产权单位（第三方）串通给甲方造成经济损失的，甲方将予以乙方罚款5万元/次直至终止合同，并要求乙方承担赔偿责任。</w:t>
      </w:r>
    </w:p>
    <w:p>
      <w:pPr>
        <w:ind w:firstLine="435"/>
        <w:rPr>
          <w:rFonts w:hint="eastAsia" w:ascii="方正仿宋_GBK" w:hAnsi="方正仿宋_GBK" w:eastAsia="方正仿宋_GBK" w:cs="方正仿宋_GBK"/>
          <w:color w:val="C00000"/>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color w:val="000000" w:themeColor="text1"/>
          <w:sz w:val="28"/>
          <w:szCs w:val="28"/>
          <w14:textFill>
            <w14:solidFill>
              <w14:schemeClr w14:val="tx1"/>
            </w14:solidFill>
          </w14:textFill>
        </w:rPr>
        <w:t>甲方负责与本合同约定咨询业务有关的第三方进行协调，为乙方工作提供相应的外部条件。</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4、乙方在约定时间内超过三次不能提供相关咨询报告，或经甲方要求进行工作整改仍达不到工作目标的，甲方有权终止合同。</w:t>
      </w:r>
    </w:p>
    <w:p>
      <w:pPr>
        <w:ind w:firstLine="43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六、乙方权利及义务</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1、按有关法律法规及政策编制或审核费用，对所审核的费用承担责任。</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2、指定两名有任职资质的人员专职办理甲方委托事宜，不得随意更换。</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3、无条件接受产权单位对造价组成的咨询。</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4、接受甲方对造价咨询的审核和监督。</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5、乙方应对甲方所提供资料完整保管并保密，应对造价咨询结果保密。</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6、乙方必须派人协作甲方完成费用协商或谈判。   </w:t>
      </w:r>
    </w:p>
    <w:p>
      <w:pPr>
        <w:ind w:firstLine="435"/>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七、违约责任</w:t>
      </w:r>
    </w:p>
    <w:p>
      <w:pPr>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一方违约，由违约方向守约方支付由于违约造成的经济损失。</w:t>
      </w:r>
    </w:p>
    <w:p>
      <w:pPr>
        <w:numPr>
          <w:ilvl w:val="0"/>
          <w:numId w:val="2"/>
        </w:num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争议解决</w:t>
      </w:r>
    </w:p>
    <w:p>
      <w:pPr>
        <w:pStyle w:val="14"/>
        <w:ind w:firstLine="560" w:firstLineChars="200"/>
        <w:jc w:val="both"/>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因履行本合同发生争议的各方应友好协商解决，协商不了的，任何一方均可向合同签订地（重庆市渝北区）的法院起诉。</w:t>
      </w:r>
    </w:p>
    <w:p>
      <w:pPr>
        <w:ind w:firstLine="281" w:firstLineChars="1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九、其他事项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本合同一式陆份，具有同等法律效力，甲方肆份乙方贰份。双方签字盖章之日起生效，在本协议事项全部完成后自动失效。</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(以下无正文)</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甲方（盖章）：                       乙方（盖章）：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法人或委托代理人：                  法人或委托代理人：</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                            经办人：</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二O二</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年  月  日</w:t>
      </w:r>
    </w:p>
    <w:p>
      <w:pPr>
        <w:pStyle w:val="14"/>
        <w:rPr>
          <w:rFonts w:hint="eastAsia" w:ascii="方正仿宋_GBK" w:hAnsi="方正仿宋_GBK" w:eastAsia="方正仿宋_GBK" w:cs="方正仿宋_GBK"/>
          <w:sz w:val="28"/>
          <w:szCs w:val="28"/>
        </w:rPr>
      </w:pPr>
    </w:p>
    <w:p>
      <w:pPr>
        <w:pStyle w:val="14"/>
        <w:rPr>
          <w:rFonts w:hint="eastAsia" w:ascii="方正仿宋_GBK" w:hAnsi="方正仿宋_GBK" w:eastAsia="方正仿宋_GBK" w:cs="方正仿宋_GBK"/>
          <w:sz w:val="28"/>
          <w:szCs w:val="28"/>
        </w:rPr>
      </w:pPr>
    </w:p>
    <w:p>
      <w:pPr>
        <w:pStyle w:val="14"/>
        <w:rPr>
          <w:rFonts w:hint="eastAsia" w:ascii="方正仿宋_GBK" w:hAnsi="方正仿宋_GBK" w:eastAsia="方正仿宋_GBK" w:cs="方正仿宋_GBK"/>
          <w:sz w:val="28"/>
          <w:szCs w:val="28"/>
        </w:rPr>
      </w:pPr>
    </w:p>
    <w:p>
      <w:pPr>
        <w:pStyle w:val="14"/>
        <w:rPr>
          <w:rFonts w:hint="eastAsia" w:ascii="方正仿宋_GBK" w:hAnsi="方正仿宋_GBK" w:eastAsia="方正仿宋_GBK" w:cs="方正仿宋_GBK"/>
          <w:sz w:val="28"/>
          <w:szCs w:val="28"/>
        </w:rPr>
      </w:pPr>
    </w:p>
    <w:p>
      <w:pPr>
        <w:pStyle w:val="14"/>
        <w:rPr>
          <w:rFonts w:ascii="仿宋" w:hAnsi="仿宋" w:eastAsia="仿宋" w:cs="仿宋"/>
          <w:spacing w:val="1"/>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2"/>
      <w:rPr>
        <w:rStyle w:val="13"/>
      </w:rPr>
    </w:pPr>
    <w:r>
      <w:fldChar w:fldCharType="begin"/>
    </w:r>
    <w:r>
      <w:rPr>
        <w:rStyle w:val="13"/>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eastAsia="仿宋_GB2312"/>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eastAsia="仿宋_GB2312"/>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514D7"/>
    <w:multiLevelType w:val="singleLevel"/>
    <w:tmpl w:val="01B514D7"/>
    <w:lvl w:ilvl="0" w:tentative="0">
      <w:start w:val="1"/>
      <w:numFmt w:val="chineseCounting"/>
      <w:suff w:val="nothing"/>
      <w:lvlText w:val="%1、"/>
      <w:lvlJc w:val="left"/>
      <w:rPr>
        <w:rFonts w:hint="eastAsia"/>
      </w:rPr>
    </w:lvl>
  </w:abstractNum>
  <w:abstractNum w:abstractNumId="1">
    <w:nsid w:val="5BADA7A5"/>
    <w:multiLevelType w:val="singleLevel"/>
    <w:tmpl w:val="5BADA7A5"/>
    <w:lvl w:ilvl="0" w:tentative="0">
      <w:start w:val="8"/>
      <w:numFmt w:val="chineseCounting"/>
      <w:suff w:val="nothing"/>
      <w:lvlText w:val="%1、"/>
      <w:lvlJc w:val="left"/>
      <w:pPr>
        <w:ind w:left="421"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3B"/>
    <w:rsid w:val="00007C31"/>
    <w:rsid w:val="000E4612"/>
    <w:rsid w:val="003E1841"/>
    <w:rsid w:val="00417994"/>
    <w:rsid w:val="00420C3B"/>
    <w:rsid w:val="00566B72"/>
    <w:rsid w:val="006C5596"/>
    <w:rsid w:val="009350D1"/>
    <w:rsid w:val="00B43376"/>
    <w:rsid w:val="00CE06F1"/>
    <w:rsid w:val="00DF1C62"/>
    <w:rsid w:val="00E9412A"/>
    <w:rsid w:val="00F26E95"/>
    <w:rsid w:val="00F37EB4"/>
    <w:rsid w:val="00FE1454"/>
    <w:rsid w:val="01A81BC8"/>
    <w:rsid w:val="01E70628"/>
    <w:rsid w:val="02006D40"/>
    <w:rsid w:val="0293262D"/>
    <w:rsid w:val="030F4537"/>
    <w:rsid w:val="03831AD2"/>
    <w:rsid w:val="03DD5C19"/>
    <w:rsid w:val="048D34D2"/>
    <w:rsid w:val="04A5788A"/>
    <w:rsid w:val="052662CC"/>
    <w:rsid w:val="053C0C8A"/>
    <w:rsid w:val="053E2C54"/>
    <w:rsid w:val="0568588C"/>
    <w:rsid w:val="05C86206"/>
    <w:rsid w:val="065F10D4"/>
    <w:rsid w:val="06BC4C3B"/>
    <w:rsid w:val="07977279"/>
    <w:rsid w:val="07A80859"/>
    <w:rsid w:val="07D80139"/>
    <w:rsid w:val="09257B4B"/>
    <w:rsid w:val="09BF6AE7"/>
    <w:rsid w:val="09D42CCC"/>
    <w:rsid w:val="09E57A8F"/>
    <w:rsid w:val="09EE16BE"/>
    <w:rsid w:val="0AD4174C"/>
    <w:rsid w:val="0BBD5445"/>
    <w:rsid w:val="0C361F98"/>
    <w:rsid w:val="0C96190C"/>
    <w:rsid w:val="0CBE59CB"/>
    <w:rsid w:val="0CDB11C7"/>
    <w:rsid w:val="0D063EC4"/>
    <w:rsid w:val="0D187A3D"/>
    <w:rsid w:val="0D327199"/>
    <w:rsid w:val="0E3C0FF5"/>
    <w:rsid w:val="0E5267D3"/>
    <w:rsid w:val="0E912047"/>
    <w:rsid w:val="0EA4689C"/>
    <w:rsid w:val="0EA74057"/>
    <w:rsid w:val="0F276507"/>
    <w:rsid w:val="0F2D5646"/>
    <w:rsid w:val="0FA702DC"/>
    <w:rsid w:val="0FEF30E7"/>
    <w:rsid w:val="10407A7F"/>
    <w:rsid w:val="10961B97"/>
    <w:rsid w:val="110E0E2F"/>
    <w:rsid w:val="1126233A"/>
    <w:rsid w:val="11DC5F12"/>
    <w:rsid w:val="129465FF"/>
    <w:rsid w:val="12CB1723"/>
    <w:rsid w:val="12DC510C"/>
    <w:rsid w:val="13220E47"/>
    <w:rsid w:val="142C211D"/>
    <w:rsid w:val="145C2DD2"/>
    <w:rsid w:val="14FE41AE"/>
    <w:rsid w:val="15D659A5"/>
    <w:rsid w:val="16322361"/>
    <w:rsid w:val="16B8086E"/>
    <w:rsid w:val="17305753"/>
    <w:rsid w:val="17946361"/>
    <w:rsid w:val="17ED0D40"/>
    <w:rsid w:val="18001FEB"/>
    <w:rsid w:val="18283B92"/>
    <w:rsid w:val="187E670F"/>
    <w:rsid w:val="1890336F"/>
    <w:rsid w:val="19154B75"/>
    <w:rsid w:val="19261315"/>
    <w:rsid w:val="1987583F"/>
    <w:rsid w:val="19F63EC6"/>
    <w:rsid w:val="1A2265FA"/>
    <w:rsid w:val="1A847990"/>
    <w:rsid w:val="1AD52F30"/>
    <w:rsid w:val="1AE300CE"/>
    <w:rsid w:val="1B3C3A85"/>
    <w:rsid w:val="1B8B6070"/>
    <w:rsid w:val="1CB3762C"/>
    <w:rsid w:val="1DB573D4"/>
    <w:rsid w:val="1E805C34"/>
    <w:rsid w:val="1EC74ED8"/>
    <w:rsid w:val="1F301408"/>
    <w:rsid w:val="1FF0218B"/>
    <w:rsid w:val="203F61AD"/>
    <w:rsid w:val="20945ED4"/>
    <w:rsid w:val="20B41BC5"/>
    <w:rsid w:val="20C158E3"/>
    <w:rsid w:val="20D23B89"/>
    <w:rsid w:val="20F70262"/>
    <w:rsid w:val="2130673E"/>
    <w:rsid w:val="217D7DC3"/>
    <w:rsid w:val="21A13A95"/>
    <w:rsid w:val="21D22F05"/>
    <w:rsid w:val="223246F3"/>
    <w:rsid w:val="224A3FD8"/>
    <w:rsid w:val="22555090"/>
    <w:rsid w:val="22811239"/>
    <w:rsid w:val="22813D29"/>
    <w:rsid w:val="22A54396"/>
    <w:rsid w:val="22DE6048"/>
    <w:rsid w:val="22F675A8"/>
    <w:rsid w:val="23F836B2"/>
    <w:rsid w:val="24477EA4"/>
    <w:rsid w:val="24C31004"/>
    <w:rsid w:val="24C525F3"/>
    <w:rsid w:val="25F434F3"/>
    <w:rsid w:val="26207638"/>
    <w:rsid w:val="27395D0E"/>
    <w:rsid w:val="28137B19"/>
    <w:rsid w:val="28B54425"/>
    <w:rsid w:val="28F03B45"/>
    <w:rsid w:val="29176D91"/>
    <w:rsid w:val="29F56D85"/>
    <w:rsid w:val="2A144318"/>
    <w:rsid w:val="2A3F69A3"/>
    <w:rsid w:val="2BAE3DE1"/>
    <w:rsid w:val="2C4D373A"/>
    <w:rsid w:val="2C7548FE"/>
    <w:rsid w:val="2CFE66A2"/>
    <w:rsid w:val="2E1410AD"/>
    <w:rsid w:val="2F2C2CD7"/>
    <w:rsid w:val="3078066A"/>
    <w:rsid w:val="30ED424A"/>
    <w:rsid w:val="311A7B6F"/>
    <w:rsid w:val="311C293F"/>
    <w:rsid w:val="31877704"/>
    <w:rsid w:val="31A83080"/>
    <w:rsid w:val="31D13B01"/>
    <w:rsid w:val="33A15FD9"/>
    <w:rsid w:val="34256C0A"/>
    <w:rsid w:val="343230D5"/>
    <w:rsid w:val="34BB131C"/>
    <w:rsid w:val="35EB5C31"/>
    <w:rsid w:val="362B461C"/>
    <w:rsid w:val="368B3BE9"/>
    <w:rsid w:val="36994E23"/>
    <w:rsid w:val="36BE770E"/>
    <w:rsid w:val="36E74651"/>
    <w:rsid w:val="377453E5"/>
    <w:rsid w:val="3842148F"/>
    <w:rsid w:val="384B29B7"/>
    <w:rsid w:val="39697DB6"/>
    <w:rsid w:val="3AEC117D"/>
    <w:rsid w:val="3B2529EC"/>
    <w:rsid w:val="3B4C3E5E"/>
    <w:rsid w:val="3B8A294F"/>
    <w:rsid w:val="3BDA4E06"/>
    <w:rsid w:val="3BEE7F01"/>
    <w:rsid w:val="3C595E37"/>
    <w:rsid w:val="3C9D2DDF"/>
    <w:rsid w:val="3CBA010B"/>
    <w:rsid w:val="3CE851E6"/>
    <w:rsid w:val="3D4C145C"/>
    <w:rsid w:val="3DC97087"/>
    <w:rsid w:val="3DD54F0B"/>
    <w:rsid w:val="3E111722"/>
    <w:rsid w:val="3EAE5A4E"/>
    <w:rsid w:val="3FC008AC"/>
    <w:rsid w:val="401A15ED"/>
    <w:rsid w:val="402F0B36"/>
    <w:rsid w:val="40622585"/>
    <w:rsid w:val="412718BA"/>
    <w:rsid w:val="41F00E7B"/>
    <w:rsid w:val="42431A70"/>
    <w:rsid w:val="428F2D0F"/>
    <w:rsid w:val="42AB29D0"/>
    <w:rsid w:val="42BD6215"/>
    <w:rsid w:val="432F6CC5"/>
    <w:rsid w:val="44D26028"/>
    <w:rsid w:val="45227A4E"/>
    <w:rsid w:val="456450B8"/>
    <w:rsid w:val="45F84EEB"/>
    <w:rsid w:val="460D4D03"/>
    <w:rsid w:val="46ED1B71"/>
    <w:rsid w:val="47126CC2"/>
    <w:rsid w:val="477F442B"/>
    <w:rsid w:val="47BD48C9"/>
    <w:rsid w:val="47D55998"/>
    <w:rsid w:val="493E78B2"/>
    <w:rsid w:val="49C407BB"/>
    <w:rsid w:val="4A19043B"/>
    <w:rsid w:val="4B5A01B3"/>
    <w:rsid w:val="4BAA609B"/>
    <w:rsid w:val="4BB34B92"/>
    <w:rsid w:val="4C3C06C0"/>
    <w:rsid w:val="4C873B54"/>
    <w:rsid w:val="4C8E75EA"/>
    <w:rsid w:val="4CB97355"/>
    <w:rsid w:val="4D4266FC"/>
    <w:rsid w:val="4D9D607C"/>
    <w:rsid w:val="4E044DD9"/>
    <w:rsid w:val="4E3705A5"/>
    <w:rsid w:val="4ED474D8"/>
    <w:rsid w:val="4ED82AD0"/>
    <w:rsid w:val="4F8F16C3"/>
    <w:rsid w:val="4F946D71"/>
    <w:rsid w:val="50126ED7"/>
    <w:rsid w:val="507C1E50"/>
    <w:rsid w:val="50C93A2E"/>
    <w:rsid w:val="512F2A1E"/>
    <w:rsid w:val="51346C82"/>
    <w:rsid w:val="51607C53"/>
    <w:rsid w:val="51FC6DA4"/>
    <w:rsid w:val="540B30B8"/>
    <w:rsid w:val="551408A9"/>
    <w:rsid w:val="557355CF"/>
    <w:rsid w:val="55B867F9"/>
    <w:rsid w:val="56222B52"/>
    <w:rsid w:val="56D672AF"/>
    <w:rsid w:val="56DA10A9"/>
    <w:rsid w:val="56E64A3E"/>
    <w:rsid w:val="573C629C"/>
    <w:rsid w:val="578426C2"/>
    <w:rsid w:val="57C9421B"/>
    <w:rsid w:val="58440816"/>
    <w:rsid w:val="587C0C3F"/>
    <w:rsid w:val="589A4405"/>
    <w:rsid w:val="589F3E80"/>
    <w:rsid w:val="58EA0F85"/>
    <w:rsid w:val="58F22CAF"/>
    <w:rsid w:val="5906675A"/>
    <w:rsid w:val="59300DC0"/>
    <w:rsid w:val="594E775A"/>
    <w:rsid w:val="5981394A"/>
    <w:rsid w:val="5A162F69"/>
    <w:rsid w:val="5A771705"/>
    <w:rsid w:val="5AF36172"/>
    <w:rsid w:val="5B20192E"/>
    <w:rsid w:val="5B30564B"/>
    <w:rsid w:val="5B703239"/>
    <w:rsid w:val="5B721146"/>
    <w:rsid w:val="5BBC1352"/>
    <w:rsid w:val="5BF436A0"/>
    <w:rsid w:val="5BF8650A"/>
    <w:rsid w:val="5BFD2097"/>
    <w:rsid w:val="5C0D7E00"/>
    <w:rsid w:val="5C417EFC"/>
    <w:rsid w:val="5C6E3576"/>
    <w:rsid w:val="5C7530E5"/>
    <w:rsid w:val="5C985589"/>
    <w:rsid w:val="5CD03307"/>
    <w:rsid w:val="5CE12848"/>
    <w:rsid w:val="5D1551BE"/>
    <w:rsid w:val="5E1E2743"/>
    <w:rsid w:val="5E745F14"/>
    <w:rsid w:val="5EDC6D3F"/>
    <w:rsid w:val="5FCA33DF"/>
    <w:rsid w:val="6048432A"/>
    <w:rsid w:val="60614909"/>
    <w:rsid w:val="61174A40"/>
    <w:rsid w:val="615F73DB"/>
    <w:rsid w:val="617A7CE6"/>
    <w:rsid w:val="61972646"/>
    <w:rsid w:val="61F736A5"/>
    <w:rsid w:val="61FE26C5"/>
    <w:rsid w:val="629D3C8C"/>
    <w:rsid w:val="63081F9A"/>
    <w:rsid w:val="63D84449"/>
    <w:rsid w:val="63FF16E5"/>
    <w:rsid w:val="641B559B"/>
    <w:rsid w:val="647D66EE"/>
    <w:rsid w:val="64EC4A56"/>
    <w:rsid w:val="656A0CAE"/>
    <w:rsid w:val="66CA1F96"/>
    <w:rsid w:val="66F172C8"/>
    <w:rsid w:val="67073DC9"/>
    <w:rsid w:val="676A54BB"/>
    <w:rsid w:val="677349A6"/>
    <w:rsid w:val="67D0552C"/>
    <w:rsid w:val="67E37CB2"/>
    <w:rsid w:val="6813679E"/>
    <w:rsid w:val="68AB2806"/>
    <w:rsid w:val="68C559D2"/>
    <w:rsid w:val="69AD220A"/>
    <w:rsid w:val="6A123DB5"/>
    <w:rsid w:val="6A236D4C"/>
    <w:rsid w:val="6A5B6F77"/>
    <w:rsid w:val="6B09653A"/>
    <w:rsid w:val="6C0C59DE"/>
    <w:rsid w:val="6CD0465A"/>
    <w:rsid w:val="6E8000ED"/>
    <w:rsid w:val="6EA76061"/>
    <w:rsid w:val="6F0E7CBF"/>
    <w:rsid w:val="70143083"/>
    <w:rsid w:val="70D32CDC"/>
    <w:rsid w:val="71142464"/>
    <w:rsid w:val="71534143"/>
    <w:rsid w:val="71F633B8"/>
    <w:rsid w:val="72CB0BD4"/>
    <w:rsid w:val="732D2B0D"/>
    <w:rsid w:val="73335F46"/>
    <w:rsid w:val="73C01303"/>
    <w:rsid w:val="740C7B88"/>
    <w:rsid w:val="751C1142"/>
    <w:rsid w:val="75CB1B11"/>
    <w:rsid w:val="75E17A71"/>
    <w:rsid w:val="760A321A"/>
    <w:rsid w:val="76A33B18"/>
    <w:rsid w:val="772730A1"/>
    <w:rsid w:val="78652D45"/>
    <w:rsid w:val="787A350B"/>
    <w:rsid w:val="78DF4EAE"/>
    <w:rsid w:val="79752378"/>
    <w:rsid w:val="7B450012"/>
    <w:rsid w:val="7C217284"/>
    <w:rsid w:val="7C2646EE"/>
    <w:rsid w:val="7CD84F83"/>
    <w:rsid w:val="7CE868C3"/>
    <w:rsid w:val="7D54118C"/>
    <w:rsid w:val="7EF82D79"/>
    <w:rsid w:val="7F4831B2"/>
    <w:rsid w:val="7F9C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tabs>
        <w:tab w:val="left" w:pos="0"/>
      </w:tabs>
      <w:autoSpaceDE w:val="0"/>
      <w:autoSpaceDN w:val="0"/>
      <w:adjustRightInd w:val="0"/>
      <w:snapToGrid w:val="0"/>
      <w:spacing w:line="360" w:lineRule="auto"/>
      <w:ind w:left="5100" w:hanging="1320"/>
      <w:jc w:val="center"/>
      <w:outlineLvl w:val="0"/>
    </w:pPr>
    <w:rPr>
      <w:rFonts w:eastAsia="黑体"/>
      <w:sz w:val="44"/>
      <w:szCs w:val="20"/>
    </w:rPr>
  </w:style>
  <w:style w:type="paragraph" w:styleId="4">
    <w:name w:val="heading 2"/>
    <w:basedOn w:val="1"/>
    <w:next w:val="1"/>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32"/>
      <w:szCs w:val="20"/>
    </w:rPr>
  </w:style>
  <w:style w:type="paragraph" w:styleId="5">
    <w:name w:val="heading 3"/>
    <w:basedOn w:val="1"/>
    <w:next w:val="1"/>
    <w:qFormat/>
    <w:uiPriority w:val="99"/>
    <w:pPr>
      <w:autoSpaceDE w:val="0"/>
      <w:autoSpaceDN w:val="0"/>
      <w:adjustRightInd w:val="0"/>
      <w:spacing w:before="16"/>
      <w:jc w:val="left"/>
      <w:outlineLvl w:val="2"/>
    </w:pPr>
    <w:rPr>
      <w:rFonts w:ascii="仿宋_GB2312" w:eastAsia="仿宋_GB2312"/>
      <w:b/>
      <w:kern w:val="0"/>
      <w:sz w:val="28"/>
      <w:szCs w:val="20"/>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right="745" w:rightChars="355" w:firstLine="539" w:firstLineChars="171"/>
      <w:jc w:val="center"/>
    </w:pPr>
    <w:rPr>
      <w:b/>
      <w:bCs/>
      <w:sz w:val="32"/>
    </w:rPr>
  </w:style>
  <w:style w:type="paragraph" w:styleId="6">
    <w:name w:val="annotation text"/>
    <w:basedOn w:val="1"/>
    <w:qFormat/>
    <w:uiPriority w:val="99"/>
    <w:pPr>
      <w:adjustRightInd w:val="0"/>
      <w:spacing w:line="360" w:lineRule="atLeast"/>
      <w:jc w:val="left"/>
      <w:textAlignment w:val="baseline"/>
    </w:pPr>
    <w:rPr>
      <w:kern w:val="0"/>
      <w:sz w:val="24"/>
    </w:rPr>
  </w:style>
  <w:style w:type="paragraph" w:styleId="7">
    <w:name w:val="Date"/>
    <w:basedOn w:val="1"/>
    <w:next w:val="1"/>
    <w:qFormat/>
    <w:uiPriority w:val="99"/>
    <w:pPr>
      <w:ind w:left="100" w:leftChars="2500"/>
    </w:pPr>
    <w:rPr>
      <w:kern w:val="0"/>
      <w:sz w:val="24"/>
    </w:rPr>
  </w:style>
  <w:style w:type="paragraph" w:styleId="8">
    <w:name w:val="footer"/>
    <w:basedOn w:val="1"/>
    <w:qFormat/>
    <w:uiPriority w:val="99"/>
    <w:pPr>
      <w:tabs>
        <w:tab w:val="center" w:pos="4153"/>
        <w:tab w:val="right" w:pos="8306"/>
      </w:tabs>
      <w:snapToGrid w:val="0"/>
      <w:jc w:val="left"/>
    </w:pPr>
    <w:rPr>
      <w:kern w:val="0"/>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99"/>
    <w:rPr>
      <w:rFonts w:cs="Times New Roman"/>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customStyle="1" w:styleId="17">
    <w:name w:val="6'"/>
    <w:basedOn w:val="1"/>
    <w:qFormat/>
    <w:uiPriority w:val="0"/>
    <w:pPr>
      <w:autoSpaceDE w:val="0"/>
      <w:autoSpaceDN w:val="0"/>
      <w:adjustRightInd w:val="0"/>
      <w:snapToGrid w:val="0"/>
      <w:spacing w:line="320" w:lineRule="exact"/>
      <w:jc w:val="center"/>
      <w:textAlignment w:val="baseline"/>
    </w:pPr>
    <w:rPr>
      <w:spacing w:val="20"/>
      <w:kern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渝湘复线</Company>
  <Pages>27</Pages>
  <Words>1360</Words>
  <Characters>7753</Characters>
  <Lines>64</Lines>
  <Paragraphs>18</Paragraphs>
  <TotalTime>23</TotalTime>
  <ScaleCrop>false</ScaleCrop>
  <LinksUpToDate>false</LinksUpToDate>
  <CharactersWithSpaces>9095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2020-08-24T08:13:00Z</dcterms:created>
  <dc:creator>HUAWEI</dc:creator>
  <cp:lastModifiedBy>星标好友 </cp:lastModifiedBy>
  <cp:lastPrinted>2020-08-31T14:49:00Z</cp:lastPrinted>
  <dcterms:modified xsi:type="dcterms:W3CDTF">2021-12-30T03:25:27Z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F6B1BBFFFEB140949B8AFEED02EEB12E</vt:lpwstr>
  </property>
</Properties>
</file>