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b/>
          <w:sz w:val="96"/>
        </w:rPr>
      </w:pPr>
      <w:bookmarkStart w:id="0" w:name="_Toc28899"/>
    </w:p>
    <w:p>
      <w:pPr>
        <w:spacing w:line="360" w:lineRule="auto"/>
        <w:jc w:val="center"/>
        <w:rPr>
          <w:rFonts w:hint="eastAsia"/>
          <w:b/>
          <w:sz w:val="96"/>
        </w:rPr>
      </w:pPr>
      <w:r>
        <w:rPr>
          <w:rFonts w:hint="eastAsia"/>
          <w:b/>
          <w:sz w:val="96"/>
        </w:rPr>
        <w:t>比 选 文 件</w:t>
      </w:r>
      <w:bookmarkEnd w:id="0"/>
    </w:p>
    <w:p>
      <w:pPr>
        <w:spacing w:line="360" w:lineRule="auto"/>
        <w:jc w:val="center"/>
        <w:rPr>
          <w:rFonts w:hint="eastAsia"/>
          <w:b/>
          <w:sz w:val="96"/>
        </w:rPr>
      </w:pPr>
    </w:p>
    <w:p>
      <w:pPr>
        <w:pStyle w:val="6"/>
        <w:spacing w:line="360" w:lineRule="auto"/>
        <w:ind w:left="0"/>
        <w:jc w:val="left"/>
        <w:rPr>
          <w:rFonts w:ascii="宋体" w:hAnsi="宋体" w:cs="仿宋"/>
          <w:b/>
          <w:sz w:val="32"/>
        </w:rPr>
      </w:pPr>
    </w:p>
    <w:p>
      <w:pPr>
        <w:spacing w:line="360" w:lineRule="auto"/>
        <w:jc w:val="left"/>
        <w:rPr>
          <w:rFonts w:hint="eastAsia" w:ascii="仿宋" w:hAnsi="仿宋" w:eastAsia="仿宋" w:cs="仿宋"/>
          <w:b/>
          <w:sz w:val="44"/>
          <w:szCs w:val="44"/>
        </w:rPr>
      </w:pPr>
      <w:bookmarkStart w:id="1" w:name="_Toc2955"/>
      <w:r>
        <w:rPr>
          <w:rFonts w:hint="eastAsia" w:ascii="仿宋" w:hAnsi="仿宋" w:eastAsia="仿宋" w:cs="仿宋"/>
          <w:b/>
          <w:sz w:val="44"/>
          <w:szCs w:val="44"/>
        </w:rPr>
        <w:t>项目名称：</w:t>
      </w:r>
      <w:r>
        <w:rPr>
          <w:rFonts w:hint="eastAsia" w:ascii="仿宋" w:hAnsi="仿宋" w:eastAsia="仿宋" w:cs="仿宋"/>
          <w:b/>
          <w:sz w:val="44"/>
          <w:szCs w:val="44"/>
          <w:lang w:val="en-US" w:eastAsia="zh-CN"/>
        </w:rPr>
        <w:t>中渝公司</w:t>
      </w:r>
      <w:r>
        <w:rPr>
          <w:rFonts w:hint="eastAsia" w:ascii="仿宋" w:hAnsi="仿宋" w:eastAsia="仿宋" w:cs="仿宋"/>
          <w:b/>
          <w:sz w:val="44"/>
          <w:szCs w:val="44"/>
        </w:rPr>
        <w:t>服务区污水处理设备</w:t>
      </w:r>
      <w:r>
        <w:rPr>
          <w:rFonts w:hint="eastAsia" w:ascii="仿宋" w:hAnsi="仿宋" w:eastAsia="仿宋" w:cs="仿宋"/>
          <w:b/>
          <w:sz w:val="44"/>
          <w:szCs w:val="44"/>
          <w:lang w:val="en-US" w:eastAsia="zh-CN"/>
        </w:rPr>
        <w:t>日常</w:t>
      </w:r>
      <w:r>
        <w:rPr>
          <w:rFonts w:hint="eastAsia" w:ascii="仿宋" w:hAnsi="仿宋" w:eastAsia="仿宋" w:cs="仿宋"/>
          <w:b/>
          <w:sz w:val="44"/>
          <w:szCs w:val="44"/>
        </w:rPr>
        <w:t>维护服务</w:t>
      </w:r>
      <w:bookmarkEnd w:id="1"/>
    </w:p>
    <w:p>
      <w:pPr>
        <w:spacing w:line="360" w:lineRule="auto"/>
        <w:jc w:val="left"/>
        <w:rPr>
          <w:rFonts w:hint="eastAsia" w:ascii="仿宋" w:hAnsi="仿宋" w:eastAsia="仿宋" w:cs="仿宋"/>
          <w:b/>
          <w:sz w:val="32"/>
          <w:szCs w:val="32"/>
        </w:rPr>
      </w:pPr>
    </w:p>
    <w:p>
      <w:pPr>
        <w:spacing w:line="360" w:lineRule="auto"/>
        <w:jc w:val="left"/>
        <w:rPr>
          <w:rFonts w:hint="eastAsia" w:ascii="仿宋" w:hAnsi="仿宋" w:eastAsia="仿宋" w:cs="仿宋"/>
          <w:b/>
          <w:sz w:val="32"/>
          <w:szCs w:val="32"/>
        </w:rPr>
      </w:pPr>
    </w:p>
    <w:p>
      <w:pPr>
        <w:spacing w:line="360" w:lineRule="auto"/>
        <w:jc w:val="left"/>
        <w:rPr>
          <w:rFonts w:hint="eastAsia" w:ascii="仿宋" w:hAnsi="仿宋" w:eastAsia="仿宋" w:cs="仿宋"/>
          <w:sz w:val="36"/>
          <w:szCs w:val="36"/>
        </w:rPr>
      </w:pPr>
      <w:bookmarkStart w:id="2" w:name="_Toc4111"/>
      <w:r>
        <w:rPr>
          <w:rFonts w:hint="eastAsia" w:ascii="仿宋" w:hAnsi="仿宋" w:eastAsia="仿宋" w:cs="仿宋"/>
          <w:b/>
          <w:sz w:val="36"/>
          <w:szCs w:val="36"/>
        </w:rPr>
        <w:t>采   购   人：</w:t>
      </w:r>
      <w:bookmarkEnd w:id="2"/>
      <w:r>
        <w:rPr>
          <w:rFonts w:hint="eastAsia" w:ascii="仿宋" w:hAnsi="仿宋" w:eastAsia="仿宋" w:cs="仿宋"/>
          <w:b/>
          <w:sz w:val="36"/>
          <w:szCs w:val="36"/>
        </w:rPr>
        <w:t>重庆高速</w:t>
      </w:r>
      <w:r>
        <w:rPr>
          <w:rFonts w:hint="eastAsia" w:ascii="仿宋" w:hAnsi="仿宋" w:eastAsia="仿宋" w:cs="仿宋"/>
          <w:b/>
          <w:sz w:val="36"/>
          <w:szCs w:val="36"/>
          <w:lang w:val="en-US" w:eastAsia="zh-CN"/>
        </w:rPr>
        <w:t>公路</w:t>
      </w:r>
      <w:r>
        <w:rPr>
          <w:rFonts w:hint="eastAsia" w:ascii="仿宋" w:hAnsi="仿宋" w:eastAsia="仿宋" w:cs="仿宋"/>
          <w:b/>
          <w:sz w:val="36"/>
          <w:szCs w:val="36"/>
        </w:rPr>
        <w:t>集团有限公司中渝营运分公司</w:t>
      </w:r>
    </w:p>
    <w:p>
      <w:pPr>
        <w:spacing w:line="360" w:lineRule="auto"/>
        <w:jc w:val="left"/>
        <w:rPr>
          <w:rFonts w:hint="eastAsia" w:ascii="仿宋" w:hAnsi="仿宋" w:eastAsia="仿宋" w:cs="仿宋"/>
          <w:b/>
          <w:sz w:val="32"/>
          <w:szCs w:val="32"/>
        </w:rPr>
      </w:pPr>
      <w:bookmarkStart w:id="3" w:name="_Toc184"/>
    </w:p>
    <w:p>
      <w:pPr>
        <w:spacing w:line="360" w:lineRule="auto"/>
        <w:jc w:val="left"/>
        <w:rPr>
          <w:rFonts w:hint="eastAsia" w:ascii="仿宋" w:hAnsi="仿宋" w:eastAsia="仿宋" w:cs="仿宋"/>
          <w:b/>
          <w:sz w:val="32"/>
          <w:szCs w:val="32"/>
        </w:rPr>
      </w:pPr>
    </w:p>
    <w:p>
      <w:pPr>
        <w:pStyle w:val="4"/>
        <w:spacing w:line="360" w:lineRule="auto"/>
        <w:rPr>
          <w:rFonts w:hint="eastAsia" w:ascii="仿宋" w:hAnsi="仿宋" w:eastAsia="仿宋" w:cs="仿宋"/>
          <w:sz w:val="32"/>
          <w:szCs w:val="32"/>
        </w:rPr>
      </w:pPr>
    </w:p>
    <w:p>
      <w:pPr>
        <w:spacing w:line="360" w:lineRule="auto"/>
        <w:ind w:firstLine="2891" w:firstLineChars="900"/>
        <w:jc w:val="left"/>
        <w:rPr>
          <w:rFonts w:hint="eastAsia" w:ascii="仿宋" w:hAnsi="仿宋" w:eastAsia="仿宋" w:cs="仿宋"/>
          <w:b/>
          <w:bCs/>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440" w:right="1803" w:bottom="1440" w:left="1803" w:header="964" w:footer="992" w:gutter="0"/>
          <w:pgNumType w:fmt="numberInDash" w:start="1"/>
          <w:cols w:space="720" w:num="1"/>
          <w:titlePg/>
          <w:docGrid w:linePitch="312" w:charSpace="0"/>
        </w:sectPr>
      </w:pPr>
      <w:r>
        <w:rPr>
          <w:rFonts w:hint="eastAsia" w:ascii="仿宋" w:hAnsi="仿宋" w:eastAsia="仿宋" w:cs="仿宋"/>
          <w:b/>
          <w:sz w:val="32"/>
          <w:szCs w:val="32"/>
        </w:rPr>
        <w:t>二○二○年</w:t>
      </w:r>
      <w:r>
        <w:rPr>
          <w:rFonts w:hint="eastAsia" w:ascii="仿宋" w:hAnsi="仿宋" w:eastAsia="仿宋" w:cs="仿宋"/>
          <w:b/>
          <w:sz w:val="32"/>
          <w:szCs w:val="32"/>
          <w:lang w:val="en-US" w:eastAsia="zh-CN"/>
        </w:rPr>
        <w:t>十一</w:t>
      </w:r>
      <w:r>
        <w:rPr>
          <w:rFonts w:hint="eastAsia" w:ascii="仿宋" w:hAnsi="仿宋" w:eastAsia="仿宋" w:cs="仿宋"/>
          <w:b/>
          <w:sz w:val="32"/>
          <w:szCs w:val="32"/>
        </w:rPr>
        <w:t>月</w:t>
      </w:r>
      <w:bookmarkEnd w:id="3"/>
    </w:p>
    <w:p>
      <w:pPr>
        <w:pStyle w:val="2"/>
        <w:snapToGrid/>
        <w:spacing w:beforeLines="0" w:afterLines="0" w:line="360" w:lineRule="auto"/>
        <w:rPr>
          <w:rFonts w:hint="eastAsia" w:ascii="仿宋" w:hAnsi="仿宋" w:eastAsia="仿宋" w:cs="仿宋"/>
          <w:b/>
          <w:bCs/>
          <w:sz w:val="44"/>
          <w:szCs w:val="44"/>
        </w:rPr>
      </w:pPr>
      <w:bookmarkStart w:id="4" w:name="_Toc453767284"/>
      <w:bookmarkStart w:id="5" w:name="_Toc10103707"/>
      <w:bookmarkStart w:id="6" w:name="_Toc13498831"/>
      <w:r>
        <w:rPr>
          <w:rFonts w:hint="eastAsia" w:ascii="仿宋" w:hAnsi="仿宋" w:eastAsia="仿宋" w:cs="仿宋"/>
          <w:b/>
          <w:bCs/>
          <w:sz w:val="44"/>
          <w:szCs w:val="44"/>
        </w:rPr>
        <w:t>报价比选邀请书</w:t>
      </w:r>
      <w:bookmarkEnd w:id="4"/>
      <w:bookmarkEnd w:id="5"/>
      <w:bookmarkEnd w:id="6"/>
    </w:p>
    <w:p>
      <w:pPr>
        <w:pageBreakBefore w:val="0"/>
        <w:kinsoku/>
        <w:wordWrap/>
        <w:overflowPunct/>
        <w:topLinePunct w:val="0"/>
        <w:autoSpaceDE/>
        <w:autoSpaceDN/>
        <w:bidi w:val="0"/>
        <w:adjustRightInd/>
        <w:snapToGrid/>
        <w:spacing w:line="360" w:lineRule="auto"/>
        <w:rPr>
          <w:rFonts w:hint="eastAsia" w:ascii="仿宋" w:hAnsi="仿宋" w:eastAsia="仿宋" w:cs="仿宋"/>
          <w:b/>
          <w:sz w:val="28"/>
          <w:szCs w:val="28"/>
        </w:rPr>
      </w:pPr>
      <w:r>
        <w:rPr>
          <w:rFonts w:hint="eastAsia" w:ascii="仿宋" w:hAnsi="仿宋" w:eastAsia="仿宋" w:cs="仿宋"/>
          <w:b/>
          <w:sz w:val="28"/>
          <w:szCs w:val="28"/>
        </w:rPr>
        <w:t>一、项目基本情况</w:t>
      </w:r>
    </w:p>
    <w:p>
      <w:pPr>
        <w:pageBreakBefore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重庆高速</w:t>
      </w:r>
      <w:r>
        <w:rPr>
          <w:rFonts w:hint="eastAsia" w:ascii="仿宋" w:hAnsi="仿宋" w:eastAsia="仿宋" w:cs="仿宋"/>
          <w:sz w:val="28"/>
          <w:szCs w:val="28"/>
          <w:lang w:val="en-US" w:eastAsia="zh-CN"/>
        </w:rPr>
        <w:t>公路</w:t>
      </w:r>
      <w:r>
        <w:rPr>
          <w:rFonts w:hint="eastAsia" w:ascii="仿宋" w:hAnsi="仿宋" w:eastAsia="仿宋" w:cs="仿宋"/>
          <w:sz w:val="28"/>
          <w:szCs w:val="28"/>
        </w:rPr>
        <w:t>集团有限公司中渝营运分公司对重庆绕城高速</w:t>
      </w:r>
      <w:r>
        <w:rPr>
          <w:rFonts w:hint="eastAsia" w:ascii="仿宋" w:hAnsi="仿宋" w:eastAsia="仿宋" w:cs="仿宋"/>
          <w:sz w:val="28"/>
          <w:szCs w:val="28"/>
          <w:u w:val="single"/>
        </w:rPr>
        <w:t xml:space="preserve"> 龙兴服务区（左、右线）、  北碚服务区（左、右线）、</w:t>
      </w:r>
      <w:r>
        <w:rPr>
          <w:rFonts w:hint="eastAsia" w:ascii="仿宋" w:hAnsi="仿宋" w:eastAsia="仿宋" w:cs="仿宋"/>
          <w:color w:val="000000"/>
          <w:kern w:val="0"/>
          <w:sz w:val="28"/>
          <w:szCs w:val="28"/>
          <w:u w:val="single"/>
        </w:rPr>
        <w:t>、曾家服务区（左、右线）、珞璜服务区（左、右线）</w:t>
      </w:r>
      <w:r>
        <w:rPr>
          <w:rFonts w:hint="eastAsia" w:ascii="仿宋" w:hAnsi="仿宋" w:eastAsia="仿宋" w:cs="仿宋"/>
          <w:sz w:val="28"/>
          <w:szCs w:val="28"/>
          <w:u w:val="single"/>
        </w:rPr>
        <w:t>）、复兴服务区（左右线）</w:t>
      </w:r>
      <w:r>
        <w:rPr>
          <w:rFonts w:hint="eastAsia" w:ascii="仿宋" w:hAnsi="仿宋" w:eastAsia="仿宋" w:cs="仿宋"/>
          <w:sz w:val="28"/>
          <w:szCs w:val="28"/>
          <w:u w:val="single"/>
          <w:lang w:val="en-US" w:eastAsia="zh-CN"/>
        </w:rPr>
        <w:t>和渝泸高速江津（</w:t>
      </w:r>
      <w:r>
        <w:rPr>
          <w:rFonts w:hint="eastAsia" w:ascii="仿宋" w:hAnsi="仿宋" w:eastAsia="仿宋" w:cs="仿宋"/>
          <w:color w:val="000000"/>
          <w:kern w:val="0"/>
          <w:sz w:val="28"/>
          <w:szCs w:val="28"/>
          <w:u w:val="single"/>
        </w:rPr>
        <w:t>白沙</w:t>
      </w:r>
      <w:r>
        <w:rPr>
          <w:rFonts w:hint="eastAsia" w:ascii="仿宋" w:hAnsi="仿宋" w:eastAsia="仿宋" w:cs="仿宋"/>
          <w:sz w:val="28"/>
          <w:szCs w:val="28"/>
          <w:u w:val="single"/>
          <w:lang w:val="en-US" w:eastAsia="zh-CN"/>
        </w:rPr>
        <w:t>）</w:t>
      </w:r>
      <w:r>
        <w:rPr>
          <w:rFonts w:hint="eastAsia" w:ascii="仿宋" w:hAnsi="仿宋" w:eastAsia="仿宋" w:cs="仿宋"/>
          <w:color w:val="000000"/>
          <w:kern w:val="0"/>
          <w:sz w:val="28"/>
          <w:szCs w:val="28"/>
          <w:u w:val="single"/>
        </w:rPr>
        <w:t>服务区</w:t>
      </w:r>
      <w:r>
        <w:rPr>
          <w:rFonts w:hint="eastAsia" w:ascii="仿宋" w:hAnsi="仿宋" w:eastAsia="仿宋" w:cs="仿宋"/>
          <w:sz w:val="28"/>
          <w:szCs w:val="28"/>
          <w:u w:val="single"/>
          <w:lang w:val="en-US" w:eastAsia="zh-CN"/>
        </w:rPr>
        <w:t>江津（</w:t>
      </w:r>
      <w:r>
        <w:rPr>
          <w:rFonts w:hint="eastAsia" w:ascii="仿宋" w:hAnsi="仿宋" w:eastAsia="仿宋" w:cs="仿宋"/>
          <w:sz w:val="28"/>
          <w:szCs w:val="28"/>
          <w:u w:val="single"/>
        </w:rPr>
        <w:t>塘河</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服务区</w:t>
      </w:r>
      <w:r>
        <w:rPr>
          <w:rFonts w:hint="eastAsia" w:ascii="仿宋" w:hAnsi="仿宋" w:eastAsia="仿宋" w:cs="仿宋"/>
          <w:sz w:val="28"/>
          <w:szCs w:val="28"/>
          <w:u w:val="none"/>
          <w:lang w:val="en-US" w:eastAsia="zh-CN"/>
        </w:rPr>
        <w:t>共计12台</w:t>
      </w:r>
      <w:r>
        <w:rPr>
          <w:rFonts w:hint="eastAsia" w:ascii="仿宋" w:hAnsi="仿宋" w:eastAsia="仿宋" w:cs="仿宋"/>
          <w:sz w:val="28"/>
          <w:szCs w:val="28"/>
        </w:rPr>
        <w:t>污水设备维护保养服务对外公开比选。欢迎有资格的比选人参加比选。</w:t>
      </w:r>
    </w:p>
    <w:p>
      <w:pPr>
        <w:pageBreakBefore w:val="0"/>
        <w:kinsoku/>
        <w:wordWrap/>
        <w:overflowPunct/>
        <w:topLinePunct w:val="0"/>
        <w:autoSpaceDE/>
        <w:autoSpaceDN/>
        <w:bidi w:val="0"/>
        <w:adjustRightInd/>
        <w:snapToGrid/>
        <w:spacing w:line="360" w:lineRule="auto"/>
        <w:jc w:val="left"/>
        <w:rPr>
          <w:rFonts w:hint="eastAsia" w:ascii="仿宋" w:hAnsi="仿宋" w:eastAsia="仿宋" w:cs="仿宋"/>
          <w:b/>
          <w:sz w:val="28"/>
          <w:szCs w:val="28"/>
        </w:rPr>
      </w:pPr>
      <w:r>
        <w:rPr>
          <w:rFonts w:hint="eastAsia" w:ascii="仿宋" w:hAnsi="仿宋" w:eastAsia="仿宋" w:cs="仿宋"/>
          <w:b/>
          <w:sz w:val="28"/>
          <w:szCs w:val="28"/>
        </w:rPr>
        <w:t>二、比选方案及比选原则</w:t>
      </w:r>
    </w:p>
    <w:p>
      <w:pPr>
        <w:pageBreakBefore w:val="0"/>
        <w:widowControl/>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本项目限价</w:t>
      </w:r>
      <w:r>
        <w:rPr>
          <w:rFonts w:hint="eastAsia" w:ascii="仿宋" w:hAnsi="仿宋" w:eastAsia="仿宋" w:cs="仿宋"/>
          <w:kern w:val="0"/>
          <w:sz w:val="28"/>
          <w:szCs w:val="28"/>
          <w:u w:val="single"/>
          <w:lang w:val="en-US" w:eastAsia="zh-CN"/>
        </w:rPr>
        <w:t>48</w:t>
      </w:r>
      <w:r>
        <w:rPr>
          <w:rFonts w:hint="eastAsia" w:ascii="仿宋" w:hAnsi="仿宋" w:eastAsia="仿宋" w:cs="仿宋"/>
          <w:kern w:val="0"/>
          <w:sz w:val="28"/>
          <w:szCs w:val="28"/>
        </w:rPr>
        <w:t>万元，超出限价者不参与评比，本产品以符合要求的投标单位报价最低者中选。</w:t>
      </w:r>
    </w:p>
    <w:p>
      <w:pPr>
        <w:pageBreakBefore w:val="0"/>
        <w:kinsoku/>
        <w:wordWrap/>
        <w:overflowPunct/>
        <w:topLinePunct w:val="0"/>
        <w:autoSpaceDE/>
        <w:autoSpaceDN/>
        <w:bidi w:val="0"/>
        <w:adjustRightInd/>
        <w:snapToGrid/>
        <w:spacing w:line="360" w:lineRule="auto"/>
        <w:ind w:firstLine="138" w:firstLineChars="49"/>
        <w:rPr>
          <w:rFonts w:hint="eastAsia" w:ascii="仿宋" w:hAnsi="仿宋" w:eastAsia="仿宋" w:cs="仿宋"/>
          <w:sz w:val="28"/>
          <w:szCs w:val="28"/>
        </w:rPr>
      </w:pPr>
      <w:bookmarkStart w:id="7" w:name="_Toc453767285"/>
      <w:bookmarkStart w:id="8" w:name="_Toc10103708"/>
      <w:r>
        <w:rPr>
          <w:rFonts w:hint="eastAsia" w:ascii="仿宋" w:hAnsi="仿宋" w:eastAsia="仿宋" w:cs="仿宋"/>
          <w:b/>
          <w:sz w:val="28"/>
          <w:szCs w:val="28"/>
          <w:lang w:val="en-US" w:eastAsia="zh-CN"/>
        </w:rPr>
        <w:t>三</w:t>
      </w:r>
      <w:r>
        <w:rPr>
          <w:rFonts w:hint="eastAsia" w:ascii="仿宋" w:hAnsi="仿宋" w:eastAsia="仿宋" w:cs="仿宋"/>
          <w:b/>
          <w:sz w:val="28"/>
          <w:szCs w:val="28"/>
        </w:rPr>
        <w:t>、比选项目内容</w:t>
      </w:r>
      <w:bookmarkEnd w:id="7"/>
      <w:bookmarkEnd w:id="8"/>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r>
        <w:rPr>
          <w:rFonts w:hint="eastAsia" w:ascii="仿宋" w:hAnsi="仿宋" w:eastAsia="仿宋" w:cs="仿宋"/>
          <w:b/>
          <w:bCs/>
          <w:sz w:val="28"/>
          <w:szCs w:val="28"/>
        </w:rPr>
        <w:t>1、日常处理操作运行</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lang w:eastAsia="zh-CN"/>
        </w:rPr>
        <w:t>污水</w:t>
      </w:r>
      <w:r>
        <w:rPr>
          <w:rFonts w:hint="eastAsia" w:ascii="仿宋" w:hAnsi="仿宋" w:eastAsia="仿宋" w:cs="仿宋"/>
          <w:sz w:val="28"/>
          <w:szCs w:val="28"/>
        </w:rPr>
        <w:t>处理的日常管理与运行的可靠性和稳定性紧密相关，其日常处理操作内容包括操作控制、水质监视、运行记录、化验分析工作。</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9" w:name="_Toc9493202"/>
      <w:bookmarkStart w:id="10" w:name="_Toc3214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r>
        <w:rPr>
          <w:rFonts w:hint="eastAsia" w:ascii="仿宋" w:hAnsi="仿宋" w:eastAsia="仿宋" w:cs="仿宋"/>
          <w:b/>
          <w:bCs/>
          <w:sz w:val="28"/>
          <w:szCs w:val="28"/>
        </w:rPr>
        <w:t>操作控制及现场管理</w:t>
      </w:r>
      <w:bookmarkEnd w:id="9"/>
      <w:bookmarkEnd w:id="10"/>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操作人员根据</w:t>
      </w:r>
      <w:r>
        <w:rPr>
          <w:rFonts w:hint="eastAsia" w:ascii="仿宋" w:hAnsi="仿宋" w:eastAsia="仿宋" w:cs="仿宋"/>
          <w:sz w:val="28"/>
          <w:szCs w:val="28"/>
          <w:lang w:eastAsia="zh-CN"/>
        </w:rPr>
        <w:t>污水</w:t>
      </w:r>
      <w:r>
        <w:rPr>
          <w:rFonts w:hint="eastAsia" w:ascii="仿宋" w:hAnsi="仿宋" w:eastAsia="仿宋" w:cs="仿宋"/>
          <w:sz w:val="28"/>
          <w:szCs w:val="28"/>
        </w:rPr>
        <w:t>处理系统设计要求对</w:t>
      </w:r>
      <w:r>
        <w:rPr>
          <w:rFonts w:hint="eastAsia" w:ascii="仿宋" w:hAnsi="仿宋" w:eastAsia="仿宋" w:cs="仿宋"/>
          <w:sz w:val="28"/>
          <w:szCs w:val="28"/>
          <w:lang w:eastAsia="zh-CN"/>
        </w:rPr>
        <w:t>污水</w:t>
      </w:r>
      <w:r>
        <w:rPr>
          <w:rFonts w:hint="eastAsia" w:ascii="仿宋" w:hAnsi="仿宋" w:eastAsia="仿宋" w:cs="仿宋"/>
          <w:sz w:val="28"/>
          <w:szCs w:val="28"/>
        </w:rPr>
        <w:t>站各反应系统正确操作，对出现的故障问题及时反馈及时处理，确保</w:t>
      </w:r>
      <w:r>
        <w:rPr>
          <w:rFonts w:hint="eastAsia" w:ascii="仿宋" w:hAnsi="仿宋" w:eastAsia="仿宋" w:cs="仿宋"/>
          <w:sz w:val="28"/>
          <w:szCs w:val="28"/>
          <w:lang w:eastAsia="zh-CN"/>
        </w:rPr>
        <w:t>污水</w:t>
      </w:r>
      <w:r>
        <w:rPr>
          <w:rFonts w:hint="eastAsia" w:ascii="仿宋" w:hAnsi="仿宋" w:eastAsia="仿宋" w:cs="仿宋"/>
          <w:sz w:val="28"/>
          <w:szCs w:val="28"/>
        </w:rPr>
        <w:t>处理系统的正常运行，保证</w:t>
      </w:r>
      <w:r>
        <w:rPr>
          <w:rFonts w:hint="eastAsia" w:ascii="仿宋" w:hAnsi="仿宋" w:eastAsia="仿宋" w:cs="仿宋"/>
          <w:sz w:val="28"/>
          <w:szCs w:val="28"/>
          <w:lang w:eastAsia="zh-CN"/>
        </w:rPr>
        <w:t>污水</w:t>
      </w:r>
      <w:r>
        <w:rPr>
          <w:rFonts w:hint="eastAsia" w:ascii="仿宋" w:hAnsi="仿宋" w:eastAsia="仿宋" w:cs="仿宋"/>
          <w:sz w:val="28"/>
          <w:szCs w:val="28"/>
        </w:rPr>
        <w:t>处理效果。</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制定标准的安全操作流程；推行目视化管理；化学品储存和使用场所张贴中文版的标识。</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11" w:name="_Toc9493203"/>
      <w:bookmarkStart w:id="12" w:name="_Toc2778"/>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w:t>
      </w:r>
      <w:r>
        <w:rPr>
          <w:rFonts w:hint="eastAsia" w:ascii="仿宋" w:hAnsi="仿宋" w:eastAsia="仿宋" w:cs="仿宋"/>
          <w:b/>
          <w:bCs/>
          <w:sz w:val="28"/>
          <w:szCs w:val="28"/>
        </w:rPr>
        <w:t>监视</w:t>
      </w:r>
      <w:bookmarkEnd w:id="11"/>
      <w:bookmarkEnd w:id="12"/>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操作人员保证一星期不少于两次对</w:t>
      </w:r>
      <w:r>
        <w:rPr>
          <w:rFonts w:hint="eastAsia" w:ascii="仿宋" w:hAnsi="仿宋" w:eastAsia="仿宋" w:cs="仿宋"/>
          <w:sz w:val="28"/>
          <w:szCs w:val="28"/>
          <w:lang w:eastAsia="zh-CN"/>
        </w:rPr>
        <w:t>污水</w:t>
      </w:r>
      <w:r>
        <w:rPr>
          <w:rFonts w:hint="eastAsia" w:ascii="仿宋" w:hAnsi="仿宋" w:eastAsia="仿宋" w:cs="仿宋"/>
          <w:sz w:val="28"/>
          <w:szCs w:val="28"/>
        </w:rPr>
        <w:t>处理各处理单元巡察，保证</w:t>
      </w:r>
      <w:r>
        <w:rPr>
          <w:rFonts w:hint="eastAsia" w:ascii="仿宋" w:hAnsi="仿宋" w:eastAsia="仿宋" w:cs="仿宋"/>
          <w:sz w:val="28"/>
          <w:szCs w:val="28"/>
          <w:lang w:eastAsia="zh-CN"/>
        </w:rPr>
        <w:t>污水</w:t>
      </w:r>
      <w:r>
        <w:rPr>
          <w:rFonts w:hint="eastAsia" w:ascii="仿宋" w:hAnsi="仿宋" w:eastAsia="仿宋" w:cs="仿宋"/>
          <w:sz w:val="28"/>
          <w:szCs w:val="28"/>
        </w:rPr>
        <w:t>处理效果稳定。如有异常情况，汇报业主，由业主决定处理。</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13" w:name="_Toc9493204"/>
      <w:bookmarkStart w:id="14" w:name="_Toc28251"/>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eastAsia="zh-CN"/>
        </w:rPr>
        <w:t>）</w:t>
      </w:r>
      <w:r>
        <w:rPr>
          <w:rFonts w:hint="eastAsia" w:ascii="仿宋" w:hAnsi="仿宋" w:eastAsia="仿宋" w:cs="仿宋"/>
          <w:b/>
          <w:bCs/>
          <w:sz w:val="28"/>
          <w:szCs w:val="28"/>
        </w:rPr>
        <w:t>运行记录</w:t>
      </w:r>
      <w:bookmarkEnd w:id="13"/>
      <w:bookmarkEnd w:id="14"/>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lang w:eastAsia="zh-CN"/>
        </w:rPr>
        <w:t>污水</w:t>
      </w:r>
      <w:r>
        <w:rPr>
          <w:rFonts w:hint="eastAsia" w:ascii="仿宋" w:hAnsi="仿宋" w:eastAsia="仿宋" w:cs="仿宋"/>
          <w:sz w:val="28"/>
          <w:szCs w:val="28"/>
        </w:rPr>
        <w:t>处理系统的运行记录包括药剂消耗量记录、动力消耗量记录、在线仪表数据记录、设备运行状况记录等。通过运行记录分析，提供运行控制参数。</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15" w:name="_Toc10497"/>
      <w:bookmarkStart w:id="16" w:name="_Toc9493205"/>
      <w:r>
        <w:rPr>
          <w:rFonts w:hint="eastAsia" w:ascii="仿宋" w:hAnsi="仿宋" w:eastAsia="仿宋" w:cs="仿宋"/>
          <w:b/>
          <w:bCs/>
          <w:sz w:val="28"/>
          <w:szCs w:val="28"/>
        </w:rPr>
        <w:t>2、维护保养</w:t>
      </w:r>
      <w:bookmarkEnd w:id="15"/>
      <w:bookmarkEnd w:id="16"/>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为确保机械设备的可靠运行和延长使用寿命，必须对机械设备进行定期检修，做好维护保养工作。</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编制环保设施周、月、季度、半年和年度维护保养计划；按计划完成各种维护保养；提交维护保养记录。</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17" w:name="_Toc13171"/>
      <w:bookmarkStart w:id="18" w:name="_Toc9493206"/>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设备的保养</w:t>
      </w:r>
      <w:bookmarkEnd w:id="17"/>
      <w:bookmarkEnd w:id="18"/>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根据各类设备的要求定期进行维护保养，维护保养项目包括：更换润滑油、设备外部刷漆防锈、设备清洁工作等。</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19" w:name="_Toc26088"/>
      <w:bookmarkStart w:id="20" w:name="_Toc9493207"/>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设备的检修</w:t>
      </w:r>
      <w:bookmarkEnd w:id="19"/>
      <w:bookmarkEnd w:id="20"/>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设备的维护检修分为大修和小修。</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小修主要对电源柜、电机控制柜、动力设备类作一般性检查，不作大的拆卸，其项目包括：</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sym w:font="Wingdings" w:char="F081"/>
      </w:r>
      <w:r>
        <w:rPr>
          <w:rFonts w:hint="eastAsia" w:ascii="仿宋" w:hAnsi="仿宋" w:eastAsia="仿宋" w:cs="仿宋"/>
          <w:sz w:val="28"/>
          <w:szCs w:val="28"/>
        </w:rPr>
        <w:t>清洁和检查电源柜、电机控制柜、清除接触器、热继电器、接线端等电器元件的灰尘、检查接线头有无烧示或电蚀。</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sym w:font="Wingdings" w:char="F082"/>
      </w:r>
      <w:r>
        <w:rPr>
          <w:rFonts w:hint="eastAsia" w:ascii="仿宋" w:hAnsi="仿宋" w:eastAsia="仿宋" w:cs="仿宋"/>
          <w:sz w:val="28"/>
          <w:szCs w:val="28"/>
        </w:rPr>
        <w:t>检查和清洁机电设备。检查固定螺栓松紧度、减震垫效果、泵类密封性能等；</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大修主要对电动机及运作机械作全面检查，彻底修理和更换易损件及已损坏部件。</w:t>
      </w:r>
    </w:p>
    <w:p>
      <w:pPr>
        <w:pageBreakBefore w:val="0"/>
        <w:numPr>
          <w:ilvl w:val="0"/>
          <w:numId w:val="1"/>
        </w:numPr>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21" w:name="_Toc4314"/>
      <w:bookmarkStart w:id="22" w:name="_Toc9493208"/>
      <w:r>
        <w:rPr>
          <w:rFonts w:hint="eastAsia" w:ascii="仿宋" w:hAnsi="仿宋" w:eastAsia="仿宋" w:cs="仿宋"/>
          <w:b/>
          <w:bCs/>
          <w:sz w:val="28"/>
          <w:szCs w:val="28"/>
        </w:rPr>
        <w:t>操作人员的岗位培训和安全防护培训</w:t>
      </w:r>
      <w:bookmarkEnd w:id="21"/>
      <w:bookmarkEnd w:id="22"/>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为避免操作失误及操作安全事故的生产，维修、维保中标单位需定期对操作人员进行岗位培训和安全防护培训，并作好记录。</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23" w:name="_Toc25087"/>
      <w:bookmarkStart w:id="24" w:name="_Toc9493209"/>
      <w:r>
        <w:rPr>
          <w:rFonts w:hint="eastAsia" w:ascii="仿宋" w:hAnsi="仿宋" w:eastAsia="仿宋" w:cs="仿宋"/>
          <w:b/>
          <w:bCs/>
          <w:sz w:val="28"/>
          <w:szCs w:val="28"/>
        </w:rPr>
        <w:t>4、编制完善运行操作和维护手册</w:t>
      </w:r>
      <w:bookmarkEnd w:id="23"/>
      <w:bookmarkEnd w:id="24"/>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编制完善运行操作和维护手册，规范操作人员运行操作，有利于系统的稳定运行。编制手册包括：岗位操作手册、安全防护手册、岗位责任制、运行记录、设备维修管理手册等等。</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25" w:name="_Toc28111"/>
      <w:bookmarkStart w:id="26" w:name="_Toc9493210"/>
      <w:r>
        <w:rPr>
          <w:rFonts w:hint="eastAsia" w:ascii="仿宋" w:hAnsi="仿宋" w:eastAsia="仿宋" w:cs="仿宋"/>
          <w:b/>
          <w:bCs/>
          <w:sz w:val="28"/>
          <w:szCs w:val="28"/>
        </w:rPr>
        <w:t>5、处理突变情况，采取相应措施</w:t>
      </w:r>
      <w:bookmarkEnd w:id="25"/>
      <w:bookmarkEnd w:id="26"/>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运行时如有发现异常，操作人员将对突变情况进行调查，并针对突变原因及时处理。</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27" w:name="_Toc9493211"/>
      <w:bookmarkStart w:id="28" w:name="_Toc11544"/>
      <w:r>
        <w:rPr>
          <w:rFonts w:hint="eastAsia" w:ascii="仿宋" w:hAnsi="仿宋" w:eastAsia="仿宋" w:cs="仿宋"/>
          <w:b/>
          <w:bCs/>
          <w:sz w:val="28"/>
          <w:szCs w:val="28"/>
        </w:rPr>
        <w:t>6、定期向业主通报运行效果和运行参数</w:t>
      </w:r>
      <w:bookmarkEnd w:id="27"/>
      <w:bookmarkEnd w:id="28"/>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每月根据实际运行情况向业主通报运行情况及运行参数。</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29" w:name="_Toc26053"/>
      <w:bookmarkStart w:id="30" w:name="_Toc9493212"/>
      <w:r>
        <w:rPr>
          <w:rFonts w:hint="eastAsia" w:ascii="仿宋" w:hAnsi="仿宋" w:eastAsia="仿宋" w:cs="仿宋"/>
          <w:b/>
          <w:bCs/>
          <w:sz w:val="28"/>
          <w:szCs w:val="28"/>
        </w:rPr>
        <w:t>7、定期对工作人员进行培训</w:t>
      </w:r>
      <w:bookmarkEnd w:id="29"/>
      <w:bookmarkEnd w:id="30"/>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定期对操作工进行技能和安全培训；水处理技术培训；水质检测培训；化学品管理和控制培训；密闭空间作业培训；噪声防护培训；职业健康培训；突发环境事件应急处理；防火及逃生演练；提交培训记录。</w:t>
      </w:r>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b/>
          <w:bCs/>
          <w:sz w:val="28"/>
          <w:szCs w:val="28"/>
        </w:rPr>
      </w:pPr>
      <w:bookmarkStart w:id="31" w:name="_Toc9493213"/>
      <w:bookmarkStart w:id="32" w:name="_Toc15382"/>
      <w:r>
        <w:rPr>
          <w:rFonts w:hint="eastAsia" w:ascii="仿宋" w:hAnsi="仿宋" w:eastAsia="仿宋" w:cs="仿宋"/>
          <w:b/>
          <w:bCs/>
          <w:sz w:val="28"/>
          <w:szCs w:val="28"/>
        </w:rPr>
        <w:t>8、应急响应</w:t>
      </w:r>
      <w:bookmarkEnd w:id="31"/>
      <w:bookmarkEnd w:id="32"/>
    </w:p>
    <w:p>
      <w:pPr>
        <w:pageBreakBefore w:val="0"/>
        <w:kinsoku/>
        <w:wordWrap/>
        <w:overflowPunct/>
        <w:topLinePunct w:val="0"/>
        <w:autoSpaceDE/>
        <w:autoSpaceDN/>
        <w:bidi w:val="0"/>
        <w:adjustRightInd/>
        <w:snapToGrid/>
        <w:spacing w:line="360" w:lineRule="auto"/>
        <w:ind w:firstLine="560"/>
        <w:rPr>
          <w:rFonts w:hint="eastAsia" w:ascii="仿宋" w:hAnsi="仿宋" w:eastAsia="仿宋" w:cs="仿宋"/>
          <w:sz w:val="28"/>
          <w:szCs w:val="28"/>
        </w:rPr>
      </w:pPr>
      <w:r>
        <w:rPr>
          <w:rFonts w:hint="eastAsia" w:ascii="仿宋" w:hAnsi="仿宋" w:eastAsia="仿宋" w:cs="仿宋"/>
          <w:sz w:val="28"/>
          <w:szCs w:val="28"/>
        </w:rPr>
        <w:t xml:space="preserve"> 编制突发环境事件应急预案，并定期(半年一次）演练，提交演练记录。</w:t>
      </w:r>
    </w:p>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p>
      <w:pPr>
        <w:pageBreakBefore w:val="0"/>
        <w:kinsoku/>
        <w:wordWrap/>
        <w:overflowPunct/>
        <w:topLinePunct w:val="0"/>
        <w:autoSpaceDE/>
        <w:autoSpaceDN/>
        <w:bidi w:val="0"/>
        <w:adjustRightInd/>
        <w:snapToGrid/>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、主要技术要求及技术方案：</w:t>
      </w:r>
    </w:p>
    <w:p>
      <w:pPr>
        <w:pageBreakBefore w:val="0"/>
        <w:widowControl/>
        <w:shd w:val="clear" w:color="auto" w:fill="FFFFFF"/>
        <w:kinsoku/>
        <w:wordWrap/>
        <w:overflowPunct/>
        <w:topLinePunct w:val="0"/>
        <w:autoSpaceDE/>
        <w:autoSpaceDN/>
        <w:bidi w:val="0"/>
        <w:adjustRightInd/>
        <w:snapToGrid/>
        <w:spacing w:before="100" w:after="100" w:line="360" w:lineRule="auto"/>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运维单位配置合格的操作、维修人员，提供设备维修和设备保养，提供污水处理设备所需药剂，保证污水处理设备的正常运行和污水处理后达标排放（污水处理设备处理后达到</w:t>
      </w:r>
      <w:r>
        <w:rPr>
          <w:rFonts w:hint="eastAsia" w:ascii="仿宋" w:hAnsi="仿宋" w:eastAsia="仿宋" w:cs="仿宋"/>
          <w:kern w:val="0"/>
          <w:sz w:val="28"/>
          <w:szCs w:val="28"/>
        </w:rPr>
        <w:t>国家标准GB18918-2002一级A标排放</w:t>
      </w:r>
      <w:r>
        <w:rPr>
          <w:rFonts w:hint="eastAsia" w:ascii="仿宋" w:hAnsi="仿宋" w:eastAsia="仿宋" w:cs="仿宋"/>
          <w:color w:val="333333"/>
          <w:kern w:val="0"/>
          <w:sz w:val="28"/>
          <w:szCs w:val="28"/>
        </w:rPr>
        <w:t>），具体运维内容如下：</w:t>
      </w:r>
    </w:p>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tbl>
      <w:tblPr>
        <w:tblStyle w:val="13"/>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472"/>
        <w:gridCol w:w="850"/>
        <w:gridCol w:w="90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服务名称</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数量</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单位</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定期设备检查</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每月一次巡检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定期检查污泥浓度</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根据需求适量投放或处理活性污泥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MBR膜清洗</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药剂清洗，避免膜组堵塞损坏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风机维护</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根据实际情况更换风机皮带、风机轴承。风机加油等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水泵维护</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根据实际情况更换产水泵、提升泵轴承密封圈等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水质检测</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每月现场检测水质情况确保水质排放达标</w:t>
            </w:r>
            <w:r>
              <w:rPr>
                <w:rFonts w:hint="eastAsia" w:ascii="仿宋" w:hAnsi="仿宋" w:eastAsia="仿宋" w:cs="仿宋"/>
                <w:color w:val="auto"/>
                <w:sz w:val="28"/>
                <w:szCs w:val="28"/>
              </w:rPr>
              <w:t>（PTC便携式检测），每年出具第三方检</w:t>
            </w:r>
            <w:r>
              <w:rPr>
                <w:rFonts w:hint="eastAsia" w:ascii="仿宋" w:hAnsi="仿宋" w:eastAsia="仿宋" w:cs="仿宋"/>
                <w:sz w:val="28"/>
                <w:szCs w:val="28"/>
              </w:rPr>
              <w:t>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污泥转运</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根据需求适量投放或处理活性污泥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PLC电控调整</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根据现场情况调整电脑控制程序，对有安全隐患的线路进行整改。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4"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2472"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应急响应</w:t>
            </w:r>
          </w:p>
        </w:tc>
        <w:tc>
          <w:tcPr>
            <w:tcW w:w="85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N</w:t>
            </w:r>
          </w:p>
        </w:tc>
        <w:tc>
          <w:tcPr>
            <w:tcW w:w="9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次</w:t>
            </w:r>
          </w:p>
        </w:tc>
        <w:tc>
          <w:tcPr>
            <w:tcW w:w="382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特殊情况设备不能正常工作，</w:t>
            </w:r>
            <w:r>
              <w:rPr>
                <w:rFonts w:hint="eastAsia" w:ascii="仿宋" w:hAnsi="仿宋" w:eastAsia="仿宋" w:cs="仿宋"/>
                <w:color w:val="auto"/>
                <w:sz w:val="28"/>
                <w:szCs w:val="28"/>
              </w:rPr>
              <w:t>8小</w:t>
            </w:r>
            <w:r>
              <w:rPr>
                <w:rFonts w:hint="eastAsia" w:ascii="仿宋" w:hAnsi="仿宋" w:eastAsia="仿宋" w:cs="仿宋"/>
                <w:sz w:val="28"/>
                <w:szCs w:val="28"/>
              </w:rPr>
              <w:t>时内抵达现场及时处理故障。</w:t>
            </w:r>
          </w:p>
        </w:tc>
      </w:tr>
    </w:tbl>
    <w:p>
      <w:pPr>
        <w:pStyle w:val="9"/>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bookmarkStart w:id="33" w:name="_Toc10103709"/>
      <w:bookmarkStart w:id="34" w:name="_Toc453767286"/>
      <w:r>
        <w:rPr>
          <w:rFonts w:hint="eastAsia" w:ascii="仿宋" w:hAnsi="仿宋" w:eastAsia="仿宋" w:cs="仿宋"/>
          <w:sz w:val="28"/>
          <w:szCs w:val="28"/>
          <w:lang w:val="en-US" w:eastAsia="zh-CN"/>
        </w:rPr>
        <w:t>五</w:t>
      </w:r>
      <w:r>
        <w:rPr>
          <w:rFonts w:hint="eastAsia" w:ascii="仿宋" w:hAnsi="仿宋" w:eastAsia="仿宋" w:cs="仿宋"/>
          <w:sz w:val="28"/>
          <w:szCs w:val="28"/>
        </w:rPr>
        <w:t>、维保工期：12个月</w:t>
      </w:r>
    </w:p>
    <w:p>
      <w:pPr>
        <w:pageBreakBefore w:val="0"/>
        <w:kinsoku/>
        <w:wordWrap/>
        <w:overflowPunct/>
        <w:topLinePunct w:val="0"/>
        <w:autoSpaceDE/>
        <w:autoSpaceDN/>
        <w:bidi w:val="0"/>
        <w:adjustRightInd/>
        <w:snapToGrid/>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w:t>
      </w:r>
      <w:bookmarkEnd w:id="33"/>
      <w:bookmarkEnd w:id="34"/>
      <w:r>
        <w:rPr>
          <w:rFonts w:hint="eastAsia" w:ascii="仿宋" w:hAnsi="仿宋" w:eastAsia="仿宋" w:cs="仿宋"/>
          <w:b/>
          <w:sz w:val="28"/>
          <w:szCs w:val="28"/>
        </w:rPr>
        <w:t>投标费用及其说明</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bookmarkStart w:id="35" w:name="_Toc10103710"/>
      <w:bookmarkStart w:id="36" w:name="_Toc453767287"/>
      <w:r>
        <w:rPr>
          <w:rFonts w:hint="eastAsia" w:ascii="仿宋" w:hAnsi="仿宋" w:eastAsia="仿宋" w:cs="仿宋"/>
          <w:sz w:val="28"/>
          <w:szCs w:val="28"/>
        </w:rPr>
        <w:t>人员工资费用、药品费用（消毒济、除磷剂）、小维修及耗材费用：润滑油、管道、阀门、设备易损件(包含：潜水泵的叶轮、扣环、轴套、轴承座、电机；风机的皮带、油嘴、空滤、电机)、电仪元件（包含：控制柜电器元件、浮球开关、压力仪表）、监测费用（常规化验项目包括CODcr、SS、氨氮、pH等，每季度监测一次，提供监测报表数据。）劳保、办公用品、交通、电话通讯以及利润、税金、管理费用。</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投标费用不含设备大修费用，设备大修或更换由业主负责。单项价值1000元以上的由乙方向甲方提交《设备维修采购申请报告》，甲方采购或委托乙方根据市场价格代为采购，乙方负责免费更换。单项价值1000元以下的由乙方负责采购安装。</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单项价值1000以上大修并更换的项目有：水泵更换、风机主机维修及更换、风机成套更换、加药泵更换、控制柜更换、设备箱体漏水维修、填料更换。</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未提及的工作内容或设计变更或工程增减部分和询价范围以外的零星工作内容在施工中发生以后以现行定额及配套文件为依据进行计算，由业主方、施工方共同认质、认价，人工费调整按施工期间的造价信息平均值进行调整。</w:t>
      </w:r>
    </w:p>
    <w:p>
      <w:pPr>
        <w:pageBreakBefore w:val="0"/>
        <w:kinsoku/>
        <w:wordWrap/>
        <w:overflowPunct/>
        <w:topLinePunct w:val="0"/>
        <w:autoSpaceDE/>
        <w:autoSpaceDN/>
        <w:bidi w:val="0"/>
        <w:adjustRightInd/>
        <w:snapToGrid/>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、项目设备情况一览表</w:t>
      </w:r>
      <w:bookmarkStart w:id="37" w:name="_Toc9493234"/>
    </w:p>
    <w:bookmarkEnd w:id="37"/>
    <w:tbl>
      <w:tblPr>
        <w:tblStyle w:val="12"/>
        <w:tblW w:w="87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755"/>
        <w:gridCol w:w="2275"/>
        <w:gridCol w:w="1525"/>
        <w:gridCol w:w="555"/>
        <w:gridCol w:w="600"/>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755"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地点</w:t>
            </w:r>
          </w:p>
        </w:tc>
        <w:tc>
          <w:tcPr>
            <w:tcW w:w="2275"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设备名称</w:t>
            </w:r>
          </w:p>
        </w:tc>
        <w:tc>
          <w:tcPr>
            <w:tcW w:w="1525"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处理量</w:t>
            </w:r>
          </w:p>
        </w:tc>
        <w:tc>
          <w:tcPr>
            <w:tcW w:w="555"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w:t>
            </w:r>
          </w:p>
        </w:tc>
        <w:tc>
          <w:tcPr>
            <w:tcW w:w="600"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p>
        </w:tc>
        <w:tc>
          <w:tcPr>
            <w:tcW w:w="517"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龙兴服务区（左线）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bookmarkStart w:id="38" w:name="RANGE_E7"/>
            <w:r>
              <w:rPr>
                <w:rFonts w:hint="eastAsia" w:ascii="仿宋" w:hAnsi="仿宋" w:eastAsia="仿宋" w:cs="仿宋"/>
                <w:sz w:val="28"/>
                <w:szCs w:val="28"/>
              </w:rPr>
              <w:t>套</w:t>
            </w:r>
            <w:bookmarkEnd w:id="38"/>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龙兴服务区（右线）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北碚服务区（左线）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北碚服务区（右线）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rPr>
              <w:t>江津</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白沙</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服务区</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6</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曾家服务区（左线）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7</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曾家服务区（右线）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8</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珞璜服务区（左线）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9</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sz w:val="28"/>
                <w:szCs w:val="28"/>
              </w:rPr>
            </w:pPr>
            <w:r>
              <w:rPr>
                <w:rFonts w:hint="eastAsia" w:ascii="仿宋" w:hAnsi="仿宋" w:eastAsia="仿宋" w:cs="仿宋"/>
                <w:color w:val="000000"/>
                <w:kern w:val="0"/>
                <w:sz w:val="28"/>
                <w:szCs w:val="28"/>
              </w:rPr>
              <w:t>珞璜服务区（右线）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10</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复兴服务区（左线）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11</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复兴服务区（右线）</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150m³/d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21" w:type="dxa"/>
            <w:vAlign w:val="center"/>
          </w:tcPr>
          <w:p>
            <w:pPr>
              <w:pageBreakBefore w:val="0"/>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r>
              <w:rPr>
                <w:rFonts w:hint="eastAsia" w:ascii="仿宋" w:hAnsi="仿宋" w:eastAsia="仿宋" w:cs="仿宋"/>
                <w:sz w:val="28"/>
                <w:szCs w:val="28"/>
              </w:rPr>
              <w:t>12</w:t>
            </w:r>
          </w:p>
        </w:tc>
        <w:tc>
          <w:tcPr>
            <w:tcW w:w="2755" w:type="dxa"/>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江津（</w:t>
            </w:r>
            <w:r>
              <w:rPr>
                <w:rFonts w:hint="eastAsia" w:ascii="仿宋" w:hAnsi="仿宋" w:eastAsia="仿宋" w:cs="仿宋"/>
                <w:color w:val="000000"/>
                <w:kern w:val="0"/>
                <w:sz w:val="28"/>
                <w:szCs w:val="28"/>
              </w:rPr>
              <w:t>塘河</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服务区</w:t>
            </w:r>
          </w:p>
        </w:tc>
        <w:tc>
          <w:tcPr>
            <w:tcW w:w="227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地上式一体化设备</w:t>
            </w:r>
          </w:p>
        </w:tc>
        <w:tc>
          <w:tcPr>
            <w:tcW w:w="152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00</w:t>
            </w:r>
            <w:r>
              <w:rPr>
                <w:rFonts w:hint="eastAsia" w:ascii="仿宋" w:hAnsi="仿宋" w:eastAsia="仿宋" w:cs="仿宋"/>
                <w:sz w:val="28"/>
                <w:szCs w:val="28"/>
              </w:rPr>
              <w:t>m³/d</w:t>
            </w:r>
          </w:p>
        </w:tc>
        <w:tc>
          <w:tcPr>
            <w:tcW w:w="555"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r>
              <w:rPr>
                <w:rFonts w:hint="eastAsia" w:ascii="仿宋" w:hAnsi="仿宋" w:eastAsia="仿宋" w:cs="仿宋"/>
                <w:sz w:val="28"/>
                <w:szCs w:val="28"/>
              </w:rPr>
              <w:t>套</w:t>
            </w:r>
          </w:p>
        </w:tc>
        <w:tc>
          <w:tcPr>
            <w:tcW w:w="600"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517" w:type="dxa"/>
            <w:vAlign w:val="center"/>
          </w:tcPr>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tc>
      </w:tr>
    </w:tbl>
    <w:p>
      <w:pPr>
        <w:pageBreakBefore w:val="0"/>
        <w:kinsoku/>
        <w:wordWrap/>
        <w:overflowPunct/>
        <w:topLinePunct w:val="0"/>
        <w:autoSpaceDE/>
        <w:autoSpaceDN/>
        <w:bidi w:val="0"/>
        <w:adjustRightInd/>
        <w:snapToGrid/>
        <w:spacing w:line="360" w:lineRule="auto"/>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、拟邀请供应商资格要求</w:t>
      </w:r>
      <w:bookmarkEnd w:id="35"/>
      <w:bookmarkEnd w:id="36"/>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合格投标人应首先符合政府采购法第二十二条规定的基本条件，同时符合根据该项目特点设置的特定资格条件。</w:t>
      </w:r>
    </w:p>
    <w:p>
      <w:pPr>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基本资格条件</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具有独立承担民事责任的能力；</w:t>
      </w:r>
    </w:p>
    <w:p>
      <w:pPr>
        <w:pageBreakBefore w:val="0"/>
        <w:kinsoku/>
        <w:wordWrap/>
        <w:overflowPunct/>
        <w:topLinePunct w:val="0"/>
        <w:autoSpaceDE/>
        <w:autoSpaceDN/>
        <w:bidi w:val="0"/>
        <w:adjustRightInd/>
        <w:snapToGrid/>
        <w:spacing w:line="360" w:lineRule="auto"/>
        <w:ind w:left="476" w:leftChars="17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企业资质应具有市政公用工程施工总承包叁级和环境工程专业承包叁级，</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有依法缴纳税收和社会保障资金的良好记录；</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参加政府采购活动前三年内，在经营活动中没有重大违法记录;</w:t>
      </w:r>
    </w:p>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pPr>
    </w:p>
    <w:p>
      <w:pPr>
        <w:pageBreakBefore w:val="0"/>
        <w:kinsoku/>
        <w:wordWrap/>
        <w:overflowPunct/>
        <w:topLinePunct w:val="0"/>
        <w:autoSpaceDE/>
        <w:autoSpaceDN/>
        <w:bidi w:val="0"/>
        <w:adjustRightInd/>
        <w:snapToGrid/>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特定资格条件(供应商须同时具备以下资质条件)</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投标单位应具有污染治理设施运行服务能力评价书（生活污水处理二级）和环境污染治理资质证书（乙级）以上</w:t>
      </w:r>
      <w:r>
        <w:rPr>
          <w:rFonts w:hint="eastAsia" w:ascii="仿宋" w:hAnsi="仿宋" w:eastAsia="仿宋" w:cs="仿宋"/>
          <w:sz w:val="28"/>
          <w:szCs w:val="28"/>
          <w:lang w:eastAsia="zh-CN"/>
        </w:rPr>
        <w:t>。</w:t>
      </w:r>
    </w:p>
    <w:p>
      <w:pPr>
        <w:pageBreakBefore w:val="0"/>
        <w:kinsoku/>
        <w:wordWrap/>
        <w:overflowPunct/>
        <w:topLinePunct w:val="0"/>
        <w:autoSpaceDE/>
        <w:autoSpaceDN/>
        <w:bidi w:val="0"/>
        <w:adjustRightInd/>
        <w:snapToGrid/>
        <w:spacing w:line="360" w:lineRule="auto"/>
        <w:ind w:left="476" w:leftChars="17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提供具有2017年以后高速路服务区污水处理设施运营业绩</w:t>
      </w:r>
    </w:p>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的合同不少于3个并且提供业主评价意见证明文件</w:t>
      </w:r>
      <w:r>
        <w:rPr>
          <w:rFonts w:hint="eastAsia" w:ascii="仿宋" w:hAnsi="仿宋" w:eastAsia="仿宋" w:cs="仿宋"/>
          <w:sz w:val="28"/>
          <w:szCs w:val="28"/>
          <w:lang w:eastAsia="zh-CN"/>
        </w:rPr>
        <w:t>。</w:t>
      </w:r>
    </w:p>
    <w:p>
      <w:pPr>
        <w:pStyle w:val="9"/>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b w:val="0"/>
          <w:bCs w:val="0"/>
          <w:cap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人</w:t>
      </w:r>
      <w:r>
        <w:rPr>
          <w:rFonts w:hint="eastAsia" w:ascii="仿宋" w:hAnsi="仿宋" w:eastAsia="仿宋" w:cs="仿宋"/>
          <w:b w:val="0"/>
          <w:bCs w:val="0"/>
          <w:caps w:val="0"/>
          <w:sz w:val="28"/>
          <w:szCs w:val="28"/>
        </w:rPr>
        <w:t>员、车辆配置要求：主要配置人员必须包含1名项目经理并且需具有环境工程专业中级及以上职称；安全员1名，需要提供安全生产考核合格证书；配3名工作人员，需具有污</w:t>
      </w:r>
      <w:r>
        <w:rPr>
          <w:rFonts w:hint="eastAsia" w:ascii="仿宋" w:hAnsi="仿宋" w:eastAsia="仿宋" w:cs="仿宋"/>
          <w:b w:val="0"/>
          <w:bCs w:val="0"/>
          <w:caps w:val="0"/>
          <w:sz w:val="28"/>
          <w:szCs w:val="28"/>
          <w:lang w:eastAsia="zh-CN"/>
        </w:rPr>
        <w:t>污水</w:t>
      </w:r>
      <w:r>
        <w:rPr>
          <w:rFonts w:hint="eastAsia" w:ascii="仿宋" w:hAnsi="仿宋" w:eastAsia="仿宋" w:cs="仿宋"/>
          <w:b w:val="0"/>
          <w:bCs w:val="0"/>
          <w:caps w:val="0"/>
          <w:sz w:val="28"/>
          <w:szCs w:val="28"/>
        </w:rPr>
        <w:t>处理工证书。并且提供以上人员半年的社保证明。配备一台工程车巡查，保证对沿线污水处理设备的实时监控，出现问题快速到达现场。</w:t>
      </w:r>
    </w:p>
    <w:p>
      <w:pPr>
        <w:pageBreakBefore w:val="0"/>
        <w:kinsoku/>
        <w:wordWrap/>
        <w:overflowPunct/>
        <w:topLinePunct w:val="0"/>
        <w:autoSpaceDE/>
        <w:autoSpaceDN/>
        <w:bidi w:val="0"/>
        <w:adjustRightInd/>
        <w:snapToGrid/>
        <w:spacing w:line="360" w:lineRule="auto"/>
        <w:jc w:val="left"/>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、总体要求：</w:t>
      </w:r>
    </w:p>
    <w:p>
      <w:pPr>
        <w:pageBreakBefore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严格执行环保部门、卫生行政部门的相关规定，负责污水处理站设备的维护，维修管理，中标方必须保证生产污水的达标排放，污水必须经处理后排放到总排污口。</w:t>
      </w:r>
    </w:p>
    <w:p>
      <w:pPr>
        <w:pageBreakBefore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维护保养期间，中标方自行承担招标范围内的费用、风险和所有责任。</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因中标方原因造成污水不达标所引起的责任及经济处罚由中标方承担。</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中标方必须按照国家相关法律法规、完善相关资料，定期移交。</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中标方在维护保养设备期间，必须严格按污水处理站设备操作规程进行操作，确保污水处理达标排放，并保证人身安全。如果在合同期内因中标方原因发生安全事故，责任由中标方负责。</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按照相关行业主管部门规定配合招标方申报、办理环保相关手续等内容，保证污水处理站的正常运行和污水达标排放。</w:t>
      </w:r>
    </w:p>
    <w:p>
      <w:pPr>
        <w:pageBreakBefore w:val="0"/>
        <w:kinsoku/>
        <w:wordWrap/>
        <w:overflowPunct/>
        <w:topLinePunct w:val="0"/>
        <w:autoSpaceDE/>
        <w:autoSpaceDN/>
        <w:bidi w:val="0"/>
        <w:adjustRightInd/>
        <w:snapToGrid/>
        <w:spacing w:line="360" w:lineRule="auto"/>
        <w:rPr>
          <w:rFonts w:hint="eastAsia" w:ascii="仿宋" w:hAnsi="仿宋" w:eastAsia="仿宋" w:cs="仿宋"/>
          <w:b/>
          <w:bCs/>
          <w:sz w:val="28"/>
          <w:szCs w:val="28"/>
        </w:rPr>
      </w:pPr>
      <w:r>
        <w:rPr>
          <w:rFonts w:hint="eastAsia" w:ascii="仿宋" w:hAnsi="仿宋" w:eastAsia="仿宋" w:cs="仿宋"/>
          <w:b/>
          <w:bCs/>
          <w:sz w:val="28"/>
          <w:szCs w:val="28"/>
        </w:rPr>
        <w:t>十、管理服务要求：</w:t>
      </w:r>
    </w:p>
    <w:p>
      <w:pPr>
        <w:pageBreakBefore w:val="0"/>
        <w:kinsoku/>
        <w:wordWrap/>
        <w:overflowPunct/>
        <w:topLinePunct w:val="0"/>
        <w:autoSpaceDE/>
        <w:autoSpaceDN/>
        <w:bidi w:val="0"/>
        <w:adjustRightInd/>
        <w:snapToGrid/>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建立健全污水处理站管理制度、交接班制度、运营、维修、安全技术操作规程。</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建立切实可行的设备设施维护维修制度、应急预案、应急管理制度、安排每年不少于2次的应急工作预防演练。</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建立健全安全管理体系，完善并制作污水站现场的安全警示标识、设备工艺标识。</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定期对员工进行业务培训、管理培训及知识更新。</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制定操作工、维修工、项目负责人常规考核办法。</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污水处理站的运行日志、监测记录、维修记录、使用记录、污泥消毒记录、水质监测送检记录、污水排放记录表等各类台帐由中标方制作、详实记录、装订并妥善保存。</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在运营期内，中标方随时接受各级部门的监督检查工作，按要求提供检查资料，并在规定时间内对检查中发现的问题进行整改。</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rPr>
        <w:t>中标方高级技术人员每周下站二次巡察及技术指导，中标方领导班子每半月一次例行工作检查。</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每年年终进行一次工作总结，以书面形式递交招标方。</w:t>
      </w:r>
    </w:p>
    <w:p>
      <w:pPr>
        <w:pageBreakBefore w:val="0"/>
        <w:tabs>
          <w:tab w:val="left" w:pos="0"/>
        </w:tabs>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投标方须针对现场技术要求提供污水处理设施设备《维护保养技术方案》。</w:t>
      </w:r>
    </w:p>
    <w:p>
      <w:pPr>
        <w:pStyle w:val="9"/>
        <w:pageBreakBefore w:val="0"/>
        <w:kinsoku/>
        <w:wordWrap/>
        <w:overflowPunct/>
        <w:topLinePunct w:val="0"/>
        <w:autoSpaceDE/>
        <w:autoSpaceDN/>
        <w:bidi w:val="0"/>
        <w:adjustRightInd/>
        <w:snapToGrid/>
        <w:spacing w:line="360" w:lineRule="auto"/>
        <w:rPr>
          <w:rFonts w:hint="eastAsia" w:ascii="仿宋" w:hAnsi="仿宋" w:eastAsia="仿宋" w:cs="仿宋"/>
          <w:b w:val="0"/>
          <w:bCs w:val="0"/>
          <w:sz w:val="28"/>
          <w:szCs w:val="28"/>
          <w:lang w:eastAsia="zh-CN"/>
        </w:rPr>
      </w:pPr>
      <w:r>
        <w:rPr>
          <w:rFonts w:hint="eastAsia" w:ascii="仿宋" w:hAnsi="仿宋" w:eastAsia="仿宋" w:cs="仿宋"/>
          <w:sz w:val="28"/>
          <w:szCs w:val="28"/>
        </w:rPr>
        <w:t xml:space="preserve">    </w:t>
      </w: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投标方应具有AAA质量服务信誉证书</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280" w:rightChars="-100"/>
        <w:jc w:val="both"/>
        <w:textAlignment w:val="auto"/>
        <w:rPr>
          <w:rFonts w:hint="eastAsia" w:ascii="仿宋" w:hAnsi="仿宋" w:eastAsia="仿宋" w:cs="仿宋"/>
          <w:b/>
          <w:bCs w:val="0"/>
          <w:color w:val="auto"/>
          <w:sz w:val="28"/>
          <w:szCs w:val="28"/>
          <w:lang w:val="en-US" w:eastAsia="zh-CN"/>
        </w:rPr>
      </w:pPr>
      <w:bookmarkStart w:id="39" w:name="_Toc26974"/>
      <w:bookmarkStart w:id="40" w:name="_Toc29308"/>
      <w:bookmarkStart w:id="41" w:name="_Toc7078"/>
      <w:r>
        <w:rPr>
          <w:rFonts w:hint="eastAsia" w:ascii="仿宋" w:hAnsi="仿宋" w:eastAsia="仿宋" w:cs="仿宋"/>
          <w:b/>
          <w:bCs w:val="0"/>
          <w:color w:val="auto"/>
          <w:sz w:val="28"/>
          <w:szCs w:val="28"/>
          <w:lang w:val="en-US" w:eastAsia="zh-CN"/>
        </w:rPr>
        <w:t>十一、支付方式</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中标方在每月20日之前开具增值普通发票，招标方应收到发票后次月20日之前结算相应费用。</w:t>
      </w:r>
    </w:p>
    <w:p>
      <w:pPr>
        <w:keepNext w:val="0"/>
        <w:keepLines w:val="0"/>
        <w:pageBreakBefore w:val="0"/>
        <w:widowControl w:val="0"/>
        <w:kinsoku/>
        <w:wordWrap/>
        <w:overflowPunct/>
        <w:topLinePunct w:val="0"/>
        <w:autoSpaceDE/>
        <w:autoSpaceDN/>
        <w:bidi w:val="0"/>
        <w:adjustRightInd/>
        <w:snapToGrid/>
        <w:spacing w:line="360" w:lineRule="auto"/>
        <w:ind w:right="-280" w:rightChars="-1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十二、询价响应文件报送要求</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1、询价响应文件组成：（1）询价响应申明书;（2）授权委托书，授权人及被授权人身份证复印件;（3）营业执照、资质证书、组织机构代码、开户许可证复印件;（4）费用报价清单；（5）</w:t>
      </w:r>
      <w:r>
        <w:rPr>
          <w:rFonts w:hint="eastAsia" w:ascii="方正仿宋_GBK" w:hAnsi="方正仿宋_GBK" w:eastAsia="方正仿宋_GBK" w:cs="方正仿宋_GBK"/>
          <w:sz w:val="32"/>
          <w:szCs w:val="32"/>
        </w:rPr>
        <w:t>拟委任的主要管理人员及车辆配置</w:t>
      </w:r>
      <w:r>
        <w:rPr>
          <w:rFonts w:hint="eastAsia" w:ascii="仿宋" w:hAnsi="仿宋" w:eastAsia="仿宋" w:cs="仿宋"/>
          <w:b w:val="0"/>
          <w:bCs/>
          <w:color w:val="auto"/>
          <w:sz w:val="28"/>
          <w:szCs w:val="28"/>
          <w:lang w:val="en-US" w:eastAsia="zh-CN"/>
        </w:rPr>
        <w:t>；（6）</w:t>
      </w:r>
      <w:r>
        <w:rPr>
          <w:rFonts w:hint="eastAsia" w:ascii="方正仿宋_GBK" w:hAnsi="方正仿宋_GBK" w:eastAsia="方正仿宋_GBK" w:cs="方正仿宋_GBK"/>
          <w:sz w:val="32"/>
          <w:szCs w:val="32"/>
        </w:rPr>
        <w:t>运行管理方案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其他资料；</w:t>
      </w:r>
      <w:r>
        <w:rPr>
          <w:rFonts w:hint="eastAsia" w:ascii="仿宋" w:hAnsi="仿宋" w:eastAsia="仿宋" w:cs="仿宋"/>
          <w:b w:val="0"/>
          <w:bCs/>
          <w:color w:val="auto"/>
          <w:sz w:val="28"/>
          <w:szCs w:val="28"/>
          <w:lang w:val="en-US" w:eastAsia="zh-CN"/>
        </w:rPr>
        <w:t>以上资料均需加盖单位公章。</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2、询价方案需提供方案文件正本一份，并将正本密封包装在同一个封套内，包装外应注明单位名</w:t>
      </w:r>
      <w:bookmarkStart w:id="47" w:name="_GoBack"/>
      <w:bookmarkEnd w:id="47"/>
      <w:r>
        <w:rPr>
          <w:rFonts w:hint="eastAsia" w:ascii="仿宋" w:hAnsi="仿宋" w:eastAsia="仿宋" w:cs="仿宋"/>
          <w:b w:val="0"/>
          <w:bCs/>
          <w:color w:val="auto"/>
          <w:sz w:val="28"/>
          <w:szCs w:val="28"/>
          <w:lang w:val="en-US" w:eastAsia="zh-CN"/>
        </w:rPr>
        <w:t>称、报送人名称并加盖骑缝章。</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3、参与询价的合格单位不低于三家。询价单位提交的询价方案不符合要求的，将视为不具备参与询价的资格。</w:t>
      </w:r>
    </w:p>
    <w:bookmarkEnd w:id="39"/>
    <w:bookmarkEnd w:id="40"/>
    <w:bookmarkEnd w:id="41"/>
    <w:p>
      <w:pPr>
        <w:keepNext w:val="0"/>
        <w:keepLines w:val="0"/>
        <w:pageBreakBefore w:val="0"/>
        <w:widowControl w:val="0"/>
        <w:kinsoku/>
        <w:wordWrap/>
        <w:overflowPunct/>
        <w:topLinePunct w:val="0"/>
        <w:autoSpaceDE/>
        <w:autoSpaceDN/>
        <w:bidi w:val="0"/>
        <w:adjustRightInd/>
        <w:snapToGrid/>
        <w:spacing w:line="360" w:lineRule="auto"/>
        <w:ind w:right="-280" w:rightChars="-100"/>
        <w:jc w:val="both"/>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十三、递交时间</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被询价单位请于2020年12月1日上午10点（北京时间）之前将报价方案报送中渝分公司。</w:t>
      </w:r>
    </w:p>
    <w:p>
      <w:pPr>
        <w:keepNext w:val="0"/>
        <w:keepLines w:val="0"/>
        <w:pageBreakBefore w:val="0"/>
        <w:widowControl w:val="0"/>
        <w:kinsoku/>
        <w:wordWrap/>
        <w:overflowPunct/>
        <w:topLinePunct w:val="0"/>
        <w:autoSpaceDE/>
        <w:autoSpaceDN/>
        <w:bidi w:val="0"/>
        <w:adjustRightInd/>
        <w:snapToGrid/>
        <w:spacing w:line="360" w:lineRule="auto"/>
        <w:ind w:left="-280" w:leftChars="-100" w:right="-280" w:rightChars="-100" w:firstLine="560" w:firstLineChars="2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送达地址：重庆高速公路集团有限公司中渝营运分公司重庆绕城高速公路双福南收费站办公楼</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color w:val="auto"/>
          <w:sz w:val="28"/>
          <w:szCs w:val="28"/>
          <w:lang w:val="en-US"/>
        </w:rPr>
      </w:pPr>
      <w:r>
        <w:rPr>
          <w:rFonts w:hint="eastAsia" w:ascii="仿宋" w:hAnsi="仿宋" w:eastAsia="仿宋" w:cs="仿宋"/>
          <w:b w:val="0"/>
          <w:bCs/>
          <w:color w:val="auto"/>
          <w:sz w:val="28"/>
          <w:szCs w:val="28"/>
          <w:lang w:val="en-US" w:eastAsia="zh-CN"/>
        </w:rPr>
        <w:t>联系人：胡艺      联系人方式：13996277609</w:t>
      </w:r>
    </w:p>
    <w:p>
      <w:pPr>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sz w:val="28"/>
          <w:szCs w:val="28"/>
        </w:rPr>
      </w:pPr>
    </w:p>
    <w:p>
      <w:pPr>
        <w:pageBreakBefore w:val="0"/>
        <w:kinsoku/>
        <w:wordWrap/>
        <w:overflowPunct/>
        <w:topLinePunct w:val="0"/>
        <w:autoSpaceDE/>
        <w:autoSpaceDN/>
        <w:bidi w:val="0"/>
        <w:adjustRightInd/>
        <w:snapToGrid/>
        <w:spacing w:line="360" w:lineRule="auto"/>
        <w:rPr>
          <w:rFonts w:hint="eastAsia" w:ascii="仿宋" w:hAnsi="仿宋" w:eastAsia="仿宋" w:cs="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sz w:val="28"/>
          <w:szCs w:val="28"/>
        </w:rPr>
        <w:t xml:space="preserve">                               日期：</w:t>
      </w:r>
      <w:r>
        <w:rPr>
          <w:rFonts w:hint="eastAsia" w:ascii="仿宋" w:hAnsi="仿宋" w:eastAsia="仿宋" w:cs="仿宋"/>
          <w:sz w:val="28"/>
          <w:szCs w:val="28"/>
          <w:lang w:val="en-US" w:eastAsia="zh-CN"/>
        </w:rPr>
        <w:t>2020</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p>
    <w:p>
      <w:pPr>
        <w:rPr>
          <w:rFonts w:ascii="仿宋_GB2312" w:eastAsia="仿宋_GB2312"/>
          <w:b/>
          <w:kern w:val="0"/>
          <w:szCs w:val="28"/>
        </w:rPr>
      </w:pPr>
    </w:p>
    <w:p>
      <w:pPr>
        <w:jc w:val="center"/>
        <w:rPr>
          <w:b/>
          <w:sz w:val="24"/>
        </w:rPr>
      </w:pPr>
    </w:p>
    <w:p>
      <w:pPr>
        <w:pStyle w:val="4"/>
      </w:pPr>
    </w:p>
    <w:p/>
    <w:p>
      <w:pPr>
        <w:jc w:val="right"/>
        <w:rPr>
          <w:b/>
          <w:sz w:val="24"/>
        </w:rPr>
      </w:pPr>
    </w:p>
    <w:p>
      <w:pPr>
        <w:ind w:firstLine="960" w:firstLineChars="300"/>
        <w:jc w:val="both"/>
        <w:rPr>
          <w:b/>
          <w:sz w:val="24"/>
        </w:rPr>
      </w:pPr>
      <w:r>
        <w:rPr>
          <w:rFonts w:hint="eastAsia" w:ascii="方正小标宋_GBK" w:hAnsi="方正小标宋_GBK" w:eastAsia="方正小标宋_GBK" w:cs="方正小标宋_GBK"/>
          <w:sz w:val="32"/>
          <w:szCs w:val="32"/>
          <w:lang w:val="en-US" w:eastAsia="zh-CN"/>
        </w:rPr>
        <w:t>中渝公司</w:t>
      </w:r>
      <w:r>
        <w:rPr>
          <w:rFonts w:hint="eastAsia" w:ascii="方正小标宋_GBK" w:hAnsi="方正小标宋_GBK" w:eastAsia="方正小标宋_GBK" w:cs="方正小标宋_GBK"/>
          <w:sz w:val="32"/>
          <w:szCs w:val="32"/>
        </w:rPr>
        <w:t>服务区污水处理设备维护保养服务</w:t>
      </w:r>
    </w:p>
    <w:p>
      <w:pPr>
        <w:jc w:val="right"/>
        <w:rPr>
          <w:b/>
          <w:sz w:val="24"/>
        </w:rPr>
      </w:pPr>
    </w:p>
    <w:p>
      <w:pPr>
        <w:jc w:val="right"/>
        <w:rPr>
          <w:b/>
          <w:sz w:val="24"/>
        </w:rPr>
      </w:pPr>
    </w:p>
    <w:p>
      <w:pPr>
        <w:spacing w:line="640" w:lineRule="exact"/>
        <w:jc w:val="center"/>
        <w:rPr>
          <w:rFonts w:ascii="方正小标宋_GBK" w:eastAsia="方正小标宋_GBK"/>
          <w:sz w:val="44"/>
          <w:szCs w:val="44"/>
        </w:rPr>
      </w:pPr>
      <w:r>
        <w:rPr>
          <w:rFonts w:hint="eastAsia" w:ascii="方正小标宋_GBK" w:eastAsia="方正小标宋_GBK"/>
          <w:sz w:val="44"/>
          <w:szCs w:val="44"/>
        </w:rPr>
        <w:t>询价响应文件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rFonts w:ascii="方正仿宋_GBK" w:eastAsia="方正仿宋_GBK"/>
          <w:sz w:val="32"/>
          <w:szCs w:val="32"/>
          <w:u w:val="single"/>
        </w:rPr>
      </w:pPr>
      <w:r>
        <w:rPr>
          <w:rFonts w:hint="eastAsia" w:ascii="方正仿宋_GBK" w:eastAsia="方正仿宋_GBK"/>
          <w:sz w:val="32"/>
          <w:szCs w:val="32"/>
          <w:u w:val="single"/>
        </w:rPr>
        <w:t>询价响应单位名称全称（盖单位公章）</w:t>
      </w:r>
    </w:p>
    <w:p>
      <w:pPr>
        <w:ind w:firstLine="640" w:firstLineChars="200"/>
        <w:rPr>
          <w:rFonts w:ascii="方正仿宋_GBK" w:eastAsia="方正仿宋_GBK"/>
          <w:sz w:val="32"/>
          <w:szCs w:val="32"/>
          <w:u w:val="single"/>
        </w:rPr>
      </w:pPr>
      <w:r>
        <w:rPr>
          <w:rFonts w:hint="eastAsia" w:ascii="方正仿宋_GBK" w:eastAsia="方正仿宋_GBK"/>
          <w:sz w:val="32"/>
          <w:szCs w:val="32"/>
        </w:rPr>
        <w:t>法定代表人或委托代理人：</w:t>
      </w:r>
      <w:r>
        <w:rPr>
          <w:rFonts w:hint="eastAsia" w:ascii="方正仿宋_GBK" w:eastAsia="方正仿宋_GBK"/>
          <w:sz w:val="32"/>
          <w:szCs w:val="32"/>
          <w:u w:val="single"/>
        </w:rPr>
        <w:t xml:space="preserve">    （签字或盖章）</w:t>
      </w:r>
    </w:p>
    <w:p>
      <w:pPr>
        <w:jc w:val="center"/>
        <w:rPr>
          <w:sz w:val="32"/>
          <w:szCs w:val="32"/>
        </w:rPr>
      </w:pPr>
      <w:r>
        <w:rPr>
          <w:rFonts w:hint="eastAsia"/>
          <w:sz w:val="32"/>
          <w:szCs w:val="32"/>
        </w:rPr>
        <w:t xml:space="preserve">年   月    日 </w:t>
      </w:r>
    </w:p>
    <w:p>
      <w:pPr>
        <w:jc w:val="center"/>
        <w:rPr>
          <w:sz w:val="32"/>
          <w:szCs w:val="32"/>
          <w:u w:val="single"/>
        </w:rPr>
      </w:pPr>
    </w:p>
    <w:p>
      <w:pPr>
        <w:jc w:val="center"/>
        <w:rPr>
          <w:sz w:val="32"/>
          <w:szCs w:val="32"/>
          <w:u w:val="single"/>
        </w:rPr>
      </w:pPr>
    </w:p>
    <w:p>
      <w:pPr>
        <w:jc w:val="center"/>
        <w:rPr>
          <w:b/>
          <w:bCs/>
          <w:sz w:val="36"/>
          <w:szCs w:val="36"/>
        </w:rPr>
      </w:pPr>
      <w:r>
        <w:rPr>
          <w:rFonts w:hint="eastAsia"/>
          <w:b/>
          <w:bCs/>
          <w:sz w:val="36"/>
          <w:szCs w:val="36"/>
        </w:rPr>
        <w:t>目     录</w:t>
      </w:r>
    </w:p>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一、询价响应声明书</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二、授权委托书</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三、公司资质等资料</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四、费用报价清单</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五、拟委任的主要管理人员及车辆配置</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六、运行管理方案</w:t>
      </w:r>
    </w:p>
    <w:p>
      <w:pPr>
        <w:spacing w:line="360" w:lineRule="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七、其他资料</w:t>
      </w: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24"/>
        </w:rPr>
      </w:pPr>
    </w:p>
    <w:p>
      <w:pPr>
        <w:tabs>
          <w:tab w:val="left" w:pos="900"/>
          <w:tab w:val="left" w:pos="1080"/>
        </w:tabs>
        <w:spacing w:line="300" w:lineRule="auto"/>
        <w:jc w:val="left"/>
        <w:outlineLvl w:val="0"/>
        <w:rPr>
          <w:rFonts w:ascii="Arial" w:hAnsi="Arial" w:cs="Arial"/>
          <w:b/>
          <w:sz w:val="32"/>
          <w:szCs w:val="32"/>
        </w:rPr>
      </w:pPr>
    </w:p>
    <w:p>
      <w:pPr>
        <w:jc w:val="center"/>
        <w:rPr>
          <w:rFonts w:ascii="方正小标宋_GBK" w:eastAsia="方正小标宋_GBK"/>
          <w:sz w:val="32"/>
          <w:szCs w:val="32"/>
        </w:rPr>
      </w:pPr>
      <w:r>
        <w:rPr>
          <w:rFonts w:hint="eastAsia" w:ascii="方正小标宋_GBK" w:eastAsia="方正小标宋_GBK"/>
          <w:sz w:val="32"/>
          <w:szCs w:val="32"/>
        </w:rPr>
        <w:t>一 、询价响应声明书</w:t>
      </w:r>
    </w:p>
    <w:p>
      <w:pPr>
        <w:spacing w:line="440" w:lineRule="exact"/>
        <w:rPr>
          <w:rFonts w:ascii="方正仿宋_GBK" w:eastAsia="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w:t>
      </w:r>
    </w:p>
    <w:p>
      <w:pPr>
        <w:spacing w:line="440" w:lineRule="exact"/>
        <w:ind w:firstLine="600"/>
        <w:jc w:val="left"/>
        <w:rPr>
          <w:rFonts w:ascii="方正仿宋_GBK" w:eastAsia="方正仿宋_GBK"/>
          <w:sz w:val="32"/>
          <w:szCs w:val="32"/>
        </w:rPr>
      </w:pPr>
      <w:r>
        <w:rPr>
          <w:rFonts w:hint="eastAsia" w:ascii="方正仿宋_GBK" w:eastAsia="方正仿宋_GBK"/>
          <w:sz w:val="32"/>
          <w:szCs w:val="32"/>
        </w:rPr>
        <w:t>根据贵方为</w:t>
      </w:r>
      <w:r>
        <w:rPr>
          <w:rFonts w:hint="eastAsia" w:ascii="方正仿宋_GBK" w:eastAsia="方正仿宋_GBK"/>
          <w:sz w:val="32"/>
          <w:szCs w:val="32"/>
          <w:u w:val="single"/>
        </w:rPr>
        <w:t xml:space="preserve">                            </w:t>
      </w:r>
      <w:r>
        <w:rPr>
          <w:rFonts w:hint="eastAsia" w:ascii="方正仿宋_GBK" w:eastAsia="方正仿宋_GBK"/>
          <w:sz w:val="32"/>
          <w:szCs w:val="32"/>
        </w:rPr>
        <w:t>的询价邀请，签字代表</w:t>
      </w:r>
      <w:r>
        <w:rPr>
          <w:rFonts w:hint="eastAsia" w:ascii="方正仿宋_GBK" w:eastAsia="方正仿宋_GBK"/>
          <w:sz w:val="32"/>
          <w:szCs w:val="32"/>
          <w:u w:val="single"/>
        </w:rPr>
        <w:t xml:space="preserve">                </w:t>
      </w:r>
      <w:r>
        <w:rPr>
          <w:rFonts w:hint="eastAsia" w:ascii="方正仿宋_GBK" w:eastAsia="方正仿宋_GBK"/>
          <w:sz w:val="32"/>
          <w:szCs w:val="32"/>
        </w:rPr>
        <w:t>（全名、职务）经正式授权并代表询价响应单位</w:t>
      </w:r>
      <w:r>
        <w:rPr>
          <w:rFonts w:ascii="方正仿宋_GBK" w:eastAsia="方正仿宋_GBK"/>
          <w:sz w:val="32"/>
          <w:szCs w:val="32"/>
          <w:u w:val="single"/>
        </w:rPr>
        <w:t xml:space="preserve">   </w:t>
      </w:r>
      <w:r>
        <w:rPr>
          <w:rFonts w:hint="eastAsia" w:ascii="方正仿宋_GBK" w:eastAsia="方正仿宋_GBK"/>
          <w:sz w:val="32"/>
          <w:szCs w:val="32"/>
          <w:u w:val="single"/>
        </w:rPr>
        <w:t xml:space="preserve">           </w:t>
      </w:r>
      <w:r>
        <w:rPr>
          <w:rFonts w:hint="eastAsia" w:ascii="方正仿宋_GBK" w:eastAsia="方正仿宋_GBK"/>
          <w:sz w:val="32"/>
          <w:szCs w:val="32"/>
        </w:rPr>
        <w:t>（询价响应单位名称、地址） 提交以下文件。</w:t>
      </w:r>
    </w:p>
    <w:p>
      <w:pPr>
        <w:spacing w:line="440" w:lineRule="exact"/>
        <w:ind w:firstLine="600"/>
        <w:rPr>
          <w:rFonts w:ascii="方正仿宋_GBK" w:eastAsia="方正仿宋_GBK"/>
          <w:sz w:val="32"/>
          <w:szCs w:val="32"/>
        </w:rPr>
      </w:pPr>
      <w:r>
        <w:rPr>
          <w:rFonts w:hint="eastAsia" w:ascii="方正仿宋_GBK" w:eastAsia="方正仿宋_GBK"/>
          <w:sz w:val="32"/>
          <w:szCs w:val="32"/>
        </w:rPr>
        <w:t>我方愿以人民币：</w:t>
      </w:r>
      <w:r>
        <w:rPr>
          <w:rFonts w:hint="eastAsia" w:ascii="方正仿宋_GBK" w:eastAsia="方正仿宋_GBK"/>
          <w:sz w:val="32"/>
          <w:szCs w:val="32"/>
          <w:u w:val="single"/>
        </w:rPr>
        <w:t xml:space="preserve">        </w:t>
      </w:r>
      <w:r>
        <w:rPr>
          <w:rFonts w:hint="eastAsia" w:ascii="方正仿宋_GBK" w:eastAsia="方正仿宋_GBK"/>
          <w:sz w:val="32"/>
          <w:szCs w:val="32"/>
        </w:rPr>
        <w:t>元（大写：）的报价总价，承担本次询价文件要求的工程。</w:t>
      </w:r>
    </w:p>
    <w:p>
      <w:pPr>
        <w:spacing w:line="440" w:lineRule="exact"/>
        <w:ind w:firstLine="645"/>
        <w:rPr>
          <w:rFonts w:ascii="方正仿宋_GBK" w:eastAsia="方正仿宋_GBK"/>
          <w:sz w:val="32"/>
          <w:szCs w:val="32"/>
        </w:rPr>
      </w:pPr>
      <w:r>
        <w:rPr>
          <w:rFonts w:hint="eastAsia" w:ascii="方正仿宋_GBK" w:eastAsia="方正仿宋_GBK"/>
          <w:sz w:val="32"/>
          <w:szCs w:val="32"/>
        </w:rPr>
        <w:t>据此函，签字代表宣布同意如下：</w:t>
      </w:r>
    </w:p>
    <w:p>
      <w:pPr>
        <w:spacing w:line="440" w:lineRule="exact"/>
        <w:ind w:firstLine="645"/>
        <w:rPr>
          <w:rFonts w:ascii="方正仿宋_GBK" w:eastAsia="方正仿宋_GBK"/>
          <w:sz w:val="32"/>
          <w:szCs w:val="32"/>
        </w:rPr>
      </w:pPr>
      <w:r>
        <w:rPr>
          <w:rFonts w:hint="eastAsia" w:ascii="方正仿宋_GBK" w:eastAsia="方正仿宋_GBK"/>
          <w:sz w:val="32"/>
          <w:szCs w:val="32"/>
        </w:rPr>
        <w:t>1、询价响应单位将按询价文件规定履行合同责任和义务。</w:t>
      </w:r>
    </w:p>
    <w:p>
      <w:pPr>
        <w:spacing w:line="440" w:lineRule="exact"/>
        <w:ind w:firstLine="645"/>
        <w:rPr>
          <w:rFonts w:ascii="方正仿宋_GBK" w:eastAsia="方正仿宋_GBK"/>
          <w:sz w:val="32"/>
          <w:szCs w:val="32"/>
        </w:rPr>
      </w:pPr>
      <w:r>
        <w:rPr>
          <w:rFonts w:hint="eastAsia" w:ascii="方正仿宋_GBK" w:eastAsia="方正仿宋_GBK"/>
          <w:sz w:val="32"/>
          <w:szCs w:val="32"/>
        </w:rPr>
        <w:t>2、询价响应单位已详细审查全部询价文件，包括修改文件（若有）以及全部参考资料和相关附件。我们完全理解并同意放弃对这方面有不明及误解的权利。</w:t>
      </w:r>
    </w:p>
    <w:p>
      <w:pPr>
        <w:spacing w:line="440" w:lineRule="exact"/>
        <w:ind w:firstLine="645"/>
        <w:rPr>
          <w:rFonts w:ascii="方正仿宋_GBK" w:eastAsia="方正仿宋_GBK"/>
          <w:sz w:val="32"/>
          <w:szCs w:val="32"/>
        </w:rPr>
      </w:pPr>
      <w:r>
        <w:rPr>
          <w:rFonts w:hint="eastAsia" w:ascii="方正仿宋_GBK" w:eastAsia="方正仿宋_GBK"/>
          <w:sz w:val="32"/>
          <w:szCs w:val="32"/>
        </w:rPr>
        <w:t>3、询价响应单位同意提供招标人可能要求的与其询价响应文件有关的一切数据或资料，完全理解招标人不一定要接受最低报价的询价响应或收到的任何投标。</w:t>
      </w:r>
    </w:p>
    <w:p>
      <w:pPr>
        <w:spacing w:line="440" w:lineRule="exact"/>
        <w:ind w:firstLine="645"/>
        <w:rPr>
          <w:rFonts w:ascii="方正仿宋_GBK" w:eastAsia="方正仿宋_GBK"/>
          <w:sz w:val="32"/>
          <w:szCs w:val="32"/>
        </w:rPr>
      </w:pPr>
      <w:r>
        <w:rPr>
          <w:rFonts w:hint="eastAsia" w:ascii="方正仿宋_GBK" w:eastAsia="方正仿宋_GBK"/>
          <w:sz w:val="32"/>
          <w:szCs w:val="32"/>
        </w:rPr>
        <w:t>4、与本询价响应有关的一切正式往来通讯请寄：</w:t>
      </w:r>
    </w:p>
    <w:p>
      <w:pPr>
        <w:spacing w:line="440" w:lineRule="exact"/>
        <w:ind w:firstLine="645"/>
        <w:rPr>
          <w:rFonts w:ascii="方正仿宋_GBK" w:eastAsia="方正仿宋_GBK"/>
          <w:szCs w:val="28"/>
          <w:u w:val="single"/>
        </w:rPr>
      </w:pPr>
      <w:r>
        <w:rPr>
          <w:rFonts w:hint="eastAsia" w:ascii="方正仿宋_GBK" w:eastAsia="方正仿宋_GBK"/>
          <w:szCs w:val="28"/>
        </w:rPr>
        <w:t>地址：                       邮编：</w:t>
      </w:r>
    </w:p>
    <w:p>
      <w:pPr>
        <w:spacing w:line="440" w:lineRule="exact"/>
        <w:ind w:firstLine="645"/>
        <w:rPr>
          <w:rFonts w:ascii="方正仿宋_GBK" w:eastAsia="方正仿宋_GBK"/>
          <w:szCs w:val="28"/>
          <w:u w:val="single"/>
        </w:rPr>
      </w:pPr>
      <w:r>
        <w:rPr>
          <w:rFonts w:hint="eastAsia" w:ascii="方正仿宋_GBK" w:eastAsia="方正仿宋_GBK"/>
          <w:szCs w:val="28"/>
        </w:rPr>
        <w:t>电话：                       传真：</w:t>
      </w:r>
    </w:p>
    <w:p>
      <w:pPr>
        <w:spacing w:line="440" w:lineRule="exact"/>
        <w:ind w:firstLine="645"/>
        <w:rPr>
          <w:rFonts w:ascii="方正仿宋_GBK" w:eastAsia="方正仿宋_GBK"/>
          <w:szCs w:val="28"/>
          <w:u w:val="single"/>
        </w:rPr>
      </w:pPr>
      <w:r>
        <w:rPr>
          <w:rFonts w:hint="eastAsia" w:ascii="方正仿宋_GBK" w:eastAsia="方正仿宋_GBK"/>
          <w:szCs w:val="28"/>
        </w:rPr>
        <w:t>询价响应单位的姓名、职务：</w:t>
      </w:r>
    </w:p>
    <w:p>
      <w:pPr>
        <w:spacing w:line="440" w:lineRule="exact"/>
        <w:ind w:firstLine="645"/>
        <w:rPr>
          <w:rFonts w:ascii="方正仿宋_GBK" w:eastAsia="方正仿宋_GBK"/>
          <w:szCs w:val="28"/>
          <w:u w:val="single"/>
        </w:rPr>
      </w:pPr>
      <w:r>
        <w:rPr>
          <w:rFonts w:hint="eastAsia" w:ascii="方正仿宋_GBK" w:eastAsia="方正仿宋_GBK"/>
          <w:szCs w:val="28"/>
        </w:rPr>
        <w:t>询价响应单位（加盖公章）：</w:t>
      </w:r>
    </w:p>
    <w:p>
      <w:pPr>
        <w:spacing w:line="440" w:lineRule="exact"/>
        <w:ind w:firstLine="645"/>
        <w:rPr>
          <w:rFonts w:ascii="方正仿宋_GBK" w:eastAsia="方正仿宋_GBK"/>
          <w:szCs w:val="28"/>
        </w:rPr>
        <w:sectPr>
          <w:pgSz w:w="11906" w:h="16838"/>
          <w:pgMar w:top="1440" w:right="1800" w:bottom="1440" w:left="1800" w:header="851" w:footer="992" w:gutter="0"/>
          <w:cols w:space="720" w:num="1"/>
          <w:docGrid w:type="lines" w:linePitch="312" w:charSpace="0"/>
        </w:sectPr>
      </w:pPr>
      <w:r>
        <w:rPr>
          <w:rFonts w:hint="eastAsia" w:ascii="方正仿宋_GBK" w:eastAsia="方正仿宋_GBK"/>
          <w:szCs w:val="28"/>
        </w:rPr>
        <w:t>日期：   年   月   日</w:t>
      </w:r>
    </w:p>
    <w:p>
      <w:pPr>
        <w:pStyle w:val="3"/>
        <w:jc w:val="center"/>
        <w:rPr>
          <w:rFonts w:hint="eastAsia" w:ascii="方正小标宋_GBK" w:hAnsi="方正小标宋_GBK" w:eastAsia="方正小标宋_GBK" w:cs="方正小标宋_GBK"/>
          <w:szCs w:val="32"/>
        </w:rPr>
      </w:pPr>
      <w:bookmarkStart w:id="42" w:name="_Toc354478455"/>
      <w:bookmarkStart w:id="43" w:name="_Toc183"/>
      <w:bookmarkStart w:id="44" w:name="_Toc262482378"/>
      <w:bookmarkStart w:id="45" w:name="_Toc258509718"/>
      <w:r>
        <w:rPr>
          <w:rFonts w:hint="eastAsia" w:ascii="方正小标宋_GBK" w:hAnsi="方正小标宋_GBK" w:eastAsia="方正小标宋_GBK" w:cs="方正小标宋_GBK"/>
          <w:bCs/>
          <w:szCs w:val="32"/>
        </w:rPr>
        <w:t>二、授权委托书</w:t>
      </w:r>
      <w:bookmarkEnd w:id="42"/>
      <w:bookmarkEnd w:id="43"/>
      <w:bookmarkEnd w:id="44"/>
      <w:bookmarkEnd w:id="45"/>
    </w:p>
    <w:p>
      <w:pPr>
        <w:jc w:val="left"/>
        <w:rPr>
          <w:rFonts w:ascii="方正仿宋_GBK" w:hAnsi="Calibri" w:eastAsia="方正仿宋_GBK"/>
          <w:sz w:val="32"/>
          <w:szCs w:val="32"/>
        </w:rPr>
      </w:pPr>
      <w:r>
        <w:rPr>
          <w:rFonts w:hint="eastAsia" w:ascii="方正仿宋_GBK" w:eastAsia="方正仿宋_GBK"/>
          <w:sz w:val="32"/>
          <w:szCs w:val="32"/>
        </w:rPr>
        <w:t>本人</w:t>
      </w:r>
      <w:r>
        <w:rPr>
          <w:rFonts w:hint="eastAsia" w:ascii="方正仿宋_GBK" w:eastAsia="方正仿宋_GBK"/>
          <w:sz w:val="32"/>
          <w:szCs w:val="32"/>
          <w:u w:val="single"/>
        </w:rPr>
        <w:t xml:space="preserve">       </w:t>
      </w:r>
      <w:r>
        <w:rPr>
          <w:rFonts w:hint="eastAsia" w:ascii="方正仿宋_GBK" w:eastAsia="方正仿宋_GBK"/>
          <w:sz w:val="32"/>
          <w:szCs w:val="32"/>
        </w:rPr>
        <w:t>（姓名）系</w:t>
      </w:r>
      <w:r>
        <w:rPr>
          <w:rFonts w:hint="eastAsia" w:ascii="方正仿宋_GBK" w:eastAsia="方正仿宋_GBK"/>
          <w:sz w:val="32"/>
          <w:szCs w:val="32"/>
          <w:u w:val="single"/>
        </w:rPr>
        <w:t xml:space="preserve">                </w:t>
      </w:r>
      <w:r>
        <w:rPr>
          <w:rFonts w:hint="eastAsia" w:ascii="方正仿宋_GBK" w:eastAsia="方正仿宋_GBK"/>
          <w:sz w:val="32"/>
          <w:szCs w:val="32"/>
        </w:rPr>
        <w:t>（询价响应单位）的法定代表人，现委托我公司的</w:t>
      </w:r>
      <w:r>
        <w:rPr>
          <w:rFonts w:hint="eastAsia" w:ascii="方正仿宋_GBK" w:eastAsia="方正仿宋_GBK"/>
          <w:sz w:val="32"/>
          <w:szCs w:val="32"/>
          <w:u w:val="single"/>
        </w:rPr>
        <w:t xml:space="preserve">            </w:t>
      </w:r>
      <w:r>
        <w:rPr>
          <w:rFonts w:hint="eastAsia" w:ascii="方正仿宋_GBK" w:eastAsia="方正仿宋_GBK"/>
          <w:sz w:val="32"/>
          <w:szCs w:val="32"/>
        </w:rPr>
        <w:t>（姓名）为我方代理人。代理人根据授权，以我方名义签署、澄清、说明、补正、递交、撤回、修改</w:t>
      </w:r>
      <w:r>
        <w:rPr>
          <w:rFonts w:hint="eastAsia" w:ascii="仿宋" w:hAnsi="仿宋" w:eastAsia="仿宋" w:cs="仿宋"/>
          <w:sz w:val="32"/>
          <w:szCs w:val="32"/>
          <w:u w:val="single"/>
        </w:rPr>
        <w:t xml:space="preserve">                                             </w:t>
      </w:r>
      <w:r>
        <w:rPr>
          <w:rFonts w:hint="eastAsia" w:ascii="方正仿宋_GBK" w:hAnsi="Calibri" w:eastAsia="方正仿宋_GBK"/>
          <w:sz w:val="32"/>
          <w:szCs w:val="32"/>
        </w:rPr>
        <w:t>询价文件、签订合同和处理有关事宜，其法律后果由我方承担。</w:t>
      </w:r>
    </w:p>
    <w:p>
      <w:pPr>
        <w:pStyle w:val="14"/>
        <w:spacing w:line="360" w:lineRule="auto"/>
        <w:ind w:firstLine="640" w:firstLineChars="200"/>
        <w:rPr>
          <w:rFonts w:ascii="方正仿宋_GBK" w:hAnsi="Calibri" w:eastAsia="方正仿宋_GBK"/>
          <w:kern w:val="2"/>
          <w:sz w:val="32"/>
          <w:szCs w:val="32"/>
        </w:rPr>
      </w:pPr>
      <w:r>
        <w:rPr>
          <w:rFonts w:hint="eastAsia" w:ascii="方正仿宋_GBK" w:hAnsi="Calibri" w:eastAsia="方正仿宋_GBK"/>
          <w:kern w:val="2"/>
          <w:sz w:val="32"/>
          <w:szCs w:val="32"/>
        </w:rPr>
        <w:t>委托期限：  20   年  月  日至20   年  月  日 。</w:t>
      </w:r>
    </w:p>
    <w:p>
      <w:pPr>
        <w:pStyle w:val="14"/>
        <w:spacing w:line="360" w:lineRule="auto"/>
        <w:ind w:firstLine="640" w:firstLineChars="200"/>
        <w:rPr>
          <w:rFonts w:ascii="方正仿宋_GBK" w:hAnsi="Calibri" w:eastAsia="方正仿宋_GBK"/>
          <w:kern w:val="2"/>
          <w:sz w:val="32"/>
          <w:szCs w:val="32"/>
        </w:rPr>
      </w:pPr>
      <w:r>
        <w:rPr>
          <w:rFonts w:hint="eastAsia" w:ascii="方正仿宋_GBK" w:hAnsi="Calibri" w:eastAsia="方正仿宋_GBK"/>
          <w:kern w:val="2"/>
          <w:sz w:val="32"/>
          <w:szCs w:val="32"/>
        </w:rPr>
        <w:t>代理人无转委托权。</w:t>
      </w:r>
    </w:p>
    <w:p>
      <w:pPr>
        <w:spacing w:line="360" w:lineRule="auto"/>
        <w:rPr>
          <w:rFonts w:ascii="方正仿宋_GBK" w:eastAsia="方正仿宋_GBK"/>
          <w:sz w:val="32"/>
          <w:szCs w:val="32"/>
        </w:rPr>
      </w:pPr>
    </w:p>
    <w:p>
      <w:pPr>
        <w:spacing w:line="360" w:lineRule="auto"/>
        <w:rPr>
          <w:rFonts w:ascii="方正仿宋_GBK" w:eastAsia="方正仿宋_GBK"/>
          <w:sz w:val="32"/>
          <w:szCs w:val="32"/>
        </w:rPr>
      </w:pPr>
    </w:p>
    <w:p>
      <w:pPr>
        <w:pStyle w:val="14"/>
        <w:spacing w:line="360" w:lineRule="auto"/>
        <w:jc w:val="right"/>
        <w:rPr>
          <w:rFonts w:ascii="方正仿宋_GBK" w:hAnsi="Calibri" w:eastAsia="方正仿宋_GBK"/>
          <w:kern w:val="2"/>
          <w:sz w:val="32"/>
          <w:szCs w:val="32"/>
        </w:rPr>
      </w:pPr>
      <w:r>
        <w:rPr>
          <w:rFonts w:hint="eastAsia" w:ascii="方正仿宋_GBK" w:hAnsi="Calibri" w:eastAsia="方正仿宋_GBK"/>
          <w:kern w:val="2"/>
          <w:sz w:val="32"/>
          <w:szCs w:val="32"/>
        </w:rPr>
        <w:t>询价响应单位：</w:t>
      </w:r>
      <w:r>
        <w:rPr>
          <w:rFonts w:hint="eastAsia" w:ascii="方正仿宋_GBK" w:hAnsi="Calibri" w:eastAsia="方正仿宋_GBK"/>
          <w:kern w:val="2"/>
          <w:sz w:val="32"/>
          <w:szCs w:val="32"/>
          <w:u w:val="single"/>
        </w:rPr>
        <w:t xml:space="preserve">               </w:t>
      </w:r>
      <w:r>
        <w:rPr>
          <w:rFonts w:hint="eastAsia" w:ascii="方正仿宋_GBK" w:hAnsi="Calibri" w:eastAsia="方正仿宋_GBK"/>
          <w:kern w:val="2"/>
          <w:sz w:val="32"/>
          <w:szCs w:val="32"/>
        </w:rPr>
        <w:t>（</w:t>
      </w:r>
      <w:r>
        <w:rPr>
          <w:rFonts w:hint="eastAsia" w:ascii="方正仿宋_GBK" w:eastAsia="方正仿宋_GBK"/>
          <w:szCs w:val="28"/>
        </w:rPr>
        <w:t>加盖公章</w:t>
      </w:r>
      <w:r>
        <w:rPr>
          <w:rFonts w:hint="eastAsia" w:ascii="方正仿宋_GBK" w:hAnsi="Calibri" w:eastAsia="方正仿宋_GBK"/>
          <w:kern w:val="2"/>
          <w:sz w:val="32"/>
          <w:szCs w:val="32"/>
        </w:rPr>
        <w:t>）</w:t>
      </w:r>
    </w:p>
    <w:p>
      <w:pPr>
        <w:pStyle w:val="14"/>
        <w:spacing w:line="360" w:lineRule="auto"/>
        <w:jc w:val="right"/>
        <w:rPr>
          <w:rFonts w:ascii="方正仿宋_GBK" w:hAnsi="Calibri" w:eastAsia="方正仿宋_GBK"/>
          <w:kern w:val="2"/>
          <w:sz w:val="32"/>
          <w:szCs w:val="32"/>
        </w:rPr>
      </w:pPr>
      <w:r>
        <w:rPr>
          <w:rFonts w:hint="eastAsia" w:ascii="方正仿宋_GBK" w:hAnsi="Calibri" w:eastAsia="方正仿宋_GBK"/>
          <w:kern w:val="2"/>
          <w:sz w:val="32"/>
          <w:szCs w:val="32"/>
        </w:rPr>
        <w:t>法定代表人：</w:t>
      </w:r>
      <w:r>
        <w:rPr>
          <w:rFonts w:hint="eastAsia" w:ascii="方正仿宋_GBK" w:hAnsi="Calibri" w:eastAsia="方正仿宋_GBK"/>
          <w:kern w:val="2"/>
          <w:sz w:val="32"/>
          <w:szCs w:val="32"/>
          <w:u w:val="single"/>
        </w:rPr>
        <w:t xml:space="preserve">             </w:t>
      </w:r>
      <w:r>
        <w:rPr>
          <w:rFonts w:hint="eastAsia" w:ascii="方正仿宋_GBK" w:hAnsi="Calibri" w:eastAsia="方正仿宋_GBK"/>
          <w:kern w:val="2"/>
          <w:sz w:val="32"/>
          <w:szCs w:val="32"/>
        </w:rPr>
        <w:t>（签字或盖章）</w:t>
      </w:r>
    </w:p>
    <w:p>
      <w:pPr>
        <w:pStyle w:val="14"/>
        <w:spacing w:line="360" w:lineRule="auto"/>
        <w:jc w:val="right"/>
        <w:rPr>
          <w:rFonts w:ascii="方正仿宋_GBK" w:hAnsi="Calibri" w:eastAsia="方正仿宋_GBK"/>
          <w:kern w:val="2"/>
          <w:sz w:val="32"/>
          <w:szCs w:val="32"/>
        </w:rPr>
      </w:pPr>
      <w:r>
        <w:rPr>
          <w:rFonts w:hint="eastAsia" w:ascii="方正仿宋_GBK" w:hAnsi="Calibri" w:eastAsia="方正仿宋_GBK"/>
          <w:kern w:val="2"/>
          <w:sz w:val="32"/>
          <w:szCs w:val="32"/>
        </w:rPr>
        <w:t>委托代理人：</w:t>
      </w:r>
      <w:r>
        <w:rPr>
          <w:rFonts w:hint="eastAsia" w:ascii="方正仿宋_GBK" w:hAnsi="Calibri" w:eastAsia="方正仿宋_GBK"/>
          <w:kern w:val="2"/>
          <w:sz w:val="32"/>
          <w:szCs w:val="32"/>
          <w:u w:val="single"/>
        </w:rPr>
        <w:t xml:space="preserve">             </w:t>
      </w:r>
      <w:r>
        <w:rPr>
          <w:rFonts w:hint="eastAsia" w:ascii="方正仿宋_GBK" w:hAnsi="Calibri" w:eastAsia="方正仿宋_GBK"/>
          <w:kern w:val="2"/>
          <w:sz w:val="32"/>
          <w:szCs w:val="32"/>
        </w:rPr>
        <w:t>（签字或盖章）</w:t>
      </w:r>
    </w:p>
    <w:p>
      <w:pPr>
        <w:pStyle w:val="14"/>
        <w:spacing w:line="360" w:lineRule="auto"/>
        <w:jc w:val="right"/>
        <w:rPr>
          <w:rFonts w:ascii="方正仿宋_GBK" w:hAnsi="Calibri" w:eastAsia="方正仿宋_GBK"/>
          <w:kern w:val="2"/>
          <w:sz w:val="32"/>
          <w:szCs w:val="32"/>
        </w:rPr>
      </w:pPr>
      <w:r>
        <w:rPr>
          <w:rFonts w:hint="eastAsia" w:ascii="方正仿宋_GBK" w:hAnsi="Calibri" w:eastAsia="方正仿宋_GBK"/>
          <w:kern w:val="2"/>
          <w:sz w:val="32"/>
          <w:szCs w:val="32"/>
        </w:rPr>
        <w:t>日期：       年     月     日</w:t>
      </w:r>
    </w:p>
    <w:p>
      <w:pPr>
        <w:rPr>
          <w:rStyle w:val="15"/>
        </w:rPr>
      </w:pPr>
      <w:bookmarkStart w:id="46" w:name="_Toc26903"/>
      <w:r>
        <w:rPr>
          <w:rStyle w:val="15"/>
          <w:rFonts w:hint="eastAsia"/>
        </w:rPr>
        <w:br w:type="page"/>
      </w:r>
    </w:p>
    <w:p>
      <w:pPr>
        <w:pStyle w:val="3"/>
        <w:jc w:val="center"/>
        <w:rPr>
          <w:rFonts w:hint="eastAsia" w:ascii="方正小标宋_GBK" w:hAnsi="方正小标宋_GBK" w:eastAsia="方正小标宋_GBK" w:cs="方正小标宋_GBK"/>
          <w:bCs/>
          <w:szCs w:val="32"/>
        </w:rPr>
      </w:pPr>
      <w:r>
        <w:rPr>
          <w:rFonts w:hint="eastAsia" w:ascii="方正小标宋_GBK" w:hAnsi="方正小标宋_GBK" w:eastAsia="方正小标宋_GBK" w:cs="方正小标宋_GBK"/>
          <w:bCs/>
          <w:szCs w:val="32"/>
        </w:rPr>
        <w:t>三、公司资质等资料</w:t>
      </w:r>
    </w:p>
    <w:bookmarkEnd w:id="46"/>
    <w:p>
      <w:pPr>
        <w:spacing w:line="500" w:lineRule="exact"/>
        <w:rPr>
          <w:rStyle w:val="15"/>
          <w:rFonts w:hint="eastAsia"/>
          <w:szCs w:val="22"/>
        </w:rPr>
      </w:pPr>
      <w:r>
        <w:rPr>
          <w:rStyle w:val="15"/>
          <w:rFonts w:hint="eastAsia"/>
          <w:szCs w:val="22"/>
        </w:rPr>
        <w:t xml:space="preserve">                               </w:t>
      </w:r>
    </w:p>
    <w:p>
      <w:pPr>
        <w:jc w:val="center"/>
        <w:rPr>
          <w:rFonts w:ascii="仿宋_GB2312" w:hAnsi="宋体" w:eastAsia="仿宋_GB2312" w:cs="宋体"/>
          <w:szCs w:val="28"/>
        </w:rPr>
      </w:pPr>
      <w:r>
        <w:rPr>
          <w:rFonts w:hint="eastAsia" w:ascii="仿宋_GB2312" w:hAnsi="宋体" w:eastAsia="仿宋_GB2312"/>
          <w:szCs w:val="28"/>
        </w:rPr>
        <w:t xml:space="preserve"> </w:t>
      </w:r>
      <w:r>
        <w:rPr>
          <w:rFonts w:hint="eastAsia" w:ascii="仿宋_GB2312" w:hAnsi="宋体" w:eastAsia="仿宋_GB2312" w:cs="宋体"/>
          <w:szCs w:val="28"/>
        </w:rPr>
        <w:t>（扫描、彩色打印，内容清晰可见）</w:t>
      </w:r>
    </w:p>
    <w:p>
      <w:pPr>
        <w:rPr>
          <w:sz w:val="30"/>
          <w:szCs w:val="30"/>
        </w:rPr>
      </w:pPr>
      <w:r>
        <w:rPr>
          <w:rFonts w:hint="eastAsia"/>
          <w:sz w:val="30"/>
          <w:szCs w:val="30"/>
        </w:rPr>
        <w:br w:type="page"/>
      </w:r>
    </w:p>
    <w:p>
      <w:pPr>
        <w:pStyle w:val="3"/>
        <w:jc w:val="center"/>
        <w:rPr>
          <w:rFonts w:hint="eastAsia" w:ascii="方正小标宋_GBK" w:hAnsi="方正小标宋_GBK" w:eastAsia="方正小标宋_GBK" w:cs="方正小标宋_GBK"/>
          <w:bCs/>
          <w:szCs w:val="32"/>
        </w:rPr>
      </w:pPr>
      <w:r>
        <w:rPr>
          <w:rFonts w:hint="eastAsia" w:ascii="方正小标宋_GBK" w:hAnsi="方正小标宋_GBK" w:eastAsia="方正小标宋_GBK" w:cs="方正小标宋_GBK"/>
          <w:bCs/>
          <w:szCs w:val="32"/>
        </w:rPr>
        <w:t>四、污水处理站维修、维保费用报价清单</w:t>
      </w:r>
    </w:p>
    <w:p>
      <w:pPr>
        <w:spacing w:line="360" w:lineRule="auto"/>
        <w:rPr>
          <w:rFonts w:ascii="宋体" w:hAnsi="宋体" w:cs="宋体"/>
          <w:b/>
          <w:szCs w:val="21"/>
        </w:rPr>
      </w:pPr>
      <w:r>
        <w:rPr>
          <w:rFonts w:hint="eastAsia" w:ascii="宋体" w:hAnsi="宋体" w:cs="宋体"/>
          <w:b/>
          <w:szCs w:val="21"/>
        </w:rPr>
        <w:t>1、报价清单</w:t>
      </w:r>
    </w:p>
    <w:tbl>
      <w:tblPr>
        <w:tblStyle w:val="12"/>
        <w:tblW w:w="9139" w:type="dxa"/>
        <w:tblInd w:w="93" w:type="dxa"/>
        <w:tblLayout w:type="fixed"/>
        <w:tblCellMar>
          <w:top w:w="0" w:type="dxa"/>
          <w:left w:w="108" w:type="dxa"/>
          <w:bottom w:w="0" w:type="dxa"/>
          <w:right w:w="108" w:type="dxa"/>
        </w:tblCellMar>
      </w:tblPr>
      <w:tblGrid>
        <w:gridCol w:w="576"/>
        <w:gridCol w:w="2522"/>
        <w:gridCol w:w="950"/>
        <w:gridCol w:w="900"/>
        <w:gridCol w:w="1383"/>
        <w:gridCol w:w="1200"/>
        <w:gridCol w:w="1608"/>
      </w:tblGrid>
      <w:tr>
        <w:tblPrEx>
          <w:tblLayout w:type="fixed"/>
          <w:tblCellMar>
            <w:top w:w="0" w:type="dxa"/>
            <w:left w:w="108" w:type="dxa"/>
            <w:bottom w:w="0" w:type="dxa"/>
            <w:right w:w="108" w:type="dxa"/>
          </w:tblCellMar>
        </w:tblPrEx>
        <w:trPr>
          <w:trHeight w:val="285" w:hRule="atLeast"/>
        </w:trPr>
        <w:tc>
          <w:tcPr>
            <w:tcW w:w="57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序号</w:t>
            </w:r>
          </w:p>
        </w:tc>
        <w:tc>
          <w:tcPr>
            <w:tcW w:w="25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项目名称</w:t>
            </w:r>
          </w:p>
        </w:tc>
        <w:tc>
          <w:tcPr>
            <w:tcW w:w="9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工程量</w:t>
            </w:r>
          </w:p>
        </w:tc>
        <w:tc>
          <w:tcPr>
            <w:tcW w:w="4191" w:type="dxa"/>
            <w:gridSpan w:val="3"/>
            <w:tcBorders>
              <w:top w:val="single" w:color="000000" w:sz="8" w:space="0"/>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金额（元）</w:t>
            </w:r>
          </w:p>
        </w:tc>
      </w:tr>
      <w:tr>
        <w:tblPrEx>
          <w:tblLayout w:type="fixed"/>
          <w:tblCellMar>
            <w:top w:w="0" w:type="dxa"/>
            <w:left w:w="108" w:type="dxa"/>
            <w:bottom w:w="0" w:type="dxa"/>
            <w:right w:w="108" w:type="dxa"/>
          </w:tblCellMar>
        </w:tblPrEx>
        <w:trPr>
          <w:trHeight w:val="34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p>
        </w:tc>
        <w:tc>
          <w:tcPr>
            <w:tcW w:w="252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p>
        </w:tc>
        <w:tc>
          <w:tcPr>
            <w:tcW w:w="9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18"/>
                <w:szCs w:val="18"/>
              </w:rPr>
            </w:pPr>
          </w:p>
        </w:tc>
        <w:tc>
          <w:tcPr>
            <w:tcW w:w="138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综合单价</w:t>
            </w:r>
          </w:p>
        </w:tc>
        <w:tc>
          <w:tcPr>
            <w:tcW w:w="120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合价</w:t>
            </w:r>
          </w:p>
        </w:tc>
        <w:tc>
          <w:tcPr>
            <w:tcW w:w="1608" w:type="dxa"/>
            <w:tcBorders>
              <w:top w:val="nil"/>
              <w:left w:val="nil"/>
              <w:bottom w:val="single" w:color="000000" w:sz="4" w:space="0"/>
              <w:right w:val="single" w:color="000000" w:sz="8"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Layout w:type="fixed"/>
          <w:tblCellMar>
            <w:top w:w="0" w:type="dxa"/>
            <w:left w:w="108" w:type="dxa"/>
            <w:bottom w:w="0" w:type="dxa"/>
            <w:right w:w="108" w:type="dxa"/>
          </w:tblCellMar>
        </w:tblPrEx>
        <w:trPr>
          <w:trHeight w:val="692" w:hRule="atLeast"/>
        </w:trPr>
        <w:tc>
          <w:tcPr>
            <w:tcW w:w="57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522"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污水处理设备日常维护保养</w:t>
            </w:r>
          </w:p>
        </w:tc>
        <w:tc>
          <w:tcPr>
            <w:tcW w:w="95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月</w:t>
            </w:r>
          </w:p>
        </w:tc>
        <w:tc>
          <w:tcPr>
            <w:tcW w:w="900" w:type="dxa"/>
            <w:tcBorders>
              <w:top w:val="single" w:color="000000" w:sz="4" w:space="0"/>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12</w:t>
            </w:r>
          </w:p>
        </w:tc>
        <w:tc>
          <w:tcPr>
            <w:tcW w:w="1383"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p>
        </w:tc>
        <w:tc>
          <w:tcPr>
            <w:tcW w:w="1200"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宋体"/>
                <w:kern w:val="0"/>
                <w:sz w:val="18"/>
                <w:szCs w:val="18"/>
              </w:rPr>
            </w:pPr>
          </w:p>
        </w:tc>
        <w:tc>
          <w:tcPr>
            <w:tcW w:w="1608" w:type="dxa"/>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688" w:hRule="atLeast"/>
        </w:trPr>
        <w:tc>
          <w:tcPr>
            <w:tcW w:w="576" w:type="dxa"/>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522" w:type="dxa"/>
            <w:tcBorders>
              <w:top w:val="single" w:color="000000" w:sz="4" w:space="0"/>
              <w:left w:val="nil"/>
              <w:bottom w:val="single" w:color="000000" w:sz="4" w:space="0"/>
              <w:right w:val="single" w:color="000000" w:sz="4" w:space="0"/>
            </w:tcBorders>
            <w:shd w:val="clear" w:color="FFFFFF" w:fill="FFFFFF"/>
            <w:vAlign w:val="center"/>
          </w:tcPr>
          <w:p>
            <w:pPr>
              <w:widowControl/>
              <w:jc w:val="left"/>
              <w:rPr>
                <w:rFonts w:ascii="宋体" w:hAnsi="宋体" w:cs="宋体"/>
                <w:kern w:val="0"/>
                <w:sz w:val="18"/>
                <w:szCs w:val="18"/>
              </w:rPr>
            </w:pPr>
            <w:r>
              <w:rPr>
                <w:rFonts w:hint="eastAsia" w:ascii="宋体" w:hAnsi="宋体" w:cs="宋体"/>
                <w:kern w:val="0"/>
                <w:sz w:val="18"/>
                <w:szCs w:val="18"/>
              </w:rPr>
              <w:t>最高限价（元）</w:t>
            </w:r>
          </w:p>
        </w:tc>
        <w:tc>
          <w:tcPr>
            <w:tcW w:w="6041" w:type="dxa"/>
            <w:gridSpan w:val="5"/>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18"/>
                <w:szCs w:val="18"/>
              </w:rPr>
            </w:pPr>
          </w:p>
        </w:tc>
      </w:tr>
      <w:tr>
        <w:tblPrEx>
          <w:tblLayout w:type="fixed"/>
          <w:tblCellMar>
            <w:top w:w="0" w:type="dxa"/>
            <w:left w:w="108" w:type="dxa"/>
            <w:bottom w:w="0" w:type="dxa"/>
            <w:right w:w="108" w:type="dxa"/>
          </w:tblCellMar>
        </w:tblPrEx>
        <w:trPr>
          <w:trHeight w:val="556" w:hRule="atLeast"/>
        </w:trPr>
        <w:tc>
          <w:tcPr>
            <w:tcW w:w="3098" w:type="dxa"/>
            <w:gridSpan w:val="2"/>
            <w:tcBorders>
              <w:top w:val="nil"/>
              <w:left w:val="single" w:color="000000" w:sz="8" w:space="0"/>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合 计</w:t>
            </w:r>
          </w:p>
        </w:tc>
        <w:tc>
          <w:tcPr>
            <w:tcW w:w="6041" w:type="dxa"/>
            <w:gridSpan w:val="5"/>
            <w:tcBorders>
              <w:top w:val="nil"/>
              <w:left w:val="nil"/>
              <w:bottom w:val="single" w:color="000000" w:sz="4" w:space="0"/>
              <w:right w:val="single" w:color="000000" w:sz="8" w:space="0"/>
            </w:tcBorders>
            <w:shd w:val="clear" w:color="FFFFFF" w:fill="FFFFFF"/>
            <w:vAlign w:val="center"/>
          </w:tcPr>
          <w:p>
            <w:pPr>
              <w:widowControl/>
              <w:jc w:val="right"/>
              <w:rPr>
                <w:rFonts w:ascii="宋体" w:hAnsi="宋体" w:cs="宋体"/>
                <w:kern w:val="0"/>
                <w:sz w:val="18"/>
                <w:szCs w:val="18"/>
              </w:rPr>
            </w:pPr>
          </w:p>
        </w:tc>
      </w:tr>
    </w:tbl>
    <w:p>
      <w:pPr>
        <w:rPr>
          <w:rFonts w:eastAsia="仿宋_GB2312"/>
          <w:szCs w:val="28"/>
        </w:rPr>
      </w:pPr>
    </w:p>
    <w:p>
      <w:pPr>
        <w:spacing w:line="360" w:lineRule="auto"/>
        <w:rPr>
          <w:rFonts w:ascii="宋体" w:hAnsi="宋体" w:cs="宋体"/>
          <w:b/>
          <w:szCs w:val="21"/>
        </w:rPr>
      </w:pPr>
      <w:r>
        <w:rPr>
          <w:rFonts w:hint="eastAsia" w:ascii="宋体" w:hAnsi="宋体" w:cs="宋体"/>
          <w:b/>
          <w:szCs w:val="21"/>
        </w:rPr>
        <w:t>2、清单说明</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（1）本次维保项目包含龙兴服务区（左、右线）、  北碚服务区（左、右线）、曾家服务区（左、右线）、珞璜服务区（左、右线）</w:t>
      </w:r>
      <w:r>
        <w:rPr>
          <w:rFonts w:hint="eastAsia" w:ascii="宋体" w:hAnsi="宋体" w:cs="宋体"/>
          <w:kern w:val="0"/>
          <w:sz w:val="18"/>
          <w:szCs w:val="18"/>
          <w:lang w:val="en-US" w:eastAsia="zh-CN"/>
        </w:rPr>
        <w:t>复兴服务区（左右线）、江津（</w:t>
      </w:r>
      <w:r>
        <w:rPr>
          <w:rFonts w:hint="eastAsia" w:ascii="宋体" w:hAnsi="宋体" w:cs="宋体"/>
          <w:kern w:val="0"/>
          <w:sz w:val="18"/>
          <w:szCs w:val="18"/>
        </w:rPr>
        <w:t>白沙</w:t>
      </w:r>
      <w:r>
        <w:rPr>
          <w:rFonts w:hint="eastAsia" w:ascii="宋体" w:hAnsi="宋体" w:cs="宋体"/>
          <w:kern w:val="0"/>
          <w:sz w:val="18"/>
          <w:szCs w:val="18"/>
          <w:lang w:val="en-US" w:eastAsia="zh-CN"/>
        </w:rPr>
        <w:t>）</w:t>
      </w:r>
      <w:r>
        <w:rPr>
          <w:rFonts w:hint="eastAsia" w:ascii="宋体" w:hAnsi="宋体" w:cs="宋体"/>
          <w:kern w:val="0"/>
          <w:sz w:val="18"/>
          <w:szCs w:val="18"/>
        </w:rPr>
        <w:t>服务区、</w:t>
      </w:r>
      <w:r>
        <w:rPr>
          <w:rFonts w:hint="eastAsia" w:ascii="宋体" w:hAnsi="宋体" w:cs="宋体"/>
          <w:kern w:val="0"/>
          <w:sz w:val="18"/>
          <w:szCs w:val="18"/>
          <w:lang w:val="en-US" w:eastAsia="zh-CN"/>
        </w:rPr>
        <w:t>江津（塘河）服务区12</w:t>
      </w:r>
      <w:r>
        <w:rPr>
          <w:rFonts w:hint="eastAsia" w:ascii="宋体" w:hAnsi="宋体" w:cs="宋体"/>
          <w:kern w:val="0"/>
          <w:sz w:val="18"/>
          <w:szCs w:val="18"/>
        </w:rPr>
        <w:t>处站点的污水设施维保。</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（2）投标费用包干部分包括但不限于：</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人员工资费用、药品费用（消毒济、除磷剂）、小维修及耗材费用：润滑油、管道、阀门、设备易损件(包含：潜水泵的叶轮、扣环、轴套、轴承座、电机；风机的皮带、油嘴、空滤、电机)、电仪元件（包含：控制柜电器元件、浮球开关、压力仪表）、监测费用（常规化验项目包括CODcr、SS、氨氮、pH等，每季度监测一次，提供监测报表数据。）劳保、办公用品、交通、电话通讯以及利润、税金、管理费用。</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备注：投标费用不含设备大修费用，设备大修或更换由业主负责。单项价值1000元以上的由乙方向甲方提交《设备维修采购申请报告》，甲方采购或委托乙方根据市场价格代为采购，乙方负责免费更换。单项价值1000元以下的由乙方负责采购安装。</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单项价值1000以上大修并更换的项目有：水泵更换、风机主机维修及更换、风机成套更换、加药泵更换、控制柜更换、设备箱体漏水维修、填料更换。</w:t>
      </w:r>
    </w:p>
    <w:p>
      <w:pPr>
        <w:widowControl/>
        <w:spacing w:line="360" w:lineRule="auto"/>
        <w:ind w:firstLine="360" w:firstLineChars="200"/>
        <w:jc w:val="left"/>
        <w:rPr>
          <w:rFonts w:ascii="宋体" w:hAnsi="宋体" w:cs="宋体"/>
          <w:kern w:val="0"/>
          <w:sz w:val="18"/>
          <w:szCs w:val="18"/>
        </w:rPr>
      </w:pPr>
      <w:r>
        <w:rPr>
          <w:rFonts w:hint="eastAsia" w:ascii="宋体" w:hAnsi="宋体" w:cs="宋体"/>
          <w:kern w:val="0"/>
          <w:sz w:val="18"/>
          <w:szCs w:val="18"/>
        </w:rPr>
        <w:t>本项目未提及的工作内容或设计变更或工程增减部分和询价范围以外的零星工作内容在施工中发生以后以现行定额及配套文件为依据进行计算，由业主方、施工方共同认质、认价，人工费调整按施工期间的造价信息平均值进行调整。2）如果未按照分项报价表要求进行报价，将被视为没有实质性响应招标文件。</w:t>
      </w:r>
    </w:p>
    <w:p>
      <w:pPr>
        <w:rPr>
          <w:rFonts w:eastAsia="仿宋_GB2312"/>
          <w:szCs w:val="28"/>
        </w:rPr>
      </w:pPr>
    </w:p>
    <w:p>
      <w:pPr>
        <w:pStyle w:val="14"/>
        <w:spacing w:line="360" w:lineRule="auto"/>
        <w:jc w:val="right"/>
        <w:rPr>
          <w:rFonts w:ascii="方正仿宋_GBK" w:hAnsi="Calibri" w:eastAsia="方正仿宋_GBK"/>
          <w:kern w:val="2"/>
          <w:sz w:val="21"/>
          <w:szCs w:val="21"/>
        </w:rPr>
      </w:pPr>
      <w:r>
        <w:rPr>
          <w:rFonts w:hint="eastAsia" w:ascii="方正仿宋_GBK" w:hAnsi="Calibri" w:eastAsia="方正仿宋_GBK"/>
          <w:kern w:val="2"/>
          <w:sz w:val="21"/>
          <w:szCs w:val="21"/>
        </w:rPr>
        <w:t>询价响应单位：</w:t>
      </w:r>
      <w:r>
        <w:rPr>
          <w:rFonts w:hint="eastAsia" w:ascii="方正仿宋_GBK" w:hAnsi="Calibri" w:eastAsia="方正仿宋_GBK"/>
          <w:kern w:val="2"/>
          <w:sz w:val="21"/>
          <w:szCs w:val="21"/>
          <w:u w:val="single"/>
        </w:rPr>
        <w:t xml:space="preserve">               </w:t>
      </w:r>
      <w:r>
        <w:rPr>
          <w:rFonts w:hint="eastAsia" w:ascii="方正仿宋_GBK" w:hAnsi="Calibri" w:eastAsia="方正仿宋_GBK"/>
          <w:kern w:val="2"/>
          <w:sz w:val="21"/>
          <w:szCs w:val="21"/>
        </w:rPr>
        <w:t>（</w:t>
      </w:r>
      <w:r>
        <w:rPr>
          <w:rFonts w:hint="eastAsia" w:ascii="方正仿宋_GBK" w:eastAsia="方正仿宋_GBK"/>
          <w:sz w:val="21"/>
          <w:szCs w:val="21"/>
        </w:rPr>
        <w:t>加盖公章</w:t>
      </w:r>
      <w:r>
        <w:rPr>
          <w:rFonts w:hint="eastAsia" w:ascii="方正仿宋_GBK" w:hAnsi="Calibri" w:eastAsia="方正仿宋_GBK"/>
          <w:kern w:val="2"/>
          <w:sz w:val="21"/>
          <w:szCs w:val="21"/>
        </w:rPr>
        <w:t>）</w:t>
      </w:r>
    </w:p>
    <w:p>
      <w:pPr>
        <w:pStyle w:val="14"/>
        <w:spacing w:line="360" w:lineRule="auto"/>
        <w:jc w:val="right"/>
        <w:rPr>
          <w:rFonts w:ascii="方正仿宋_GBK" w:hAnsi="Calibri" w:eastAsia="方正仿宋_GBK"/>
          <w:kern w:val="2"/>
          <w:sz w:val="21"/>
          <w:szCs w:val="21"/>
        </w:rPr>
      </w:pPr>
      <w:r>
        <w:rPr>
          <w:rFonts w:hint="eastAsia" w:ascii="方正仿宋_GBK" w:hAnsi="Calibri" w:eastAsia="方正仿宋_GBK"/>
          <w:kern w:val="2"/>
          <w:sz w:val="21"/>
          <w:szCs w:val="21"/>
        </w:rPr>
        <w:t>法定代表人：</w:t>
      </w:r>
      <w:r>
        <w:rPr>
          <w:rFonts w:hint="eastAsia" w:ascii="方正仿宋_GBK" w:hAnsi="Calibri" w:eastAsia="方正仿宋_GBK"/>
          <w:kern w:val="2"/>
          <w:sz w:val="21"/>
          <w:szCs w:val="21"/>
          <w:u w:val="single"/>
        </w:rPr>
        <w:t xml:space="preserve">             </w:t>
      </w:r>
      <w:r>
        <w:rPr>
          <w:rFonts w:hint="eastAsia" w:ascii="方正仿宋_GBK" w:hAnsi="Calibri" w:eastAsia="方正仿宋_GBK"/>
          <w:kern w:val="2"/>
          <w:sz w:val="21"/>
          <w:szCs w:val="21"/>
        </w:rPr>
        <w:t>（签字或盖章）</w:t>
      </w:r>
    </w:p>
    <w:p>
      <w:pPr>
        <w:pStyle w:val="14"/>
        <w:spacing w:line="360" w:lineRule="auto"/>
        <w:jc w:val="right"/>
        <w:rPr>
          <w:rFonts w:ascii="方正仿宋_GBK" w:hAnsi="Calibri" w:eastAsia="方正仿宋_GBK"/>
          <w:kern w:val="2"/>
          <w:sz w:val="21"/>
          <w:szCs w:val="21"/>
        </w:rPr>
      </w:pPr>
      <w:r>
        <w:rPr>
          <w:rFonts w:hint="eastAsia" w:ascii="方正仿宋_GBK" w:hAnsi="Calibri" w:eastAsia="方正仿宋_GBK"/>
          <w:kern w:val="2"/>
          <w:sz w:val="21"/>
          <w:szCs w:val="21"/>
        </w:rPr>
        <w:t>委托代理人：</w:t>
      </w:r>
      <w:r>
        <w:rPr>
          <w:rFonts w:hint="eastAsia" w:ascii="方正仿宋_GBK" w:hAnsi="Calibri" w:eastAsia="方正仿宋_GBK"/>
          <w:kern w:val="2"/>
          <w:sz w:val="21"/>
          <w:szCs w:val="21"/>
          <w:u w:val="single"/>
        </w:rPr>
        <w:t xml:space="preserve">             </w:t>
      </w:r>
      <w:r>
        <w:rPr>
          <w:rFonts w:hint="eastAsia" w:ascii="方正仿宋_GBK" w:hAnsi="Calibri" w:eastAsia="方正仿宋_GBK"/>
          <w:kern w:val="2"/>
          <w:sz w:val="21"/>
          <w:szCs w:val="21"/>
        </w:rPr>
        <w:t>（签字或盖章）</w:t>
      </w:r>
    </w:p>
    <w:p>
      <w:pPr>
        <w:pStyle w:val="14"/>
        <w:spacing w:line="360" w:lineRule="auto"/>
        <w:jc w:val="right"/>
        <w:rPr>
          <w:rFonts w:ascii="方正仿宋_GBK" w:hAnsi="Calibri" w:eastAsia="方正仿宋_GBK"/>
          <w:kern w:val="2"/>
          <w:sz w:val="21"/>
          <w:szCs w:val="21"/>
        </w:rPr>
      </w:pPr>
      <w:r>
        <w:rPr>
          <w:rFonts w:hint="eastAsia" w:ascii="方正仿宋_GBK" w:hAnsi="Calibri" w:eastAsia="方正仿宋_GBK"/>
          <w:kern w:val="2"/>
          <w:sz w:val="21"/>
          <w:szCs w:val="21"/>
        </w:rPr>
        <w:t>日期：       年     月     日</w:t>
      </w:r>
    </w:p>
    <w:p>
      <w:pPr>
        <w:rPr>
          <w:rFonts w:ascii="宋体" w:hAnsi="宋体"/>
          <w:color w:val="0000FF"/>
          <w:kern w:val="0"/>
          <w:szCs w:val="21"/>
        </w:rPr>
      </w:pPr>
    </w:p>
    <w:p>
      <w:pPr>
        <w:rPr>
          <w:rFonts w:eastAsia="仿宋_GB2312"/>
          <w:szCs w:val="28"/>
        </w:rPr>
      </w:pPr>
    </w:p>
    <w:p>
      <w:pPr>
        <w:rPr>
          <w:rFonts w:eastAsia="仿宋_GB2312"/>
          <w:szCs w:val="28"/>
        </w:rPr>
      </w:pPr>
    </w:p>
    <w:p>
      <w:pPr>
        <w:rPr>
          <w:rFonts w:eastAsia="仿宋_GB2312"/>
          <w:szCs w:val="28"/>
        </w:rPr>
      </w:pPr>
    </w:p>
    <w:p>
      <w:pPr>
        <w:rPr>
          <w:rFonts w:eastAsia="仿宋_GB2312"/>
          <w:szCs w:val="28"/>
        </w:rPr>
      </w:pPr>
    </w:p>
    <w:p>
      <w:pPr>
        <w:spacing w:line="500" w:lineRule="exact"/>
        <w:jc w:val="center"/>
        <w:rPr>
          <w:rFonts w:ascii="宋体" w:hAnsi="宋体"/>
          <w:b/>
          <w:bCs/>
          <w:sz w:val="44"/>
          <w:szCs w:val="44"/>
        </w:rPr>
      </w:pPr>
      <w:r>
        <w:rPr>
          <w:rStyle w:val="15"/>
          <w:rFonts w:hint="eastAsia"/>
        </w:rPr>
        <w:br w:type="page"/>
      </w:r>
      <w:r>
        <w:rPr>
          <w:rFonts w:hint="eastAsia" w:ascii="方正小标宋_GBK" w:hAnsi="方正小标宋_GBK" w:eastAsia="方正小标宋_GBK" w:cs="方正小标宋_GBK"/>
          <w:b/>
          <w:bCs/>
          <w:kern w:val="2"/>
          <w:sz w:val="32"/>
          <w:szCs w:val="32"/>
          <w:lang w:val="en-US" w:eastAsia="zh-CN" w:bidi="ar-SA"/>
        </w:rPr>
        <w:t>五、拟委任的主要管理人员及车辆配置</w:t>
      </w:r>
      <w:r>
        <w:rPr>
          <w:rFonts w:hint="eastAsia" w:ascii="宋体" w:hAnsi="宋体"/>
          <w:b/>
          <w:bCs/>
          <w:sz w:val="44"/>
          <w:szCs w:val="44"/>
        </w:rPr>
        <w:t xml:space="preserve">                              </w:t>
      </w:r>
    </w:p>
    <w:p>
      <w:pPr>
        <w:spacing w:line="500" w:lineRule="exact"/>
        <w:jc w:val="center"/>
        <w:rPr>
          <w:rFonts w:ascii="宋体" w:hAnsi="宋体"/>
          <w:b/>
          <w:bCs/>
          <w:sz w:val="44"/>
          <w:szCs w:val="44"/>
        </w:rPr>
      </w:pPr>
      <w:r>
        <w:rPr>
          <w:rFonts w:hint="eastAsia" w:ascii="宋体" w:hAnsi="宋体"/>
          <w:b/>
          <w:bCs/>
          <w:sz w:val="44"/>
          <w:szCs w:val="44"/>
        </w:rPr>
        <w:t xml:space="preserve"> </w:t>
      </w:r>
    </w:p>
    <w:p>
      <w:pPr>
        <w:spacing w:line="360" w:lineRule="auto"/>
        <w:ind w:firstLine="560" w:firstLineChars="200"/>
      </w:pPr>
    </w:p>
    <w:tbl>
      <w:tblPr>
        <w:tblStyle w:val="12"/>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907"/>
        <w:gridCol w:w="2695"/>
        <w:gridCol w:w="1268"/>
        <w:gridCol w:w="1247"/>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jc w:val="center"/>
              <w:rPr>
                <w:szCs w:val="21"/>
              </w:rPr>
            </w:pPr>
            <w:r>
              <w:rPr>
                <w:rFonts w:hint="eastAsia"/>
                <w:szCs w:val="21"/>
              </w:rPr>
              <w:t>姓名</w:t>
            </w:r>
          </w:p>
        </w:tc>
        <w:tc>
          <w:tcPr>
            <w:tcW w:w="907" w:type="dxa"/>
            <w:vAlign w:val="center"/>
          </w:tcPr>
          <w:p>
            <w:pPr>
              <w:spacing w:line="360" w:lineRule="auto"/>
              <w:jc w:val="center"/>
              <w:rPr>
                <w:szCs w:val="21"/>
              </w:rPr>
            </w:pPr>
            <w:r>
              <w:rPr>
                <w:rFonts w:hint="eastAsia"/>
                <w:szCs w:val="21"/>
              </w:rPr>
              <w:t>年龄</w:t>
            </w:r>
          </w:p>
        </w:tc>
        <w:tc>
          <w:tcPr>
            <w:tcW w:w="2695" w:type="dxa"/>
            <w:vAlign w:val="center"/>
          </w:tcPr>
          <w:p>
            <w:pPr>
              <w:spacing w:line="360" w:lineRule="auto"/>
              <w:jc w:val="center"/>
              <w:rPr>
                <w:szCs w:val="21"/>
              </w:rPr>
            </w:pPr>
            <w:r>
              <w:rPr>
                <w:rFonts w:hint="eastAsia"/>
                <w:szCs w:val="21"/>
              </w:rPr>
              <w:t>拟在本项目中担任的职务</w:t>
            </w:r>
          </w:p>
        </w:tc>
        <w:tc>
          <w:tcPr>
            <w:tcW w:w="1268" w:type="dxa"/>
            <w:vAlign w:val="center"/>
          </w:tcPr>
          <w:p>
            <w:pPr>
              <w:spacing w:line="360" w:lineRule="auto"/>
              <w:jc w:val="center"/>
              <w:rPr>
                <w:szCs w:val="21"/>
              </w:rPr>
            </w:pPr>
            <w:r>
              <w:rPr>
                <w:rFonts w:hint="eastAsia"/>
                <w:szCs w:val="21"/>
              </w:rPr>
              <w:t>技术职称</w:t>
            </w:r>
          </w:p>
        </w:tc>
        <w:tc>
          <w:tcPr>
            <w:tcW w:w="1247" w:type="dxa"/>
            <w:vAlign w:val="center"/>
          </w:tcPr>
          <w:p>
            <w:pPr>
              <w:spacing w:line="360" w:lineRule="auto"/>
              <w:jc w:val="center"/>
              <w:rPr>
                <w:szCs w:val="21"/>
              </w:rPr>
            </w:pPr>
            <w:r>
              <w:rPr>
                <w:rFonts w:hint="eastAsia"/>
                <w:szCs w:val="21"/>
              </w:rPr>
              <w:t>工作年限</w:t>
            </w:r>
          </w:p>
        </w:tc>
        <w:tc>
          <w:tcPr>
            <w:tcW w:w="1982" w:type="dxa"/>
            <w:vAlign w:val="center"/>
          </w:tcPr>
          <w:p>
            <w:pPr>
              <w:spacing w:line="360" w:lineRule="auto"/>
              <w:jc w:val="center"/>
              <w:rPr>
                <w:szCs w:val="21"/>
              </w:rPr>
            </w:pPr>
            <w:r>
              <w:rPr>
                <w:rFonts w:hint="eastAsia"/>
                <w:szCs w:val="21"/>
              </w:rPr>
              <w:t>类似工作经验年限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836" w:type="dxa"/>
            <w:vAlign w:val="center"/>
          </w:tcPr>
          <w:p>
            <w:pPr>
              <w:spacing w:line="360" w:lineRule="auto"/>
              <w:ind w:firstLine="480"/>
              <w:jc w:val="center"/>
              <w:rPr>
                <w:szCs w:val="21"/>
              </w:rPr>
            </w:pPr>
          </w:p>
        </w:tc>
        <w:tc>
          <w:tcPr>
            <w:tcW w:w="907" w:type="dxa"/>
            <w:vAlign w:val="center"/>
          </w:tcPr>
          <w:p>
            <w:pPr>
              <w:spacing w:line="360" w:lineRule="auto"/>
              <w:ind w:firstLine="480"/>
              <w:jc w:val="center"/>
              <w:rPr>
                <w:szCs w:val="21"/>
              </w:rPr>
            </w:pPr>
          </w:p>
        </w:tc>
        <w:tc>
          <w:tcPr>
            <w:tcW w:w="2695" w:type="dxa"/>
            <w:vAlign w:val="center"/>
          </w:tcPr>
          <w:p>
            <w:pPr>
              <w:spacing w:line="360" w:lineRule="auto"/>
              <w:ind w:firstLine="480"/>
              <w:jc w:val="center"/>
              <w:rPr>
                <w:szCs w:val="21"/>
              </w:rPr>
            </w:pPr>
          </w:p>
        </w:tc>
        <w:tc>
          <w:tcPr>
            <w:tcW w:w="1268" w:type="dxa"/>
            <w:vAlign w:val="center"/>
          </w:tcPr>
          <w:p>
            <w:pPr>
              <w:spacing w:line="360" w:lineRule="auto"/>
              <w:ind w:firstLine="480"/>
              <w:jc w:val="center"/>
              <w:rPr>
                <w:szCs w:val="21"/>
              </w:rPr>
            </w:pPr>
          </w:p>
        </w:tc>
        <w:tc>
          <w:tcPr>
            <w:tcW w:w="1247" w:type="dxa"/>
            <w:vAlign w:val="center"/>
          </w:tcPr>
          <w:p>
            <w:pPr>
              <w:spacing w:line="360" w:lineRule="auto"/>
              <w:ind w:firstLine="480"/>
              <w:jc w:val="center"/>
              <w:rPr>
                <w:szCs w:val="21"/>
              </w:rPr>
            </w:pPr>
          </w:p>
        </w:tc>
        <w:tc>
          <w:tcPr>
            <w:tcW w:w="1982" w:type="dxa"/>
            <w:vAlign w:val="center"/>
          </w:tcPr>
          <w:p>
            <w:pPr>
              <w:spacing w:line="360" w:lineRule="auto"/>
              <w:ind w:firstLine="480"/>
              <w:jc w:val="center"/>
              <w:rPr>
                <w:szCs w:val="21"/>
              </w:rPr>
            </w:pPr>
          </w:p>
        </w:tc>
      </w:tr>
    </w:tbl>
    <w:p>
      <w:pPr>
        <w:rPr>
          <w:rStyle w:val="15"/>
        </w:rPr>
      </w:pPr>
      <w:r>
        <w:rPr>
          <w:rStyle w:val="15"/>
          <w:rFonts w:hint="eastAsia"/>
        </w:rPr>
        <w:br w:type="page"/>
      </w:r>
    </w:p>
    <w:p>
      <w:pPr>
        <w:jc w:val="center"/>
        <w:rPr>
          <w:rFonts w:ascii="方正小标宋_GBK" w:eastAsia="方正小标宋_GBK"/>
          <w:sz w:val="44"/>
          <w:szCs w:val="44"/>
        </w:rPr>
      </w:pPr>
      <w:r>
        <w:rPr>
          <w:rFonts w:hint="eastAsia" w:ascii="方正小标宋_GBK" w:hAnsi="方正小标宋_GBK" w:eastAsia="方正小标宋_GBK" w:cs="方正小标宋_GBK"/>
          <w:b/>
          <w:bCs/>
          <w:kern w:val="2"/>
          <w:sz w:val="32"/>
          <w:szCs w:val="32"/>
          <w:lang w:val="en-US" w:eastAsia="zh-CN" w:bidi="ar-SA"/>
        </w:rPr>
        <w:t>六、运行管理方案</w:t>
      </w:r>
    </w:p>
    <w:p>
      <w:pPr>
        <w:rPr>
          <w:rFonts w:ascii="仿宋_GB2312" w:hAnsi="宋体" w:eastAsia="仿宋_GB2312" w:cs="宋体"/>
          <w:szCs w:val="28"/>
        </w:rPr>
      </w:pPr>
    </w:p>
    <w:p>
      <w:pPr>
        <w:jc w:val="center"/>
        <w:rPr>
          <w:rFonts w:ascii="方正仿宋_GBK" w:eastAsia="方正仿宋_GBK"/>
          <w:color w:val="000000"/>
          <w:szCs w:val="28"/>
        </w:rPr>
      </w:pPr>
      <w:r>
        <w:rPr>
          <w:rFonts w:hint="eastAsia" w:ascii="方正仿宋_GBK" w:eastAsia="方正仿宋_GBK"/>
          <w:color w:val="000000"/>
          <w:szCs w:val="28"/>
        </w:rPr>
        <w:t>格式自拟。</w:t>
      </w:r>
    </w:p>
    <w:p>
      <w:pPr>
        <w:rPr>
          <w:rFonts w:ascii="方正仿宋_GBK" w:eastAsia="方正仿宋_GBK"/>
          <w:color w:val="000000"/>
          <w:szCs w:val="28"/>
        </w:rPr>
      </w:pPr>
      <w:r>
        <w:rPr>
          <w:rFonts w:hint="eastAsia" w:ascii="方正仿宋_GBK" w:eastAsia="方正仿宋_GBK"/>
          <w:color w:val="000000"/>
          <w:szCs w:val="28"/>
        </w:rPr>
        <w:br w:type="page"/>
      </w:r>
    </w:p>
    <w:p>
      <w:pPr>
        <w:pStyle w:val="3"/>
        <w:jc w:val="center"/>
        <w:rPr>
          <w:rFonts w:hint="eastAsia" w:ascii="方正小标宋_GBK" w:hAnsi="方正小标宋_GBK" w:eastAsia="方正小标宋_GBK" w:cs="方正小标宋_GBK"/>
          <w:bCs/>
          <w:szCs w:val="32"/>
        </w:rPr>
      </w:pPr>
      <w:r>
        <w:rPr>
          <w:rFonts w:hint="eastAsia" w:ascii="方正小标宋_GBK" w:hAnsi="方正小标宋_GBK" w:eastAsia="方正小标宋_GBK" w:cs="方正小标宋_GBK"/>
          <w:bCs/>
          <w:szCs w:val="32"/>
        </w:rPr>
        <w:t>七、其他资料</w:t>
      </w:r>
    </w:p>
    <w:p>
      <w:pPr>
        <w:rPr>
          <w:color w:val="0000FF"/>
        </w:rPr>
      </w:pPr>
    </w:p>
    <w:p>
      <w:pPr>
        <w:pStyle w:val="5"/>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rPr>
        <w:rFonts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3DC"/>
    <w:multiLevelType w:val="singleLevel"/>
    <w:tmpl w:val="006B23D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E32"/>
    <w:rsid w:val="00172A27"/>
    <w:rsid w:val="001735F4"/>
    <w:rsid w:val="004C4A70"/>
    <w:rsid w:val="005511A3"/>
    <w:rsid w:val="00622452"/>
    <w:rsid w:val="006767AF"/>
    <w:rsid w:val="006B32D2"/>
    <w:rsid w:val="006D7530"/>
    <w:rsid w:val="00807085"/>
    <w:rsid w:val="00813C5A"/>
    <w:rsid w:val="00B54B1A"/>
    <w:rsid w:val="00BE0FB7"/>
    <w:rsid w:val="00D40FDF"/>
    <w:rsid w:val="00E9274A"/>
    <w:rsid w:val="05CE00D4"/>
    <w:rsid w:val="061D1BE6"/>
    <w:rsid w:val="092C3CB0"/>
    <w:rsid w:val="0E38777B"/>
    <w:rsid w:val="11E82977"/>
    <w:rsid w:val="11F20B46"/>
    <w:rsid w:val="139F2154"/>
    <w:rsid w:val="147D0211"/>
    <w:rsid w:val="158A3FC4"/>
    <w:rsid w:val="27634CF0"/>
    <w:rsid w:val="29147121"/>
    <w:rsid w:val="2AEE64F0"/>
    <w:rsid w:val="2DC354BE"/>
    <w:rsid w:val="3B234229"/>
    <w:rsid w:val="417A22BF"/>
    <w:rsid w:val="42174BA7"/>
    <w:rsid w:val="426C253B"/>
    <w:rsid w:val="45357663"/>
    <w:rsid w:val="55637F60"/>
    <w:rsid w:val="55A07CBE"/>
    <w:rsid w:val="56106AE7"/>
    <w:rsid w:val="56DB30DB"/>
    <w:rsid w:val="617B3E07"/>
    <w:rsid w:val="65A3627D"/>
    <w:rsid w:val="65BD4645"/>
    <w:rsid w:val="6E2D21A2"/>
    <w:rsid w:val="72CB1DFA"/>
    <w:rsid w:val="74930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9"/>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15"/>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line="413" w:lineRule="auto"/>
      <w:jc w:val="center"/>
      <w:outlineLvl w:val="2"/>
    </w:pPr>
    <w:rPr>
      <w:b/>
      <w:sz w:val="44"/>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0"/>
  </w:style>
  <w:style w:type="paragraph" w:styleId="6">
    <w:name w:val="Body Text Indent"/>
    <w:basedOn w:val="1"/>
    <w:qFormat/>
    <w:uiPriority w:val="0"/>
    <w:pPr>
      <w:spacing w:line="700" w:lineRule="exact"/>
      <w:ind w:left="960"/>
    </w:pPr>
    <w:rPr>
      <w:rFonts w:asciiTheme="minorHAnsi" w:hAnsiTheme="minorHAnsi" w:eastAsiaTheme="minorEastAsia" w:cstheme="minorBidi"/>
      <w:sz w:val="4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正文2"/>
    <w:basedOn w:val="1"/>
    <w:qFormat/>
    <w:uiPriority w:val="0"/>
    <w:pPr>
      <w:adjustRightInd w:val="0"/>
      <w:spacing w:line="460" w:lineRule="exact"/>
      <w:textAlignment w:val="baseline"/>
    </w:pPr>
    <w:rPr>
      <w:rFonts w:ascii="宋体" w:hAnsi="宋体" w:eastAsia="仿宋_GB2312"/>
      <w:kern w:val="0"/>
    </w:rPr>
  </w:style>
  <w:style w:type="character" w:customStyle="1" w:styleId="1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962</Words>
  <Characters>5489</Characters>
  <Lines>45</Lines>
  <Paragraphs>12</Paragraphs>
  <TotalTime>3</TotalTime>
  <ScaleCrop>false</ScaleCrop>
  <LinksUpToDate>false</LinksUpToDate>
  <CharactersWithSpaces>6439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2020-11-06T03:12:00Z</dcterms:created>
  <dc:creator>沃利克环保张春</dc:creator>
  <cp:lastModifiedBy>藝</cp:lastModifiedBy>
  <cp:lastPrinted>2020-11-16T03:37:00Z</cp:lastPrinted>
  <dcterms:modified xsi:type="dcterms:W3CDTF">2020-11-23T06:55:59Z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