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hint="eastAsia" w:ascii="Times New Roman" w:hAnsi="Times New Roman" w:eastAsia="方正小标宋_GBK" w:cs="Times New Roman"/>
          <w:bCs/>
          <w:sz w:val="48"/>
          <w:szCs w:val="48"/>
          <w:lang w:eastAsia="zh-CN"/>
        </w:rPr>
        <w:t>涪江干流梯级渠化双江航电枢纽工程</w:t>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eastAsia="zh-CN"/>
        </w:rPr>
        <w:t>第三方质量检测</w:t>
      </w:r>
      <w:r>
        <w:rPr>
          <w:rFonts w:ascii="Times New Roman" w:hAnsi="Times New Roman" w:eastAsia="方正小标宋_GBK" w:cs="Times New Roman"/>
          <w:bCs/>
          <w:sz w:val="48"/>
          <w:szCs w:val="48"/>
          <w:lang w:eastAsia="zh-CN"/>
        </w:rPr>
        <w:t>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eastAsia="zh-CN"/>
        </w:rPr>
      </w:pPr>
      <w:r>
        <w:rPr>
          <w:rFonts w:hint="eastAsia" w:ascii="Times New Roman" w:hAnsi="Times New Roman" w:eastAsia="方正小标宋_GBK" w:cs="Times New Roman"/>
          <w:bCs/>
          <w:sz w:val="32"/>
          <w:szCs w:val="32"/>
          <w:lang w:eastAsia="zh-CN"/>
        </w:rPr>
        <w:t>询价人：重庆双江航运发展有限公司</w:t>
      </w:r>
    </w:p>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eastAsia="zh-CN"/>
        </w:rPr>
      </w:pPr>
      <w:r>
        <w:rPr>
          <w:rFonts w:hint="eastAsia" w:ascii="Times New Roman" w:hAnsi="Times New Roman" w:eastAsia="方正小标宋_GBK" w:cs="Times New Roman"/>
          <w:bCs/>
          <w:sz w:val="32"/>
          <w:szCs w:val="32"/>
          <w:lang w:eastAsia="zh-CN"/>
        </w:rPr>
        <w:t>发包人：重庆双江航运发展有限公司</w:t>
      </w:r>
    </w:p>
    <w:p>
      <w:pPr>
        <w:pStyle w:val="2"/>
        <w:ind w:left="440"/>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eastAsia="zh-CN"/>
        </w:rPr>
        <w:t>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3</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rPr>
              <w:rFonts w:ascii="Times New Roman" w:hAnsi="Times New Roman" w:eastAsia="方正仿宋_GBK" w:cs="Times New Roman"/>
              <w:sz w:val="32"/>
            </w:rP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rPr>
              <w:rFonts w:ascii="Times New Roman" w:hAnsi="Times New Roman" w:eastAsia="方正仿宋_GBK" w:cs="Times New Roman"/>
              <w:sz w:val="32"/>
            </w:rP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rPr>
              <w:rFonts w:ascii="Times New Roman" w:hAnsi="Times New Roman" w:eastAsia="方正仿宋_GBK" w:cs="Times New Roman"/>
              <w:sz w:val="32"/>
            </w:rP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rPr>
              <w:rFonts w:ascii="Times New Roman" w:hAnsi="Times New Roman" w:eastAsia="方正仿宋_GBK" w:cs="Times New Roman"/>
              <w:sz w:val="32"/>
            </w:rP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rPr>
              <w:rFonts w:ascii="Times New Roman" w:hAnsi="Times New Roman" w:eastAsia="方正仿宋_GBK" w:cs="Times New Roman"/>
              <w:sz w:val="32"/>
            </w:rP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rPr>
              <w:rFonts w:ascii="Times New Roman" w:hAnsi="Times New Roman" w:eastAsia="方正仿宋_GBK" w:cs="Times New Roman"/>
              <w:sz w:val="32"/>
            </w:rP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rPr>
              <w:rFonts w:ascii="Times New Roman" w:hAnsi="Times New Roman" w:eastAsia="方正仿宋_GBK" w:cs="Times New Roman"/>
              <w:sz w:val="32"/>
            </w:rP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rPr>
              <w:rFonts w:ascii="Times New Roman" w:hAnsi="Times New Roman" w:eastAsia="方正仿宋_GBK" w:cs="Times New Roman"/>
              <w:sz w:val="32"/>
            </w:rP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第三章 技术条款与合同签订</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7</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1.技术条款</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7</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2.合同签订</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17</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3.支付方式</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17</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4.成果提交及服务期限</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17</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rPr>
              <w:rFonts w:ascii="Times New Roman" w:hAnsi="Times New Roman" w:eastAsia="方正仿宋_GBK" w:cs="Times New Roman"/>
              <w:sz w:val="32"/>
            </w:rPr>
            <w:tab/>
          </w:r>
          <w:r>
            <w:rPr>
              <w:rFonts w:ascii="Times New Roman" w:hAnsi="Times New Roman" w:eastAsia="方正仿宋_GBK" w:cs="Times New Roman"/>
              <w:sz w:val="32"/>
              <w:lang w:eastAsia="zh-CN"/>
            </w:rPr>
            <w:t>18</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rPr>
              <w:rFonts w:ascii="Times New Roman" w:hAnsi="Times New Roman" w:eastAsia="方正仿宋_GBK" w:cs="Times New Roman"/>
              <w:sz w:val="32"/>
            </w:rP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_Toc52097543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18</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rPr>
              <w:rFonts w:ascii="Times New Roman" w:hAnsi="Times New Roman" w:eastAsia="方正仿宋_GBK" w:cs="Times New Roman"/>
              <w:sz w:val="32"/>
            </w:rP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19</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rPr>
              <w:rFonts w:ascii="Times New Roman" w:hAnsi="Times New Roman" w:eastAsia="方正仿宋_GBK" w:cs="Times New Roman"/>
              <w:sz w:val="32"/>
            </w:rPr>
            <w:tab/>
          </w:r>
          <w:r>
            <w:rPr>
              <w:rFonts w:ascii="Times New Roman" w:hAnsi="Times New Roman" w:eastAsia="方正仿宋_GBK" w:cs="Times New Roman"/>
              <w:sz w:val="32"/>
              <w:lang w:eastAsia="zh-CN"/>
            </w:rPr>
            <w:t>23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rPr>
              <w:rFonts w:ascii="Times New Roman" w:hAnsi="Times New Roman" w:eastAsia="方正仿宋_GBK" w:cs="Times New Roman"/>
              <w:sz w:val="32"/>
            </w:rPr>
            <w:tab/>
          </w:r>
          <w:r>
            <w:rPr>
              <w:rFonts w:ascii="Times New Roman" w:hAnsi="Times New Roman" w:eastAsia="方正仿宋_GBK" w:cs="Times New Roman"/>
              <w:sz w:val="32"/>
              <w:lang w:eastAsia="zh-CN"/>
            </w:rPr>
            <w:t>25</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rPr>
              <w:rFonts w:ascii="Times New Roman" w:hAnsi="Times New Roman" w:eastAsia="方正仿宋_GBK" w:cs="Times New Roman"/>
              <w:sz w:val="32"/>
            </w:rPr>
            <w:tab/>
          </w:r>
          <w:r>
            <w:rPr>
              <w:rFonts w:ascii="Times New Roman" w:hAnsi="Times New Roman" w:eastAsia="方正仿宋_GBK" w:cs="Times New Roman"/>
              <w:sz w:val="32"/>
              <w:lang w:eastAsia="zh-CN"/>
            </w:rPr>
            <w:t>26</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rPr>
              <w:rFonts w:ascii="Times New Roman" w:hAnsi="Times New Roman" w:eastAsia="方正仿宋_GBK" w:cs="Times New Roman"/>
              <w:sz w:val="32"/>
            </w:rPr>
            <w:tab/>
          </w:r>
          <w:r>
            <w:rPr>
              <w:rFonts w:ascii="Times New Roman" w:hAnsi="Times New Roman" w:eastAsia="方正仿宋_GBK" w:cs="Times New Roman"/>
              <w:sz w:val="32"/>
              <w:lang w:eastAsia="zh-CN"/>
            </w:rPr>
            <w:t>28</w:t>
          </w:r>
          <w:r>
            <w:rPr>
              <w:rFonts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widowControl/>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titlePg/>
          <w:docGrid w:linePitch="299" w:charSpace="0"/>
        </w:sectPr>
      </w:pPr>
    </w:p>
    <w:p>
      <w:pPr>
        <w:widowControl/>
        <w:rPr>
          <w:rFonts w:ascii="Times New Roman" w:hAnsi="Times New Roman" w:eastAsia="方正小标宋_GBK" w:cs="Times New Roman"/>
          <w:bCs/>
          <w:sz w:val="44"/>
          <w:szCs w:val="44"/>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ascii="Times New Roman" w:hAnsi="Times New Roman" w:cs="Times New Roman" w:eastAsiaTheme="minorEastAsia"/>
          <w:b/>
          <w:bCs/>
          <w:sz w:val="30"/>
          <w:szCs w:val="30"/>
          <w:lang w:eastAsia="zh-CN"/>
        </w:rPr>
      </w:pPr>
    </w:p>
    <w:p>
      <w:pPr>
        <w:spacing w:line="510" w:lineRule="exact"/>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涪江干流梯级渠化双江航电枢纽工程第三方质量检测</w:t>
      </w:r>
      <w:r>
        <w:rPr>
          <w:rFonts w:ascii="Times New Roman" w:hAnsi="Times New Roman" w:eastAsia="方正小标宋_GBK" w:cs="Times New Roman"/>
          <w:sz w:val="36"/>
          <w:szCs w:val="36"/>
          <w:lang w:eastAsia="zh-CN"/>
        </w:rPr>
        <w:t>项目询价公告</w:t>
      </w:r>
    </w:p>
    <w:p>
      <w:pPr>
        <w:spacing w:line="510" w:lineRule="exact"/>
        <w:jc w:val="center"/>
        <w:rPr>
          <w:rFonts w:ascii="Times New Roman" w:hAnsi="Times New Roman" w:cs="Times New Roman" w:eastAsiaTheme="minorEastAsia"/>
          <w:sz w:val="30"/>
          <w:szCs w:val="30"/>
          <w:lang w:eastAsia="zh-CN"/>
        </w:rPr>
      </w:pPr>
    </w:p>
    <w:p>
      <w:pPr>
        <w:tabs>
          <w:tab w:val="left" w:pos="3840"/>
          <w:tab w:val="left" w:pos="5300"/>
        </w:tabs>
        <w:autoSpaceDE w:val="0"/>
        <w:autoSpaceDN w:val="0"/>
        <w:adjustRightInd w:val="0"/>
        <w:snapToGrid w:val="0"/>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1.询价条件（公开询价）</w:t>
      </w:r>
    </w:p>
    <w:p>
      <w:pPr>
        <w:tabs>
          <w:tab w:val="left" w:pos="3840"/>
          <w:tab w:val="left" w:pos="5300"/>
        </w:tabs>
        <w:autoSpaceDE w:val="0"/>
        <w:autoSpaceDN w:val="0"/>
        <w:adjustRightInd w:val="0"/>
        <w:snapToGrid w:val="0"/>
        <w:spacing w:line="360" w:lineRule="auto"/>
        <w:ind w:firstLine="560" w:firstLineChars="200"/>
        <w:rPr>
          <w:rFonts w:ascii="Times New Roman" w:hAnsi="Times New Roman" w:eastAsia="方正仿宋_GBK" w:cs="Times New Roman"/>
          <w:bCs/>
          <w:sz w:val="32"/>
          <w:szCs w:val="32"/>
          <w:lang w:eastAsia="zh-CN"/>
        </w:rPr>
      </w:pPr>
      <w:r>
        <w:rPr>
          <w:rFonts w:ascii="仿宋" w:hAnsi="仿宋" w:eastAsia="仿宋" w:cs="仿宋"/>
          <w:sz w:val="28"/>
          <w:szCs w:val="28"/>
          <w:lang w:eastAsia="zh-CN"/>
        </w:rPr>
        <w:t>本项目</w:t>
      </w:r>
      <w:bookmarkStart w:id="2" w:name="_Hlk104967057"/>
      <w:r>
        <w:rPr>
          <w:rFonts w:hint="eastAsia" w:ascii="仿宋" w:hAnsi="仿宋" w:eastAsia="仿宋" w:cs="仿宋"/>
          <w:sz w:val="28"/>
          <w:szCs w:val="28"/>
          <w:lang w:eastAsia="zh-CN"/>
        </w:rPr>
        <w:t>涪江干流梯级渠化双江航电枢纽工程</w:t>
      </w:r>
      <w:bookmarkEnd w:id="2"/>
      <w:r>
        <w:rPr>
          <w:rFonts w:hint="eastAsia" w:ascii="仿宋" w:hAnsi="仿宋" w:eastAsia="仿宋" w:cs="仿宋"/>
          <w:sz w:val="28"/>
          <w:szCs w:val="28"/>
          <w:lang w:eastAsia="zh-CN"/>
        </w:rPr>
        <w:t>第三方质量检测</w:t>
      </w:r>
      <w:r>
        <w:rPr>
          <w:rFonts w:ascii="仿宋" w:hAnsi="仿宋" w:eastAsia="仿宋" w:cs="仿宋"/>
          <w:sz w:val="28"/>
          <w:szCs w:val="28"/>
          <w:lang w:eastAsia="zh-CN"/>
        </w:rPr>
        <w:t>已具备发包条件，询价人为</w:t>
      </w:r>
      <w:r>
        <w:rPr>
          <w:rFonts w:hint="eastAsia" w:ascii="仿宋" w:hAnsi="仿宋" w:eastAsia="仿宋" w:cs="仿宋"/>
          <w:sz w:val="28"/>
          <w:szCs w:val="28"/>
          <w:lang w:eastAsia="zh-CN"/>
        </w:rPr>
        <w:t>重庆双江航运发展有限公司</w:t>
      </w:r>
      <w:r>
        <w:rPr>
          <w:rFonts w:ascii="仿宋" w:hAnsi="仿宋" w:eastAsia="仿宋" w:cs="仿宋"/>
          <w:sz w:val="28"/>
          <w:szCs w:val="28"/>
          <w:lang w:eastAsia="zh-CN"/>
        </w:rPr>
        <w:t>，发包人为</w:t>
      </w:r>
      <w:r>
        <w:rPr>
          <w:rFonts w:hint="eastAsia" w:ascii="仿宋" w:hAnsi="仿宋" w:eastAsia="仿宋" w:cs="仿宋"/>
          <w:sz w:val="28"/>
          <w:szCs w:val="28"/>
          <w:lang w:eastAsia="zh-CN"/>
        </w:rPr>
        <w:t>重庆双江航运发展有限公司</w:t>
      </w:r>
      <w:r>
        <w:rPr>
          <w:rFonts w:ascii="仿宋" w:hAnsi="仿宋" w:eastAsia="仿宋" w:cs="仿宋"/>
          <w:sz w:val="28"/>
          <w:szCs w:val="28"/>
          <w:lang w:eastAsia="zh-CN"/>
        </w:rPr>
        <w:t>。根据实际工作需要，现计划对该项目</w:t>
      </w:r>
      <w:r>
        <w:rPr>
          <w:rFonts w:hint="eastAsia" w:ascii="仿宋" w:hAnsi="仿宋" w:eastAsia="仿宋" w:cs="仿宋"/>
          <w:sz w:val="28"/>
          <w:szCs w:val="28"/>
          <w:lang w:eastAsia="zh-CN"/>
        </w:rPr>
        <w:t>涪江干流梯级渠化双江航电枢纽工程第三方质量检测</w:t>
      </w:r>
      <w:r>
        <w:rPr>
          <w:rFonts w:ascii="仿宋" w:hAnsi="仿宋" w:eastAsia="仿宋" w:cs="仿宋"/>
          <w:sz w:val="28"/>
          <w:szCs w:val="28"/>
          <w:lang w:eastAsia="zh-CN"/>
        </w:rPr>
        <w:t>采取</w:t>
      </w:r>
      <w:r>
        <w:rPr>
          <w:rFonts w:hint="eastAsia" w:ascii="仿宋" w:hAnsi="仿宋" w:eastAsia="仿宋" w:cs="仿宋"/>
          <w:sz w:val="28"/>
          <w:szCs w:val="28"/>
          <w:lang w:eastAsia="zh-CN"/>
        </w:rPr>
        <w:t>公开询价</w:t>
      </w:r>
      <w:r>
        <w:rPr>
          <w:rFonts w:ascii="仿宋" w:hAnsi="仿宋" w:eastAsia="仿宋" w:cs="仿宋"/>
          <w:sz w:val="28"/>
          <w:szCs w:val="28"/>
          <w:lang w:eastAsia="zh-CN"/>
        </w:rPr>
        <w:t>方式确定服务单位。</w:t>
      </w:r>
    </w:p>
    <w:p>
      <w:pPr>
        <w:tabs>
          <w:tab w:val="left" w:pos="3840"/>
          <w:tab w:val="left" w:pos="5300"/>
        </w:tabs>
        <w:autoSpaceDE w:val="0"/>
        <w:autoSpaceDN w:val="0"/>
        <w:adjustRightInd w:val="0"/>
        <w:snapToGrid w:val="0"/>
        <w:spacing w:line="360" w:lineRule="auto"/>
        <w:rPr>
          <w:rFonts w:ascii="黑体" w:hAnsi="黑体" w:eastAsia="黑体" w:cs="黑体"/>
          <w:sz w:val="28"/>
          <w:szCs w:val="28"/>
          <w:lang w:eastAsia="zh-CN"/>
        </w:rPr>
      </w:pPr>
      <w:bookmarkStart w:id="3" w:name="_Toc29194682"/>
      <w:bookmarkStart w:id="4" w:name="_Toc52097501"/>
      <w:bookmarkStart w:id="5" w:name="_Toc6230451"/>
      <w:r>
        <w:rPr>
          <w:rFonts w:hint="eastAsia" w:ascii="黑体" w:hAnsi="黑体" w:eastAsia="黑体" w:cs="黑体"/>
          <w:sz w:val="28"/>
          <w:szCs w:val="28"/>
          <w:lang w:eastAsia="zh-CN"/>
        </w:rPr>
        <w:t>2.项目概况与询价工作范围</w:t>
      </w:r>
      <w:bookmarkEnd w:id="3"/>
      <w:bookmarkEnd w:id="4"/>
      <w:bookmarkEnd w:id="5"/>
      <w:bookmarkStart w:id="6" w:name="_Toc324429695"/>
      <w:bookmarkStart w:id="7" w:name="_Toc21092"/>
      <w:bookmarkStart w:id="8" w:name="_Toc323734100"/>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2.1项目</w:t>
      </w:r>
      <w:r>
        <w:rPr>
          <w:rFonts w:hint="eastAsia" w:ascii="仿宋" w:hAnsi="仿宋" w:eastAsia="仿宋" w:cs="仿宋"/>
          <w:sz w:val="28"/>
          <w:szCs w:val="28"/>
          <w:lang w:eastAsia="zh-CN"/>
        </w:rPr>
        <w:t>地址</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重庆市潼南区</w:t>
      </w:r>
      <w:r>
        <w:rPr>
          <w:rFonts w:ascii="仿宋" w:hAnsi="仿宋" w:eastAsia="仿宋" w:cs="仿宋"/>
          <w:sz w:val="28"/>
          <w:szCs w:val="28"/>
          <w:lang w:eastAsia="zh-CN"/>
        </w:rPr>
        <w:t xml:space="preserve">                             </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 xml:space="preserve"> 2.2</w:t>
      </w:r>
      <w:r>
        <w:rPr>
          <w:rFonts w:hint="eastAsia" w:ascii="仿宋" w:hAnsi="仿宋" w:eastAsia="仿宋" w:cs="仿宋"/>
          <w:sz w:val="28"/>
          <w:szCs w:val="28"/>
          <w:lang w:eastAsia="zh-CN"/>
        </w:rPr>
        <w:t>项目概况</w:t>
      </w:r>
    </w:p>
    <w:p>
      <w:pPr>
        <w:tabs>
          <w:tab w:val="left" w:pos="3840"/>
          <w:tab w:val="left" w:pos="5300"/>
        </w:tabs>
        <w:autoSpaceDE w:val="0"/>
        <w:autoSpaceDN w:val="0"/>
        <w:adjustRightInd w:val="0"/>
        <w:snapToGrid w:val="0"/>
        <w:spacing w:line="360" w:lineRule="auto"/>
        <w:ind w:firstLine="560" w:firstLineChars="200"/>
        <w:rPr>
          <w:rFonts w:ascii="Times New Roman" w:hAnsi="Times New Roman" w:eastAsia="方正仿宋_GBK" w:cs="Times New Roman"/>
          <w:bCs/>
          <w:sz w:val="32"/>
          <w:szCs w:val="32"/>
          <w:lang w:eastAsia="zh-CN"/>
        </w:rPr>
      </w:pPr>
      <w:r>
        <w:rPr>
          <w:rFonts w:hint="eastAsia" w:ascii="仿宋" w:hAnsi="仿宋" w:eastAsia="仿宋" w:cs="仿宋"/>
          <w:sz w:val="28"/>
          <w:szCs w:val="28"/>
          <w:lang w:eastAsia="zh-CN"/>
        </w:rPr>
        <w:t>双江航电枢纽工程位于重庆市潼南区双江镇，为市级重点项目，于2022年10月开工。双江航电枢纽工程水库正常蓄水位249.00m，相应库容4868万m3，总库容1.61亿m3。通航建筑物建设按内河Ⅳ级（500吨级），可通行1000吨船舶标准建设，航道等级为IV级；电站装机容量48.00MW。枢纽沿坝轴线全长514.60m、坝顶高程259.90m。泄水闸为18孔，采用开敞式平底宽顶堰，孔口净宽均为14.5m，冲沙闸堰顶高程为236.00m、泄洪闸堰顶高程为237.00m，溢流前沿总长313.00m，闸室顺水向宽22.00m，泄水闸采用底流消能型式，消能工分三区设置。船闸布置于右岸，为IV级船闸，船舶吨位按1000t设计，闸室有效尺度为120m×23m×4.2m（长×宽×门槛最小水深），为整体式结构，船闸前沿总长为49.20m。</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2.3本次</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eastAsia="zh-CN"/>
        </w:rPr>
        <w:t>30.7</w:t>
      </w:r>
      <w:r>
        <w:rPr>
          <w:rFonts w:hint="eastAsia" w:ascii="Times New Roman" w:hAnsi="Times New Roman" w:eastAsia="方正仿宋_GBK" w:cs="Times New Roman"/>
          <w:bCs/>
          <w:sz w:val="32"/>
          <w:szCs w:val="32"/>
          <w:lang w:eastAsia="zh-CN"/>
        </w:rPr>
        <w:t>万</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2.4</w:t>
      </w:r>
      <w:r>
        <w:rPr>
          <w:rFonts w:ascii="Times New Roman" w:hAnsi="Times New Roman" w:eastAsia="方正仿宋_GBK" w:cs="Times New Roman"/>
          <w:bCs/>
          <w:sz w:val="32"/>
          <w:szCs w:val="32"/>
          <w:lang w:eastAsia="zh-CN"/>
        </w:rPr>
        <w:t>询价范围：</w:t>
      </w:r>
    </w:p>
    <w:p>
      <w:pPr>
        <w:tabs>
          <w:tab w:val="left" w:pos="3840"/>
          <w:tab w:val="left" w:pos="5300"/>
        </w:tabs>
        <w:autoSpaceDE w:val="0"/>
        <w:autoSpaceDN w:val="0"/>
        <w:adjustRightInd w:val="0"/>
        <w:snapToGrid w:val="0"/>
        <w:spacing w:line="360" w:lineRule="auto"/>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w:t>
      </w:r>
      <w:r>
        <w:rPr>
          <w:rFonts w:hint="eastAsia" w:ascii="仿宋" w:hAnsi="仿宋" w:eastAsia="仿宋" w:cs="仿宋"/>
          <w:sz w:val="28"/>
          <w:szCs w:val="28"/>
          <w:lang w:eastAsia="zh-CN"/>
        </w:rPr>
        <w:t>本次招标项目为涪江干流梯级渠化双江航电枢纽工程第三方质量检测服务，</w:t>
      </w:r>
      <w:r>
        <w:rPr>
          <w:rFonts w:hint="eastAsia" w:ascii="仿宋" w:hAnsi="仿宋" w:eastAsia="仿宋" w:cs="仿宋"/>
          <w:sz w:val="28"/>
          <w:szCs w:val="28"/>
          <w:highlight w:val="none"/>
          <w:lang w:eastAsia="zh-CN"/>
        </w:rPr>
        <w:t>主要服务于双江航电枢纽工程两个标段（厂房、泄水闸标段和船闸标段）施工阶段和交（完）工验收阶段。</w:t>
      </w:r>
      <w:r>
        <w:rPr>
          <w:rFonts w:hint="eastAsia" w:ascii="仿宋" w:hAnsi="仿宋" w:eastAsia="仿宋" w:cs="仿宋"/>
          <w:sz w:val="28"/>
          <w:szCs w:val="28"/>
          <w:lang w:eastAsia="zh-CN"/>
        </w:rPr>
        <w:t>须依据国家有关法律、法规和标准，对用于工程的原材料、中间产品、构（部）件及工程实体质量进行量测、检查、试验或度量，并将结果与有关标准、规范、要求进行比较，以评价工程质量。</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2.5工</w:t>
      </w:r>
      <w:r>
        <w:rPr>
          <w:rFonts w:ascii="仿宋" w:hAnsi="仿宋" w:eastAsia="仿宋" w:cs="仿宋"/>
          <w:sz w:val="28"/>
          <w:szCs w:val="28"/>
          <w:lang w:eastAsia="zh-CN"/>
        </w:rPr>
        <w:t>期</w:t>
      </w:r>
      <w:r>
        <w:rPr>
          <w:rFonts w:hint="eastAsia" w:ascii="仿宋" w:hAnsi="仿宋" w:eastAsia="仿宋" w:cs="仿宋"/>
          <w:sz w:val="28"/>
          <w:szCs w:val="28"/>
          <w:lang w:eastAsia="zh-CN"/>
        </w:rPr>
        <w:t>(交货期/服务期）</w:t>
      </w:r>
      <w:r>
        <w:rPr>
          <w:rFonts w:ascii="仿宋" w:hAnsi="仿宋" w:eastAsia="仿宋" w:cs="仿宋"/>
          <w:sz w:val="28"/>
          <w:szCs w:val="28"/>
          <w:lang w:eastAsia="zh-CN"/>
        </w:rPr>
        <w:t>：</w:t>
      </w:r>
      <w:r>
        <w:rPr>
          <w:rFonts w:hint="eastAsia" w:ascii="仿宋" w:hAnsi="仿宋" w:eastAsia="仿宋" w:cs="仿宋"/>
          <w:sz w:val="28"/>
          <w:szCs w:val="28"/>
          <w:lang w:eastAsia="zh-CN"/>
        </w:rPr>
        <w:t>合同签订之日至双江航电枢纽工程交（完）工验收合格交付之日止。</w:t>
      </w:r>
    </w:p>
    <w:p>
      <w:pPr>
        <w:pStyle w:val="5"/>
        <w:spacing w:line="510" w:lineRule="exact"/>
        <w:rPr>
          <w:rFonts w:ascii="Times New Roman" w:hAnsi="Times New Roman" w:eastAsia="黑体" w:cs="Times New Roman"/>
          <w:b w:val="0"/>
          <w:sz w:val="28"/>
          <w:szCs w:val="28"/>
          <w:lang w:eastAsia="zh-CN"/>
        </w:rPr>
      </w:pPr>
      <w:bookmarkStart w:id="9" w:name="_Toc52097502"/>
      <w:bookmarkStart w:id="10" w:name="_Toc29194683"/>
      <w:bookmarkStart w:id="11" w:name="_Toc6230452"/>
      <w:r>
        <w:rPr>
          <w:rFonts w:ascii="Times New Roman" w:hAnsi="Times New Roman" w:eastAsia="黑体" w:cs="Times New Roman"/>
          <w:b w:val="0"/>
          <w:sz w:val="28"/>
          <w:szCs w:val="28"/>
          <w:lang w:eastAsia="zh-CN"/>
        </w:rPr>
        <w:t>3.报价人资格要求</w:t>
      </w:r>
      <w:bookmarkEnd w:id="6"/>
      <w:bookmarkEnd w:id="7"/>
      <w:bookmarkEnd w:id="8"/>
      <w:bookmarkEnd w:id="9"/>
      <w:bookmarkEnd w:id="10"/>
      <w:bookmarkEnd w:id="11"/>
    </w:p>
    <w:p>
      <w:pPr>
        <w:spacing w:line="510" w:lineRule="exact"/>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3.1本次询价实行资格后审，报价人应同时满足下列资格条件：</w:t>
      </w:r>
    </w:p>
    <w:p>
      <w:pPr>
        <w:spacing w:line="510" w:lineRule="exact"/>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（1）报价人为中国境内注册的独立法人企业。</w:t>
      </w:r>
    </w:p>
    <w:p>
      <w:pPr>
        <w:spacing w:line="510" w:lineRule="exact"/>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（2）报价人具有以下全部资质：</w:t>
      </w:r>
    </w:p>
    <w:p>
      <w:pPr>
        <w:spacing w:line="510" w:lineRule="exact"/>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①具有有效营业执照、税务登记证、组织机构代码证的单位，多证合一的需备注；</w:t>
      </w:r>
    </w:p>
    <w:p>
      <w:pPr>
        <w:spacing w:line="510" w:lineRule="exact"/>
        <w:ind w:firstLine="560" w:firstLineChars="200"/>
        <w:jc w:val="both"/>
        <w:rPr>
          <w:rFonts w:ascii="仿宋" w:hAnsi="仿宋" w:eastAsia="仿宋" w:cs="仿宋"/>
          <w:sz w:val="28"/>
          <w:szCs w:val="28"/>
          <w:lang w:eastAsia="zh-CN"/>
        </w:rPr>
      </w:pPr>
      <w:bookmarkStart w:id="12" w:name="_Hlk129607808"/>
      <w:r>
        <w:rPr>
          <w:rFonts w:ascii="仿宋" w:hAnsi="仿宋" w:eastAsia="仿宋" w:cs="仿宋"/>
          <w:sz w:val="28"/>
          <w:szCs w:val="28"/>
          <w:lang w:eastAsia="zh-CN"/>
        </w:rPr>
        <w:t>②</w:t>
      </w:r>
      <w:bookmarkEnd w:id="12"/>
      <w:r>
        <w:rPr>
          <w:rFonts w:hint="eastAsia" w:ascii="仿宋" w:hAnsi="仿宋" w:eastAsia="仿宋" w:cs="仿宋"/>
          <w:sz w:val="28"/>
          <w:szCs w:val="28"/>
          <w:lang w:eastAsia="zh-CN"/>
        </w:rPr>
        <w:t>投标人应具有水利部颁发的《水利工程质量检测单位资质等级证书》（证书中须同时包含以下检测资质：岩土工程类甲级、混凝土工程类甲级、量测工程类甲级）</w:t>
      </w:r>
      <w:r>
        <w:rPr>
          <w:rFonts w:ascii="仿宋" w:hAnsi="仿宋" w:eastAsia="仿宋" w:cs="仿宋"/>
          <w:sz w:val="28"/>
          <w:szCs w:val="28"/>
          <w:lang w:eastAsia="zh-CN"/>
        </w:rPr>
        <w:t>；</w:t>
      </w:r>
    </w:p>
    <w:p>
      <w:pPr>
        <w:spacing w:line="51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③通过了国家认证认可监督管理委员会或各省、自治区、直辖市人民政府质量技术监督部门的计</w:t>
      </w:r>
      <w:bookmarkStart w:id="47" w:name="_GoBack"/>
      <w:bookmarkEnd w:id="47"/>
      <w:r>
        <w:rPr>
          <w:rFonts w:hint="eastAsia" w:ascii="仿宋" w:hAnsi="仿宋" w:eastAsia="仿宋" w:cs="仿宋"/>
          <w:sz w:val="28"/>
          <w:szCs w:val="28"/>
          <w:lang w:eastAsia="zh-CN"/>
        </w:rPr>
        <w:t>量认证，具有有效的《资质认定计量认证证书》（CMA）。</w:t>
      </w:r>
    </w:p>
    <w:p>
      <w:pPr>
        <w:spacing w:line="510" w:lineRule="exact"/>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（3）报价人自</w:t>
      </w:r>
      <w:r>
        <w:rPr>
          <w:rFonts w:hint="eastAsia" w:ascii="仿宋" w:hAnsi="仿宋" w:eastAsia="仿宋" w:cs="仿宋"/>
          <w:sz w:val="28"/>
          <w:szCs w:val="28"/>
          <w:lang w:eastAsia="zh-CN"/>
        </w:rPr>
        <w:t>2015</w:t>
      </w:r>
      <w:r>
        <w:rPr>
          <w:rFonts w:ascii="仿宋" w:hAnsi="仿宋" w:eastAsia="仿宋" w:cs="仿宋"/>
          <w:sz w:val="28"/>
          <w:szCs w:val="28"/>
          <w:lang w:eastAsia="zh-CN"/>
        </w:rPr>
        <w:t>年1月1日至报价截止日（以合同签订时间为准）</w:t>
      </w:r>
      <w:r>
        <w:rPr>
          <w:rFonts w:hint="eastAsia" w:ascii="仿宋" w:hAnsi="仿宋" w:eastAsia="仿宋" w:cs="仿宋"/>
          <w:sz w:val="28"/>
          <w:szCs w:val="28"/>
          <w:lang w:eastAsia="zh-CN"/>
        </w:rPr>
        <w:t>，投标人承担过1个已完成或在建的中型及以上航电枢纽（或航运枢纽或水利枢纽或水电工程或电航枢纽）的质量检测业绩。</w:t>
      </w:r>
    </w:p>
    <w:p>
      <w:pPr>
        <w:spacing w:line="51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(4)报价人需具有正常运行的满足本次询价工作内容需求的试验检测实验室。</w:t>
      </w:r>
    </w:p>
    <w:p>
      <w:pPr>
        <w:spacing w:line="510" w:lineRule="exact"/>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3.2</w:t>
      </w:r>
      <w:r>
        <w:rPr>
          <w:rFonts w:hint="eastAsia" w:ascii="仿宋" w:hAnsi="仿宋" w:eastAsia="仿宋" w:cs="仿宋"/>
          <w:sz w:val="28"/>
          <w:szCs w:val="28"/>
          <w:lang w:eastAsia="zh-CN"/>
        </w:rPr>
        <w:t>报价人没有被列入重庆高速公路集团有限公司黑名单。</w:t>
      </w:r>
    </w:p>
    <w:p>
      <w:pPr>
        <w:spacing w:line="510" w:lineRule="exact"/>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3.3</w:t>
      </w:r>
      <w:r>
        <w:rPr>
          <w:rFonts w:ascii="仿宋" w:hAnsi="仿宋" w:eastAsia="仿宋" w:cs="仿宋"/>
          <w:sz w:val="28"/>
          <w:szCs w:val="28"/>
          <w:lang w:eastAsia="zh-CN"/>
        </w:rPr>
        <w:t>本项目</w:t>
      </w:r>
      <w:r>
        <w:rPr>
          <w:rFonts w:hint="eastAsia" w:ascii="仿宋" w:hAnsi="仿宋" w:eastAsia="仿宋" w:cs="仿宋"/>
          <w:sz w:val="28"/>
          <w:szCs w:val="28"/>
          <w:lang w:eastAsia="zh-CN"/>
        </w:rPr>
        <w:t>不接受</w:t>
      </w:r>
      <w:r>
        <w:rPr>
          <w:rFonts w:ascii="仿宋" w:hAnsi="仿宋" w:eastAsia="仿宋" w:cs="仿宋"/>
          <w:sz w:val="28"/>
          <w:szCs w:val="28"/>
          <w:lang w:eastAsia="zh-CN"/>
        </w:rPr>
        <w:t>联合体</w:t>
      </w:r>
      <w:r>
        <w:rPr>
          <w:rFonts w:hint="eastAsia" w:ascii="仿宋" w:hAnsi="仿宋" w:eastAsia="仿宋" w:cs="仿宋"/>
          <w:sz w:val="28"/>
          <w:szCs w:val="28"/>
          <w:lang w:eastAsia="zh-CN"/>
        </w:rPr>
        <w:t>投标</w:t>
      </w:r>
      <w:r>
        <w:rPr>
          <w:rFonts w:ascii="仿宋" w:hAnsi="仿宋" w:eastAsia="仿宋" w:cs="仿宋"/>
          <w:sz w:val="28"/>
          <w:szCs w:val="28"/>
          <w:lang w:eastAsia="zh-CN"/>
        </w:rPr>
        <w:t>。</w:t>
      </w:r>
    </w:p>
    <w:p>
      <w:pPr>
        <w:pStyle w:val="2"/>
        <w:ind w:left="440"/>
        <w:rPr>
          <w:rFonts w:hint="eastAsia"/>
        </w:rPr>
      </w:pPr>
    </w:p>
    <w:p>
      <w:pPr>
        <w:pStyle w:val="2"/>
        <w:ind w:left="0" w:leftChars="0" w:firstLine="0"/>
        <w:jc w:val="left"/>
        <w:rPr>
          <w:rFonts w:ascii="黑体" w:hAnsi="黑体" w:eastAsia="黑体" w:cs="黑体"/>
          <w:bCs/>
          <w:sz w:val="28"/>
          <w:szCs w:val="28"/>
        </w:rPr>
      </w:pPr>
      <w:r>
        <w:rPr>
          <w:rFonts w:hint="eastAsia" w:ascii="黑体" w:hAnsi="黑体" w:eastAsia="黑体" w:cs="黑体"/>
          <w:bCs/>
          <w:sz w:val="28"/>
          <w:szCs w:val="28"/>
        </w:rPr>
        <w:t>4、发包人要求</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4.1总体要求</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为加强双江航电枢纽工程（的质量管理，规范工程质量检测行为， 确保工程建设质量和满足本工程竣工验收需要，依据《水利工程质量检测技术规范》(SL734－ 2016)、《水利工程施工监理规范》（SL288－2014）、《水利水电建设工程验收规程》（SL223-2008）、《水利水电工程施工质量检验与评定规程》（SL176-2007）、《水运工程质量检验标准》（JTS257-2008）、重庆市水利局关于印发《重庆市水利工程质量检测管理办法》的通知（渝水〔2018〕110 号）等规范、规程及文件规定，结合本项目设计文件、国家标准与水利行业和水运行业标准等有关规定，在项目施工阶段和竣工阶段引进第三方质量检测单位对原材料、中间产品等质量进行抽检和验收检测工作。</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4.2服务要求</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（1）负责编制双江航电枢纽工程质量检测方案，并配合完成方案评审工作。</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（2）负责编制施工阶段各施工标段项目法人全过程抽检季报、年报，以及交（完）工验收质量检测报告。</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（3）负责建立双江航电枢纽工程第三方质量检测档案管理制度和档案管理。</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（4）试验室须具有先进、实用的检测设备和工艺，具备完善检测手段和相应技术水平的试验室负责人和全部专业的检测人员，确保工程质量检测工作的科学、准确和公正。</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）试验室配置的检测仪器设备的检定、校准、率定、计量等须满足国家、地方、行业相关规程、规范、文件要求。</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）试验室须符合国家、地方、行业相关规程、规范、文件要求等。</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）负责本阶段原材料、中间产品抽样检测，包括取样、送样、样品检测、样品保存、样品处理等相关工作。</w:t>
      </w:r>
    </w:p>
    <w:p>
      <w:pPr>
        <w:pStyle w:val="2"/>
        <w:ind w:left="440"/>
      </w:pPr>
    </w:p>
    <w:p>
      <w:pPr>
        <w:numPr>
          <w:ilvl w:val="0"/>
          <w:numId w:val="0"/>
        </w:numPr>
        <w:tabs>
          <w:tab w:val="left" w:pos="3840"/>
          <w:tab w:val="left" w:pos="5300"/>
        </w:tabs>
        <w:autoSpaceDE w:val="0"/>
        <w:autoSpaceDN w:val="0"/>
        <w:adjustRightInd w:val="0"/>
        <w:snapToGrid w:val="0"/>
        <w:spacing w:line="360" w:lineRule="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5、</w:t>
      </w:r>
      <w:r>
        <w:rPr>
          <w:rFonts w:hint="eastAsia" w:ascii="黑体" w:hAnsi="黑体" w:eastAsia="黑体" w:cs="黑体"/>
          <w:sz w:val="28"/>
          <w:szCs w:val="28"/>
          <w:lang w:eastAsia="zh-CN"/>
        </w:rPr>
        <w:t>检测项目清单</w:t>
      </w:r>
    </w:p>
    <w:p>
      <w:pPr>
        <w:pStyle w:val="2"/>
        <w:numPr>
          <w:ilvl w:val="0"/>
          <w:numId w:val="0"/>
        </w:numPr>
        <w:jc w:val="center"/>
        <w:rPr>
          <w:color w:val="auto"/>
          <w:lang w:eastAsia="zh-CN"/>
        </w:rPr>
      </w:pPr>
      <w:r>
        <w:rPr>
          <w:rFonts w:hint="eastAsia" w:ascii="仿宋" w:hAnsi="仿宋" w:eastAsia="仿宋" w:cs="仿宋"/>
          <w:color w:val="auto"/>
          <w:szCs w:val="21"/>
          <w:lang w:eastAsia="zh-CN"/>
        </w:rPr>
        <w:t>一、厂房、泄水闸</w:t>
      </w:r>
      <w:r>
        <w:rPr>
          <w:rStyle w:val="193"/>
          <w:rFonts w:hint="default" w:ascii="仿宋" w:hAnsi="仿宋" w:eastAsia="仿宋" w:cs="仿宋"/>
          <w:color w:val="auto"/>
          <w:sz w:val="21"/>
          <w:szCs w:val="21"/>
          <w:lang w:eastAsia="zh-CN" w:bidi="ar"/>
        </w:rPr>
        <w:t>标段检测数量</w:t>
      </w:r>
    </w:p>
    <w:tbl>
      <w:tblPr>
        <w:tblStyle w:val="44"/>
        <w:tblW w:w="8088"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2"/>
        <w:gridCol w:w="993"/>
        <w:gridCol w:w="567"/>
        <w:gridCol w:w="3118"/>
        <w:gridCol w:w="851"/>
        <w:gridCol w:w="850"/>
        <w:gridCol w:w="1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2"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eastAsia="zh-CN" w:bidi="ar"/>
              </w:rPr>
              <w:t>检测</w:t>
            </w:r>
            <w:r>
              <w:rPr>
                <w:rFonts w:hint="eastAsia" w:ascii="仿宋" w:hAnsi="仿宋" w:eastAsia="仿宋" w:cs="仿宋"/>
                <w:color w:val="auto"/>
                <w:sz w:val="18"/>
                <w:szCs w:val="18"/>
                <w:lang w:bidi="ar"/>
              </w:rPr>
              <w:t>项目</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单位</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施工单位自检频率</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第三方检测数量（组）</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试验检测</w:t>
            </w:r>
          </w:p>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水泥(袋)</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同一厂家、同品牌、同强度等级、同一出厂编号，袋装每≤200t为一验收批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4282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w:t>
            </w:r>
          </w:p>
        </w:tc>
        <w:tc>
          <w:tcPr>
            <w:tcW w:w="1127"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eastAsia="zh-CN" w:bidi="ar"/>
              </w:rPr>
            </w:pPr>
            <w:r>
              <w:rPr>
                <w:rFonts w:hint="eastAsia" w:ascii="仿宋" w:hAnsi="仿宋" w:eastAsia="仿宋" w:cs="仿宋"/>
                <w:color w:val="auto"/>
                <w:sz w:val="15"/>
                <w:szCs w:val="15"/>
                <w:lang w:eastAsia="zh-CN" w:bidi="ar"/>
              </w:rPr>
              <w:t>标准稠度用水量、安定性、凝结时间、</w:t>
            </w:r>
            <w:r>
              <w:rPr>
                <w:rFonts w:hint="eastAsia" w:ascii="仿宋" w:hAnsi="仿宋" w:eastAsia="仿宋"/>
                <w:color w:val="auto"/>
                <w:sz w:val="15"/>
                <w:szCs w:val="15"/>
                <w:lang w:eastAsia="zh-CN"/>
              </w:rPr>
              <w:t>比表面积（或细度）、</w:t>
            </w:r>
            <w:r>
              <w:rPr>
                <w:rFonts w:hint="eastAsia" w:ascii="仿宋" w:hAnsi="仿宋" w:eastAsia="仿宋" w:cs="仿宋"/>
                <w:color w:val="auto"/>
                <w:sz w:val="15"/>
                <w:szCs w:val="15"/>
                <w:lang w:eastAsia="zh-CN" w:bidi="ar"/>
              </w:rPr>
              <w:t>胶砂强度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水泥（散装）</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同一厂家、同品牌、同强度等级、同一出厂编号，散装每≤400t为一验收批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49623.88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13</w:t>
            </w:r>
          </w:p>
        </w:tc>
        <w:tc>
          <w:tcPr>
            <w:tcW w:w="1127" w:type="dxa"/>
            <w:vMerge w:val="continue"/>
            <w:tcBorders>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2</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粉煤灰</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以连续供应的200t相同种类、相同等级的粉煤灰为一批号，不足200t者按一批计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13770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7</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eastAsia="zh-CN" w:bidi="ar"/>
              </w:rPr>
            </w:pPr>
            <w:r>
              <w:rPr>
                <w:rFonts w:hint="eastAsia" w:ascii="仿宋" w:hAnsi="仿宋" w:eastAsia="仿宋" w:cs="仿宋"/>
                <w:color w:val="auto"/>
                <w:sz w:val="15"/>
                <w:szCs w:val="15"/>
                <w:lang w:eastAsia="zh-CN" w:bidi="ar"/>
              </w:rPr>
              <w:t>细度、需水量比、含水量、烧失量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3</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细骨料</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同一生产地，同一规格，同一进场时间，每400m3或600t为一批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120123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21</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eastAsia="zh-CN" w:bidi="ar"/>
              </w:rPr>
            </w:pPr>
            <w:r>
              <w:rPr>
                <w:rFonts w:hint="eastAsia" w:ascii="仿宋" w:hAnsi="仿宋" w:eastAsia="仿宋" w:cs="仿宋"/>
                <w:color w:val="auto"/>
                <w:sz w:val="15"/>
                <w:szCs w:val="15"/>
                <w:lang w:eastAsia="zh-CN" w:bidi="ar"/>
              </w:rPr>
              <w:t>颗粒级配、饱和面干表观密度及吸水率、堆积密度、石粉含量(人工砂) 、泥块含量、有机物、云母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4</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粗骨料</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同一生产地，同一规格，同一进场时间，每400m3或600t为一批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268585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45</w:t>
            </w:r>
          </w:p>
        </w:tc>
        <w:tc>
          <w:tcPr>
            <w:tcW w:w="1127" w:type="dxa"/>
            <w:tcBorders>
              <w:top w:val="single" w:color="000000" w:sz="4" w:space="0"/>
              <w:left w:val="single" w:color="000000" w:sz="4" w:space="0"/>
              <w:right w:val="single" w:color="000000" w:sz="4" w:space="0"/>
            </w:tcBorders>
            <w:noWrap/>
            <w:vAlign w:val="center"/>
          </w:tcPr>
          <w:p>
            <w:pPr>
              <w:widowControl/>
              <w:textAlignment w:val="center"/>
              <w:rPr>
                <w:rFonts w:ascii="仿宋" w:hAnsi="仿宋" w:eastAsia="仿宋" w:cs="仿宋"/>
                <w:color w:val="auto"/>
                <w:sz w:val="15"/>
                <w:szCs w:val="15"/>
                <w:lang w:eastAsia="zh-CN" w:bidi="ar"/>
              </w:rPr>
            </w:pPr>
            <w:r>
              <w:rPr>
                <w:rFonts w:hint="eastAsia" w:ascii="仿宋" w:hAnsi="仿宋" w:eastAsia="仿宋" w:cs="仿宋"/>
                <w:color w:val="auto"/>
                <w:sz w:val="15"/>
                <w:szCs w:val="15"/>
                <w:lang w:eastAsia="zh-CN" w:bidi="ar"/>
              </w:rPr>
              <w:t>颗粒级配、饱和面干表观密度及吸水率、堆积密度、泥块含量、含泥量、超逊径含量、针片状颗粒含量、压碎值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5</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外加剂</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以每一批号为一取样单位，掺量大于1%（含1%）同品种的外加剂以100t为一批，掺量小于1%的外加剂以50t为一批，掺量小于0.05%的外加剂以小于2t为一批。一批外加剂进场的数量不足一批数量时，应视为一批进行检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837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eastAsia="zh-CN" w:bidi="ar"/>
              </w:rPr>
            </w:pPr>
            <w:r>
              <w:rPr>
                <w:rFonts w:hint="eastAsia" w:ascii="仿宋" w:hAnsi="仿宋" w:eastAsia="仿宋" w:cs="仿宋"/>
                <w:color w:val="auto"/>
                <w:sz w:val="15"/>
                <w:szCs w:val="15"/>
                <w:lang w:eastAsia="zh-CN" w:bidi="ar"/>
              </w:rPr>
              <w:t>减水率、泌水率比、含气量、凝结时间差、抗压强度比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6</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钢筋</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以同一牌号、同一炉罐号钢筋组成。每批不大于60t，超过60t的部分，每增加40t（或不足40t），增加一个拉伸试样和一个弯曲试样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10451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17</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eastAsia="zh-CN" w:bidi="ar"/>
              </w:rPr>
            </w:pPr>
            <w:r>
              <w:rPr>
                <w:rFonts w:hint="eastAsia" w:ascii="仿宋" w:hAnsi="仿宋" w:eastAsia="仿宋" w:cs="仿宋"/>
                <w:color w:val="auto"/>
                <w:sz w:val="15"/>
                <w:szCs w:val="15"/>
                <w:lang w:eastAsia="zh-CN" w:bidi="ar"/>
              </w:rPr>
              <w:t>重量偏差、屈服强度、抗拉强度、最大力总伸长率（或断后伸长率）、带E(屈强比、超屈比)、反向弯曲（或冷弯）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restart"/>
            <w:tcBorders>
              <w:top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7</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C15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Style w:val="193"/>
                <w:rFonts w:ascii="仿宋" w:hAnsi="仿宋" w:eastAsia="仿宋" w:cs="仿宋"/>
                <w:color w:val="auto"/>
                <w:lang w:bidi="ar"/>
              </w:rPr>
              <w:t>组</w:t>
            </w:r>
          </w:p>
        </w:tc>
        <w:tc>
          <w:tcPr>
            <w:tcW w:w="311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拌合楼每次生产都需取样，不同标号混凝土至少一组；大体积混凝土每500m3一组，非大体积混凝土每100m3一组</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407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1</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right w:val="single" w:color="000000" w:sz="4" w:space="0"/>
            </w:tcBorders>
            <w:vAlign w:val="center"/>
          </w:tcPr>
          <w:p>
            <w:pPr>
              <w:widowControl/>
              <w:jc w:val="center"/>
              <w:textAlignment w:val="center"/>
              <w:rPr>
                <w:rFonts w:ascii="仿宋" w:hAnsi="仿宋" w:eastAsia="仿宋" w:cs="仿宋"/>
                <w:color w:val="auto"/>
                <w:sz w:val="18"/>
                <w:szCs w:val="18"/>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C20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ascii="仿宋" w:hAnsi="仿宋" w:eastAsia="仿宋" w:cs="仿宋"/>
                <w:color w:val="auto"/>
                <w:lang w:bidi="ar"/>
              </w:rPr>
              <w:t>组</w:t>
            </w:r>
          </w:p>
        </w:tc>
        <w:tc>
          <w:tcPr>
            <w:tcW w:w="31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3718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4</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right w:val="single" w:color="000000" w:sz="4" w:space="0"/>
            </w:tcBorders>
            <w:vAlign w:val="center"/>
          </w:tcPr>
          <w:p>
            <w:pPr>
              <w:widowControl/>
              <w:jc w:val="center"/>
              <w:textAlignment w:val="center"/>
              <w:rPr>
                <w:rFonts w:ascii="仿宋" w:hAnsi="仿宋" w:eastAsia="仿宋" w:cs="仿宋"/>
                <w:color w:val="auto"/>
                <w:sz w:val="18"/>
                <w:szCs w:val="18"/>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C25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ascii="仿宋" w:hAnsi="仿宋" w:eastAsia="仿宋" w:cs="仿宋"/>
                <w:color w:val="auto"/>
                <w:lang w:bidi="ar"/>
              </w:rPr>
              <w:t>组</w:t>
            </w:r>
          </w:p>
        </w:tc>
        <w:tc>
          <w:tcPr>
            <w:tcW w:w="31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50493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51</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right w:val="single" w:color="000000" w:sz="4" w:space="0"/>
            </w:tcBorders>
            <w:vAlign w:val="center"/>
          </w:tcPr>
          <w:p>
            <w:pPr>
              <w:widowControl/>
              <w:jc w:val="center"/>
              <w:textAlignment w:val="center"/>
              <w:rPr>
                <w:rFonts w:ascii="仿宋" w:hAnsi="仿宋" w:eastAsia="仿宋" w:cs="仿宋"/>
                <w:color w:val="auto"/>
                <w:sz w:val="18"/>
                <w:szCs w:val="18"/>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ascii="仿宋" w:hAnsi="仿宋" w:eastAsia="仿宋" w:cs="仿宋"/>
                <w:color w:val="auto"/>
                <w:sz w:val="18"/>
                <w:szCs w:val="18"/>
                <w:lang w:bidi="ar"/>
              </w:rPr>
              <w:t>C30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ascii="仿宋" w:hAnsi="仿宋" w:eastAsia="仿宋" w:cs="仿宋"/>
                <w:color w:val="auto"/>
                <w:lang w:bidi="ar"/>
              </w:rPr>
              <w:t>组</w:t>
            </w:r>
          </w:p>
        </w:tc>
        <w:tc>
          <w:tcPr>
            <w:tcW w:w="31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6108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7</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right w:val="single" w:color="000000" w:sz="4" w:space="0"/>
            </w:tcBorders>
            <w:vAlign w:val="center"/>
          </w:tcPr>
          <w:p>
            <w:pPr>
              <w:widowControl/>
              <w:jc w:val="center"/>
              <w:textAlignment w:val="center"/>
              <w:rPr>
                <w:rFonts w:ascii="仿宋" w:hAnsi="仿宋" w:eastAsia="仿宋" w:cs="仿宋"/>
                <w:color w:val="auto"/>
                <w:sz w:val="18"/>
                <w:szCs w:val="18"/>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C40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ascii="仿宋" w:hAnsi="仿宋" w:eastAsia="仿宋" w:cs="仿宋"/>
                <w:color w:val="auto"/>
                <w:lang w:bidi="ar"/>
              </w:rPr>
              <w:t>组</w:t>
            </w:r>
          </w:p>
        </w:tc>
        <w:tc>
          <w:tcPr>
            <w:tcW w:w="31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10432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11</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right w:val="single" w:color="000000" w:sz="4" w:space="0"/>
            </w:tcBorders>
            <w:vAlign w:val="center"/>
          </w:tcPr>
          <w:p>
            <w:pPr>
              <w:widowControl/>
              <w:jc w:val="center"/>
              <w:textAlignment w:val="center"/>
              <w:rPr>
                <w:rFonts w:ascii="仿宋" w:hAnsi="仿宋" w:eastAsia="仿宋" w:cs="仿宋"/>
                <w:color w:val="auto"/>
                <w:sz w:val="18"/>
                <w:szCs w:val="18"/>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C45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ascii="仿宋" w:hAnsi="仿宋" w:eastAsia="仿宋" w:cs="仿宋"/>
                <w:color w:val="auto"/>
                <w:lang w:bidi="ar"/>
              </w:rPr>
              <w:t>组</w:t>
            </w:r>
          </w:p>
        </w:tc>
        <w:tc>
          <w:tcPr>
            <w:tcW w:w="31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1797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2</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8</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砂浆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Style w:val="193"/>
                <w:rFonts w:ascii="仿宋" w:hAnsi="仿宋" w:eastAsia="仿宋" w:cs="仿宋"/>
                <w:color w:val="auto"/>
                <w:lang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每100m3一组</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400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9</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级配碎石</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Style w:val="193"/>
                <w:rFonts w:ascii="仿宋" w:hAnsi="仿宋" w:eastAsia="仿宋" w:cs="仿宋"/>
                <w:color w:val="auto"/>
                <w:lang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3个</w:t>
            </w:r>
            <w:r>
              <w:rPr>
                <w:rStyle w:val="193"/>
                <w:rFonts w:hint="default" w:ascii="仿宋" w:hAnsi="仿宋" w:eastAsia="仿宋" w:cs="仿宋"/>
                <w:color w:val="auto"/>
                <w:lang w:bidi="ar"/>
              </w:rPr>
              <w:t>点</w:t>
            </w:r>
            <w:r>
              <w:rPr>
                <w:rFonts w:hint="eastAsia" w:ascii="仿宋" w:hAnsi="仿宋" w:eastAsia="仿宋" w:cs="仿宋"/>
                <w:color w:val="auto"/>
                <w:sz w:val="18"/>
                <w:szCs w:val="18"/>
                <w:lang w:bidi="ar"/>
              </w:rPr>
              <w:t>/1000㎡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2754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压实度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rPr>
            </w:pPr>
            <w:r>
              <w:rPr>
                <w:rFonts w:hint="eastAsia" w:ascii="仿宋" w:hAnsi="仿宋" w:eastAsia="仿宋" w:cs="仿宋"/>
                <w:color w:val="auto"/>
                <w:sz w:val="18"/>
                <w:szCs w:val="18"/>
                <w:lang w:eastAsia="zh-CN" w:bidi="ar"/>
              </w:rPr>
              <w:t>10</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水稳层压实度</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Style w:val="193"/>
                <w:rFonts w:ascii="仿宋" w:hAnsi="仿宋" w:eastAsia="仿宋" w:cs="仿宋"/>
                <w:color w:val="auto"/>
                <w:lang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3个点/1000㎡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bidi="ar"/>
              </w:rPr>
              <w:t>2142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压实度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11</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混凝土</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eastAsia="zh-CN" w:bidi="ar"/>
              </w:rPr>
            </w:pPr>
            <w:r>
              <w:rPr>
                <w:rStyle w:val="193"/>
                <w:rFonts w:hint="default" w:ascii="仿宋" w:hAnsi="仿宋" w:eastAsia="仿宋" w:cs="仿宋"/>
                <w:color w:val="auto"/>
                <w:lang w:eastAsia="zh-CN" w:bidi="ar"/>
              </w:rPr>
              <w:t>每季度主要施工部位取样1~2组</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12</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5"/>
                <w:szCs w:val="15"/>
                <w:lang w:eastAsia="zh-CN" w:bidi="ar"/>
              </w:rPr>
            </w:pPr>
            <w:r>
              <w:rPr>
                <w:rFonts w:hint="eastAsia" w:ascii="仿宋" w:hAnsi="仿宋" w:eastAsia="仿宋" w:cs="仿宋"/>
                <w:color w:val="auto"/>
                <w:sz w:val="15"/>
                <w:szCs w:val="15"/>
                <w:lang w:bidi="ar"/>
              </w:rPr>
              <w:t>抗冻</w:t>
            </w:r>
            <w:r>
              <w:rPr>
                <w:rFonts w:hint="eastAsia" w:ascii="仿宋" w:hAnsi="仿宋" w:eastAsia="仿宋" w:cs="仿宋"/>
                <w:color w:val="auto"/>
                <w:sz w:val="15"/>
                <w:szCs w:val="15"/>
                <w:lang w:eastAsia="zh-CN" w:bidi="ar"/>
              </w:rPr>
              <w:t>试验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18"/>
                <w:szCs w:val="18"/>
                <w:lang w:eastAsia="zh-CN" w:bidi="ar"/>
              </w:rPr>
            </w:pPr>
            <w:bookmarkStart w:id="13" w:name="_Hlk129611213"/>
            <w:r>
              <w:rPr>
                <w:rFonts w:hint="eastAsia" w:ascii="仿宋" w:hAnsi="仿宋" w:eastAsia="仿宋" w:cs="仿宋"/>
                <w:color w:val="auto"/>
                <w:sz w:val="18"/>
                <w:szCs w:val="18"/>
                <w:lang w:eastAsia="zh-CN" w:bidi="ar"/>
              </w:rPr>
              <w:t>1</w:t>
            </w:r>
            <w:r>
              <w:rPr>
                <w:rFonts w:ascii="仿宋" w:hAnsi="仿宋" w:eastAsia="仿宋" w:cs="仿宋"/>
                <w:color w:val="auto"/>
                <w:sz w:val="18"/>
                <w:szCs w:val="18"/>
                <w:lang w:eastAsia="zh-CN" w:bidi="ar"/>
              </w:rPr>
              <w:t>2</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ascii="仿宋" w:hAnsi="仿宋" w:eastAsia="仿宋" w:cs="仿宋"/>
                <w:color w:val="auto"/>
                <w:lang w:eastAsia="zh-CN" w:bidi="ar"/>
              </w:rPr>
            </w:pPr>
            <w:r>
              <w:rPr>
                <w:rStyle w:val="193"/>
                <w:rFonts w:hint="default" w:ascii="仿宋" w:hAnsi="仿宋" w:eastAsia="仿宋" w:cs="仿宋"/>
                <w:color w:val="auto"/>
                <w:lang w:eastAsia="zh-CN" w:bidi="ar"/>
              </w:rPr>
              <w:t>项</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lang w:bidi="ar"/>
              </w:rPr>
            </w:pPr>
          </w:p>
        </w:tc>
        <w:tc>
          <w:tcPr>
            <w:tcW w:w="11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5"/>
                <w:szCs w:val="15"/>
                <w:lang w:eastAsia="zh-CN" w:bidi="ar"/>
              </w:rPr>
            </w:pPr>
            <w:r>
              <w:rPr>
                <w:rFonts w:hint="eastAsia" w:ascii="仿宋" w:hAnsi="仿宋" w:eastAsia="仿宋" w:cs="仿宋"/>
                <w:color w:val="auto"/>
                <w:sz w:val="15"/>
                <w:szCs w:val="15"/>
                <w:lang w:eastAsia="zh-CN" w:bidi="ar"/>
              </w:rPr>
              <w:t>询价函中其他工作</w:t>
            </w:r>
          </w:p>
        </w:tc>
      </w:tr>
      <w:bookmarkEnd w:id="13"/>
    </w:tbl>
    <w:p>
      <w:pPr>
        <w:pStyle w:val="2"/>
        <w:ind w:left="0" w:leftChars="0" w:firstLine="0"/>
        <w:jc w:val="center"/>
        <w:rPr>
          <w:color w:val="auto"/>
        </w:rPr>
      </w:pPr>
      <w:r>
        <w:rPr>
          <w:rStyle w:val="193"/>
          <w:rFonts w:hint="default" w:ascii="仿宋" w:hAnsi="仿宋" w:eastAsia="仿宋" w:cs="仿宋"/>
          <w:color w:val="auto"/>
          <w:sz w:val="21"/>
          <w:szCs w:val="21"/>
          <w:lang w:eastAsia="zh-CN" w:bidi="ar"/>
        </w:rPr>
        <w:t>二、船闸工程主要合同工程量统计表</w:t>
      </w:r>
    </w:p>
    <w:tbl>
      <w:tblPr>
        <w:tblStyle w:val="44"/>
        <w:tblW w:w="809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9"/>
        <w:gridCol w:w="946"/>
        <w:gridCol w:w="567"/>
        <w:gridCol w:w="2976"/>
        <w:gridCol w:w="993"/>
        <w:gridCol w:w="850"/>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29"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工程项目</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单位</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93"/>
                <w:rFonts w:hint="default" w:ascii="仿宋" w:hAnsi="仿宋" w:eastAsia="仿宋" w:cs="仿宋"/>
                <w:color w:val="auto"/>
                <w:lang w:bidi="ar"/>
              </w:rPr>
            </w:pPr>
            <w:r>
              <w:rPr>
                <w:rFonts w:hint="eastAsia" w:ascii="仿宋" w:hAnsi="仿宋" w:eastAsia="仿宋" w:cs="仿宋"/>
                <w:color w:val="auto"/>
                <w:sz w:val="18"/>
                <w:szCs w:val="18"/>
                <w:lang w:bidi="ar"/>
              </w:rPr>
              <w:t>施工单位自检频率</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数量</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ascii="仿宋" w:hAnsi="仿宋" w:eastAsia="仿宋" w:cs="仿宋"/>
                <w:color w:val="auto"/>
                <w:lang w:eastAsia="zh-CN" w:bidi="ar"/>
              </w:rPr>
            </w:pPr>
            <w:r>
              <w:rPr>
                <w:rStyle w:val="193"/>
                <w:rFonts w:hint="default" w:ascii="仿宋" w:hAnsi="仿宋" w:eastAsia="仿宋" w:cs="仿宋"/>
                <w:color w:val="auto"/>
                <w:lang w:eastAsia="zh-CN" w:bidi="ar"/>
              </w:rPr>
              <w:t>第三方检测数量（组）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试验检测</w:t>
            </w:r>
          </w:p>
          <w:p>
            <w:pPr>
              <w:widowControl/>
              <w:jc w:val="center"/>
              <w:textAlignment w:val="center"/>
              <w:rPr>
                <w:rStyle w:val="193"/>
                <w:rFonts w:hint="default" w:ascii="仿宋" w:hAnsi="仿宋" w:eastAsia="仿宋" w:cs="仿宋"/>
                <w:color w:val="auto"/>
                <w:lang w:bidi="ar"/>
              </w:rPr>
            </w:pPr>
            <w:r>
              <w:rPr>
                <w:rFonts w:hint="eastAsia" w:ascii="仿宋" w:hAnsi="仿宋" w:eastAsia="仿宋" w:cs="仿宋"/>
                <w:color w:val="auto"/>
                <w:sz w:val="18"/>
                <w:szCs w:val="18"/>
                <w:lang w:bidi="ar"/>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29" w:type="dxa"/>
            <w:tcBorders>
              <w:top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钢筋（HRB400）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ascii="仿宋" w:hAnsi="仿宋" w:eastAsia="仿宋" w:cs="仿宋"/>
                <w:color w:val="auto"/>
                <w:lang w:eastAsia="zh-CN" w:bidi="ar"/>
              </w:rPr>
            </w:pPr>
            <w:r>
              <w:rPr>
                <w:rStyle w:val="193"/>
                <w:rFonts w:hint="default" w:ascii="仿宋" w:hAnsi="仿宋" w:eastAsia="仿宋" w:cs="仿宋"/>
                <w:color w:val="auto"/>
                <w:lang w:eastAsia="zh-CN" w:bidi="ar"/>
              </w:rPr>
              <w:t>组</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eastAsia="zh-CN" w:bidi="ar"/>
              </w:rPr>
            </w:pPr>
            <w:r>
              <w:rPr>
                <w:rStyle w:val="193"/>
                <w:rFonts w:hint="default" w:ascii="仿宋" w:hAnsi="仿宋" w:eastAsia="仿宋" w:cs="仿宋"/>
                <w:color w:val="auto"/>
                <w:lang w:eastAsia="zh-CN" w:bidi="ar"/>
              </w:rPr>
              <w:t>同一牌号，同一炉号，同一规格，同一交货状态，不大于60t为一批。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1200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eastAsia="zh-CN" w:bidi="ar"/>
              </w:rPr>
            </w:pPr>
            <w:r>
              <w:rPr>
                <w:rFonts w:hint="eastAsia" w:ascii="仿宋" w:hAnsi="仿宋" w:eastAsia="仿宋" w:cs="仿宋"/>
                <w:color w:val="auto"/>
                <w:sz w:val="15"/>
                <w:szCs w:val="15"/>
                <w:lang w:eastAsia="zh-CN" w:bidi="ar"/>
              </w:rPr>
              <w:t>重量偏差、屈服强度、抗拉强度、最大力总伸长率（或断后伸长率）、带E(屈强比、超屈比)、反向弯曲（或冷弯）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29" w:type="dxa"/>
            <w:tcBorders>
              <w:top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2</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土石回填</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ascii="仿宋" w:hAnsi="仿宋" w:eastAsia="仿宋" w:cs="仿宋"/>
                <w:color w:val="auto"/>
                <w:lang w:eastAsia="zh-CN" w:bidi="ar"/>
              </w:rPr>
            </w:pPr>
            <w:r>
              <w:rPr>
                <w:rStyle w:val="193"/>
                <w:rFonts w:hint="default" w:ascii="仿宋" w:hAnsi="仿宋" w:eastAsia="仿宋" w:cs="仿宋"/>
                <w:color w:val="auto"/>
                <w:lang w:eastAsia="zh-CN" w:bidi="ar"/>
              </w:rPr>
              <w:t>组</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500m</w:t>
            </w:r>
            <w:r>
              <w:rPr>
                <w:rStyle w:val="194"/>
                <w:rFonts w:hint="default" w:ascii="仿宋" w:hAnsi="仿宋" w:eastAsia="仿宋" w:cs="仿宋"/>
                <w:color w:val="auto"/>
                <w:lang w:bidi="ar"/>
              </w:rPr>
              <w:t>3</w:t>
            </w:r>
            <w:r>
              <w:rPr>
                <w:rStyle w:val="193"/>
                <w:rFonts w:hint="default" w:ascii="仿宋" w:hAnsi="仿宋" w:eastAsia="仿宋" w:cs="仿宋"/>
                <w:color w:val="auto"/>
                <w:lang w:bidi="ar"/>
              </w:rPr>
              <w:t>一个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91963.06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19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Fonts w:hint="eastAsia" w:ascii="仿宋" w:hAnsi="仿宋" w:eastAsia="仿宋" w:cs="仿宋"/>
                <w:color w:val="auto"/>
                <w:sz w:val="15"/>
                <w:szCs w:val="15"/>
                <w:lang w:bidi="ar"/>
              </w:rPr>
              <w:t>压实度或相对密度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29" w:type="dxa"/>
            <w:vMerge w:val="restart"/>
            <w:tcBorders>
              <w:top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3</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C15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ascii="仿宋" w:hAnsi="仿宋" w:eastAsia="仿宋" w:cs="仿宋"/>
                <w:color w:val="auto"/>
                <w:lang w:eastAsia="zh-CN" w:bidi="ar"/>
              </w:rPr>
            </w:pPr>
            <w:r>
              <w:rPr>
                <w:rStyle w:val="193"/>
                <w:rFonts w:hint="default" w:ascii="仿宋" w:hAnsi="仿宋" w:eastAsia="仿宋" w:cs="仿宋"/>
                <w:color w:val="auto"/>
                <w:lang w:eastAsia="zh-CN" w:bidi="ar"/>
              </w:rPr>
              <w:t>组</w:t>
            </w:r>
          </w:p>
        </w:tc>
        <w:tc>
          <w:tcPr>
            <w:tcW w:w="2976" w:type="dxa"/>
            <w:vMerge w:val="restart"/>
            <w:tcBorders>
              <w:top w:val="single" w:color="000000" w:sz="4" w:space="0"/>
              <w:left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eastAsia="zh-CN" w:bidi="ar"/>
              </w:rPr>
            </w:pPr>
            <w:r>
              <w:rPr>
                <w:rStyle w:val="193"/>
                <w:rFonts w:hint="default" w:ascii="仿宋" w:hAnsi="仿宋" w:eastAsia="仿宋" w:cs="仿宋"/>
                <w:color w:val="auto"/>
                <w:lang w:eastAsia="zh-CN" w:bidi="ar"/>
              </w:rPr>
              <w:t>拌合楼每次生产都需取样，不同标号混凝土至少一组；大体积混凝土每500m3一组，非大体积混凝土每100m3一组</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387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vMerge w:val="continue"/>
            <w:tcBorders>
              <w:right w:val="single" w:color="000000" w:sz="4" w:space="0"/>
            </w:tcBorders>
            <w:vAlign w:val="center"/>
          </w:tcPr>
          <w:p>
            <w:pPr>
              <w:widowControl/>
              <w:jc w:val="center"/>
              <w:textAlignment w:val="center"/>
              <w:rPr>
                <w:rStyle w:val="193"/>
                <w:rFonts w:hint="default" w:ascii="仿宋" w:hAnsi="仿宋" w:eastAsia="仿宋" w:cs="仿宋"/>
                <w:color w:val="auto"/>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C20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ascii="仿宋" w:hAnsi="仿宋" w:eastAsia="仿宋" w:cs="仿宋"/>
                <w:color w:val="auto"/>
                <w:lang w:eastAsia="zh-CN" w:bidi="ar"/>
              </w:rPr>
            </w:pPr>
            <w:r>
              <w:rPr>
                <w:rStyle w:val="193"/>
                <w:rFonts w:hint="default" w:ascii="仿宋" w:hAnsi="仿宋" w:eastAsia="仿宋" w:cs="仿宋"/>
                <w:color w:val="auto"/>
                <w:lang w:eastAsia="zh-CN" w:bidi="ar"/>
              </w:rPr>
              <w:t>组</w:t>
            </w:r>
          </w:p>
        </w:tc>
        <w:tc>
          <w:tcPr>
            <w:tcW w:w="2976" w:type="dxa"/>
            <w:vMerge w:val="continue"/>
            <w:tcBorders>
              <w:left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3091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vMerge w:val="continue"/>
            <w:tcBorders>
              <w:right w:val="single" w:color="000000" w:sz="4" w:space="0"/>
            </w:tcBorders>
            <w:vAlign w:val="center"/>
          </w:tcPr>
          <w:p>
            <w:pPr>
              <w:widowControl/>
              <w:jc w:val="center"/>
              <w:textAlignment w:val="center"/>
              <w:rPr>
                <w:rStyle w:val="193"/>
                <w:rFonts w:hint="default" w:ascii="仿宋" w:hAnsi="仿宋" w:eastAsia="仿宋" w:cs="仿宋"/>
                <w:color w:val="auto"/>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C25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eastAsia="zh-CN" w:bidi="ar"/>
              </w:rPr>
              <w:t>组</w:t>
            </w:r>
          </w:p>
        </w:tc>
        <w:tc>
          <w:tcPr>
            <w:tcW w:w="2976" w:type="dxa"/>
            <w:vMerge w:val="continue"/>
            <w:tcBorders>
              <w:left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4459</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vMerge w:val="continue"/>
            <w:tcBorders>
              <w:right w:val="single" w:color="000000" w:sz="4" w:space="0"/>
            </w:tcBorders>
            <w:vAlign w:val="center"/>
          </w:tcPr>
          <w:p>
            <w:pPr>
              <w:widowControl/>
              <w:jc w:val="center"/>
              <w:textAlignment w:val="center"/>
              <w:rPr>
                <w:rStyle w:val="193"/>
                <w:rFonts w:hint="default" w:ascii="仿宋" w:hAnsi="仿宋" w:eastAsia="仿宋" w:cs="仿宋"/>
                <w:color w:val="auto"/>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C30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eastAsia="zh-CN" w:bidi="ar"/>
              </w:rPr>
              <w:t>组</w:t>
            </w:r>
          </w:p>
        </w:tc>
        <w:tc>
          <w:tcPr>
            <w:tcW w:w="2976" w:type="dxa"/>
            <w:vMerge w:val="continue"/>
            <w:tcBorders>
              <w:left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107569</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108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vMerge w:val="continue"/>
            <w:tcBorders>
              <w:right w:val="single" w:color="000000" w:sz="4" w:space="0"/>
            </w:tcBorders>
            <w:vAlign w:val="center"/>
          </w:tcPr>
          <w:p>
            <w:pPr>
              <w:widowControl/>
              <w:jc w:val="center"/>
              <w:textAlignment w:val="center"/>
              <w:rPr>
                <w:rStyle w:val="193"/>
                <w:rFonts w:hint="default" w:ascii="仿宋" w:hAnsi="仿宋" w:eastAsia="仿宋" w:cs="仿宋"/>
                <w:color w:val="auto"/>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C35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eastAsia="zh-CN" w:bidi="ar"/>
              </w:rPr>
              <w:t>组</w:t>
            </w:r>
          </w:p>
        </w:tc>
        <w:tc>
          <w:tcPr>
            <w:tcW w:w="2976" w:type="dxa"/>
            <w:vMerge w:val="continue"/>
            <w:tcBorders>
              <w:left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5628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抗压强度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tcBorders>
              <w:top w:val="single" w:color="auto" w:sz="4" w:space="0"/>
              <w:bottom w:val="single" w:color="auto"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4</w:t>
            </w:r>
          </w:p>
        </w:tc>
        <w:tc>
          <w:tcPr>
            <w:tcW w:w="9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bidi="ar"/>
              </w:rPr>
              <w:t>常态混凝土</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bidi="ar"/>
              </w:rPr>
            </w:pPr>
            <w:r>
              <w:rPr>
                <w:rStyle w:val="193"/>
                <w:rFonts w:hint="default" w:ascii="仿宋" w:hAnsi="仿宋" w:eastAsia="仿宋" w:cs="仿宋"/>
                <w:color w:val="auto"/>
                <w:lang w:eastAsia="zh-CN" w:bidi="ar"/>
              </w:rPr>
              <w:t>组</w:t>
            </w:r>
          </w:p>
        </w:tc>
        <w:tc>
          <w:tcPr>
            <w:tcW w:w="297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Style w:val="193"/>
                <w:rFonts w:hint="default" w:ascii="仿宋" w:hAnsi="仿宋" w:eastAsia="仿宋" w:cs="仿宋"/>
                <w:color w:val="auto"/>
                <w:lang w:eastAsia="zh-CN" w:bidi="ar"/>
              </w:rPr>
            </w:pPr>
            <w:r>
              <w:rPr>
                <w:rStyle w:val="193"/>
                <w:rFonts w:hint="default" w:ascii="仿宋" w:hAnsi="仿宋" w:eastAsia="仿宋" w:cs="仿宋"/>
                <w:color w:val="auto"/>
                <w:lang w:eastAsia="zh-CN" w:bidi="ar"/>
              </w:rPr>
              <w:t>每季度主要施工部位取样1~2组</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5"/>
                <w:szCs w:val="15"/>
                <w:lang w:bidi="ar"/>
              </w:rPr>
            </w:pPr>
            <w:r>
              <w:rPr>
                <w:rFonts w:hint="eastAsia" w:ascii="仿宋" w:hAnsi="仿宋" w:eastAsia="仿宋" w:cs="仿宋"/>
                <w:color w:val="auto"/>
                <w:sz w:val="15"/>
                <w:szCs w:val="15"/>
                <w:lang w:bidi="ar"/>
              </w:rPr>
              <w:t>抗冻等级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tcBorders>
              <w:top w:val="single" w:color="auto" w:sz="4" w:space="0"/>
              <w:right w:val="single" w:color="000000" w:sz="4" w:space="0"/>
            </w:tcBorders>
            <w:vAlign w:val="center"/>
          </w:tcPr>
          <w:p>
            <w:pPr>
              <w:widowControl/>
              <w:jc w:val="center"/>
              <w:textAlignment w:val="center"/>
              <w:rPr>
                <w:rStyle w:val="193"/>
                <w:rFonts w:ascii="仿宋" w:hAnsi="仿宋" w:eastAsia="仿宋" w:cs="仿宋"/>
                <w:color w:val="auto"/>
                <w:lang w:eastAsia="zh-CN" w:bidi="ar"/>
              </w:rPr>
            </w:pPr>
            <w:r>
              <w:rPr>
                <w:rStyle w:val="193"/>
                <w:rFonts w:hint="default" w:ascii="仿宋" w:hAnsi="仿宋" w:eastAsia="仿宋" w:cs="仿宋"/>
                <w:color w:val="auto"/>
                <w:lang w:eastAsia="zh-CN" w:bidi="ar"/>
              </w:rPr>
              <w:t>5</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ascii="仿宋" w:hAnsi="仿宋" w:eastAsia="仿宋" w:cs="仿宋"/>
                <w:color w:val="auto"/>
                <w:lang w:eastAsia="zh-CN" w:bidi="ar"/>
              </w:rPr>
            </w:pPr>
            <w:r>
              <w:rPr>
                <w:rStyle w:val="193"/>
                <w:rFonts w:hint="default" w:ascii="仿宋" w:hAnsi="仿宋" w:eastAsia="仿宋" w:cs="仿宋"/>
                <w:color w:val="auto"/>
                <w:lang w:eastAsia="zh-CN" w:bidi="ar"/>
              </w:rPr>
              <w:t>项</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auto"/>
                <w:lang w:eastAsia="zh-CN"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15"/>
                <w:szCs w:val="15"/>
                <w:lang w:eastAsia="zh-CN" w:bidi="ar"/>
              </w:rPr>
            </w:pPr>
            <w:r>
              <w:rPr>
                <w:rFonts w:hint="eastAsia" w:ascii="仿宋" w:hAnsi="仿宋" w:eastAsia="仿宋" w:cs="仿宋"/>
                <w:color w:val="auto"/>
                <w:sz w:val="15"/>
                <w:szCs w:val="15"/>
                <w:lang w:eastAsia="zh-CN" w:bidi="ar"/>
              </w:rPr>
              <w:t>询价函中其他工作</w:t>
            </w:r>
          </w:p>
        </w:tc>
      </w:tr>
    </w:tbl>
    <w:p>
      <w:pPr>
        <w:tabs>
          <w:tab w:val="left" w:pos="3840"/>
          <w:tab w:val="left" w:pos="5300"/>
        </w:tabs>
        <w:autoSpaceDE w:val="0"/>
        <w:autoSpaceDN w:val="0"/>
        <w:adjustRightInd w:val="0"/>
        <w:snapToGrid w:val="0"/>
        <w:spacing w:line="360" w:lineRule="auto"/>
        <w:ind w:firstLine="560" w:firstLineChars="200"/>
        <w:rPr>
          <w:rFonts w:ascii="Times New Roman" w:hAnsi="Times New Roman" w:eastAsia="方正仿宋_GBK" w:cs="Times New Roman"/>
          <w:bCs/>
          <w:sz w:val="32"/>
          <w:szCs w:val="32"/>
          <w:lang w:eastAsia="zh-CN"/>
        </w:rPr>
      </w:pPr>
      <w:r>
        <w:rPr>
          <w:rFonts w:hint="eastAsia" w:ascii="仿宋" w:hAnsi="仿宋" w:eastAsia="仿宋" w:cs="仿宋"/>
          <w:sz w:val="28"/>
          <w:szCs w:val="28"/>
          <w:lang w:eastAsia="zh-CN"/>
        </w:rPr>
        <w:t>以上检测组数为估算数，最终以实际检测组数计。</w:t>
      </w:r>
    </w:p>
    <w:p>
      <w:pPr>
        <w:tabs>
          <w:tab w:val="left" w:pos="3840"/>
          <w:tab w:val="left" w:pos="5300"/>
        </w:tabs>
        <w:autoSpaceDE w:val="0"/>
        <w:autoSpaceDN w:val="0"/>
        <w:adjustRightInd w:val="0"/>
        <w:snapToGrid w:val="0"/>
        <w:spacing w:line="360" w:lineRule="auto"/>
        <w:rPr>
          <w:rFonts w:ascii="黑体" w:hAnsi="黑体" w:eastAsia="黑体" w:cs="黑体"/>
          <w:sz w:val="28"/>
          <w:szCs w:val="28"/>
          <w:lang w:eastAsia="zh-CN"/>
        </w:rPr>
      </w:pPr>
      <w:bookmarkStart w:id="14" w:name="_Toc52097503"/>
      <w:bookmarkStart w:id="15" w:name="_Toc324429696"/>
      <w:bookmarkStart w:id="16" w:name="_Toc29194684"/>
      <w:bookmarkStart w:id="17" w:name="_Toc13014"/>
      <w:bookmarkStart w:id="18" w:name="_Toc323734101"/>
      <w:bookmarkStart w:id="19" w:name="_Toc6230453"/>
      <w:r>
        <w:rPr>
          <w:rFonts w:hint="eastAsia" w:ascii="黑体" w:hAnsi="黑体" w:eastAsia="黑体" w:cs="黑体"/>
          <w:sz w:val="28"/>
          <w:szCs w:val="28"/>
          <w:lang w:eastAsia="zh-CN"/>
        </w:rPr>
        <w:t>6. 报价文件的递交</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6</w:t>
      </w:r>
      <w:r>
        <w:rPr>
          <w:rFonts w:ascii="仿宋" w:hAnsi="仿宋" w:eastAsia="仿宋" w:cs="仿宋"/>
          <w:sz w:val="28"/>
          <w:szCs w:val="28"/>
          <w:lang w:eastAsia="zh-CN"/>
        </w:rPr>
        <w:t>.1报价文件递交地点：</w:t>
      </w:r>
      <w:r>
        <w:rPr>
          <w:rFonts w:hint="eastAsia" w:ascii="仿宋" w:hAnsi="仿宋" w:eastAsia="仿宋" w:cs="仿宋"/>
          <w:sz w:val="28"/>
          <w:szCs w:val="28"/>
          <w:lang w:eastAsia="zh-CN"/>
        </w:rPr>
        <w:t>重庆双江航运发展有限</w:t>
      </w:r>
      <w:r>
        <w:rPr>
          <w:rFonts w:ascii="仿宋" w:hAnsi="仿宋" w:eastAsia="仿宋" w:cs="仿宋"/>
          <w:sz w:val="28"/>
          <w:szCs w:val="28"/>
          <w:lang w:eastAsia="zh-CN"/>
        </w:rPr>
        <w:t>公司</w:t>
      </w:r>
      <w:r>
        <w:rPr>
          <w:rFonts w:hint="eastAsia" w:ascii="仿宋" w:hAnsi="仿宋" w:eastAsia="仿宋" w:cs="仿宋"/>
          <w:sz w:val="28"/>
          <w:szCs w:val="28"/>
          <w:lang w:eastAsia="zh-CN"/>
        </w:rPr>
        <w:t>(合同管理部）</w:t>
      </w:r>
      <w:r>
        <w:rPr>
          <w:rFonts w:ascii="仿宋" w:hAnsi="仿宋" w:eastAsia="仿宋" w:cs="仿宋"/>
          <w:sz w:val="28"/>
          <w:szCs w:val="28"/>
          <w:lang w:eastAsia="zh-CN"/>
        </w:rPr>
        <w:t>。</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6</w:t>
      </w:r>
      <w:r>
        <w:rPr>
          <w:rFonts w:ascii="仿宋" w:hAnsi="仿宋" w:eastAsia="仿宋" w:cs="仿宋"/>
          <w:sz w:val="28"/>
          <w:szCs w:val="28"/>
          <w:lang w:eastAsia="zh-CN"/>
        </w:rPr>
        <w:t>.2报价文件递交截止时间：</w:t>
      </w:r>
      <w:r>
        <w:rPr>
          <w:rFonts w:hint="eastAsia" w:ascii="仿宋" w:hAnsi="仿宋" w:eastAsia="仿宋" w:cs="仿宋"/>
          <w:sz w:val="28"/>
          <w:szCs w:val="28"/>
          <w:lang w:eastAsia="zh-CN"/>
        </w:rPr>
        <w:t>公告发布后第5个工作日17:00时内</w:t>
      </w:r>
      <w:r>
        <w:rPr>
          <w:rFonts w:ascii="仿宋" w:hAnsi="仿宋" w:eastAsia="仿宋" w:cs="仿宋"/>
          <w:sz w:val="28"/>
          <w:szCs w:val="28"/>
          <w:lang w:eastAsia="zh-CN"/>
        </w:rPr>
        <w:t>。</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6</w:t>
      </w:r>
      <w:r>
        <w:rPr>
          <w:rFonts w:ascii="仿宋" w:hAnsi="仿宋" w:eastAsia="仿宋" w:cs="仿宋"/>
          <w:sz w:val="28"/>
          <w:szCs w:val="28"/>
          <w:lang w:eastAsia="zh-CN"/>
        </w:rPr>
        <w:t>.3逾期送达的、未送达指定地点的或者不按照询价文件要求密封的报价文件，将予以拒收。</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6</w:t>
      </w:r>
      <w:r>
        <w:rPr>
          <w:rFonts w:ascii="仿宋" w:hAnsi="仿宋" w:eastAsia="仿宋" w:cs="仿宋"/>
          <w:sz w:val="28"/>
          <w:szCs w:val="28"/>
          <w:lang w:eastAsia="zh-CN"/>
        </w:rPr>
        <w:t>.4采用邮寄等其他方式递交报价文件的，所有风险由报价人自行承担。</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6.5通过合格供方库抽取的单位,还应满足其他要求：纸质件按递交要求送达，同时还需在重庆高速公路集团有限公司招投标管理平台同步进行网上报价，满足重庆高速公路集团有限公司相关规定、程序和要求。</w:t>
      </w:r>
    </w:p>
    <w:p>
      <w:pPr>
        <w:tabs>
          <w:tab w:val="left" w:pos="3840"/>
          <w:tab w:val="left" w:pos="5300"/>
        </w:tabs>
        <w:autoSpaceDE w:val="0"/>
        <w:autoSpaceDN w:val="0"/>
        <w:adjustRightInd w:val="0"/>
        <w:snapToGrid w:val="0"/>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7.发布公告的媒介</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7</w:t>
      </w:r>
      <w:r>
        <w:rPr>
          <w:rFonts w:ascii="仿宋" w:hAnsi="仿宋" w:eastAsia="仿宋" w:cs="仿宋"/>
          <w:sz w:val="28"/>
          <w:szCs w:val="28"/>
          <w:lang w:eastAsia="zh-CN"/>
        </w:rPr>
        <w:t>.1本次询价公告及结果公示将在重庆高速公路集团官方网站（http://www.cegc.com.cn/gw/newsInfoMenu.html?id=42&amp;key=2）上发布。</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7</w:t>
      </w:r>
      <w:r>
        <w:rPr>
          <w:rFonts w:ascii="仿宋" w:hAnsi="仿宋" w:eastAsia="仿宋" w:cs="仿宋"/>
          <w:sz w:val="28"/>
          <w:szCs w:val="28"/>
          <w:lang w:eastAsia="zh-CN"/>
        </w:rPr>
        <w:t>.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tabs>
          <w:tab w:val="left" w:pos="3840"/>
          <w:tab w:val="left" w:pos="5300"/>
        </w:tabs>
        <w:autoSpaceDE w:val="0"/>
        <w:autoSpaceDN w:val="0"/>
        <w:adjustRightInd w:val="0"/>
        <w:snapToGrid w:val="0"/>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8.联系方式</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询价人：</w:t>
      </w:r>
      <w:r>
        <w:rPr>
          <w:rFonts w:hint="eastAsia" w:ascii="仿宋" w:hAnsi="仿宋" w:eastAsia="仿宋" w:cs="仿宋"/>
          <w:sz w:val="28"/>
          <w:szCs w:val="28"/>
          <w:lang w:eastAsia="zh-CN"/>
        </w:rPr>
        <w:t>重庆双江航运发展有限</w:t>
      </w:r>
      <w:r>
        <w:rPr>
          <w:rFonts w:ascii="仿宋" w:hAnsi="仿宋" w:eastAsia="仿宋" w:cs="仿宋"/>
          <w:sz w:val="28"/>
          <w:szCs w:val="28"/>
          <w:lang w:eastAsia="zh-CN"/>
        </w:rPr>
        <w:t>公司</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地  址：</w:t>
      </w:r>
      <w:r>
        <w:rPr>
          <w:rFonts w:hint="eastAsia" w:ascii="仿宋" w:hAnsi="仿宋" w:eastAsia="仿宋" w:cs="仿宋"/>
          <w:sz w:val="28"/>
          <w:szCs w:val="28"/>
          <w:lang w:eastAsia="zh-CN"/>
        </w:rPr>
        <w:t>重庆市潼南区桂林街道春阳街460号</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联系人：</w:t>
      </w:r>
      <w:r>
        <w:rPr>
          <w:rFonts w:hint="eastAsia" w:ascii="仿宋" w:hAnsi="仿宋" w:eastAsia="仿宋" w:cs="仿宋"/>
          <w:sz w:val="28"/>
          <w:szCs w:val="28"/>
          <w:lang w:eastAsia="zh-CN"/>
        </w:rPr>
        <w:t>支佩</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电  话：</w:t>
      </w:r>
      <w:r>
        <w:rPr>
          <w:rFonts w:hint="eastAsia" w:ascii="仿宋" w:hAnsi="仿宋" w:eastAsia="仿宋" w:cs="仿宋"/>
          <w:sz w:val="28"/>
          <w:szCs w:val="28"/>
          <w:lang w:eastAsia="zh-CN"/>
        </w:rPr>
        <w:t>023-87288000</w:t>
      </w:r>
    </w:p>
    <w:p>
      <w:pPr>
        <w:tabs>
          <w:tab w:val="left" w:pos="3840"/>
          <w:tab w:val="left" w:pos="5300"/>
        </w:tabs>
        <w:autoSpaceDE w:val="0"/>
        <w:autoSpaceDN w:val="0"/>
        <w:adjustRightInd w:val="0"/>
        <w:snapToGrid w:val="0"/>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9.监督部门</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监督部门：</w:t>
      </w:r>
      <w:r>
        <w:rPr>
          <w:rFonts w:hint="eastAsia" w:ascii="仿宋" w:hAnsi="仿宋" w:eastAsia="仿宋" w:cs="仿宋"/>
          <w:sz w:val="28"/>
          <w:szCs w:val="28"/>
          <w:lang w:eastAsia="zh-CN"/>
        </w:rPr>
        <w:t>重庆双江航运发展有限公司</w:t>
      </w:r>
    </w:p>
    <w:p>
      <w:pPr>
        <w:tabs>
          <w:tab w:val="left" w:pos="3840"/>
          <w:tab w:val="left" w:pos="5300"/>
        </w:tabs>
        <w:autoSpaceDE w:val="0"/>
        <w:autoSpaceDN w:val="0"/>
        <w:adjustRightInd w:val="0"/>
        <w:snapToGrid w:val="0"/>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联系电话：</w:t>
      </w:r>
      <w:r>
        <w:rPr>
          <w:rFonts w:hint="eastAsia" w:ascii="仿宋" w:hAnsi="仿宋" w:eastAsia="仿宋" w:cs="仿宋"/>
          <w:sz w:val="28"/>
          <w:szCs w:val="28"/>
          <w:lang w:eastAsia="zh-CN"/>
        </w:rPr>
        <w:t>023-87285692</w:t>
      </w:r>
    </w:p>
    <w:p>
      <w:pPr>
        <w:pStyle w:val="5"/>
        <w:spacing w:line="400" w:lineRule="exact"/>
        <w:rPr>
          <w:rFonts w:ascii="Times New Roman" w:hAnsi="Times New Roman" w:cs="Times New Roman" w:eastAsiaTheme="minorEastAsia"/>
          <w:sz w:val="24"/>
          <w:szCs w:val="21"/>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p>
    <w:p>
      <w:pPr>
        <w:widowControl/>
        <w:jc w:val="right"/>
        <w:rPr>
          <w:lang w:eastAsia="zh-CN"/>
        </w:rPr>
      </w:pP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黑体" w:hAnsi="黑体" w:eastAsia="黑体" w:cs="黑体"/>
          <w:sz w:val="32"/>
          <w:szCs w:val="32"/>
          <w:lang w:eastAsia="zh-CN"/>
        </w:rPr>
      </w:pPr>
      <w:r>
        <w:rPr>
          <w:rFonts w:hint="eastAsia" w:ascii="黑体" w:hAnsi="黑体" w:eastAsia="黑体" w:cs="黑体"/>
          <w:bCs/>
          <w:sz w:val="32"/>
          <w:szCs w:val="32"/>
          <w:lang w:val="zh-CN" w:eastAsia="zh-CN"/>
        </w:rPr>
        <w:t>第二章 报价文件要求与评审办法</w:t>
      </w: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sz w:val="28"/>
          <w:szCs w:val="28"/>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eastAsia="zh-CN"/>
        </w:rPr>
        <w:t>307000</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u w:val="single"/>
          <w:lang w:eastAsia="zh-CN"/>
        </w:rPr>
        <w:t>30.7</w:t>
      </w:r>
      <w:r>
        <w:rPr>
          <w:rFonts w:ascii="Times New Roman" w:hAnsi="Times New Roman" w:eastAsia="方正仿宋_GBK" w:cs="Times New Roman"/>
          <w:bCs/>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1.3报价文件正本1份，副本</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份，副本可以为正本的复印件。当副本与正本不一致时，以正本文件为准。</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双江枢纽第三方质量检测</w:t>
      </w:r>
      <w:r>
        <w:rPr>
          <w:rFonts w:hint="eastAsia" w:ascii="Times New Roman" w:hAnsi="Times New Roman" w:eastAsia="方正仿宋_GBK" w:cs="Times New Roman"/>
          <w:bCs/>
          <w:sz w:val="32"/>
          <w:szCs w:val="32"/>
          <w:lang w:eastAsia="zh-CN"/>
        </w:rPr>
        <w:t>项目</w:t>
      </w:r>
      <w:r>
        <w:rPr>
          <w:rFonts w:ascii="Times New Roman" w:hAnsi="Times New Roman" w:eastAsia="方正仿宋_GBK" w:cs="Times New Roman"/>
          <w:bCs/>
          <w:sz w:val="32"/>
          <w:szCs w:val="32"/>
          <w:lang w:eastAsia="zh-CN"/>
        </w:rPr>
        <w:t>。</w:t>
      </w:r>
    </w:p>
    <w:p>
      <w:pPr>
        <w:pStyle w:val="5"/>
        <w:spacing w:line="510" w:lineRule="exact"/>
        <w:rPr>
          <w:rFonts w:ascii="Times New Roman" w:hAnsi="Times New Roman" w:eastAsia="黑体" w:cs="Times New Roman"/>
          <w:b w:val="0"/>
          <w:sz w:val="28"/>
          <w:szCs w:val="28"/>
          <w:lang w:eastAsia="zh-CN"/>
        </w:rPr>
      </w:pPr>
      <w:r>
        <w:rPr>
          <w:rFonts w:ascii="Times New Roman" w:hAnsi="Times New Roman" w:eastAsia="黑体" w:cs="Times New Roman"/>
          <w:b w:val="0"/>
          <w:sz w:val="28"/>
          <w:szCs w:val="28"/>
          <w:lang w:eastAsia="zh-CN"/>
        </w:rPr>
        <w:t>2</w:t>
      </w:r>
      <w:r>
        <w:rPr>
          <w:rFonts w:hint="eastAsia" w:ascii="Times New Roman" w:hAnsi="Times New Roman" w:eastAsia="黑体" w:cs="Times New Roman"/>
          <w:b w:val="0"/>
          <w:sz w:val="28"/>
          <w:szCs w:val="28"/>
          <w:lang w:eastAsia="zh-CN"/>
        </w:rPr>
        <w:t>A</w:t>
      </w:r>
      <w:r>
        <w:rPr>
          <w:rFonts w:ascii="Times New Roman" w:hAnsi="Times New Roman" w:eastAsia="黑体" w:cs="Times New Roman"/>
          <w:b w:val="0"/>
          <w:sz w:val="28"/>
          <w:szCs w:val="28"/>
          <w:lang w:eastAsia="zh-CN"/>
        </w:rPr>
        <w:t>.评审办法</w:t>
      </w:r>
    </w:p>
    <w:p>
      <w:pPr>
        <w:spacing w:line="510" w:lineRule="exact"/>
        <w:ind w:firstLine="640" w:firstLineChars="200"/>
        <w:jc w:val="both"/>
        <w:rPr>
          <w:rFonts w:ascii="Times New Roman" w:hAnsi="Times New Roman" w:cs="Times New Roman" w:eastAsiaTheme="minorEastAsia"/>
          <w:b/>
          <w:bCs/>
          <w:sz w:val="44"/>
          <w:szCs w:val="44"/>
          <w:lang w:val="zh-CN" w:eastAsia="zh-CN"/>
        </w:rPr>
      </w:pPr>
      <w:r>
        <w:rPr>
          <w:rFonts w:ascii="Times New Roman" w:hAnsi="Times New Roman" w:eastAsia="方正仿宋_GBK" w:cs="Times New Roman"/>
          <w:bCs/>
          <w:sz w:val="32"/>
          <w:szCs w:val="32"/>
          <w:lang w:eastAsia="zh-CN"/>
        </w:rPr>
        <w:t>本项目采用经评审的</w:t>
      </w:r>
      <w:r>
        <w:rPr>
          <w:rFonts w:hint="eastAsia" w:ascii="Times New Roman" w:hAnsi="Times New Roman" w:eastAsia="方正仿宋_GBK" w:cs="Times New Roman"/>
          <w:bCs/>
          <w:sz w:val="32"/>
          <w:szCs w:val="32"/>
          <w:lang w:eastAsia="zh-CN"/>
        </w:rPr>
        <w:t>最低价法</w:t>
      </w:r>
      <w:r>
        <w:rPr>
          <w:rFonts w:ascii="Times New Roman" w:hAnsi="Times New Roman" w:eastAsia="方正仿宋_GBK" w:cs="Times New Roman"/>
          <w:bCs/>
          <w:sz w:val="32"/>
          <w:szCs w:val="32"/>
          <w:lang w:eastAsia="zh-CN"/>
        </w:rPr>
        <w:t>。</w:t>
      </w:r>
      <w:bookmarkEnd w:id="14"/>
      <w:bookmarkEnd w:id="15"/>
      <w:bookmarkEnd w:id="16"/>
      <w:bookmarkEnd w:id="17"/>
      <w:bookmarkEnd w:id="18"/>
      <w:bookmarkEnd w:id="19"/>
      <w:r>
        <w:rPr>
          <w:rFonts w:ascii="Times New Roman" w:hAnsi="Times New Roman" w:cs="Times New Roman" w:eastAsiaTheme="minorEastAsia"/>
          <w:szCs w:val="21"/>
          <w:lang w:eastAsia="zh-CN"/>
        </w:rPr>
        <w:br w:type="page"/>
      </w:r>
      <w:bookmarkStart w:id="20" w:name="_Toc29194756"/>
    </w:p>
    <w:bookmarkEnd w:id="20"/>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1" w:name="_Toc29194791"/>
      <w:bookmarkStart w:id="22" w:name="_Toc52097542"/>
      <w:r>
        <w:rPr>
          <w:rFonts w:ascii="Times New Roman" w:hAnsi="Times New Roman" w:eastAsia="方正小标宋_GBK" w:cs="Times New Roman"/>
          <w:bCs/>
          <w:sz w:val="44"/>
          <w:szCs w:val="44"/>
          <w:lang w:val="zh-CN" w:eastAsia="zh-CN"/>
        </w:rPr>
        <w:t>第三章</w:t>
      </w:r>
      <w:bookmarkEnd w:id="21"/>
      <w:bookmarkEnd w:id="22"/>
      <w:r>
        <w:rPr>
          <w:rFonts w:ascii="Times New Roman" w:hAnsi="Times New Roman" w:eastAsia="方正小标宋_GBK" w:cs="Times New Roman"/>
          <w:bCs/>
          <w:sz w:val="44"/>
          <w:szCs w:val="44"/>
          <w:lang w:val="zh-CN" w:eastAsia="zh-CN"/>
        </w:rPr>
        <w:t xml:space="preserve"> 合同条款</w:t>
      </w:r>
      <w:r>
        <w:rPr>
          <w:rFonts w:hint="eastAsia" w:ascii="Times New Roman" w:hAnsi="Times New Roman" w:eastAsia="方正小标宋_GBK" w:cs="Times New Roman"/>
          <w:bCs/>
          <w:sz w:val="44"/>
          <w:szCs w:val="44"/>
          <w:lang w:eastAsia="zh-CN"/>
        </w:rPr>
        <w:t>与格式</w:t>
      </w:r>
    </w:p>
    <w:p>
      <w:pPr>
        <w:numPr>
          <w:ilvl w:val="0"/>
          <w:numId w:val="1"/>
        </w:num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合同范围（按询价函工作内容填写）</w:t>
      </w:r>
    </w:p>
    <w:p>
      <w:pPr>
        <w:rPr>
          <w:rFonts w:ascii="Times New Roman" w:hAnsi="Times New Roman" w:eastAsia="方正仿宋_GBK" w:cs="Times New Roman"/>
          <w:i/>
          <w:iCs/>
          <w:sz w:val="28"/>
          <w:szCs w:val="28"/>
          <w:lang w:eastAsia="zh-CN"/>
        </w:rPr>
      </w:pPr>
      <w:r>
        <w:rPr>
          <w:rFonts w:hint="eastAsia" w:ascii="Times New Roman" w:hAnsi="Times New Roman" w:eastAsia="方正仿宋_GBK" w:cs="Times New Roman"/>
          <w:i/>
          <w:iCs/>
          <w:sz w:val="28"/>
          <w:szCs w:val="28"/>
          <w:lang w:eastAsia="zh-CN"/>
        </w:rPr>
        <w:t>详细列明合同工作内容、工期（交货期）等明确要求。</w:t>
      </w:r>
    </w:p>
    <w:p>
      <w:pPr>
        <w:rPr>
          <w:rFonts w:ascii="Times New Roman" w:hAnsi="Times New Roman" w:eastAsia="方正仿宋_GBK" w:cs="Times New Roman"/>
          <w:i/>
          <w:iCs/>
          <w:sz w:val="28"/>
          <w:szCs w:val="28"/>
          <w:lang w:eastAsia="zh-CN"/>
        </w:rPr>
      </w:pPr>
    </w:p>
    <w:p>
      <w:pPr>
        <w:spacing w:line="510" w:lineRule="exact"/>
        <w:ind w:left="42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2.合同</w:t>
      </w:r>
      <w:r>
        <w:rPr>
          <w:rFonts w:ascii="Times New Roman" w:hAnsi="Times New Roman" w:eastAsia="黑体" w:cs="Times New Roman"/>
          <w:sz w:val="32"/>
          <w:szCs w:val="32"/>
          <w:lang w:val="zh-CN" w:eastAsia="zh-CN"/>
        </w:rPr>
        <w:t>签订</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发包人：_________</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承包人：_________</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中标人</w:t>
      </w:r>
      <w:r>
        <w:rPr>
          <w:rFonts w:ascii="Times New Roman" w:hAnsi="Times New Roman" w:eastAsia="方正仿宋_GBK" w:cs="Times New Roman"/>
          <w:sz w:val="32"/>
          <w:szCs w:val="32"/>
          <w:lang w:val="zh-CN" w:eastAsia="zh-CN"/>
        </w:rPr>
        <w:t>直接与发包人（</w:t>
      </w:r>
      <w:r>
        <w:rPr>
          <w:rFonts w:hint="eastAsia" w:ascii="Times New Roman" w:hAnsi="Times New Roman" w:eastAsia="方正仿宋_GBK" w:cs="Times New Roman"/>
          <w:sz w:val="32"/>
          <w:szCs w:val="32"/>
          <w:lang w:eastAsia="zh-CN"/>
        </w:rPr>
        <w:t>_____</w:t>
      </w:r>
      <w:r>
        <w:rPr>
          <w:rFonts w:ascii="Times New Roman" w:hAnsi="Times New Roman" w:eastAsia="方正仿宋_GBK" w:cs="Times New Roman"/>
          <w:sz w:val="32"/>
          <w:szCs w:val="32"/>
          <w:lang w:val="zh-CN" w:eastAsia="zh-CN"/>
        </w:rPr>
        <w:t>公司）签订合同。</w:t>
      </w:r>
      <w:r>
        <w:rPr>
          <w:rFonts w:hint="eastAsia" w:ascii="Times New Roman" w:hAnsi="Times New Roman" w:eastAsia="方正仿宋_GBK" w:cs="Times New Roman"/>
          <w:sz w:val="32"/>
          <w:szCs w:val="32"/>
          <w:lang w:eastAsia="zh-CN"/>
        </w:rPr>
        <w:t>按照相关</w:t>
      </w:r>
      <w:r>
        <w:rPr>
          <w:rFonts w:ascii="Times New Roman" w:hAnsi="Times New Roman" w:eastAsia="方正仿宋_GBK" w:cs="Times New Roman"/>
          <w:sz w:val="32"/>
          <w:szCs w:val="32"/>
          <w:lang w:val="zh-CN" w:eastAsia="zh-CN"/>
        </w:rPr>
        <w:t>管理办法，须包含安全和廉政合同。若报价人中标后，无正当理由放弃中标或不按时签订合同的，报价人将被列入黑名单。</w:t>
      </w:r>
    </w:p>
    <w:p>
      <w:pPr>
        <w:spacing w:line="510" w:lineRule="exact"/>
        <w:ind w:left="42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3.合同价格与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3.1合同价格与计量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本项目合同总价为</w:t>
      </w:r>
      <w:r>
        <w:rPr>
          <w:rFonts w:hint="eastAsia" w:ascii="Times New Roman" w:hAnsi="Times New Roman" w:eastAsia="方正仿宋_GBK" w:cs="Times New Roman"/>
          <w:sz w:val="32"/>
          <w:szCs w:val="32"/>
          <w:u w:val="single"/>
          <w:lang w:eastAsia="zh-CN"/>
        </w:rPr>
        <w:t xml:space="preserve">     </w:t>
      </w:r>
      <w:r>
        <w:rPr>
          <w:rFonts w:hint="eastAsia" w:ascii="Times New Roman" w:hAnsi="Times New Roman" w:eastAsia="方正仿宋_GBK" w:cs="Times New Roman"/>
          <w:sz w:val="32"/>
          <w:szCs w:val="32"/>
          <w:lang w:eastAsia="zh-CN"/>
        </w:rPr>
        <w:t>元（大写：</w:t>
      </w:r>
      <w:r>
        <w:rPr>
          <w:rFonts w:hint="eastAsia" w:ascii="Times New Roman" w:hAnsi="Times New Roman" w:eastAsia="方正仿宋_GBK" w:cs="Times New Roman"/>
          <w:sz w:val="32"/>
          <w:szCs w:val="32"/>
          <w:u w:val="single"/>
          <w:lang w:eastAsia="zh-CN"/>
        </w:rPr>
        <w:t xml:space="preserve">     </w:t>
      </w:r>
      <w:r>
        <w:rPr>
          <w:rFonts w:hint="eastAsia" w:ascii="Times New Roman" w:hAnsi="Times New Roman" w:eastAsia="方正仿宋_GBK" w:cs="Times New Roman"/>
          <w:sz w:val="32"/>
          <w:szCs w:val="32"/>
          <w:lang w:eastAsia="zh-CN"/>
        </w:rPr>
        <w:t>元）。</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本项目为</w:t>
      </w:r>
      <w:r>
        <w:rPr>
          <w:rFonts w:hint="eastAsia" w:ascii="Times New Roman" w:hAnsi="Times New Roman" w:eastAsia="方正仿宋_GBK" w:cs="Times New Roman"/>
          <w:b/>
          <w:bCs/>
          <w:i/>
          <w:iCs/>
          <w:sz w:val="32"/>
          <w:szCs w:val="32"/>
          <w:lang w:eastAsia="zh-CN"/>
        </w:rPr>
        <w:t>固定单价</w:t>
      </w:r>
      <w:r>
        <w:rPr>
          <w:rFonts w:hint="eastAsia" w:ascii="Times New Roman" w:hAnsi="Times New Roman" w:eastAsia="方正仿宋_GBK" w:cs="Times New Roman"/>
          <w:sz w:val="32"/>
          <w:szCs w:val="32"/>
          <w:lang w:eastAsia="zh-CN"/>
        </w:rPr>
        <w:t>合同。卖方所报</w:t>
      </w:r>
      <w:r>
        <w:rPr>
          <w:rFonts w:hint="eastAsia" w:ascii="Times New Roman" w:hAnsi="Times New Roman" w:eastAsia="方正仿宋_GBK" w:cs="Times New Roman"/>
          <w:b/>
          <w:bCs/>
          <w:i/>
          <w:iCs/>
          <w:sz w:val="32"/>
          <w:szCs w:val="32"/>
          <w:lang w:eastAsia="zh-CN"/>
        </w:rPr>
        <w:t>单价</w:t>
      </w:r>
      <w:r>
        <w:rPr>
          <w:rFonts w:hint="eastAsia" w:ascii="Times New Roman" w:hAnsi="Times New Roman" w:eastAsia="方正仿宋_GBK" w:cs="Times New Roman"/>
          <w:sz w:val="32"/>
          <w:szCs w:val="32"/>
          <w:lang w:eastAsia="zh-CN"/>
        </w:rPr>
        <w:t>合同有效期内固定不变，即合同</w:t>
      </w:r>
      <w:r>
        <w:rPr>
          <w:rFonts w:hint="eastAsia" w:ascii="Times New Roman" w:hAnsi="Times New Roman" w:eastAsia="方正仿宋_GBK" w:cs="Times New Roman"/>
          <w:b/>
          <w:bCs/>
          <w:i/>
          <w:iCs/>
          <w:sz w:val="32"/>
          <w:szCs w:val="32"/>
          <w:lang w:eastAsia="zh-CN"/>
        </w:rPr>
        <w:t>单价</w:t>
      </w:r>
      <w:r>
        <w:rPr>
          <w:rFonts w:hint="eastAsia" w:ascii="Times New Roman" w:hAnsi="Times New Roman" w:eastAsia="方正仿宋_GBK" w:cs="Times New Roman"/>
          <w:sz w:val="32"/>
          <w:szCs w:val="32"/>
          <w:lang w:eastAsia="zh-CN"/>
        </w:rPr>
        <w:t>不因国家和地方政策调整、物价变动等因数的影响而调整。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计量：按实际完成检测组数</w:t>
      </w:r>
      <w:r>
        <w:rPr>
          <w:rFonts w:hint="eastAsia" w:ascii="Times New Roman" w:hAnsi="Times New Roman" w:eastAsia="方正仿宋_GBK" w:cs="Times New Roman"/>
          <w:sz w:val="32"/>
          <w:szCs w:val="32"/>
          <w:lang w:val="en-US" w:eastAsia="zh-CN"/>
        </w:rPr>
        <w:t>及相应工作</w:t>
      </w:r>
      <w:r>
        <w:rPr>
          <w:rFonts w:hint="eastAsia" w:ascii="Times New Roman" w:hAnsi="Times New Roman" w:eastAsia="方正仿宋_GBK" w:cs="Times New Roman"/>
          <w:sz w:val="32"/>
          <w:szCs w:val="32"/>
          <w:lang w:eastAsia="zh-CN"/>
        </w:rPr>
        <w:t>计量。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3.2合同支付</w:t>
      </w:r>
    </w:p>
    <w:p>
      <w:pPr>
        <w:spacing w:line="510" w:lineRule="exact"/>
        <w:ind w:firstLine="636"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发包人</w:t>
      </w:r>
      <w:r>
        <w:rPr>
          <w:rFonts w:hint="eastAsia" w:ascii="Times New Roman" w:hAnsi="Times New Roman" w:eastAsia="方正仿宋_GBK" w:cs="Times New Roman"/>
          <w:sz w:val="32"/>
          <w:szCs w:val="32"/>
          <w:lang w:val="zh-CN" w:eastAsia="zh-CN"/>
        </w:rPr>
        <w:t>将按以下方式和比例向</w:t>
      </w:r>
      <w:r>
        <w:rPr>
          <w:rFonts w:hint="eastAsia" w:ascii="Times New Roman" w:hAnsi="Times New Roman" w:eastAsia="方正仿宋_GBK" w:cs="Times New Roman"/>
          <w:sz w:val="32"/>
          <w:szCs w:val="32"/>
          <w:lang w:eastAsia="zh-CN"/>
        </w:rPr>
        <w:t>承包人</w:t>
      </w:r>
      <w:r>
        <w:rPr>
          <w:rFonts w:hint="eastAsia" w:ascii="Times New Roman" w:hAnsi="Times New Roman" w:eastAsia="方正仿宋_GBK" w:cs="Times New Roman"/>
          <w:sz w:val="32"/>
          <w:szCs w:val="32"/>
          <w:lang w:val="zh-CN" w:eastAsia="zh-CN"/>
        </w:rPr>
        <w:t>支付合同价款：</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zh-CN" w:eastAsia="zh-CN"/>
        </w:rPr>
        <w:t>）乙方按合同要求完成</w:t>
      </w:r>
      <w:r>
        <w:rPr>
          <w:rFonts w:hint="eastAsia" w:ascii="Times New Roman" w:hAnsi="Times New Roman" w:eastAsia="方正仿宋_GBK" w:cs="Times New Roman"/>
          <w:sz w:val="32"/>
          <w:szCs w:val="32"/>
          <w:lang w:eastAsia="zh-CN"/>
        </w:rPr>
        <w:t>双江航电</w:t>
      </w:r>
      <w:r>
        <w:rPr>
          <w:rFonts w:hint="eastAsia" w:ascii="Times New Roman" w:hAnsi="Times New Roman" w:eastAsia="方正仿宋_GBK" w:cs="Times New Roman"/>
          <w:sz w:val="32"/>
          <w:szCs w:val="32"/>
          <w:lang w:val="zh-CN" w:eastAsia="zh-CN"/>
        </w:rPr>
        <w:t>枢纽工程第三方质量检测实施方案和管理制度建立等工作，甲方收到乙方提交支付申请后，15个工作日内，向乙方一次性支付合同总价</w:t>
      </w:r>
      <w:r>
        <w:rPr>
          <w:rFonts w:hint="eastAsia" w:ascii="Times New Roman" w:hAnsi="Times New Roman" w:eastAsia="方正仿宋_GBK" w:cs="Times New Roman"/>
          <w:sz w:val="32"/>
          <w:szCs w:val="32"/>
          <w:lang w:eastAsia="zh-CN"/>
        </w:rPr>
        <w:t>10</w:t>
      </w:r>
      <w:r>
        <w:rPr>
          <w:rFonts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zh-CN" w:eastAsia="zh-CN"/>
        </w:rPr>
        <w:t>，计</w:t>
      </w:r>
      <w:r>
        <w:rPr>
          <w:rFonts w:hint="eastAsia" w:ascii="Times New Roman" w:hAnsi="Times New Roman" w:eastAsia="方正仿宋_GBK" w:cs="Times New Roman"/>
          <w:sz w:val="32"/>
          <w:szCs w:val="32"/>
          <w:u w:val="single"/>
          <w:lang w:val="zh-CN" w:eastAsia="zh-CN"/>
        </w:rPr>
        <w:t xml:space="preserve"> </w:t>
      </w:r>
      <w:r>
        <w:rPr>
          <w:rFonts w:ascii="Times New Roman" w:hAnsi="Times New Roman" w:eastAsia="方正仿宋_GBK" w:cs="Times New Roman"/>
          <w:sz w:val="32"/>
          <w:szCs w:val="32"/>
          <w:u w:val="single"/>
          <w:lang w:val="zh-CN" w:eastAsia="zh-CN"/>
        </w:rPr>
        <w:t xml:space="preserve">  </w:t>
      </w:r>
      <w:r>
        <w:rPr>
          <w:rFonts w:hint="eastAsia" w:ascii="Times New Roman" w:hAnsi="Times New Roman" w:eastAsia="方正仿宋_GBK" w:cs="Times New Roman"/>
          <w:sz w:val="32"/>
          <w:szCs w:val="32"/>
          <w:u w:val="single"/>
          <w:lang w:val="zh-CN" w:eastAsia="zh-CN"/>
        </w:rPr>
        <w:t xml:space="preserve"> </w:t>
      </w:r>
      <w:r>
        <w:rPr>
          <w:rFonts w:ascii="Times New Roman" w:hAnsi="Times New Roman" w:eastAsia="方正仿宋_GBK" w:cs="Times New Roman"/>
          <w:sz w:val="32"/>
          <w:szCs w:val="32"/>
          <w:u w:val="single"/>
          <w:lang w:val="zh-CN" w:eastAsia="zh-CN"/>
        </w:rPr>
        <w:t xml:space="preserve"> </w:t>
      </w:r>
      <w:r>
        <w:rPr>
          <w:rFonts w:hint="eastAsia" w:ascii="Times New Roman" w:hAnsi="Times New Roman" w:eastAsia="方正仿宋_GBK" w:cs="Times New Roman"/>
          <w:sz w:val="32"/>
          <w:szCs w:val="32"/>
          <w:lang w:val="zh-CN" w:eastAsia="zh-CN"/>
        </w:rPr>
        <w:t>元（大写：</w:t>
      </w:r>
      <w:r>
        <w:rPr>
          <w:rFonts w:hint="eastAsia" w:ascii="Times New Roman" w:hAnsi="Times New Roman" w:eastAsia="方正仿宋_GBK" w:cs="Times New Roman"/>
          <w:sz w:val="32"/>
          <w:szCs w:val="32"/>
          <w:u w:val="single"/>
          <w:lang w:val="zh-CN" w:eastAsia="zh-CN"/>
        </w:rPr>
        <w:t xml:space="preserve"> </w:t>
      </w:r>
      <w:r>
        <w:rPr>
          <w:rFonts w:ascii="Times New Roman" w:hAnsi="Times New Roman" w:eastAsia="方正仿宋_GBK" w:cs="Times New Roman"/>
          <w:sz w:val="32"/>
          <w:szCs w:val="32"/>
          <w:u w:val="single"/>
          <w:lang w:val="zh-CN" w:eastAsia="zh-CN"/>
        </w:rPr>
        <w:t xml:space="preserve">   </w:t>
      </w:r>
      <w:r>
        <w:rPr>
          <w:rFonts w:hint="eastAsia" w:ascii="Times New Roman" w:hAnsi="Times New Roman" w:eastAsia="方正仿宋_GBK" w:cs="Times New Roman"/>
          <w:sz w:val="32"/>
          <w:szCs w:val="32"/>
          <w:u w:val="single"/>
          <w:lang w:val="zh-CN" w:eastAsia="zh-CN"/>
        </w:rPr>
        <w:t xml:space="preserve"> </w:t>
      </w:r>
      <w:r>
        <w:rPr>
          <w:rFonts w:hint="eastAsia" w:ascii="Times New Roman" w:hAnsi="Times New Roman" w:eastAsia="方正仿宋_GBK" w:cs="Times New Roman"/>
          <w:sz w:val="32"/>
          <w:szCs w:val="32"/>
          <w:lang w:val="zh-CN" w:eastAsia="zh-CN"/>
        </w:rPr>
        <w:t>元）。</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val="zh-CN" w:eastAsia="zh-CN"/>
        </w:rPr>
        <w:t>）第三方质量检测实施方案和管理制度建立完成至各施工标段合同完工（交工）验收检测完成期间，采用季度方式支付质量检测费。甲方收到乙方提交支付申请后，15个工作日内，向乙方支付季度服务费，每期支付比例为</w:t>
      </w:r>
      <w:r>
        <w:rPr>
          <w:rFonts w:hint="eastAsia" w:ascii="Times New Roman" w:hAnsi="Times New Roman" w:eastAsia="方正仿宋_GBK" w:cs="Times New Roman"/>
          <w:sz w:val="32"/>
          <w:szCs w:val="32"/>
          <w:lang w:eastAsia="zh-CN"/>
        </w:rPr>
        <w:t>完成工程量对应费用的70%</w:t>
      </w:r>
      <w:r>
        <w:rPr>
          <w:rFonts w:hint="eastAsia" w:ascii="Times New Roman" w:hAnsi="Times New Roman" w:eastAsia="方正仿宋_GBK" w:cs="Times New Roman"/>
          <w:sz w:val="32"/>
          <w:szCs w:val="32"/>
          <w:lang w:val="zh-CN" w:eastAsia="zh-CN"/>
        </w:rPr>
        <w:t>。</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val="zh-CN" w:eastAsia="zh-CN"/>
        </w:rPr>
        <w:t>）乙方按合同要求向发包人移交该项目各施工标段合同完工验收（交工）质量检测报告和竣工验收质量检测报告、配合完成该项目竣工验收工作以及其他全部第三方质量检测合同任务，</w:t>
      </w:r>
      <w:r>
        <w:rPr>
          <w:rFonts w:hint="eastAsia" w:ascii="Times New Roman" w:hAnsi="Times New Roman" w:eastAsia="方正仿宋_GBK" w:cs="Times New Roman"/>
          <w:sz w:val="32"/>
          <w:szCs w:val="32"/>
          <w:lang w:eastAsia="zh-CN"/>
        </w:rPr>
        <w:t>支付合同剩余费用。</w:t>
      </w:r>
    </w:p>
    <w:p>
      <w:pPr>
        <w:spacing w:line="510" w:lineRule="exact"/>
        <w:ind w:firstLine="636"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ascii="Times New Roman" w:hAnsi="Times New Roman" w:eastAsia="方正仿宋_GBK" w:cs="Times New Roman"/>
          <w:sz w:val="32"/>
          <w:szCs w:val="32"/>
          <w:lang w:val="zh-CN" w:eastAsia="zh-CN"/>
        </w:rPr>
      </w:pPr>
    </w:p>
    <w:p>
      <w:pPr>
        <w:spacing w:line="510" w:lineRule="exact"/>
        <w:ind w:firstLine="636" w:firstLineChars="199"/>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4.验收与缺陷责任（质保期服务）</w:t>
      </w:r>
    </w:p>
    <w:p>
      <w:pPr>
        <w:spacing w:line="510" w:lineRule="exact"/>
        <w:ind w:firstLine="636" w:firstLineChars="199"/>
        <w:rPr>
          <w:rFonts w:ascii="Times New Roman" w:hAnsi="Times New Roman" w:eastAsia="方正仿宋_GBK" w:cs="Times New Roman"/>
          <w:sz w:val="32"/>
          <w:szCs w:val="32"/>
          <w:lang w:val="zh-CN" w:eastAsia="zh-CN"/>
        </w:rPr>
      </w:pPr>
      <w:bookmarkStart w:id="23" w:name="_Toc138218378"/>
      <w:bookmarkStart w:id="24" w:name="_Toc138143945"/>
      <w:bookmarkStart w:id="25" w:name="_Toc149722390"/>
      <w:bookmarkStart w:id="26" w:name="_Toc140303421"/>
      <w:bookmarkStart w:id="27" w:name="_Toc138217242"/>
      <w:r>
        <w:rPr>
          <w:rFonts w:ascii="Times New Roman" w:hAnsi="Times New Roman" w:eastAsia="方正仿宋_GBK" w:cs="Times New Roman"/>
          <w:sz w:val="32"/>
          <w:szCs w:val="32"/>
          <w:lang w:val="zh-CN" w:eastAsia="zh-CN"/>
        </w:rPr>
        <w:t xml:space="preserve">4.1 </w:t>
      </w:r>
      <w:bookmarkEnd w:id="23"/>
      <w:bookmarkEnd w:id="24"/>
      <w:bookmarkEnd w:id="25"/>
      <w:bookmarkEnd w:id="26"/>
      <w:bookmarkEnd w:id="27"/>
      <w:r>
        <w:rPr>
          <w:rFonts w:hint="eastAsia" w:ascii="Times New Roman" w:hAnsi="Times New Roman" w:eastAsia="方正仿宋_GBK" w:cs="Times New Roman"/>
          <w:sz w:val="32"/>
          <w:szCs w:val="32"/>
          <w:lang w:eastAsia="zh-CN"/>
        </w:rPr>
        <w:t>验收要求</w:t>
      </w:r>
      <w:r>
        <w:rPr>
          <w:rFonts w:ascii="Times New Roman" w:hAnsi="Times New Roman" w:eastAsia="方正仿宋_GBK" w:cs="Times New Roman"/>
          <w:sz w:val="32"/>
          <w:szCs w:val="32"/>
          <w:lang w:val="zh-CN" w:eastAsia="zh-CN"/>
        </w:rPr>
        <w:t>；</w:t>
      </w:r>
    </w:p>
    <w:p>
      <w:pPr>
        <w:spacing w:line="510" w:lineRule="exact"/>
        <w:ind w:firstLine="636" w:firstLineChars="19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val="zh-CN" w:eastAsia="zh-CN"/>
        </w:rPr>
        <w:t xml:space="preserve">4.2 </w:t>
      </w:r>
      <w:r>
        <w:rPr>
          <w:rFonts w:hint="eastAsia" w:ascii="Times New Roman" w:hAnsi="Times New Roman" w:eastAsia="方正仿宋_GBK" w:cs="Times New Roman"/>
          <w:sz w:val="32"/>
          <w:szCs w:val="32"/>
          <w:lang w:eastAsia="zh-CN"/>
        </w:rPr>
        <w:t>缺陷责任期（质量保证期）</w:t>
      </w:r>
      <w:r>
        <w:rPr>
          <w:rFonts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相关服务要求；</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4.3其他：</w:t>
      </w:r>
      <w:r>
        <w:rPr>
          <w:rFonts w:ascii="Times New Roman" w:hAnsi="Times New Roman" w:eastAsia="方正仿宋_GBK" w:cs="Times New Roman"/>
          <w:sz w:val="32"/>
          <w:szCs w:val="32"/>
          <w:lang w:val="zh-CN" w:eastAsia="zh-CN"/>
        </w:rPr>
        <w:t>报价人承诺书有另行承诺的，按其承诺期限执行。</w:t>
      </w:r>
    </w:p>
    <w:p>
      <w:pPr>
        <w:adjustRightInd w:val="0"/>
        <w:snapToGrid w:val="0"/>
        <w:spacing w:after="120"/>
        <w:rPr>
          <w:rFonts w:ascii="Times New Roman" w:hAnsi="Times New Roman" w:eastAsia="方正仿宋_GBK" w:cs="Times New Roman"/>
          <w:sz w:val="24"/>
          <w:szCs w:val="24"/>
          <w:lang w:eastAsia="zh-CN"/>
        </w:rPr>
      </w:pPr>
    </w:p>
    <w:p>
      <w:pPr>
        <w:spacing w:line="510" w:lineRule="exact"/>
        <w:ind w:firstLine="636"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5.违约责任</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val="zh-CN" w:eastAsia="zh-CN"/>
        </w:rPr>
        <w:t>.1合同签订后，乙方应当在5个工作日内正式启动服务工作，如乙方未按约定开展，甲方有权解除合同。</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val="zh-CN" w:eastAsia="zh-CN"/>
        </w:rPr>
        <w:t>.2当甲方认为乙方无正当理由而又未按合同约定履行合同义务时，可向甲方发出说明其未履行义务的通知。若甲方发出通知后7天内乙方未能改正，甲方即可发出终止委托服务合同的通知，委托服务合同即行终止。</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合同履行过程中，发生以下情形，属于乙方未按合同约定履行义务：</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（1）乙方在收到甲方提供的项目图纸及相关资料后，未进行现场实际工程的校核；</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（2）乙方在服务中未能积极提供有效的第三方质量检测服务、管理以及审核服务；</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（3）乙方未积极开展第三方质量检测相关的培训服务工作。</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乙方未按合同约定履行合同义务包括但不限于以上列举的情形，如甲方能够提出正当理由说明乙方未能积极履行合同义务的，均属于乙方违约。</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val="zh-CN" w:eastAsia="zh-CN"/>
        </w:rPr>
        <w:t>.3如乙方提供的服务不能满足项目建设或甲方的要求，经甲方催告后在30日内乙方仍未能改进达到甲方要求，则甲方有权书面通知乙方终止合同，乙方应在接到通知之日立即停止所有工作，甲方已支付的合同价款不再返还，已完成经双方确认成果的合同价款予以支付，未完成的工作成果或未经双方确认的工作成果合同价款不再支付，但乙方应承担合同总价10%的违约金，同时应将已完成的所有成果在停止工作之日起7个工作日内完整的提交给乙方。</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合同履行过程中，发生以下情形，属于乙方提供的服务不能满足建设项目或甲方的要求：</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（1）在合同约定的服务阶段，乙方未能按合同要求按时提交服务成果或服务质量未能达到合同约定要求；</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（2）乙方提供的服务未能满足合同的要求；</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（3）乙方提供的第三方质量检测相关的培训服务工作未能达到合同约定要求；</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4</w:t>
      </w:r>
      <w:r>
        <w:rPr>
          <w:rFonts w:hint="eastAsia" w:ascii="Times New Roman" w:hAnsi="Times New Roman" w:eastAsia="方正仿宋_GBK" w:cs="Times New Roman"/>
          <w:sz w:val="32"/>
          <w:szCs w:val="32"/>
          <w:lang w:val="zh-CN" w:eastAsia="zh-CN"/>
        </w:rPr>
        <w:t>）乙方提供的服务质量未能达到合同约定的相关标准。</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乙方提供的服务不能满足项目建设或甲方的要求包括但不限于上述列举的情形。</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4</w:t>
      </w:r>
      <w:r>
        <w:rPr>
          <w:rFonts w:hint="eastAsia" w:ascii="Times New Roman" w:hAnsi="Times New Roman" w:eastAsia="方正仿宋_GBK" w:cs="Times New Roman"/>
          <w:sz w:val="32"/>
          <w:szCs w:val="32"/>
          <w:lang w:val="zh-CN" w:eastAsia="zh-CN"/>
        </w:rPr>
        <w:t>在合同履行期间，甲方提前24小时通知乙方，乙方不到场的，每延期一天，须向甲方按1000元/天的标准支付违约金。</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val="zh-CN" w:eastAsia="zh-CN"/>
        </w:rPr>
        <w:t>由于乙方原因，延误了工作进度，连续三次未达到要求或合同约定，甲方有权解除合同，并且要求乙方赔偿甲方造成的损失。</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6</w:t>
      </w:r>
      <w:r>
        <w:rPr>
          <w:rFonts w:hint="eastAsia" w:ascii="Times New Roman" w:hAnsi="Times New Roman" w:eastAsia="方正仿宋_GBK" w:cs="Times New Roman"/>
          <w:sz w:val="32"/>
          <w:szCs w:val="32"/>
          <w:lang w:val="zh-CN" w:eastAsia="zh-CN"/>
        </w:rPr>
        <w:t xml:space="preserve"> 乙方承诺从本项目所有服务项目均已完成并经甲方书面确认之日起一年内为本合同的质保期并完善相关工作，如乙方未履行质保期内职责给甲方造成损失的，甲方有权要求乙方赔偿相应的损失。</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上述违约金，甲方有权在应付乙方的款项中直接扣除。</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zh-CN" w:eastAsia="zh-CN"/>
        </w:rPr>
        <w:t>本合同的终止不影响双方对合同履行期间合同责任的追溯。</w:t>
      </w:r>
    </w:p>
    <w:p>
      <w:pPr>
        <w:spacing w:line="510" w:lineRule="exact"/>
        <w:ind w:firstLine="636"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6.争议的解决</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因合同履行发生争议的，双方同意按下列第（2）种方式解决：</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（1）向（发包人所在地）仲裁委员会申请仲裁；</w:t>
      </w:r>
    </w:p>
    <w:p>
      <w:pPr>
        <w:spacing w:line="510" w:lineRule="exact"/>
        <w:ind w:firstLine="636" w:firstLineChars="199"/>
        <w:rPr>
          <w:rFonts w:ascii="Times New Roman" w:hAnsi="Times New Roman" w:eastAsia="黑体" w:cs="Times New Roman"/>
          <w:sz w:val="32"/>
          <w:szCs w:val="32"/>
          <w:lang w:eastAsia="zh-CN"/>
        </w:rPr>
      </w:pPr>
      <w:r>
        <w:rPr>
          <w:rFonts w:hint="eastAsia" w:ascii="Times New Roman" w:hAnsi="Times New Roman" w:eastAsia="方正仿宋_GBK" w:cs="Times New Roman"/>
          <w:sz w:val="32"/>
          <w:szCs w:val="32"/>
          <w:lang w:val="zh-CN" w:eastAsia="zh-CN"/>
        </w:rPr>
        <w:t>（2）向</w:t>
      </w:r>
      <w:r>
        <w:rPr>
          <w:rFonts w:hint="eastAsia" w:ascii="Times New Roman" w:hAnsi="Times New Roman" w:eastAsia="方正仿宋_GBK" w:cs="Times New Roman"/>
          <w:sz w:val="32"/>
          <w:szCs w:val="32"/>
          <w:lang w:eastAsia="zh-CN"/>
        </w:rPr>
        <w:t>潼南区</w:t>
      </w:r>
      <w:r>
        <w:rPr>
          <w:rFonts w:hint="eastAsia" w:ascii="Times New Roman" w:hAnsi="Times New Roman" w:eastAsia="方正仿宋_GBK" w:cs="Times New Roman"/>
          <w:sz w:val="32"/>
          <w:szCs w:val="32"/>
          <w:lang w:val="zh-CN" w:eastAsia="zh-CN"/>
        </w:rPr>
        <w:t>人民法院起诉。</w:t>
      </w:r>
    </w:p>
    <w:p>
      <w:pPr>
        <w:numPr>
          <w:ilvl w:val="0"/>
          <w:numId w:val="2"/>
        </w:numPr>
        <w:spacing w:line="510" w:lineRule="exact"/>
        <w:ind w:firstLine="636"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附件1.安全合同</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附件2.廉政合同</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br w:type="page"/>
      </w:r>
    </w:p>
    <w:p>
      <w:pPr>
        <w:keepNext/>
        <w:keepLines/>
        <w:shd w:val="clear" w:color="auto" w:fill="FFFFFF"/>
        <w:adjustRightInd w:val="0"/>
        <w:snapToGrid w:val="0"/>
        <w:spacing w:line="360" w:lineRule="auto"/>
        <w:outlineLvl w:val="1"/>
        <w:rPr>
          <w:rFonts w:ascii="Times New Roman" w:hAnsi="Times New Roman" w:cs="Times New Roman"/>
          <w:szCs w:val="21"/>
        </w:rPr>
      </w:pPr>
      <w:r>
        <w:rPr>
          <w:rFonts w:hint="eastAsia" w:ascii="Times New Roman" w:hAnsi="Times New Roman" w:cs="Times New Roman"/>
          <w:szCs w:val="21"/>
        </w:rPr>
        <w:t>附件</w:t>
      </w:r>
      <w:r>
        <w:rPr>
          <w:rFonts w:hint="eastAsia" w:ascii="Times New Roman" w:hAnsi="Times New Roman" w:cs="Times New Roman"/>
          <w:szCs w:val="21"/>
          <w:lang w:eastAsia="zh-CN"/>
        </w:rPr>
        <w:t>1</w:t>
      </w:r>
      <w:r>
        <w:rPr>
          <w:rFonts w:hint="eastAsia" w:ascii="Times New Roman" w:hAnsi="Times New Roman" w:cs="Times New Roman"/>
          <w:szCs w:val="21"/>
        </w:rPr>
        <w:t>：安全生产合同</w:t>
      </w:r>
    </w:p>
    <w:p>
      <w:pPr>
        <w:snapToGrid w:val="0"/>
        <w:spacing w:line="324" w:lineRule="auto"/>
        <w:rPr>
          <w:szCs w:val="21"/>
        </w:rPr>
      </w:pPr>
    </w:p>
    <w:p>
      <w:pPr>
        <w:spacing w:before="100" w:beforeAutospacing="1" w:after="100" w:afterAutospacing="1" w:line="440" w:lineRule="exact"/>
        <w:jc w:val="center"/>
        <w:rPr>
          <w:b/>
          <w:sz w:val="24"/>
        </w:rPr>
      </w:pPr>
      <w:r>
        <w:rPr>
          <w:rFonts w:hint="eastAsia"/>
          <w:b/>
          <w:sz w:val="24"/>
        </w:rPr>
        <w:t>安 全 生 产 合 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为在</w:t>
      </w:r>
      <w:r>
        <w:rPr>
          <w:rFonts w:hint="eastAsia" w:cs="楷体_GB2312"/>
          <w:szCs w:val="21"/>
          <w:u w:val="single"/>
          <w:lang w:val="zh-CN" w:eastAsia="zh-CN"/>
        </w:rPr>
        <w:t xml:space="preserve">                          </w:t>
      </w:r>
      <w:r>
        <w:rPr>
          <w:rFonts w:hint="eastAsia" w:cs="楷体_GB2312"/>
          <w:szCs w:val="21"/>
          <w:lang w:val="zh-CN" w:eastAsia="zh-CN"/>
        </w:rPr>
        <w:t>合同的实施过程中创造安全、高效的施工环境，切实搞好本项目的安全管理工作，本项目发包人</w:t>
      </w:r>
      <w:r>
        <w:rPr>
          <w:rFonts w:hint="eastAsia" w:cs="楷体_GB2312"/>
          <w:szCs w:val="21"/>
          <w:u w:val="single"/>
          <w:lang w:val="zh-CN" w:eastAsia="zh-CN"/>
        </w:rPr>
        <w:t xml:space="preserve">        </w:t>
      </w:r>
      <w:r>
        <w:rPr>
          <w:rFonts w:hint="eastAsia" w:cs="楷体_GB2312"/>
          <w:szCs w:val="21"/>
          <w:lang w:val="zh-CN" w:eastAsia="zh-CN"/>
        </w:rPr>
        <w:t>（以下简称“发包人”）与承包人</w:t>
      </w:r>
      <w:r>
        <w:rPr>
          <w:rFonts w:hint="eastAsia" w:cs="楷体_GB2312"/>
          <w:szCs w:val="21"/>
          <w:u w:val="single"/>
          <w:lang w:val="zh-CN" w:eastAsia="zh-CN"/>
        </w:rPr>
        <w:t xml:space="preserve">              </w:t>
      </w:r>
      <w:r>
        <w:rPr>
          <w:rFonts w:hint="eastAsia" w:cs="楷体_GB2312"/>
          <w:szCs w:val="21"/>
          <w:lang w:val="zh-CN" w:eastAsia="zh-CN"/>
        </w:rPr>
        <w:t>（以下简称“承包人”）特此签订安全生产合同：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一.发包人职责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5.组织对承包人施工现场安全生产检查，监督承包人及时处理发现的各种安全隐患。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二.承包人职责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三.违约责任</w:t>
      </w:r>
    </w:p>
    <w:p>
      <w:pPr>
        <w:autoSpaceDE w:val="0"/>
        <w:autoSpaceDN w:val="0"/>
        <w:adjustRightInd w:val="0"/>
        <w:spacing w:line="312" w:lineRule="auto"/>
        <w:rPr>
          <w:rFonts w:cs="楷体_GB2312"/>
          <w:szCs w:val="21"/>
          <w:lang w:val="zh-CN" w:eastAsia="zh-CN"/>
        </w:rPr>
      </w:pPr>
      <w:r>
        <w:rPr>
          <w:rFonts w:hint="eastAsia" w:cs="楷体_GB2312"/>
          <w:szCs w:val="21"/>
          <w:lang w:val="zh-CN" w:eastAsia="zh-CN"/>
        </w:rPr>
        <w:t>如因发包人或承包人违约造成安全事故，将依法追究责任。</w:t>
      </w:r>
    </w:p>
    <w:p>
      <w:pPr>
        <w:autoSpaceDE w:val="0"/>
        <w:autoSpaceDN w:val="0"/>
        <w:adjustRightInd w:val="0"/>
        <w:spacing w:line="312" w:lineRule="auto"/>
        <w:ind w:firstLine="487"/>
        <w:rPr>
          <w:rFonts w:cs="楷体_GB2312"/>
          <w:szCs w:val="21"/>
          <w:lang w:val="zh-CN" w:eastAsia="zh-CN"/>
        </w:rPr>
      </w:pPr>
      <w:r>
        <w:rPr>
          <w:rFonts w:hint="eastAsia" w:cs="楷体_GB2312"/>
          <w:szCs w:val="21"/>
          <w:lang w:val="zh-CN" w:eastAsia="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cs="仿宋_GB2312"/>
          <w:szCs w:val="21"/>
          <w:lang w:val="zh-CN" w:eastAsia="zh-CN"/>
        </w:rPr>
      </w:pPr>
    </w:p>
    <w:p>
      <w:pPr>
        <w:tabs>
          <w:tab w:val="left" w:pos="4812"/>
        </w:tabs>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发包人：                       承包人：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法定代表人：                  法定代表人：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 xml:space="preserve">其授权的代理人：              其授权的代理人： </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地址：                        地址：</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电话：                        电话：</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日期：                        日期：</w:t>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bookmarkStart w:id="28" w:name="_Toc80627904"/>
      <w:r>
        <w:rPr>
          <w:rFonts w:ascii="Times New Roman" w:hAnsi="Times New Roman" w:cs="Times New Roman"/>
          <w:szCs w:val="21"/>
          <w:lang w:eastAsia="zh-CN"/>
        </w:rPr>
        <w:t>附件</w:t>
      </w:r>
      <w:r>
        <w:rPr>
          <w:rFonts w:hint="eastAsia" w:ascii="Times New Roman" w:hAnsi="Times New Roman" w:cs="Times New Roman"/>
          <w:szCs w:val="21"/>
          <w:lang w:eastAsia="zh-CN"/>
        </w:rPr>
        <w:t>2</w:t>
      </w:r>
      <w:r>
        <w:rPr>
          <w:rFonts w:ascii="Times New Roman" w:hAnsi="Times New Roman" w:cs="Times New Roman"/>
          <w:szCs w:val="21"/>
          <w:lang w:eastAsia="zh-CN"/>
        </w:rPr>
        <w:t>：廉政合同格式</w:t>
      </w:r>
      <w:bookmarkEnd w:id="28"/>
    </w:p>
    <w:p>
      <w:pPr>
        <w:adjustRightInd w:val="0"/>
        <w:snapToGrid w:val="0"/>
        <w:spacing w:line="360" w:lineRule="auto"/>
        <w:jc w:val="center"/>
        <w:rPr>
          <w:rFonts w:ascii="Times New Roman" w:hAnsi="Times New Roman" w:cs="Times New Roman"/>
          <w:b/>
          <w:szCs w:val="21"/>
          <w:lang w:eastAsia="zh-CN"/>
        </w:rPr>
      </w:pPr>
      <w:bookmarkStart w:id="29" w:name="_Toc418517429"/>
      <w:bookmarkStart w:id="30" w:name="_Toc420995074"/>
      <w:bookmarkStart w:id="31" w:name="_Toc416788188"/>
      <w:bookmarkStart w:id="32" w:name="_Toc420995178"/>
      <w:bookmarkStart w:id="33" w:name="_Toc24117"/>
      <w:bookmarkStart w:id="34" w:name="_Toc421798219"/>
      <w:r>
        <w:rPr>
          <w:rFonts w:ascii="Times New Roman" w:hAnsi="Times New Roman" w:cs="Times New Roman"/>
          <w:b/>
          <w:szCs w:val="21"/>
          <w:lang w:eastAsia="zh-CN"/>
        </w:rPr>
        <w:t>廉政合同</w:t>
      </w:r>
      <w:bookmarkEnd w:id="29"/>
      <w:bookmarkEnd w:id="30"/>
      <w:bookmarkEnd w:id="31"/>
      <w:bookmarkEnd w:id="32"/>
      <w:bookmarkEnd w:id="33"/>
      <w:bookmarkEnd w:id="34"/>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adjustRightInd w:val="0"/>
        <w:snapToGrid w:val="0"/>
        <w:spacing w:line="360" w:lineRule="auto"/>
        <w:ind w:firstLine="480" w:firstLineChars="200"/>
        <w:rPr>
          <w:sz w:val="24"/>
          <w:lang w:eastAsia="zh-CN"/>
        </w:rPr>
      </w:pPr>
      <w:r>
        <w:rPr>
          <w:rFonts w:hint="eastAsia"/>
          <w:sz w:val="24"/>
          <w:lang w:eastAsia="zh-CN"/>
        </w:rPr>
        <w:t>5.反商业贿赂</w:t>
      </w:r>
    </w:p>
    <w:p>
      <w:pPr>
        <w:adjustRightInd w:val="0"/>
        <w:snapToGrid w:val="0"/>
        <w:spacing w:line="360" w:lineRule="auto"/>
        <w:ind w:firstLine="480" w:firstLineChars="200"/>
        <w:rPr>
          <w:sz w:val="24"/>
          <w:lang w:eastAsia="zh-CN"/>
        </w:rPr>
      </w:pPr>
      <w:r>
        <w:rPr>
          <w:rFonts w:hint="eastAsia"/>
          <w:sz w:val="24"/>
          <w:lang w:eastAsia="zh-CN"/>
        </w:rPr>
        <w:t>（1）各方都清楚并愿意严格遵守中华人民共和国反商业贿赂的法律规定，各方都清楚任何形式的贿赂和贪渎行为都将触犯法律，并将受到法律的严惩。</w:t>
      </w:r>
    </w:p>
    <w:p>
      <w:pPr>
        <w:adjustRightInd w:val="0"/>
        <w:snapToGrid w:val="0"/>
        <w:spacing w:line="360" w:lineRule="auto"/>
        <w:ind w:firstLine="480" w:firstLineChars="200"/>
        <w:rPr>
          <w:sz w:val="24"/>
          <w:lang w:eastAsia="zh-CN"/>
        </w:rPr>
      </w:pPr>
      <w:r>
        <w:rPr>
          <w:rFonts w:hint="eastAsia"/>
          <w:sz w:val="24"/>
          <w:lang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ind w:firstLine="480" w:firstLineChars="200"/>
        <w:rPr>
          <w:sz w:val="24"/>
          <w:lang w:eastAsia="zh-CN"/>
        </w:rPr>
      </w:pPr>
      <w:r>
        <w:rPr>
          <w:rFonts w:hint="eastAsia"/>
          <w:sz w:val="24"/>
          <w:lang w:eastAsia="zh-CN"/>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360" w:lineRule="auto"/>
        <w:ind w:firstLine="480" w:firstLineChars="200"/>
        <w:rPr>
          <w:sz w:val="24"/>
          <w:lang w:eastAsia="zh-CN"/>
        </w:rPr>
      </w:pPr>
      <w:r>
        <w:rPr>
          <w:rFonts w:hint="eastAsia"/>
          <w:sz w:val="24"/>
          <w:lang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360" w:lineRule="auto"/>
        <w:ind w:firstLine="480" w:firstLineChars="200"/>
        <w:rPr>
          <w:sz w:val="24"/>
          <w:lang w:eastAsia="zh-CN"/>
        </w:rPr>
      </w:pPr>
      <w:r>
        <w:rPr>
          <w:rFonts w:hint="eastAsia"/>
          <w:sz w:val="24"/>
          <w:lang w:eastAsia="zh-CN"/>
        </w:rPr>
        <w:t>（5）如因一方或一方经办人违反上述第（2）款、第（3）款、第（4）款之规定，给其他方造成损失的，应承担损害赔偿责任。</w:t>
      </w:r>
    </w:p>
    <w:p>
      <w:pPr>
        <w:adjustRightInd w:val="0"/>
        <w:snapToGrid w:val="0"/>
        <w:spacing w:line="360" w:lineRule="auto"/>
        <w:ind w:firstLine="480" w:firstLineChars="200"/>
        <w:rPr>
          <w:sz w:val="24"/>
          <w:lang w:eastAsia="zh-CN"/>
        </w:rPr>
      </w:pPr>
      <w:r>
        <w:rPr>
          <w:rFonts w:hint="eastAsia"/>
          <w:sz w:val="24"/>
          <w:lang w:eastAsia="zh-CN"/>
        </w:rPr>
        <w:t>（6）本条所称“其他相关人员”是指各方经办人以外的与合同有直接或间接利益关系的人员，包括但不仅限于合同经办人的亲友。</w:t>
      </w:r>
    </w:p>
    <w:p>
      <w:pPr>
        <w:adjustRightInd w:val="0"/>
        <w:snapToGrid w:val="0"/>
        <w:spacing w:line="360" w:lineRule="auto"/>
        <w:ind w:firstLine="480" w:firstLineChars="200"/>
        <w:rPr>
          <w:sz w:val="24"/>
          <w:lang w:eastAsia="zh-CN"/>
        </w:rPr>
      </w:pPr>
      <w:r>
        <w:rPr>
          <w:rFonts w:hint="eastAsia"/>
          <w:sz w:val="24"/>
          <w:lang w:eastAsia="zh-CN"/>
        </w:rPr>
        <w:t>6.双方约定：本合同由双方或双方上级单位的纪检监察机关负责监督执行。由业主方或业主方上级单位的纪检监察机关约请设计方或设计方上级单位纪检监察机关对本合同执行情况进行检查，提出在本合同规定范围内的裁定意见。</w:t>
      </w:r>
    </w:p>
    <w:p>
      <w:pPr>
        <w:adjustRightInd w:val="0"/>
        <w:snapToGrid w:val="0"/>
        <w:spacing w:line="360" w:lineRule="auto"/>
        <w:ind w:firstLine="480" w:firstLineChars="200"/>
        <w:rPr>
          <w:sz w:val="24"/>
          <w:lang w:eastAsia="zh-CN"/>
        </w:rPr>
      </w:pPr>
      <w:r>
        <w:rPr>
          <w:rFonts w:hint="eastAsia"/>
          <w:sz w:val="24"/>
          <w:lang w:eastAsia="zh-CN"/>
        </w:rPr>
        <w:t>7.本合同有效期为签署之日起至该工程项目竣工验收后止。</w:t>
      </w:r>
    </w:p>
    <w:p>
      <w:pPr>
        <w:adjustRightInd w:val="0"/>
        <w:snapToGrid w:val="0"/>
        <w:spacing w:line="360" w:lineRule="auto"/>
        <w:ind w:firstLine="480" w:firstLineChars="200"/>
        <w:rPr>
          <w:sz w:val="24"/>
          <w:lang w:eastAsia="zh-CN"/>
        </w:rPr>
      </w:pPr>
      <w:r>
        <w:rPr>
          <w:rFonts w:hint="eastAsia"/>
          <w:sz w:val="24"/>
          <w:lang w:eastAsia="zh-CN"/>
        </w:rPr>
        <w:t>8.本合同作为本设计合同的附件，与设计合同具有同等的法律效力，经合同三方签署立即生效。</w:t>
      </w:r>
    </w:p>
    <w:p>
      <w:pPr>
        <w:tabs>
          <w:tab w:val="left" w:pos="1213"/>
        </w:tabs>
        <w:adjustRightInd w:val="0"/>
        <w:snapToGrid w:val="0"/>
        <w:spacing w:line="360" w:lineRule="auto"/>
        <w:ind w:firstLine="480" w:firstLineChars="200"/>
        <w:rPr>
          <w:rFonts w:ascii="Times New Roman" w:hAnsi="Times New Roman" w:cs="Times New Roman"/>
          <w:szCs w:val="24"/>
          <w:lang w:val="zh-CN" w:eastAsia="zh-CN"/>
        </w:rPr>
      </w:pPr>
      <w:r>
        <w:rPr>
          <w:rFonts w:hint="eastAsia"/>
          <w:sz w:val="24"/>
          <w:lang w:eastAsia="zh-CN"/>
        </w:rPr>
        <w:t>9.本合同一式陆份，甲方执肆份，乙方执贰份。</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 xml:space="preserve">           </w:t>
      </w:r>
    </w:p>
    <w:p>
      <w:pPr>
        <w:spacing w:line="510" w:lineRule="exact"/>
        <w:ind w:firstLine="636" w:firstLineChars="199"/>
        <w:rPr>
          <w:rFonts w:ascii="Times New Roman" w:hAnsi="Times New Roman" w:eastAsia="方正仿宋_GBK" w:cs="Times New Roman"/>
          <w:sz w:val="32"/>
          <w:szCs w:val="32"/>
          <w:lang w:eastAsia="zh-CN"/>
        </w:rPr>
      </w:pPr>
    </w:p>
    <w:p>
      <w:pPr>
        <w:pStyle w:val="2"/>
        <w:ind w:left="440"/>
        <w:sectPr>
          <w:footerReference r:id="rId6" w:type="first"/>
          <w:headerReference r:id="rId5" w:type="default"/>
          <w:pgSz w:w="11907" w:h="16840"/>
          <w:pgMar w:top="1440" w:right="1797" w:bottom="1440" w:left="1797" w:header="851" w:footer="964" w:gutter="0"/>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技术标准和要求</w:t>
      </w:r>
    </w:p>
    <w:p>
      <w:pPr>
        <w:pStyle w:val="2"/>
        <w:ind w:left="440"/>
      </w:pPr>
    </w:p>
    <w:p>
      <w:pPr>
        <w:pStyle w:val="2"/>
        <w:ind w:left="440"/>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sectPr>
          <w:pgSz w:w="11907" w:h="16840"/>
          <w:pgMar w:top="1440" w:right="1797" w:bottom="1440" w:left="1797" w:header="851" w:footer="992" w:gutter="0"/>
          <w:pgNumType w:chapStyle="1"/>
          <w:cols w:space="425" w:num="1"/>
          <w:docGrid w:linePitch="312" w:charSpace="0"/>
        </w:sectPr>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2"/>
        <w:ind w:left="440"/>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bookmarkStart w:id="35" w:name="bookmark291"/>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二、投标函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bookmarkEnd w:id="35"/>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keepNext/>
        <w:keepLines/>
        <w:shd w:val="clear" w:color="auto" w:fill="auto"/>
        <w:snapToGrid w:val="0"/>
        <w:spacing w:before="0" w:after="0" w:line="240" w:lineRule="auto"/>
        <w:jc w:val="center"/>
        <w:rPr>
          <w:rFonts w:ascii="Times New Roman" w:hAnsi="Times New Roman" w:eastAsia="方正小标宋_GBK" w:cs="Times New Roman"/>
          <w:sz w:val="44"/>
          <w:szCs w:val="44"/>
        </w:rPr>
      </w:pPr>
      <w:r>
        <w:rPr>
          <w:rFonts w:ascii="Times New Roman" w:hAnsi="Times New Roman" w:cs="Times New Roman"/>
        </w:rPr>
        <w:br w:type="page"/>
      </w:r>
      <w:bookmarkStart w:id="36" w:name="_Toc52097543"/>
      <w:bookmarkStart w:id="37" w:name="_Toc10710824"/>
      <w:bookmarkStart w:id="38" w:name="_Toc29194793"/>
      <w:bookmarkStart w:id="39" w:name="bookmark292"/>
      <w:r>
        <w:rPr>
          <w:rFonts w:ascii="Times New Roman" w:hAnsi="Times New Roman" w:eastAsia="方正小标宋_GBK" w:cs="Times New Roman"/>
          <w:sz w:val="44"/>
          <w:szCs w:val="44"/>
        </w:rPr>
        <w:t>一、法定代表人身份证明或授权委托书</w:t>
      </w:r>
      <w:bookmarkEnd w:id="36"/>
    </w:p>
    <w:p>
      <w:pPr>
        <w:widowControl/>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40" w:name="_Toc52097544"/>
      <w:r>
        <w:rPr>
          <w:rFonts w:ascii="Times New Roman" w:hAnsi="Times New Roman" w:eastAsia="方正小标宋_GBK" w:cs="Times New Roman"/>
          <w:sz w:val="44"/>
          <w:szCs w:val="44"/>
        </w:rPr>
        <w:t>二、报价函</w:t>
      </w:r>
      <w:bookmarkEnd w:id="37"/>
      <w:bookmarkEnd w:id="38"/>
      <w:bookmarkEnd w:id="39"/>
      <w:bookmarkEnd w:id="40"/>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41" w:name="bookmark29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bookmarkEnd w:id="41"/>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6.我方在此声明，所递交的报价文件及有关资料内容完整、真实和准确，且不存在</w:t>
      </w:r>
      <w:r>
        <w:rPr>
          <w:rFonts w:hint="eastAsia" w:ascii="Times New Roman" w:hAnsi="Times New Roman" w:eastAsia="方正仿宋_GBK" w:cs="Times New Roman"/>
          <w:sz w:val="32"/>
          <w:szCs w:val="32"/>
          <w:lang w:val="en-US" w:eastAsia="zh-CN"/>
        </w:rPr>
        <w:t>违反询价函及法律法规的</w:t>
      </w:r>
      <w:r>
        <w:rPr>
          <w:rFonts w:ascii="Times New Roman" w:hAnsi="Times New Roman" w:eastAsia="方正仿宋_GBK" w:cs="Times New Roman"/>
          <w:sz w:val="32"/>
          <w:szCs w:val="32"/>
          <w:lang w:eastAsia="zh-CN"/>
        </w:rPr>
        <w:t>的任何一种情形。</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keepNext/>
        <w:keepLines/>
        <w:shd w:val="clear" w:color="auto" w:fill="auto"/>
        <w:spacing w:before="0" w:after="476" w:line="560" w:lineRule="exact"/>
        <w:jc w:val="center"/>
        <w:rPr>
          <w:rStyle w:val="181"/>
          <w:rFonts w:ascii="Times New Roman" w:hAnsi="Times New Roman" w:eastAsia="方正小标宋_GBK" w:cs="Times New Roman"/>
          <w:color w:val="auto"/>
          <w:sz w:val="44"/>
          <w:szCs w:val="44"/>
        </w:rPr>
      </w:pPr>
      <w:r>
        <w:rPr>
          <w:rFonts w:ascii="Times New Roman" w:hAnsi="Times New Roman" w:cs="Times New Roman"/>
          <w:szCs w:val="21"/>
          <w:u w:val="single"/>
        </w:rPr>
        <w:br w:type="page"/>
      </w:r>
      <w:bookmarkStart w:id="42" w:name="_Toc29194794"/>
      <w:bookmarkStart w:id="43" w:name="_Toc52097545"/>
      <w:bookmarkStart w:id="44" w:name="_Toc10710825"/>
      <w:r>
        <w:rPr>
          <w:rFonts w:ascii="Times New Roman" w:hAnsi="Times New Roman" w:eastAsia="方正小标宋_GBK" w:cs="Times New Roman"/>
          <w:sz w:val="44"/>
          <w:szCs w:val="44"/>
        </w:rPr>
        <w:t>三</w:t>
      </w:r>
      <w:r>
        <w:rPr>
          <w:rStyle w:val="181"/>
          <w:rFonts w:ascii="Times New Roman" w:hAnsi="Times New Roman" w:eastAsia="方正小标宋_GBK" w:cs="Times New Roman"/>
          <w:color w:val="auto"/>
          <w:sz w:val="44"/>
          <w:szCs w:val="44"/>
        </w:rPr>
        <w:t>、报价表</w:t>
      </w:r>
      <w:bookmarkEnd w:id="42"/>
      <w:bookmarkEnd w:id="43"/>
      <w:bookmarkEnd w:id="44"/>
    </w:p>
    <w:p>
      <w:p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eastAsia="zh-CN"/>
        </w:rPr>
        <w:t>报价表中的价格，应包括报价单位完成合同内容所需的验收费、技术服务费、保险费、管理费、利润、税费，以及合同明示或暗示的风险、责任和义务等所发生的其他全部费用。</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（7）</w:t>
      </w:r>
      <w:r>
        <w:rPr>
          <w:rFonts w:ascii="Times New Roman" w:hAnsi="Times New Roman" w:eastAsia="方正仿宋_GBK" w:cs="Times New Roman"/>
          <w:i/>
          <w:iCs/>
          <w:sz w:val="32"/>
          <w:szCs w:val="32"/>
          <w:lang w:eastAsia="zh-CN"/>
        </w:rPr>
        <w:t>报价在合同有效期内固定不变</w:t>
      </w:r>
      <w:r>
        <w:rPr>
          <w:rFonts w:ascii="Times New Roman" w:hAnsi="Times New Roman" w:eastAsia="方正仿宋_GBK" w:cs="Times New Roman"/>
          <w:sz w:val="32"/>
          <w:szCs w:val="32"/>
          <w:lang w:eastAsia="zh-CN"/>
        </w:rPr>
        <w:t>，即合同价格不因国家和地方政策调整、物价变动等因数的影响而调整。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lang w:eastAsia="zh-CN"/>
        </w:rPr>
      </w:pPr>
    </w:p>
    <w:p>
      <w:pPr>
        <w:numPr>
          <w:ilvl w:val="0"/>
          <w:numId w:val="4"/>
        </w:num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报价表</w:t>
      </w:r>
    </w:p>
    <w:p>
      <w:pPr>
        <w:spacing w:line="510" w:lineRule="exact"/>
        <w:ind w:firstLine="55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i/>
          <w:iCs/>
          <w:sz w:val="28"/>
          <w:szCs w:val="28"/>
          <w:lang w:eastAsia="zh-CN"/>
        </w:rPr>
        <w:t>根据项目实际情况列明。</w:t>
      </w:r>
    </w:p>
    <w:p>
      <w:pPr>
        <w:pStyle w:val="2"/>
        <w:ind w:left="440" w:firstLine="0"/>
      </w:pPr>
    </w:p>
    <w:p>
      <w:pPr>
        <w:spacing w:line="360" w:lineRule="auto"/>
        <w:jc w:val="center"/>
        <w:rPr>
          <w:rFonts w:ascii="Times New Roman" w:hAnsi="Times New Roman" w:cs="Times New Roman"/>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9842"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2"/>
        <w:gridCol w:w="993"/>
        <w:gridCol w:w="567"/>
        <w:gridCol w:w="3118"/>
        <w:gridCol w:w="851"/>
        <w:gridCol w:w="850"/>
        <w:gridCol w:w="1127"/>
        <w:gridCol w:w="844"/>
        <w:gridCol w:w="9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842" w:type="dxa"/>
            <w:gridSpan w:val="9"/>
            <w:tcBorders>
              <w:bottom w:val="nil"/>
            </w:tcBorders>
            <w:noWrap/>
            <w:vAlign w:val="center"/>
          </w:tcPr>
          <w:p>
            <w:pPr>
              <w:tabs>
                <w:tab w:val="left" w:pos="3840"/>
                <w:tab w:val="left" w:pos="5300"/>
              </w:tabs>
              <w:autoSpaceDE w:val="0"/>
              <w:autoSpaceDN w:val="0"/>
              <w:adjustRightInd w:val="0"/>
              <w:snapToGrid w:val="0"/>
              <w:spacing w:line="360" w:lineRule="auto"/>
              <w:jc w:val="center"/>
              <w:rPr>
                <w:rFonts w:hint="default" w:ascii="仿宋" w:hAnsi="仿宋" w:eastAsia="仿宋" w:cs="仿宋"/>
                <w:color w:val="FF0000"/>
                <w:sz w:val="18"/>
                <w:szCs w:val="18"/>
                <w:lang w:val="en-US" w:eastAsia="zh-CN"/>
              </w:rPr>
            </w:pPr>
            <w:r>
              <w:rPr>
                <w:rFonts w:hint="eastAsia" w:ascii="仿宋" w:hAnsi="仿宋" w:eastAsia="仿宋" w:cs="仿宋"/>
                <w:color w:val="FF0000"/>
                <w:szCs w:val="21"/>
                <w:lang w:eastAsia="zh-CN"/>
              </w:rPr>
              <w:t>一、厂房、泄水闸</w:t>
            </w:r>
            <w:r>
              <w:rPr>
                <w:rStyle w:val="193"/>
                <w:rFonts w:hint="eastAsia" w:ascii="仿宋" w:hAnsi="仿宋" w:eastAsia="仿宋" w:cs="仿宋"/>
                <w:color w:val="FF0000"/>
                <w:sz w:val="21"/>
                <w:szCs w:val="21"/>
                <w:lang w:val="en-US" w:eastAsia="zh-CN" w:bidi="ar"/>
              </w:rPr>
              <w:t>第三方质量检测报价表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2"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工程项目</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单位</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施工单位自检频率</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检测数量（组）</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试验检测</w:t>
            </w:r>
          </w:p>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项目</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单价（每组）</w:t>
            </w: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水泥(袋)</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同一厂家、同品牌、同强度等级、同一出厂编号，袋装每≤200t为一验收批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4282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rPr>
              <w:t>3</w:t>
            </w:r>
          </w:p>
        </w:tc>
        <w:tc>
          <w:tcPr>
            <w:tcW w:w="1127"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eastAsia="zh-CN" w:bidi="ar"/>
              </w:rPr>
            </w:pPr>
            <w:r>
              <w:rPr>
                <w:rFonts w:hint="eastAsia" w:ascii="仿宋" w:hAnsi="仿宋" w:eastAsia="仿宋" w:cs="仿宋"/>
                <w:color w:val="FF0000"/>
                <w:sz w:val="15"/>
                <w:szCs w:val="15"/>
                <w:lang w:eastAsia="zh-CN" w:bidi="ar"/>
              </w:rPr>
              <w:t>标准稠度用水量、安定性、凝结时间、</w:t>
            </w:r>
            <w:r>
              <w:rPr>
                <w:rFonts w:hint="eastAsia" w:ascii="仿宋" w:hAnsi="仿宋" w:eastAsia="仿宋"/>
                <w:color w:val="FF0000"/>
                <w:sz w:val="15"/>
                <w:szCs w:val="15"/>
                <w:lang w:eastAsia="zh-CN"/>
              </w:rPr>
              <w:t>比表面积（或细度）、</w:t>
            </w:r>
            <w:r>
              <w:rPr>
                <w:rFonts w:hint="eastAsia" w:ascii="仿宋" w:hAnsi="仿宋" w:eastAsia="仿宋" w:cs="仿宋"/>
                <w:color w:val="FF0000"/>
                <w:sz w:val="15"/>
                <w:szCs w:val="15"/>
                <w:lang w:eastAsia="zh-CN" w:bidi="ar"/>
              </w:rPr>
              <w:t>胶砂强度</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水泥（散装）</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同一厂家、同品牌、同强度等级、同一出厂编号，散装每≤400t为一验收批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49623.88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rPr>
              <w:t>13</w:t>
            </w:r>
          </w:p>
        </w:tc>
        <w:tc>
          <w:tcPr>
            <w:tcW w:w="1127" w:type="dxa"/>
            <w:vMerge w:val="continue"/>
            <w:tcBorders>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bidi="ar"/>
              </w:rPr>
            </w:pP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2</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粉煤灰</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以连续供应的200t相同种类、相同等级的粉煤灰为一批号，不足200t者按一批计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13770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rPr>
              <w:t>7</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eastAsia="zh-CN" w:bidi="ar"/>
              </w:rPr>
            </w:pPr>
            <w:r>
              <w:rPr>
                <w:rFonts w:hint="eastAsia" w:ascii="仿宋" w:hAnsi="仿宋" w:eastAsia="仿宋" w:cs="仿宋"/>
                <w:color w:val="FF0000"/>
                <w:sz w:val="15"/>
                <w:szCs w:val="15"/>
                <w:lang w:eastAsia="zh-CN" w:bidi="ar"/>
              </w:rPr>
              <w:t>细度、需水量比、含水量、烧失量</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3</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细骨料</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同一生产地，同一规格，同一进场时间，每400m3或600t为一批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120123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rPr>
              <w:t>21</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eastAsia="zh-CN" w:bidi="ar"/>
              </w:rPr>
            </w:pPr>
            <w:r>
              <w:rPr>
                <w:rFonts w:hint="eastAsia" w:ascii="仿宋" w:hAnsi="仿宋" w:eastAsia="仿宋" w:cs="仿宋"/>
                <w:color w:val="FF0000"/>
                <w:sz w:val="15"/>
                <w:szCs w:val="15"/>
                <w:lang w:eastAsia="zh-CN" w:bidi="ar"/>
              </w:rPr>
              <w:t>颗粒级配、饱和面干表观密度及吸水率、堆积密度、石粉含量(人工砂) 、泥块含量、有机物、云母</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4</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粗骨料</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同一生产地，同一规格，同一进场时间，每400m3或600t为一批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268585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rPr>
              <w:t>45</w:t>
            </w:r>
          </w:p>
        </w:tc>
        <w:tc>
          <w:tcPr>
            <w:tcW w:w="1127" w:type="dxa"/>
            <w:tcBorders>
              <w:top w:val="single" w:color="000000" w:sz="4" w:space="0"/>
              <w:left w:val="single" w:color="000000" w:sz="4" w:space="0"/>
              <w:right w:val="single" w:color="000000" w:sz="4" w:space="0"/>
            </w:tcBorders>
            <w:noWrap/>
            <w:vAlign w:val="center"/>
          </w:tcPr>
          <w:p>
            <w:pPr>
              <w:widowControl/>
              <w:textAlignment w:val="center"/>
              <w:rPr>
                <w:rFonts w:ascii="仿宋" w:hAnsi="仿宋" w:eastAsia="仿宋" w:cs="仿宋"/>
                <w:color w:val="FF0000"/>
                <w:sz w:val="15"/>
                <w:szCs w:val="15"/>
                <w:lang w:eastAsia="zh-CN" w:bidi="ar"/>
              </w:rPr>
            </w:pPr>
            <w:r>
              <w:rPr>
                <w:rFonts w:hint="eastAsia" w:ascii="仿宋" w:hAnsi="仿宋" w:eastAsia="仿宋" w:cs="仿宋"/>
                <w:color w:val="FF0000"/>
                <w:sz w:val="15"/>
                <w:szCs w:val="15"/>
                <w:lang w:eastAsia="zh-CN" w:bidi="ar"/>
              </w:rPr>
              <w:t>颗粒级配、饱和面干表观密度及吸水率、堆积密度、泥块含量、含泥量、超逊径含量、针片状颗粒含量、压碎值</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5</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外加剂</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以每一批号为一取样单位，掺量大于1%（含1%）同品种的外加剂以100t为一批，掺量小于1%的外加剂以50t为一批，掺量小于0.05%的外加剂以小于2t为一批。一批外加剂进场的数量不足一批数量时，应视为一批进行检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837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rPr>
              <w:t>6</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eastAsia="zh-CN" w:bidi="ar"/>
              </w:rPr>
            </w:pPr>
            <w:r>
              <w:rPr>
                <w:rFonts w:hint="eastAsia" w:ascii="仿宋" w:hAnsi="仿宋" w:eastAsia="仿宋" w:cs="仿宋"/>
                <w:color w:val="FF0000"/>
                <w:sz w:val="15"/>
                <w:szCs w:val="15"/>
                <w:lang w:eastAsia="zh-CN" w:bidi="ar"/>
              </w:rPr>
              <w:t>减水率、泌水率比、含气量、凝结时间差、抗压强度比</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6</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钢筋</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以同一牌号、同一炉罐号钢筋组成。每批不大于60t，超过60t的部分，每增加40t（或不足40t），增加一个拉伸试样和一个弯曲试样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10451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rPr>
              <w:t>17</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eastAsia="zh-CN" w:bidi="ar"/>
              </w:rPr>
            </w:pPr>
            <w:r>
              <w:rPr>
                <w:rFonts w:hint="eastAsia" w:ascii="仿宋" w:hAnsi="仿宋" w:eastAsia="仿宋" w:cs="仿宋"/>
                <w:color w:val="FF0000"/>
                <w:sz w:val="15"/>
                <w:szCs w:val="15"/>
                <w:lang w:eastAsia="zh-CN" w:bidi="ar"/>
              </w:rPr>
              <w:t>重量偏差、屈服强度、抗拉强度、最大力总伸长率（或断后伸长率）、带E(屈强比、超屈比)、反向弯曲（或冷弯）</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restart"/>
            <w:tcBorders>
              <w:top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7</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C15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拌合楼每次生产都需取样，不同标号混凝土至少一组；大体积混凝土每500m3一组，非大体积混凝土每100m3一组</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407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1</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C20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31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3718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4</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C25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31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50493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51</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ascii="仿宋" w:hAnsi="仿宋" w:eastAsia="仿宋" w:cs="仿宋"/>
                <w:color w:val="FF0000"/>
                <w:sz w:val="18"/>
                <w:szCs w:val="18"/>
                <w:lang w:bidi="ar"/>
              </w:rPr>
              <w:t>C30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31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6108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7</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C40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31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10432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11</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vMerge w:val="continue"/>
            <w:tcBorders>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C45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31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1797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2</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8</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砂浆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每100m3一组</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400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rPr>
              <w:t>1</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9</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级配碎石</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3个</w:t>
            </w:r>
            <w:r>
              <w:rPr>
                <w:rStyle w:val="193"/>
                <w:rFonts w:hint="default" w:ascii="仿宋" w:hAnsi="仿宋" w:eastAsia="仿宋" w:cs="仿宋"/>
                <w:color w:val="FF0000"/>
                <w:lang w:bidi="ar"/>
              </w:rPr>
              <w:t>点</w:t>
            </w:r>
            <w:r>
              <w:rPr>
                <w:rFonts w:hint="eastAsia" w:ascii="仿宋" w:hAnsi="仿宋" w:eastAsia="仿宋" w:cs="仿宋"/>
                <w:color w:val="FF0000"/>
                <w:sz w:val="18"/>
                <w:szCs w:val="18"/>
                <w:lang w:bidi="ar"/>
              </w:rPr>
              <w:t>/1000㎡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2754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rPr>
              <w:t>2</w:t>
            </w:r>
          </w:p>
        </w:tc>
        <w:tc>
          <w:tcPr>
            <w:tcW w:w="11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压实度</w:t>
            </w:r>
          </w:p>
        </w:tc>
        <w:tc>
          <w:tcPr>
            <w:tcW w:w="844"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rPr>
            </w:pPr>
            <w:r>
              <w:rPr>
                <w:rFonts w:hint="eastAsia" w:ascii="仿宋" w:hAnsi="仿宋" w:eastAsia="仿宋" w:cs="仿宋"/>
                <w:color w:val="FF0000"/>
                <w:sz w:val="18"/>
                <w:szCs w:val="18"/>
                <w:lang w:eastAsia="zh-CN" w:bidi="ar"/>
              </w:rPr>
              <w:t>10</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水稳层压实度</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Style w:val="193"/>
                <w:rFonts w:hint="default" w:ascii="仿宋" w:hAnsi="仿宋" w:eastAsia="仿宋" w:cs="仿宋"/>
                <w:color w:val="FF0000"/>
                <w:lang w:eastAsia="zh-CN" w:bidi="ar"/>
              </w:rPr>
              <w:t>组</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3个点/1000㎡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lang w:bidi="ar"/>
              </w:rPr>
              <w:t>2142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rPr>
            </w:pPr>
            <w:r>
              <w:rPr>
                <w:rFonts w:hint="eastAsia" w:ascii="仿宋" w:hAnsi="仿宋" w:eastAsia="仿宋" w:cs="仿宋"/>
                <w:color w:val="FF0000"/>
                <w:sz w:val="18"/>
                <w:szCs w:val="18"/>
              </w:rPr>
              <w:t>2</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压实度</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eastAsia="zh-CN" w:bidi="ar"/>
              </w:rPr>
            </w:pPr>
            <w:r>
              <w:rPr>
                <w:rFonts w:hint="eastAsia" w:ascii="仿宋" w:hAnsi="仿宋" w:eastAsia="仿宋" w:cs="仿宋"/>
                <w:color w:val="FF0000"/>
                <w:sz w:val="18"/>
                <w:szCs w:val="18"/>
                <w:lang w:eastAsia="zh-CN" w:bidi="ar"/>
              </w:rPr>
              <w:t>11</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常态混凝土</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eastAsia="zh-CN" w:bidi="ar"/>
              </w:rPr>
            </w:pPr>
            <w:r>
              <w:rPr>
                <w:rStyle w:val="193"/>
                <w:rFonts w:hint="default" w:ascii="仿宋" w:hAnsi="仿宋" w:eastAsia="仿宋" w:cs="仿宋"/>
                <w:color w:val="FF0000"/>
                <w:lang w:eastAsia="zh-CN" w:bidi="ar"/>
              </w:rPr>
              <w:t>每季度主要施工部位取样1~2组</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12</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FF0000"/>
                <w:sz w:val="15"/>
                <w:szCs w:val="15"/>
                <w:lang w:eastAsia="zh-CN" w:bidi="ar"/>
              </w:rPr>
            </w:pPr>
            <w:r>
              <w:rPr>
                <w:rFonts w:hint="eastAsia" w:ascii="仿宋" w:hAnsi="仿宋" w:eastAsia="仿宋" w:cs="仿宋"/>
                <w:color w:val="FF0000"/>
                <w:sz w:val="15"/>
                <w:szCs w:val="15"/>
                <w:lang w:bidi="ar"/>
              </w:rPr>
              <w:t>抗冻</w:t>
            </w:r>
            <w:r>
              <w:rPr>
                <w:rFonts w:hint="eastAsia" w:ascii="仿宋" w:hAnsi="仿宋" w:eastAsia="仿宋" w:cs="仿宋"/>
                <w:color w:val="FF0000"/>
                <w:sz w:val="15"/>
                <w:szCs w:val="15"/>
                <w:lang w:val="en-US" w:eastAsia="zh-CN" w:bidi="ar"/>
              </w:rPr>
              <w:t>试验</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FF0000"/>
                <w:sz w:val="18"/>
                <w:szCs w:val="18"/>
                <w:u w:val="none"/>
                <w:lang w:val="en-US" w:eastAsia="zh-CN" w:bidi="ar"/>
              </w:rPr>
            </w:pPr>
            <w:r>
              <w:rPr>
                <w:rStyle w:val="193"/>
                <w:rFonts w:hint="eastAsia" w:ascii="仿宋" w:hAnsi="仿宋" w:eastAsia="仿宋" w:cs="仿宋"/>
                <w:color w:val="FF0000"/>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bidi="ar"/>
              </w:rPr>
            </w:pPr>
            <w:r>
              <w:rPr>
                <w:rFonts w:hint="eastAsia" w:ascii="仿宋" w:hAnsi="仿宋" w:eastAsia="仿宋" w:cs="仿宋"/>
                <w:color w:val="FF0000"/>
                <w:sz w:val="18"/>
                <w:szCs w:val="18"/>
                <w:lang w:eastAsia="zh-CN"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FF0000"/>
                <w:sz w:val="18"/>
                <w:szCs w:val="18"/>
                <w:u w:val="none"/>
                <w:lang w:val="en-US" w:eastAsia="zh-CN" w:bidi="ar"/>
              </w:rPr>
            </w:pPr>
            <w:r>
              <w:rPr>
                <w:rStyle w:val="193"/>
                <w:rFonts w:hint="default" w:ascii="仿宋" w:hAnsi="仿宋" w:eastAsia="仿宋" w:cs="仿宋"/>
                <w:color w:val="FF0000"/>
                <w:lang w:eastAsia="zh-CN" w:bidi="ar"/>
              </w:rPr>
              <w:t>项</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FF0000"/>
                <w:sz w:val="18"/>
                <w:szCs w:val="18"/>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en-US" w:bidi="ar"/>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FF0000"/>
                <w:sz w:val="18"/>
                <w:szCs w:val="18"/>
                <w:lang w:val="en-US" w:eastAsia="en-US" w:bidi="ar"/>
              </w:rPr>
            </w:pPr>
          </w:p>
        </w:tc>
        <w:tc>
          <w:tcPr>
            <w:tcW w:w="11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FF0000"/>
                <w:sz w:val="15"/>
                <w:szCs w:val="15"/>
                <w:lang w:val="en-US" w:eastAsia="zh-CN" w:bidi="ar"/>
              </w:rPr>
            </w:pPr>
            <w:r>
              <w:rPr>
                <w:rFonts w:hint="eastAsia" w:ascii="仿宋" w:hAnsi="仿宋" w:eastAsia="仿宋" w:cs="仿宋"/>
                <w:color w:val="FF0000"/>
                <w:sz w:val="15"/>
                <w:szCs w:val="15"/>
                <w:lang w:eastAsia="zh-CN" w:bidi="ar"/>
              </w:rPr>
              <w:t>询价函中其他工作</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p>
        </w:tc>
        <w:tc>
          <w:tcPr>
            <w:tcW w:w="910" w:type="dxa"/>
            <w:tcBorders>
              <w:top w:val="single" w:color="000000" w:sz="4" w:space="0"/>
              <w:left w:val="single" w:color="000000" w:sz="4" w:space="0"/>
              <w:bottom w:val="single" w:color="000000" w:sz="4" w:space="0"/>
            </w:tcBorders>
            <w:noWrap/>
            <w:vAlign w:val="center"/>
          </w:tcPr>
          <w:p>
            <w:pPr>
              <w:widowControl/>
              <w:jc w:val="center"/>
              <w:textAlignment w:val="center"/>
              <w:rPr>
                <w:rFonts w:ascii="仿宋" w:hAnsi="仿宋" w:eastAsia="仿宋" w:cs="仿宋"/>
                <w:color w:val="FF0000"/>
                <w:sz w:val="18"/>
                <w:szCs w:val="18"/>
                <w:lang w:bidi="ar"/>
              </w:rPr>
            </w:pPr>
          </w:p>
        </w:tc>
      </w:tr>
    </w:tbl>
    <w:p>
      <w:pPr>
        <w:pStyle w:val="73"/>
        <w:spacing w:line="360" w:lineRule="auto"/>
        <w:rPr>
          <w:rFonts w:ascii="Times New Roman" w:hAnsi="Times New Roman" w:cs="Times New Roman"/>
          <w:szCs w:val="21"/>
          <w:lang w:eastAsia="zh-CN"/>
        </w:rPr>
      </w:pPr>
    </w:p>
    <w:tbl>
      <w:tblPr>
        <w:tblStyle w:val="44"/>
        <w:tblW w:w="9854"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9"/>
        <w:gridCol w:w="946"/>
        <w:gridCol w:w="567"/>
        <w:gridCol w:w="2976"/>
        <w:gridCol w:w="993"/>
        <w:gridCol w:w="850"/>
        <w:gridCol w:w="1134"/>
        <w:gridCol w:w="837"/>
        <w:gridCol w:w="9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854" w:type="dxa"/>
            <w:gridSpan w:val="9"/>
            <w:tcBorders>
              <w:bottom w:val="nil"/>
            </w:tcBorders>
            <w:noWrap/>
            <w:vAlign w:val="center"/>
          </w:tcPr>
          <w:p>
            <w:pPr>
              <w:widowControl/>
              <w:jc w:val="center"/>
              <w:textAlignment w:val="center"/>
              <w:rPr>
                <w:rStyle w:val="193"/>
                <w:rFonts w:hint="default" w:ascii="仿宋" w:hAnsi="仿宋" w:eastAsia="仿宋" w:cs="仿宋"/>
                <w:color w:val="FF0000"/>
                <w:lang w:eastAsia="zh-CN" w:bidi="ar"/>
              </w:rPr>
            </w:pPr>
            <w:r>
              <w:rPr>
                <w:rStyle w:val="193"/>
                <w:rFonts w:hint="default" w:ascii="仿宋" w:hAnsi="仿宋" w:eastAsia="仿宋" w:cs="仿宋"/>
                <w:color w:val="FF0000"/>
                <w:sz w:val="21"/>
                <w:szCs w:val="21"/>
                <w:lang w:eastAsia="zh-CN" w:bidi="ar"/>
              </w:rPr>
              <w:t>二、船闸工程</w:t>
            </w:r>
            <w:r>
              <w:rPr>
                <w:rStyle w:val="193"/>
                <w:rFonts w:hint="eastAsia" w:ascii="仿宋" w:hAnsi="仿宋" w:eastAsia="仿宋" w:cs="仿宋"/>
                <w:color w:val="FF0000"/>
                <w:sz w:val="21"/>
                <w:szCs w:val="21"/>
                <w:lang w:val="en-US" w:eastAsia="zh-CN" w:bidi="ar"/>
              </w:rPr>
              <w:t>第三方质量检测报价表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29"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工程项目</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单位</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93"/>
                <w:rFonts w:hint="default" w:ascii="仿宋" w:hAnsi="仿宋" w:eastAsia="仿宋" w:cs="仿宋"/>
                <w:color w:val="FF0000"/>
                <w:lang w:bidi="ar"/>
              </w:rPr>
            </w:pPr>
            <w:r>
              <w:rPr>
                <w:rFonts w:hint="eastAsia" w:ascii="仿宋" w:hAnsi="仿宋" w:eastAsia="仿宋" w:cs="仿宋"/>
                <w:color w:val="FF0000"/>
                <w:sz w:val="18"/>
                <w:szCs w:val="18"/>
                <w:lang w:bidi="ar"/>
              </w:rPr>
              <w:t>施工单位自检频率</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数量</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检测数量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试验检测</w:t>
            </w:r>
          </w:p>
          <w:p>
            <w:pPr>
              <w:widowControl/>
              <w:jc w:val="center"/>
              <w:textAlignment w:val="center"/>
              <w:rPr>
                <w:rStyle w:val="193"/>
                <w:rFonts w:hint="default" w:ascii="仿宋" w:hAnsi="仿宋" w:eastAsia="仿宋" w:cs="仿宋"/>
                <w:color w:val="FF0000"/>
                <w:lang w:bidi="ar"/>
              </w:rPr>
            </w:pPr>
            <w:r>
              <w:rPr>
                <w:rFonts w:hint="eastAsia" w:ascii="仿宋" w:hAnsi="仿宋" w:eastAsia="仿宋" w:cs="仿宋"/>
                <w:color w:val="FF0000"/>
                <w:sz w:val="18"/>
                <w:szCs w:val="18"/>
                <w:lang w:bidi="ar"/>
              </w:rPr>
              <w:t>项目</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单价</w:t>
            </w:r>
          </w:p>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（每组）</w:t>
            </w:r>
          </w:p>
        </w:tc>
        <w:tc>
          <w:tcPr>
            <w:tcW w:w="922" w:type="dxa"/>
            <w:tcBorders>
              <w:top w:val="single" w:color="000000" w:sz="4" w:space="0"/>
              <w:left w:val="single" w:color="000000" w:sz="4" w:space="0"/>
              <w:bottom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29" w:type="dxa"/>
            <w:tcBorders>
              <w:top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钢筋（HRB400）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eastAsia="zh-CN" w:bidi="ar"/>
              </w:rPr>
            </w:pPr>
            <w:r>
              <w:rPr>
                <w:rStyle w:val="193"/>
                <w:rFonts w:hint="default" w:ascii="仿宋" w:hAnsi="仿宋" w:eastAsia="仿宋" w:cs="仿宋"/>
                <w:color w:val="FF0000"/>
                <w:lang w:eastAsia="zh-CN" w:bidi="ar"/>
              </w:rPr>
              <w:t>同一牌号，同一炉号，同一规格，同一交货状态，不大于60t为一批。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1200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eastAsia="zh-CN" w:bidi="ar"/>
              </w:rPr>
            </w:pPr>
            <w:r>
              <w:rPr>
                <w:rFonts w:hint="eastAsia" w:ascii="仿宋" w:hAnsi="仿宋" w:eastAsia="仿宋" w:cs="仿宋"/>
                <w:color w:val="FF0000"/>
                <w:sz w:val="15"/>
                <w:szCs w:val="15"/>
                <w:lang w:eastAsia="zh-CN" w:bidi="ar"/>
              </w:rPr>
              <w:t>重量偏差、屈服强度、抗拉强度、最大力总伸长率（或断后伸长率）、带E(屈强比、超屈比)、反向弯曲（或冷弯）</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eastAsia="zh-CN" w:bidi="ar"/>
              </w:rPr>
            </w:pPr>
          </w:p>
        </w:tc>
        <w:tc>
          <w:tcPr>
            <w:tcW w:w="922" w:type="dxa"/>
            <w:tcBorders>
              <w:top w:val="single" w:color="000000" w:sz="4" w:space="0"/>
              <w:left w:val="single" w:color="000000" w:sz="4" w:space="0"/>
              <w:bottom w:val="single" w:color="000000" w:sz="4" w:space="0"/>
            </w:tcBorders>
            <w:noWrap/>
            <w:vAlign w:val="center"/>
          </w:tcPr>
          <w:p>
            <w:pPr>
              <w:widowControl/>
              <w:jc w:val="center"/>
              <w:textAlignment w:val="center"/>
              <w:rPr>
                <w:rStyle w:val="193"/>
                <w:rFonts w:hint="default" w:ascii="仿宋" w:hAnsi="仿宋" w:eastAsia="仿宋" w:cs="仿宋"/>
                <w:color w:val="FF0000"/>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29" w:type="dxa"/>
            <w:tcBorders>
              <w:top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2</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土石回填</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500m</w:t>
            </w:r>
            <w:r>
              <w:rPr>
                <w:rStyle w:val="194"/>
                <w:rFonts w:hint="default" w:ascii="仿宋" w:hAnsi="仿宋" w:eastAsia="仿宋" w:cs="仿宋"/>
                <w:color w:val="FF0000"/>
                <w:lang w:bidi="ar"/>
              </w:rPr>
              <w:t>3</w:t>
            </w:r>
            <w:r>
              <w:rPr>
                <w:rStyle w:val="193"/>
                <w:rFonts w:hint="default" w:ascii="仿宋" w:hAnsi="仿宋" w:eastAsia="仿宋" w:cs="仿宋"/>
                <w:color w:val="FF0000"/>
                <w:lang w:bidi="ar"/>
              </w:rPr>
              <w:t>一个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91963.06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19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Fonts w:hint="eastAsia" w:ascii="仿宋" w:hAnsi="仿宋" w:eastAsia="仿宋" w:cs="仿宋"/>
                <w:color w:val="FF0000"/>
                <w:sz w:val="15"/>
                <w:szCs w:val="15"/>
                <w:lang w:bidi="ar"/>
              </w:rPr>
              <w:t>压实度或相对密度</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c>
          <w:tcPr>
            <w:tcW w:w="922" w:type="dxa"/>
            <w:tcBorders>
              <w:top w:val="single" w:color="000000" w:sz="4" w:space="0"/>
              <w:left w:val="single" w:color="000000" w:sz="4" w:space="0"/>
              <w:bottom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29" w:type="dxa"/>
            <w:vMerge w:val="restart"/>
            <w:tcBorders>
              <w:top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3</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C15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2976" w:type="dxa"/>
            <w:vMerge w:val="restart"/>
            <w:tcBorders>
              <w:top w:val="single" w:color="000000" w:sz="4" w:space="0"/>
              <w:left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eastAsia="zh-CN" w:bidi="ar"/>
              </w:rPr>
            </w:pPr>
            <w:r>
              <w:rPr>
                <w:rStyle w:val="193"/>
                <w:rFonts w:hint="default" w:ascii="仿宋" w:hAnsi="仿宋" w:eastAsia="仿宋" w:cs="仿宋"/>
                <w:color w:val="FF0000"/>
                <w:lang w:eastAsia="zh-CN" w:bidi="ar"/>
              </w:rPr>
              <w:t>拌合楼每次生产都需取样，不同标号混凝土至少一组；大体积混凝土每500m3一组，非大体积混凝土每100m3一组</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387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c>
          <w:tcPr>
            <w:tcW w:w="922" w:type="dxa"/>
            <w:tcBorders>
              <w:top w:val="single" w:color="000000" w:sz="4" w:space="0"/>
              <w:left w:val="single" w:color="000000" w:sz="4" w:space="0"/>
              <w:bottom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vMerge w:val="continue"/>
            <w:tcBorders>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C20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2976" w:type="dxa"/>
            <w:vMerge w:val="continue"/>
            <w:tcBorders>
              <w:left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3091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c>
          <w:tcPr>
            <w:tcW w:w="922" w:type="dxa"/>
            <w:tcBorders>
              <w:top w:val="single" w:color="000000" w:sz="4" w:space="0"/>
              <w:left w:val="single" w:color="000000" w:sz="4" w:space="0"/>
              <w:bottom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vMerge w:val="continue"/>
            <w:tcBorders>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C25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2976" w:type="dxa"/>
            <w:vMerge w:val="continue"/>
            <w:tcBorders>
              <w:left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4459</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c>
          <w:tcPr>
            <w:tcW w:w="922" w:type="dxa"/>
            <w:tcBorders>
              <w:top w:val="single" w:color="000000" w:sz="4" w:space="0"/>
              <w:left w:val="single" w:color="000000" w:sz="4" w:space="0"/>
              <w:bottom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vMerge w:val="continue"/>
            <w:tcBorders>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C30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2976" w:type="dxa"/>
            <w:vMerge w:val="continue"/>
            <w:tcBorders>
              <w:left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107569</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108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c>
          <w:tcPr>
            <w:tcW w:w="922" w:type="dxa"/>
            <w:tcBorders>
              <w:top w:val="single" w:color="000000" w:sz="4" w:space="0"/>
              <w:left w:val="single" w:color="000000" w:sz="4" w:space="0"/>
              <w:bottom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vMerge w:val="continue"/>
            <w:tcBorders>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C35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2976" w:type="dxa"/>
            <w:vMerge w:val="continue"/>
            <w:tcBorders>
              <w:left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5628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抗压强度</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c>
          <w:tcPr>
            <w:tcW w:w="922" w:type="dxa"/>
            <w:tcBorders>
              <w:top w:val="single" w:color="000000" w:sz="4" w:space="0"/>
              <w:left w:val="single" w:color="000000" w:sz="4" w:space="0"/>
              <w:bottom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tcBorders>
              <w:top w:val="single" w:color="auto" w:sz="4" w:space="0"/>
              <w:bottom w:val="single" w:color="auto"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4</w:t>
            </w:r>
          </w:p>
        </w:tc>
        <w:tc>
          <w:tcPr>
            <w:tcW w:w="9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bidi="ar"/>
              </w:rPr>
              <w:t>常态混凝土</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93"/>
                <w:rFonts w:hint="default" w:ascii="仿宋" w:hAnsi="仿宋" w:eastAsia="仿宋" w:cs="仿宋"/>
                <w:color w:val="FF0000"/>
                <w:lang w:bidi="ar"/>
              </w:rPr>
            </w:pPr>
            <w:r>
              <w:rPr>
                <w:rStyle w:val="193"/>
                <w:rFonts w:hint="default" w:ascii="仿宋" w:hAnsi="仿宋" w:eastAsia="仿宋" w:cs="仿宋"/>
                <w:color w:val="FF0000"/>
                <w:lang w:eastAsia="zh-CN" w:bidi="ar"/>
              </w:rPr>
              <w:t>组</w:t>
            </w:r>
          </w:p>
        </w:tc>
        <w:tc>
          <w:tcPr>
            <w:tcW w:w="297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Style w:val="193"/>
                <w:rFonts w:hint="default" w:ascii="仿宋" w:hAnsi="仿宋" w:eastAsia="仿宋" w:cs="仿宋"/>
                <w:color w:val="FF0000"/>
                <w:lang w:eastAsia="zh-CN" w:bidi="ar"/>
              </w:rPr>
            </w:pPr>
            <w:r>
              <w:rPr>
                <w:rStyle w:val="193"/>
                <w:rFonts w:hint="default" w:ascii="仿宋" w:hAnsi="仿宋" w:eastAsia="仿宋" w:cs="仿宋"/>
                <w:color w:val="FF0000"/>
                <w:lang w:eastAsia="zh-CN" w:bidi="ar"/>
              </w:rPr>
              <w:t>每季度主要施工部位取样1~2组</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FF0000"/>
                <w:sz w:val="18"/>
                <w:szCs w:val="18"/>
                <w:lang w:bidi="ar"/>
              </w:rPr>
            </w:pPr>
            <w:r>
              <w:rPr>
                <w:rFonts w:hint="eastAsia" w:ascii="仿宋" w:hAnsi="仿宋" w:eastAsia="仿宋" w:cs="仿宋"/>
                <w:color w:val="FF0000"/>
                <w:sz w:val="18"/>
                <w:szCs w:val="18"/>
                <w:lang w:bidi="ar"/>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15"/>
                <w:szCs w:val="15"/>
                <w:lang w:bidi="ar"/>
              </w:rPr>
            </w:pPr>
            <w:r>
              <w:rPr>
                <w:rFonts w:hint="eastAsia" w:ascii="仿宋" w:hAnsi="仿宋" w:eastAsia="仿宋" w:cs="仿宋"/>
                <w:color w:val="FF0000"/>
                <w:sz w:val="15"/>
                <w:szCs w:val="15"/>
                <w:lang w:bidi="ar"/>
              </w:rPr>
              <w:t>抗冻等级</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c>
          <w:tcPr>
            <w:tcW w:w="922" w:type="dxa"/>
            <w:tcBorders>
              <w:top w:val="single" w:color="000000" w:sz="4" w:space="0"/>
              <w:left w:val="single" w:color="000000" w:sz="4" w:space="0"/>
              <w:bottom w:val="single" w:color="000000" w:sz="4" w:space="0"/>
            </w:tcBorders>
            <w:noWrap/>
            <w:vAlign w:val="center"/>
          </w:tcPr>
          <w:p>
            <w:pPr>
              <w:widowControl/>
              <w:jc w:val="center"/>
              <w:textAlignment w:val="center"/>
              <w:rPr>
                <w:rStyle w:val="193"/>
                <w:rFonts w:hint="default" w:ascii="仿宋" w:hAnsi="仿宋" w:eastAsia="仿宋" w:cs="仿宋"/>
                <w:color w:val="FF0000"/>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9" w:type="dxa"/>
            <w:tcBorders>
              <w:top w:val="single" w:color="auto" w:sz="4" w:space="0"/>
              <w:right w:val="single" w:color="000000" w:sz="4" w:space="0"/>
            </w:tcBorders>
            <w:vAlign w:val="center"/>
          </w:tcPr>
          <w:p>
            <w:pPr>
              <w:widowControl/>
              <w:jc w:val="center"/>
              <w:textAlignment w:val="center"/>
              <w:rPr>
                <w:rFonts w:hint="default" w:ascii="仿宋" w:hAnsi="仿宋" w:eastAsia="仿宋" w:cs="仿宋"/>
                <w:color w:val="FF0000"/>
                <w:sz w:val="18"/>
                <w:szCs w:val="18"/>
                <w:u w:val="none"/>
                <w:lang w:val="en-US" w:eastAsia="zh-CN" w:bidi="ar"/>
              </w:rPr>
            </w:pPr>
            <w:r>
              <w:rPr>
                <w:rStyle w:val="193"/>
                <w:rFonts w:hint="eastAsia" w:ascii="仿宋" w:hAnsi="仿宋" w:eastAsia="仿宋" w:cs="仿宋"/>
                <w:color w:val="FF0000"/>
                <w:lang w:val="en-US" w:eastAsia="zh-CN" w:bidi="ar"/>
              </w:rPr>
              <w:t>5</w:t>
            </w:r>
          </w:p>
        </w:tc>
        <w:tc>
          <w:tcPr>
            <w:tcW w:w="946" w:type="dxa"/>
            <w:tcBorders>
              <w:top w:val="single" w:color="auto" w:sz="4" w:space="0"/>
              <w:left w:val="single" w:color="000000" w:sz="4" w:space="0"/>
              <w:right w:val="single" w:color="000000" w:sz="4" w:space="0"/>
            </w:tcBorders>
            <w:vAlign w:val="center"/>
          </w:tcPr>
          <w:p>
            <w:pPr>
              <w:widowControl/>
              <w:jc w:val="center"/>
              <w:textAlignment w:val="center"/>
              <w:rPr>
                <w:rFonts w:hint="default" w:ascii="仿宋" w:hAnsi="仿宋" w:eastAsia="仿宋" w:cs="仿宋"/>
                <w:color w:val="FF0000"/>
                <w:sz w:val="18"/>
                <w:szCs w:val="18"/>
                <w:lang w:val="en-US" w:eastAsia="zh-CN" w:bidi="ar"/>
              </w:rPr>
            </w:pPr>
            <w:r>
              <w:rPr>
                <w:rFonts w:hint="eastAsia" w:ascii="仿宋" w:hAnsi="仿宋" w:eastAsia="仿宋" w:cs="仿宋"/>
                <w:color w:val="FF0000"/>
                <w:sz w:val="18"/>
                <w:szCs w:val="18"/>
                <w:lang w:eastAsia="zh-CN" w:bidi="ar"/>
              </w:rPr>
              <w:t>其他</w:t>
            </w:r>
          </w:p>
        </w:tc>
        <w:tc>
          <w:tcPr>
            <w:tcW w:w="567"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仿宋" w:hAnsi="仿宋" w:eastAsia="仿宋" w:cs="仿宋"/>
                <w:color w:val="FF0000"/>
                <w:sz w:val="18"/>
                <w:szCs w:val="18"/>
                <w:u w:val="none"/>
                <w:lang w:val="en-US" w:eastAsia="zh-CN" w:bidi="ar"/>
              </w:rPr>
            </w:pPr>
            <w:r>
              <w:rPr>
                <w:rStyle w:val="193"/>
                <w:rFonts w:hint="default" w:ascii="仿宋" w:hAnsi="仿宋" w:eastAsia="仿宋" w:cs="仿宋"/>
                <w:color w:val="FF0000"/>
                <w:lang w:eastAsia="zh-CN" w:bidi="ar"/>
              </w:rPr>
              <w:t>项</w:t>
            </w:r>
          </w:p>
        </w:tc>
        <w:tc>
          <w:tcPr>
            <w:tcW w:w="2976" w:type="dxa"/>
            <w:tcBorders>
              <w:top w:val="single" w:color="auto" w:sz="4" w:space="0"/>
              <w:left w:val="single" w:color="000000" w:sz="4" w:space="0"/>
              <w:right w:val="single" w:color="000000" w:sz="4" w:space="0"/>
            </w:tcBorders>
            <w:vAlign w:val="center"/>
          </w:tcPr>
          <w:p>
            <w:pPr>
              <w:widowControl/>
              <w:jc w:val="center"/>
              <w:textAlignment w:val="center"/>
              <w:rPr>
                <w:rFonts w:hint="default" w:ascii="仿宋" w:hAnsi="仿宋" w:eastAsia="仿宋" w:cs="仿宋"/>
                <w:color w:val="FF0000"/>
                <w:sz w:val="18"/>
                <w:szCs w:val="18"/>
                <w:u w:val="none"/>
                <w:lang w:val="en-US" w:eastAsia="zh-CN" w:bidi="ar"/>
              </w:rPr>
            </w:pPr>
          </w:p>
        </w:tc>
        <w:tc>
          <w:tcPr>
            <w:tcW w:w="99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en-US" w:bidi="ar"/>
              </w:rPr>
            </w:pPr>
          </w:p>
        </w:tc>
        <w:tc>
          <w:tcPr>
            <w:tcW w:w="850"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FF0000"/>
                <w:sz w:val="18"/>
                <w:szCs w:val="18"/>
                <w:lang w:val="en-US" w:eastAsia="en-US" w:bidi="ar"/>
              </w:rPr>
            </w:pPr>
          </w:p>
        </w:tc>
        <w:tc>
          <w:tcPr>
            <w:tcW w:w="113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5"/>
                <w:szCs w:val="15"/>
                <w:lang w:val="en-US" w:eastAsia="zh-CN" w:bidi="ar"/>
              </w:rPr>
            </w:pPr>
            <w:r>
              <w:rPr>
                <w:rFonts w:hint="eastAsia" w:ascii="仿宋" w:hAnsi="仿宋" w:eastAsia="仿宋" w:cs="仿宋"/>
                <w:color w:val="FF0000"/>
                <w:sz w:val="15"/>
                <w:szCs w:val="15"/>
                <w:lang w:eastAsia="zh-CN" w:bidi="ar"/>
              </w:rPr>
              <w:t>询价函中其他工作</w:t>
            </w:r>
          </w:p>
        </w:tc>
        <w:tc>
          <w:tcPr>
            <w:tcW w:w="837" w:type="dxa"/>
            <w:tcBorders>
              <w:top w:val="single" w:color="000000" w:sz="4" w:space="0"/>
              <w:left w:val="single" w:color="000000" w:sz="4" w:space="0"/>
              <w:right w:val="single" w:color="000000" w:sz="4" w:space="0"/>
            </w:tcBorders>
            <w:noWrap/>
            <w:vAlign w:val="center"/>
          </w:tcPr>
          <w:p>
            <w:pPr>
              <w:widowControl/>
              <w:jc w:val="center"/>
              <w:textAlignment w:val="center"/>
              <w:rPr>
                <w:rFonts w:hint="default" w:ascii="仿宋" w:hAnsi="仿宋" w:eastAsia="仿宋" w:cs="仿宋"/>
                <w:color w:val="FF0000"/>
                <w:sz w:val="18"/>
                <w:szCs w:val="18"/>
                <w:lang w:val="en-US" w:eastAsia="en-US" w:bidi="ar"/>
              </w:rPr>
            </w:pPr>
          </w:p>
        </w:tc>
        <w:tc>
          <w:tcPr>
            <w:tcW w:w="922" w:type="dxa"/>
            <w:tcBorders>
              <w:top w:val="single" w:color="000000" w:sz="4" w:space="0"/>
              <w:left w:val="single" w:color="000000" w:sz="4" w:space="0"/>
            </w:tcBorders>
            <w:noWrap/>
            <w:vAlign w:val="center"/>
          </w:tcPr>
          <w:p>
            <w:pPr>
              <w:widowControl/>
              <w:jc w:val="center"/>
              <w:textAlignment w:val="center"/>
              <w:rPr>
                <w:rFonts w:hint="default" w:ascii="仿宋" w:hAnsi="仿宋" w:eastAsia="仿宋" w:cs="仿宋"/>
                <w:color w:val="FF0000"/>
                <w:sz w:val="18"/>
                <w:szCs w:val="18"/>
                <w:lang w:val="en-US" w:eastAsia="en-US" w:bidi="ar"/>
              </w:rPr>
            </w:pPr>
          </w:p>
        </w:tc>
      </w:tr>
    </w:tbl>
    <w:p>
      <w:pPr>
        <w:pStyle w:val="173"/>
        <w:keepNext/>
        <w:keepLines/>
        <w:shd w:val="clear" w:color="auto" w:fill="auto"/>
        <w:spacing w:before="0" w:after="476" w:line="510" w:lineRule="exact"/>
        <w:jc w:val="both"/>
        <w:rPr>
          <w:rFonts w:ascii="Times New Roman" w:hAnsi="Times New Roman" w:eastAsia="方正小标宋_GBK" w:cs="Times New Roman"/>
          <w:sz w:val="44"/>
          <w:szCs w:val="44"/>
        </w:rPr>
      </w:pPr>
      <w:r>
        <w:rPr>
          <w:rFonts w:ascii="Times New Roman" w:hAnsi="Times New Roman" w:cs="Times New Roman"/>
        </w:rPr>
        <w:br w:type="page"/>
      </w:r>
      <w:bookmarkStart w:id="45" w:name="_Toc52097546"/>
      <w:r>
        <w:rPr>
          <w:rFonts w:ascii="Times New Roman" w:hAnsi="Times New Roman" w:eastAsia="方正小标宋_GBK" w:cs="Times New Roman"/>
          <w:sz w:val="44"/>
          <w:szCs w:val="44"/>
        </w:rPr>
        <w:t>四、资格审查资料</w:t>
      </w:r>
      <w:bookmarkEnd w:id="45"/>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人力资源配备</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w:t>
      </w:r>
      <w:r>
        <w:rPr>
          <w:rFonts w:ascii="Times New Roman" w:hAnsi="Times New Roman" w:eastAsia="方正仿宋_GBK" w:cs="Times New Roman"/>
          <w:sz w:val="32"/>
          <w:szCs w:val="32"/>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lang w:eastAsia="zh-CN"/>
        </w:rPr>
        <w:t>格式”规定，询价文件中没有询价人不能接受的条件。</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5、询价文件符合 “技术标准和要求”规定。</w:t>
      </w:r>
    </w:p>
    <w:p>
      <w:pPr>
        <w:adjustRightInd w:val="0"/>
        <w:snapToGrid w:val="0"/>
        <w:spacing w:after="120" w:line="510" w:lineRule="exact"/>
        <w:rPr>
          <w:rFonts w:ascii="Times New Roman" w:hAnsi="Times New Roman" w:eastAsia="方正仿宋_GBK" w:cs="Times New Roman"/>
          <w:i/>
          <w:iCs/>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i/>
          <w:iCs/>
          <w:sz w:val="32"/>
          <w:szCs w:val="32"/>
          <w:lang w:eastAsia="zh-CN"/>
        </w:rPr>
        <w:t>其他：</w:t>
      </w:r>
      <w:r>
        <w:rPr>
          <w:rFonts w:hint="eastAsia" w:ascii="Times New Roman" w:hAnsi="Times New Roman" w:eastAsia="方正仿宋_GBK" w:cs="Times New Roman"/>
          <w:i/>
          <w:iCs/>
          <w:sz w:val="32"/>
          <w:szCs w:val="32"/>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2"/>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2"/>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项目方案及进度安排</w:t>
      </w:r>
      <w:bookmarkStart w:id="46" w:name="_Toc52097548"/>
    </w:p>
    <w:p>
      <w:pPr>
        <w:spacing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i/>
          <w:iCs/>
          <w:sz w:val="32"/>
          <w:szCs w:val="32"/>
          <w:lang w:eastAsia="zh-CN"/>
        </w:rPr>
        <w:t>可以从以下几方面做一项或多项要求：</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项目的认识（结合项目背景、区域概况、</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lang w:eastAsia="zh-CN"/>
        </w:rPr>
        <w:t>书面资料）</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技术方案（结合项目需求，编制相应专项研究方案、工作程序等）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项目管理及质量保证措施（项目管理组织合理、管理体系完善、质量保证措施等）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进度计划与措施（总计划各关键环节的工期切实可行，保证工期的措施科学、可靠等方面)</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拟投入的</w:t>
      </w:r>
      <w:r>
        <w:rPr>
          <w:rFonts w:ascii="Times New Roman" w:hAnsi="Times New Roman" w:eastAsia="方正仿宋_GBK" w:cs="Times New Roman"/>
          <w:sz w:val="32"/>
          <w:szCs w:val="32"/>
          <w:lang w:eastAsia="zh-CN"/>
        </w:rPr>
        <w:t>试验和检测仪器设备</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承诺</w:t>
      </w:r>
      <w:r>
        <w:rPr>
          <w:rFonts w:hint="eastAsia" w:ascii="Times New Roman" w:hAnsi="Times New Roman" w:eastAsia="方正仿宋_GBK" w:cs="Times New Roman"/>
          <w:sz w:val="32"/>
          <w:szCs w:val="32"/>
          <w:lang w:eastAsia="zh-CN"/>
        </w:rPr>
        <w:t>等。</w:t>
      </w:r>
    </w:p>
    <w:p>
      <w:pPr>
        <w:adjustRightInd w:val="0"/>
        <w:snapToGrid w:val="0"/>
        <w:spacing w:after="120" w:line="360" w:lineRule="auto"/>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六、其他资料</w:t>
      </w:r>
      <w:bookmarkEnd w:id="46"/>
    </w:p>
    <w:sectPr>
      <w:footerReference r:id="rId7"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16744"/>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072C2"/>
    <w:rsid w:val="003318FF"/>
    <w:rsid w:val="00347BB9"/>
    <w:rsid w:val="00363759"/>
    <w:rsid w:val="00372CBF"/>
    <w:rsid w:val="00373ACB"/>
    <w:rsid w:val="00386752"/>
    <w:rsid w:val="003B53AF"/>
    <w:rsid w:val="003D31A3"/>
    <w:rsid w:val="003D654C"/>
    <w:rsid w:val="003D6A6E"/>
    <w:rsid w:val="003F25E7"/>
    <w:rsid w:val="003F6525"/>
    <w:rsid w:val="003F71E4"/>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237"/>
    <w:rsid w:val="0065345B"/>
    <w:rsid w:val="00662411"/>
    <w:rsid w:val="006803E2"/>
    <w:rsid w:val="00697D25"/>
    <w:rsid w:val="006B571F"/>
    <w:rsid w:val="006F44D9"/>
    <w:rsid w:val="00716ACB"/>
    <w:rsid w:val="0072494D"/>
    <w:rsid w:val="00725E98"/>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1EAB"/>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5811"/>
    <w:rsid w:val="00D875B3"/>
    <w:rsid w:val="00D95673"/>
    <w:rsid w:val="00DA1B22"/>
    <w:rsid w:val="00DB2961"/>
    <w:rsid w:val="00DB2D7D"/>
    <w:rsid w:val="00DB5738"/>
    <w:rsid w:val="00DB75D4"/>
    <w:rsid w:val="00DE0187"/>
    <w:rsid w:val="00E02256"/>
    <w:rsid w:val="00E03378"/>
    <w:rsid w:val="00E24418"/>
    <w:rsid w:val="00E32EFF"/>
    <w:rsid w:val="00E436D5"/>
    <w:rsid w:val="00E6238E"/>
    <w:rsid w:val="00E63C9C"/>
    <w:rsid w:val="00E65436"/>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5A34696"/>
    <w:rsid w:val="0636605F"/>
    <w:rsid w:val="067A2C61"/>
    <w:rsid w:val="06841C22"/>
    <w:rsid w:val="06ED263D"/>
    <w:rsid w:val="07501833"/>
    <w:rsid w:val="085C5944"/>
    <w:rsid w:val="08651193"/>
    <w:rsid w:val="08F93D5B"/>
    <w:rsid w:val="09CD7F8F"/>
    <w:rsid w:val="0A95138C"/>
    <w:rsid w:val="0A9764ED"/>
    <w:rsid w:val="0AED4494"/>
    <w:rsid w:val="0BB95CD2"/>
    <w:rsid w:val="0BFE4292"/>
    <w:rsid w:val="0C292867"/>
    <w:rsid w:val="0CD07E15"/>
    <w:rsid w:val="0CFA4A65"/>
    <w:rsid w:val="0DB3600A"/>
    <w:rsid w:val="0FB66909"/>
    <w:rsid w:val="10A81391"/>
    <w:rsid w:val="117A6EEF"/>
    <w:rsid w:val="1218452A"/>
    <w:rsid w:val="13B86C2F"/>
    <w:rsid w:val="14295DAF"/>
    <w:rsid w:val="142A7E51"/>
    <w:rsid w:val="159E24E8"/>
    <w:rsid w:val="162417DF"/>
    <w:rsid w:val="16A76DEE"/>
    <w:rsid w:val="17AC5B95"/>
    <w:rsid w:val="19421CE6"/>
    <w:rsid w:val="198130EF"/>
    <w:rsid w:val="19AE416C"/>
    <w:rsid w:val="19DD43BA"/>
    <w:rsid w:val="1A1D484C"/>
    <w:rsid w:val="1A4B45F5"/>
    <w:rsid w:val="1AEB3291"/>
    <w:rsid w:val="1CEB3111"/>
    <w:rsid w:val="1D1E25DF"/>
    <w:rsid w:val="1D652848"/>
    <w:rsid w:val="1DD736C3"/>
    <w:rsid w:val="20B85EF0"/>
    <w:rsid w:val="21480A2B"/>
    <w:rsid w:val="21CC3BA7"/>
    <w:rsid w:val="21DA4E3A"/>
    <w:rsid w:val="21E3769E"/>
    <w:rsid w:val="22102401"/>
    <w:rsid w:val="228765EB"/>
    <w:rsid w:val="23F7260E"/>
    <w:rsid w:val="241174C5"/>
    <w:rsid w:val="24304B96"/>
    <w:rsid w:val="24430E72"/>
    <w:rsid w:val="24B738C2"/>
    <w:rsid w:val="24B92C71"/>
    <w:rsid w:val="255178E6"/>
    <w:rsid w:val="255E1927"/>
    <w:rsid w:val="25F14B98"/>
    <w:rsid w:val="26710645"/>
    <w:rsid w:val="26A91696"/>
    <w:rsid w:val="26FE17BF"/>
    <w:rsid w:val="272F2851"/>
    <w:rsid w:val="274F3DB2"/>
    <w:rsid w:val="279C6923"/>
    <w:rsid w:val="27BD1AEB"/>
    <w:rsid w:val="28FC289D"/>
    <w:rsid w:val="2914405B"/>
    <w:rsid w:val="29156EF2"/>
    <w:rsid w:val="2AEC5C2E"/>
    <w:rsid w:val="2B052B73"/>
    <w:rsid w:val="2B6948BD"/>
    <w:rsid w:val="2BF539B5"/>
    <w:rsid w:val="2C61237F"/>
    <w:rsid w:val="2D280A7E"/>
    <w:rsid w:val="2DD21A0D"/>
    <w:rsid w:val="2F067332"/>
    <w:rsid w:val="2FEC6E6A"/>
    <w:rsid w:val="31486FAD"/>
    <w:rsid w:val="319A23E2"/>
    <w:rsid w:val="328937F3"/>
    <w:rsid w:val="32F017EB"/>
    <w:rsid w:val="33C83BC3"/>
    <w:rsid w:val="34377F8C"/>
    <w:rsid w:val="35153592"/>
    <w:rsid w:val="35276BCD"/>
    <w:rsid w:val="35996867"/>
    <w:rsid w:val="35E44C4C"/>
    <w:rsid w:val="387B5356"/>
    <w:rsid w:val="389F0583"/>
    <w:rsid w:val="3A700D98"/>
    <w:rsid w:val="3AD76819"/>
    <w:rsid w:val="3AED3FD5"/>
    <w:rsid w:val="3B3B1938"/>
    <w:rsid w:val="3B536115"/>
    <w:rsid w:val="3B896557"/>
    <w:rsid w:val="3CFB5A28"/>
    <w:rsid w:val="3D12686E"/>
    <w:rsid w:val="3D18578A"/>
    <w:rsid w:val="3DA55E6C"/>
    <w:rsid w:val="3E0A4684"/>
    <w:rsid w:val="3E415AC4"/>
    <w:rsid w:val="3EC066EC"/>
    <w:rsid w:val="3ED20001"/>
    <w:rsid w:val="3EE322BE"/>
    <w:rsid w:val="3EED6A2E"/>
    <w:rsid w:val="3EF25A32"/>
    <w:rsid w:val="408814E1"/>
    <w:rsid w:val="41632E6D"/>
    <w:rsid w:val="416A0067"/>
    <w:rsid w:val="418D49B0"/>
    <w:rsid w:val="41DC2462"/>
    <w:rsid w:val="424558F8"/>
    <w:rsid w:val="42615AA3"/>
    <w:rsid w:val="426A5D19"/>
    <w:rsid w:val="42A713D5"/>
    <w:rsid w:val="42EE0B57"/>
    <w:rsid w:val="42FC2B26"/>
    <w:rsid w:val="43EF3495"/>
    <w:rsid w:val="453756CC"/>
    <w:rsid w:val="455255E8"/>
    <w:rsid w:val="46B42A0C"/>
    <w:rsid w:val="46E4318C"/>
    <w:rsid w:val="471F4D88"/>
    <w:rsid w:val="479E3A47"/>
    <w:rsid w:val="47D87266"/>
    <w:rsid w:val="48324764"/>
    <w:rsid w:val="48645D39"/>
    <w:rsid w:val="49222A1C"/>
    <w:rsid w:val="49A2577D"/>
    <w:rsid w:val="4A321E22"/>
    <w:rsid w:val="4A3546F1"/>
    <w:rsid w:val="4AE13034"/>
    <w:rsid w:val="4B106456"/>
    <w:rsid w:val="4C663568"/>
    <w:rsid w:val="4C6F2EDA"/>
    <w:rsid w:val="4CAE5EBC"/>
    <w:rsid w:val="4E03626B"/>
    <w:rsid w:val="4F7B2533"/>
    <w:rsid w:val="508711A9"/>
    <w:rsid w:val="510E35CE"/>
    <w:rsid w:val="517B4EC0"/>
    <w:rsid w:val="51B322DA"/>
    <w:rsid w:val="51CC3CA7"/>
    <w:rsid w:val="51F850A8"/>
    <w:rsid w:val="526D2EBF"/>
    <w:rsid w:val="53366EE7"/>
    <w:rsid w:val="541C1C0A"/>
    <w:rsid w:val="54271112"/>
    <w:rsid w:val="54523A5C"/>
    <w:rsid w:val="555C3065"/>
    <w:rsid w:val="55987088"/>
    <w:rsid w:val="56A32E66"/>
    <w:rsid w:val="56EF6751"/>
    <w:rsid w:val="577747A6"/>
    <w:rsid w:val="577A27D6"/>
    <w:rsid w:val="586721FA"/>
    <w:rsid w:val="593C56D0"/>
    <w:rsid w:val="593F171A"/>
    <w:rsid w:val="59E454CF"/>
    <w:rsid w:val="59F726F3"/>
    <w:rsid w:val="5A4B641A"/>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0E4D9B"/>
    <w:rsid w:val="5F4768A1"/>
    <w:rsid w:val="5F4B6721"/>
    <w:rsid w:val="5F9418D3"/>
    <w:rsid w:val="5FA74DF5"/>
    <w:rsid w:val="60895210"/>
    <w:rsid w:val="60DC0379"/>
    <w:rsid w:val="60F91A9B"/>
    <w:rsid w:val="61681DAA"/>
    <w:rsid w:val="62137647"/>
    <w:rsid w:val="64761A1E"/>
    <w:rsid w:val="65195860"/>
    <w:rsid w:val="65585085"/>
    <w:rsid w:val="67015D83"/>
    <w:rsid w:val="676C3643"/>
    <w:rsid w:val="678264BA"/>
    <w:rsid w:val="67B30A70"/>
    <w:rsid w:val="68466749"/>
    <w:rsid w:val="68562C5D"/>
    <w:rsid w:val="689313CC"/>
    <w:rsid w:val="69E81028"/>
    <w:rsid w:val="69FF2983"/>
    <w:rsid w:val="6BFD733D"/>
    <w:rsid w:val="6D541C74"/>
    <w:rsid w:val="6DAD722E"/>
    <w:rsid w:val="6DE06576"/>
    <w:rsid w:val="70656815"/>
    <w:rsid w:val="70833368"/>
    <w:rsid w:val="709655A9"/>
    <w:rsid w:val="70D83866"/>
    <w:rsid w:val="710D7515"/>
    <w:rsid w:val="7139605B"/>
    <w:rsid w:val="71B25E42"/>
    <w:rsid w:val="72B14FD5"/>
    <w:rsid w:val="737F3A69"/>
    <w:rsid w:val="74181201"/>
    <w:rsid w:val="743D400A"/>
    <w:rsid w:val="74590E55"/>
    <w:rsid w:val="755A6876"/>
    <w:rsid w:val="755F3CFE"/>
    <w:rsid w:val="756555F5"/>
    <w:rsid w:val="760D0BC5"/>
    <w:rsid w:val="762D6621"/>
    <w:rsid w:val="76575395"/>
    <w:rsid w:val="77AD20AE"/>
    <w:rsid w:val="77EE17A7"/>
    <w:rsid w:val="78286988"/>
    <w:rsid w:val="7861167A"/>
    <w:rsid w:val="78A11773"/>
    <w:rsid w:val="78E04108"/>
    <w:rsid w:val="7A3E4002"/>
    <w:rsid w:val="7A7A5222"/>
    <w:rsid w:val="7AAF6562"/>
    <w:rsid w:val="7C4D729D"/>
    <w:rsid w:val="7D100213"/>
    <w:rsid w:val="7D37147A"/>
    <w:rsid w:val="7DCC7838"/>
    <w:rsid w:val="7EBD184F"/>
    <w:rsid w:val="7F49148B"/>
    <w:rsid w:val="7F7108CD"/>
    <w:rsid w:val="7FCC3712"/>
    <w:rsid w:val="7FF8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字符"/>
    <w:basedOn w:val="46"/>
    <w:link w:val="19"/>
    <w:qFormat/>
    <w:uiPriority w:val="1"/>
    <w:rPr>
      <w:rFonts w:ascii="宋体" w:hAnsi="宋体" w:eastAsia="宋体" w:cs="宋体"/>
      <w:kern w:val="0"/>
      <w:szCs w:val="21"/>
      <w:lang w:eastAsia="en-US"/>
    </w:rPr>
  </w:style>
  <w:style w:type="character" w:customStyle="1" w:styleId="56">
    <w:name w:val="页脚 字符"/>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字符"/>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字符1"/>
    <w:basedOn w:val="46"/>
    <w:link w:val="8"/>
    <w:qFormat/>
    <w:uiPriority w:val="0"/>
    <w:rPr>
      <w:rFonts w:ascii="Times New Roman" w:hAnsi="Times New Roman" w:eastAsia="宋体" w:cs="Times New Roman"/>
      <w:b/>
      <w:bCs/>
      <w:sz w:val="28"/>
      <w:szCs w:val="28"/>
    </w:rPr>
  </w:style>
  <w:style w:type="character" w:customStyle="1" w:styleId="65">
    <w:name w:val="标题 6 字符1"/>
    <w:basedOn w:val="46"/>
    <w:link w:val="9"/>
    <w:qFormat/>
    <w:uiPriority w:val="0"/>
    <w:rPr>
      <w:rFonts w:ascii="Arial" w:hAnsi="Arial" w:eastAsia="黑体" w:cs="Times New Roman"/>
      <w:b/>
      <w:bCs/>
      <w:kern w:val="0"/>
      <w:sz w:val="24"/>
      <w:szCs w:val="24"/>
    </w:rPr>
  </w:style>
  <w:style w:type="character" w:customStyle="1" w:styleId="66">
    <w:name w:val="标题 7 字符1"/>
    <w:basedOn w:val="46"/>
    <w:link w:val="10"/>
    <w:qFormat/>
    <w:uiPriority w:val="0"/>
    <w:rPr>
      <w:rFonts w:ascii="Times New Roman" w:hAnsi="Times New Roman" w:eastAsia="宋体" w:cs="Times New Roman"/>
      <w:b/>
      <w:bCs/>
      <w:kern w:val="0"/>
      <w:sz w:val="24"/>
      <w:szCs w:val="24"/>
    </w:rPr>
  </w:style>
  <w:style w:type="character" w:customStyle="1" w:styleId="67">
    <w:name w:val="标题 8 字符1"/>
    <w:basedOn w:val="46"/>
    <w:link w:val="11"/>
    <w:qFormat/>
    <w:uiPriority w:val="0"/>
    <w:rPr>
      <w:rFonts w:ascii="Arial" w:hAnsi="Arial" w:eastAsia="黑体" w:cs="Times New Roman"/>
      <w:kern w:val="0"/>
      <w:sz w:val="24"/>
      <w:szCs w:val="24"/>
    </w:rPr>
  </w:style>
  <w:style w:type="character" w:customStyle="1" w:styleId="68">
    <w:name w:val="标题 9 字符1"/>
    <w:basedOn w:val="46"/>
    <w:link w:val="12"/>
    <w:qFormat/>
    <w:uiPriority w:val="0"/>
    <w:rPr>
      <w:rFonts w:ascii="Arial" w:hAnsi="Arial" w:eastAsia="黑体" w:cs="Times New Roman"/>
      <w:kern w:val="0"/>
      <w:szCs w:val="21"/>
    </w:rPr>
  </w:style>
  <w:style w:type="character" w:customStyle="1" w:styleId="69">
    <w:name w:val="标题 1 字符"/>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字符"/>
    <w:basedOn w:val="46"/>
    <w:link w:val="6"/>
    <w:qFormat/>
    <w:uiPriority w:val="0"/>
    <w:rPr>
      <w:rFonts w:ascii="宋体" w:hAnsi="宋体" w:eastAsia="宋体" w:cs="宋体"/>
      <w:kern w:val="0"/>
      <w:sz w:val="28"/>
      <w:szCs w:val="28"/>
      <w:lang w:eastAsia="en-US"/>
    </w:rPr>
  </w:style>
  <w:style w:type="character" w:customStyle="1" w:styleId="71">
    <w:name w:val="标题 4 字符"/>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表段落1"/>
    <w:basedOn w:val="1"/>
    <w:qFormat/>
    <w:uiPriority w:val="1"/>
  </w:style>
  <w:style w:type="paragraph" w:customStyle="1" w:styleId="74">
    <w:name w:val="Table Paragraph"/>
    <w:basedOn w:val="1"/>
    <w:qFormat/>
    <w:uiPriority w:val="1"/>
  </w:style>
  <w:style w:type="character" w:customStyle="1" w:styleId="75">
    <w:name w:val="页眉 字符"/>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字符"/>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字符"/>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字符"/>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字符"/>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字符"/>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字符1"/>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字符1"/>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字符1"/>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文本首行缩进 字符"/>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字符1"/>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字符1"/>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字符1"/>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字符1"/>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字符1"/>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character" w:customStyle="1" w:styleId="193">
    <w:name w:val="font01"/>
    <w:basedOn w:val="46"/>
    <w:qFormat/>
    <w:uiPriority w:val="0"/>
    <w:rPr>
      <w:rFonts w:hint="eastAsia" w:ascii="宋体" w:hAnsi="宋体" w:eastAsia="宋体" w:cs="宋体"/>
      <w:color w:val="000000"/>
      <w:sz w:val="18"/>
      <w:szCs w:val="18"/>
      <w:u w:val="none"/>
    </w:rPr>
  </w:style>
  <w:style w:type="character" w:customStyle="1" w:styleId="194">
    <w:name w:val="font41"/>
    <w:basedOn w:val="46"/>
    <w:qFormat/>
    <w:uiPriority w:val="0"/>
    <w:rPr>
      <w:rFonts w:hint="eastAsia" w:ascii="宋体" w:hAnsi="宋体" w:eastAsia="宋体" w:cs="宋体"/>
      <w:color w:val="000000"/>
      <w:sz w:val="18"/>
      <w:szCs w:val="18"/>
      <w:u w:val="none"/>
      <w:vertAlign w:val="superscript"/>
    </w:rPr>
  </w:style>
  <w:style w:type="character" w:customStyle="1" w:styleId="195">
    <w:name w:val="font21"/>
    <w:basedOn w:val="46"/>
    <w:qFormat/>
    <w:uiPriority w:val="0"/>
    <w:rPr>
      <w:rFonts w:hint="eastAsia" w:ascii="宋体" w:hAnsi="宋体" w:eastAsia="宋体" w:cs="宋体"/>
      <w:color w:val="000000"/>
      <w:sz w:val="18"/>
      <w:szCs w:val="18"/>
      <w:u w:val="none"/>
    </w:rPr>
  </w:style>
  <w:style w:type="character" w:customStyle="1" w:styleId="196">
    <w:name w:val="font51"/>
    <w:basedOn w:val="46"/>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C8A2-D6CF-4A1E-944B-EA43C3F8FC2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2232</Words>
  <Characters>12728</Characters>
  <Lines>106</Lines>
  <Paragraphs>29</Paragraphs>
  <TotalTime>0</TotalTime>
  <ScaleCrop>false</ScaleCrop>
  <LinksUpToDate>false</LinksUpToDate>
  <CharactersWithSpaces>14931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2023-03-13T06:51:00Z</dcterms:created>
  <dc:creator>朱赵田</dc:creator>
  <cp:lastModifiedBy>支佩</cp:lastModifiedBy>
  <dcterms:modified xsi:type="dcterms:W3CDTF">2023-03-13T07:43:32Z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4313AA7366EA41E39000329EB32F2C22</vt:lpwstr>
  </property>
</Properties>
</file>