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807" w:hanging="1807" w:hangingChars="500"/>
        <w:jc w:val="left"/>
        <w:rPr>
          <w:rFonts w:hint="eastAsia" w:ascii="宋体" w:hAnsi="宋体" w:cs="宋体"/>
          <w:b/>
          <w:sz w:val="36"/>
          <w:szCs w:val="36"/>
        </w:rPr>
      </w:pPr>
    </w:p>
    <w:p>
      <w:pPr>
        <w:ind w:left="1807" w:hanging="1807" w:hangingChars="500"/>
        <w:jc w:val="left"/>
        <w:rPr>
          <w:rFonts w:ascii="宋体" w:hAnsi="宋体" w:cs="宋体"/>
          <w:b/>
          <w:sz w:val="32"/>
          <w:szCs w:val="32"/>
        </w:rPr>
      </w:pPr>
      <w:r>
        <w:rPr>
          <w:rFonts w:hint="eastAsia" w:ascii="宋体" w:hAnsi="宋体" w:cs="宋体"/>
          <w:b/>
          <w:sz w:val="36"/>
          <w:szCs w:val="36"/>
        </w:rPr>
        <w:t>项目名称：</w:t>
      </w:r>
      <w:r>
        <w:rPr>
          <w:rFonts w:hint="eastAsia" w:ascii="宋体" w:hAnsi="宋体" w:cs="宋体"/>
          <w:b/>
          <w:sz w:val="32"/>
          <w:szCs w:val="32"/>
          <w:lang w:eastAsia="zh-CN"/>
        </w:rPr>
        <w:t>G65包茂高速K1759+500-K1760+500等11处重点管控路段交通安全设施综合提升工程设计项目</w:t>
      </w:r>
    </w:p>
    <w:p>
      <w:pPr>
        <w:jc w:val="center"/>
        <w:rPr>
          <w:rFonts w:ascii="宋体" w:hAnsi="宋体" w:cs="宋体"/>
          <w:b/>
          <w:spacing w:val="20"/>
          <w:sz w:val="72"/>
          <w:szCs w:val="72"/>
        </w:rPr>
      </w:pPr>
      <w:bookmarkStart w:id="35" w:name="_GoBack"/>
      <w:bookmarkEnd w:id="35"/>
    </w:p>
    <w:p>
      <w:pPr>
        <w:pStyle w:val="2"/>
        <w:tabs>
          <w:tab w:val="right" w:leader="dot" w:pos="8805"/>
        </w:tabs>
      </w:pPr>
    </w:p>
    <w:p/>
    <w:p>
      <w:pPr>
        <w:pStyle w:val="2"/>
        <w:tabs>
          <w:tab w:val="right" w:leader="dot" w:pos="8805"/>
        </w:tabs>
      </w:pPr>
    </w:p>
    <w:p>
      <w:pPr>
        <w:jc w:val="center"/>
        <w:rPr>
          <w:rFonts w:ascii="宋体" w:hAnsi="宋体" w:cs="宋体"/>
          <w:b/>
          <w:spacing w:val="20"/>
          <w:sz w:val="72"/>
          <w:szCs w:val="72"/>
        </w:rPr>
      </w:pPr>
    </w:p>
    <w:p>
      <w:pPr>
        <w:pStyle w:val="2"/>
        <w:tabs>
          <w:tab w:val="right" w:leader="dot" w:pos="8805"/>
        </w:tabs>
      </w:pPr>
    </w:p>
    <w:p>
      <w:pPr>
        <w:pStyle w:val="2"/>
        <w:tabs>
          <w:tab w:val="right" w:leader="dot" w:pos="8805"/>
        </w:tabs>
      </w:pPr>
    </w:p>
    <w:p/>
    <w:p>
      <w:pPr>
        <w:jc w:val="center"/>
        <w:rPr>
          <w:rFonts w:ascii="宋体" w:hAnsi="宋体" w:cs="宋体"/>
          <w:b/>
          <w:spacing w:val="20"/>
          <w:sz w:val="84"/>
          <w:szCs w:val="84"/>
        </w:rPr>
      </w:pPr>
      <w:r>
        <w:rPr>
          <w:rFonts w:hint="eastAsia" w:ascii="宋体" w:hAnsi="宋体" w:cs="宋体"/>
          <w:b/>
          <w:spacing w:val="20"/>
          <w:sz w:val="84"/>
          <w:szCs w:val="84"/>
        </w:rPr>
        <w:t>竞争性比选文件</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pacing w:val="100"/>
          <w:szCs w:val="21"/>
        </w:rPr>
      </w:pPr>
    </w:p>
    <w:p>
      <w:pPr>
        <w:pStyle w:val="2"/>
        <w:tabs>
          <w:tab w:val="right" w:leader="dot" w:pos="8805"/>
        </w:tabs>
        <w:rPr>
          <w:rFonts w:ascii="宋体" w:hAnsi="宋体" w:cs="宋体"/>
          <w:spacing w:val="100"/>
          <w:szCs w:val="21"/>
        </w:rPr>
      </w:pPr>
    </w:p>
    <w:p>
      <w:pPr>
        <w:rPr>
          <w:rFonts w:ascii="宋体" w:hAnsi="宋体" w:cs="宋体"/>
          <w:spacing w:val="100"/>
          <w:szCs w:val="21"/>
        </w:rPr>
      </w:pPr>
    </w:p>
    <w:p>
      <w:pPr>
        <w:pStyle w:val="2"/>
        <w:tabs>
          <w:tab w:val="right" w:leader="dot" w:pos="8805"/>
        </w:tabs>
        <w:rPr>
          <w:rFonts w:ascii="宋体" w:hAnsi="宋体" w:cs="宋体"/>
          <w:spacing w:val="100"/>
          <w:szCs w:val="21"/>
        </w:rPr>
      </w:pPr>
    </w:p>
    <w:p/>
    <w:p>
      <w:pPr>
        <w:pStyle w:val="6"/>
        <w:spacing w:line="360" w:lineRule="auto"/>
        <w:ind w:left="99" w:leftChars="47"/>
        <w:jc w:val="center"/>
        <w:rPr>
          <w:rFonts w:hint="eastAsia" w:ascii="宋体" w:hAnsi="宋体" w:cs="宋体" w:eastAsiaTheme="minorEastAsia"/>
          <w:b/>
          <w:sz w:val="32"/>
          <w:szCs w:val="32"/>
          <w:lang w:eastAsia="zh-CN"/>
        </w:rPr>
      </w:pPr>
      <w:r>
        <w:rPr>
          <w:rFonts w:hint="eastAsia" w:ascii="宋体" w:hAnsi="宋体" w:cs="宋体"/>
          <w:b/>
          <w:sz w:val="32"/>
          <w:szCs w:val="32"/>
          <w:lang w:eastAsia="zh-CN"/>
        </w:rPr>
        <w:t>重庆高速公路集团有限公司东南营运分公司</w:t>
      </w:r>
    </w:p>
    <w:p>
      <w:pPr>
        <w:pStyle w:val="6"/>
        <w:spacing w:line="360" w:lineRule="auto"/>
        <w:ind w:left="99" w:leftChars="47"/>
        <w:jc w:val="center"/>
        <w:rPr>
          <w:rFonts w:hint="eastAsia" w:ascii="宋体" w:hAnsi="宋体" w:cs="宋体"/>
          <w:b/>
          <w:sz w:val="32"/>
          <w:szCs w:val="32"/>
        </w:rPr>
      </w:pPr>
      <w:r>
        <w:rPr>
          <w:rFonts w:hint="eastAsia" w:ascii="宋体" w:hAnsi="宋体" w:cs="宋体"/>
          <w:b/>
          <w:sz w:val="32"/>
          <w:szCs w:val="32"/>
          <w:lang w:eastAsia="zh-CN"/>
        </w:rPr>
        <w:t>2022年</w:t>
      </w:r>
      <w:r>
        <w:rPr>
          <w:rFonts w:hint="eastAsia" w:ascii="宋体" w:hAnsi="宋体" w:cs="宋体"/>
          <w:b/>
          <w:sz w:val="32"/>
          <w:szCs w:val="32"/>
          <w:lang w:val="en-US" w:eastAsia="zh-CN"/>
        </w:rPr>
        <w:t>9</w:t>
      </w:r>
      <w:r>
        <w:rPr>
          <w:rFonts w:hint="eastAsia" w:ascii="宋体" w:hAnsi="宋体" w:cs="宋体"/>
          <w:b/>
          <w:sz w:val="32"/>
          <w:szCs w:val="32"/>
        </w:rPr>
        <w:t>月</w:t>
      </w:r>
    </w:p>
    <w:p>
      <w:pPr>
        <w:rPr>
          <w:rFonts w:hint="eastAsia" w:ascii="宋体" w:hAnsi="宋体" w:cs="宋体"/>
          <w:b/>
          <w:sz w:val="32"/>
          <w:szCs w:val="32"/>
        </w:rPr>
      </w:pPr>
    </w:p>
    <w:p>
      <w:pPr>
        <w:keepNext w:val="0"/>
        <w:keepLines w:val="0"/>
        <w:pageBreakBefore w:val="0"/>
        <w:kinsoku/>
        <w:wordWrap/>
        <w:overflowPunct/>
        <w:topLinePunct w:val="0"/>
        <w:autoSpaceDE/>
        <w:autoSpaceDN/>
        <w:bidi w:val="0"/>
        <w:adjustRightInd/>
        <w:snapToGrid/>
        <w:spacing w:line="440" w:lineRule="exact"/>
        <w:ind w:left="0" w:leftChars="0" w:right="0" w:rightChars="0"/>
        <w:jc w:val="center"/>
        <w:textAlignment w:val="auto"/>
        <w:outlineLvl w:val="9"/>
        <w:rPr>
          <w:rFonts w:ascii="宋体" w:hAnsi="宋体" w:cs="宋体"/>
          <w:b/>
          <w:sz w:val="30"/>
          <w:szCs w:val="30"/>
        </w:rPr>
      </w:pPr>
      <w:r>
        <w:rPr>
          <w:rFonts w:hint="eastAsia" w:ascii="宋体" w:hAnsi="宋体" w:cs="宋体"/>
          <w:b/>
          <w:sz w:val="30"/>
          <w:szCs w:val="30"/>
          <w:lang w:eastAsia="zh-CN"/>
        </w:rPr>
        <w:t>G65包茂高速K1759+500-K1760+500等11处重点管控路段交通安全设施综合提升工程设计项目</w:t>
      </w:r>
      <w:r>
        <w:rPr>
          <w:rFonts w:hint="eastAsia" w:ascii="宋体" w:hAnsi="宋体" w:cs="宋体"/>
          <w:b/>
          <w:sz w:val="30"/>
          <w:szCs w:val="30"/>
        </w:rPr>
        <w:t>竞争性比选公告</w:t>
      </w:r>
      <w:bookmarkStart w:id="0" w:name="_Toc152045519"/>
      <w:bookmarkStart w:id="1" w:name="_Toc246996166"/>
      <w:bookmarkStart w:id="2" w:name="_Toc179632536"/>
      <w:bookmarkStart w:id="3" w:name="_Toc247085680"/>
      <w:bookmarkStart w:id="4" w:name="_Toc246996909"/>
      <w:bookmarkStart w:id="5" w:name="_Toc152042295"/>
      <w:bookmarkStart w:id="6" w:name="_Toc296602410"/>
      <w:bookmarkStart w:id="7" w:name="_Toc144974487"/>
    </w:p>
    <w:p>
      <w:pPr>
        <w:pStyle w:val="2"/>
        <w:keepNext w:val="0"/>
        <w:keepLines w:val="0"/>
        <w:pageBreakBefore w:val="0"/>
        <w:tabs>
          <w:tab w:val="right" w:leader="dot" w:pos="8805"/>
        </w:tabs>
        <w:kinsoku/>
        <w:wordWrap/>
        <w:overflowPunct/>
        <w:topLinePunct w:val="0"/>
        <w:autoSpaceDE/>
        <w:autoSpaceDN/>
        <w:bidi w:val="0"/>
        <w:adjustRightInd/>
        <w:snapToGrid/>
        <w:spacing w:line="440" w:lineRule="exact"/>
        <w:ind w:left="0" w:leftChars="0" w:right="0" w:rightChars="0"/>
        <w:textAlignment w:val="auto"/>
        <w:outlineLvl w:val="9"/>
      </w:pPr>
    </w:p>
    <w:bookmarkEnd w:id="0"/>
    <w:bookmarkEnd w:id="1"/>
    <w:bookmarkEnd w:id="2"/>
    <w:bookmarkEnd w:id="3"/>
    <w:bookmarkEnd w:id="4"/>
    <w:bookmarkEnd w:id="5"/>
    <w:bookmarkEnd w:id="6"/>
    <w:bookmarkEnd w:id="7"/>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szCs w:val="21"/>
        </w:rPr>
      </w:pPr>
      <w:bookmarkStart w:id="8" w:name="_Toc296602412"/>
      <w:bookmarkStart w:id="9" w:name="_Toc152042297"/>
      <w:bookmarkStart w:id="10" w:name="_Toc246996168"/>
      <w:bookmarkStart w:id="11" w:name="_Toc179632538"/>
      <w:bookmarkStart w:id="12" w:name="_Toc246996911"/>
      <w:bookmarkStart w:id="13" w:name="_Toc247085682"/>
      <w:bookmarkStart w:id="14" w:name="_Toc144974489"/>
      <w:bookmarkStart w:id="15" w:name="_Toc152045521"/>
      <w:r>
        <w:rPr>
          <w:szCs w:val="21"/>
        </w:rPr>
        <w:t>本项目</w:t>
      </w:r>
      <w:r>
        <w:rPr>
          <w:rFonts w:hint="eastAsia"/>
          <w:b/>
          <w:bCs/>
          <w:szCs w:val="21"/>
          <w:u w:val="single"/>
          <w:lang w:eastAsia="zh-CN"/>
        </w:rPr>
        <w:t>G65包茂高速K1759+500-K1760+500等11处重点管控路段交通安全设施综合提升工程设计项目</w:t>
      </w:r>
      <w:r>
        <w:rPr>
          <w:szCs w:val="21"/>
        </w:rPr>
        <w:t>准备组织实施，</w:t>
      </w:r>
      <w:r>
        <w:rPr>
          <w:rFonts w:hint="eastAsia"/>
          <w:szCs w:val="21"/>
          <w:lang w:eastAsia="zh-CN"/>
        </w:rPr>
        <w:t>重庆高速公路集团有限公司东南营运分公司</w:t>
      </w:r>
      <w:r>
        <w:rPr>
          <w:szCs w:val="21"/>
        </w:rPr>
        <w:t>计划以</w:t>
      </w:r>
      <w:r>
        <w:rPr>
          <w:rFonts w:hint="eastAsia"/>
          <w:szCs w:val="21"/>
        </w:rPr>
        <w:t>竞争性比选</w:t>
      </w:r>
      <w:r>
        <w:rPr>
          <w:szCs w:val="21"/>
        </w:rPr>
        <w:t>方式确定成交单位，具体情况如下：</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bookmarkStart w:id="16" w:name="_Toc247085681"/>
      <w:bookmarkStart w:id="17" w:name="_Toc152042296"/>
      <w:bookmarkStart w:id="18" w:name="_Toc246996910"/>
      <w:bookmarkStart w:id="19" w:name="_Toc152045520"/>
      <w:bookmarkStart w:id="20" w:name="_Toc144974488"/>
      <w:bookmarkStart w:id="21" w:name="_Toc179632537"/>
      <w:bookmarkStart w:id="22" w:name="_Toc246996167"/>
      <w:bookmarkStart w:id="23" w:name="_Toc296602411"/>
      <w:r>
        <w:rPr>
          <w:b/>
          <w:szCs w:val="21"/>
        </w:rPr>
        <w:t>一、项目概况与</w:t>
      </w:r>
      <w:r>
        <w:rPr>
          <w:rFonts w:hint="eastAsia"/>
          <w:b/>
          <w:szCs w:val="21"/>
        </w:rPr>
        <w:t>竞争性比选</w:t>
      </w:r>
      <w:r>
        <w:rPr>
          <w:b/>
          <w:szCs w:val="21"/>
        </w:rPr>
        <w:t>范围</w:t>
      </w:r>
      <w:bookmarkEnd w:id="16"/>
      <w:bookmarkEnd w:id="17"/>
      <w:bookmarkEnd w:id="18"/>
      <w:bookmarkEnd w:id="19"/>
      <w:bookmarkEnd w:id="20"/>
      <w:bookmarkEnd w:id="21"/>
      <w:bookmarkEnd w:id="22"/>
      <w:bookmarkEnd w:id="23"/>
    </w:p>
    <w:p>
      <w:pPr>
        <w:snapToGrid/>
        <w:spacing w:before="0" w:beforeAutospacing="0" w:after="0" w:afterAutospacing="0" w:line="432" w:lineRule="exact"/>
        <w:ind w:firstLine="460" w:firstLineChars="192"/>
        <w:jc w:val="both"/>
        <w:textAlignment w:val="baseline"/>
        <w:rPr>
          <w:rFonts w:hint="default" w:asciiTheme="majorEastAsia" w:hAnsiTheme="majorEastAsia" w:eastAsiaTheme="majorEastAsia" w:cstheme="majorEastAsia"/>
          <w:b w:val="0"/>
          <w:i w:val="0"/>
          <w:caps w:val="0"/>
          <w:spacing w:val="0"/>
          <w:w w:val="100"/>
          <w:sz w:val="24"/>
          <w:highlight w:val="none"/>
          <w:lang w:val="en-US" w:eastAsia="zh-CN"/>
        </w:rPr>
      </w:pPr>
      <w:r>
        <w:rPr>
          <w:rFonts w:hint="eastAsia" w:asciiTheme="majorEastAsia" w:hAnsiTheme="majorEastAsia" w:eastAsiaTheme="majorEastAsia" w:cstheme="majorEastAsia"/>
          <w:b w:val="0"/>
          <w:i w:val="0"/>
          <w:caps w:val="0"/>
          <w:spacing w:val="0"/>
          <w:w w:val="100"/>
          <w:sz w:val="24"/>
          <w:highlight w:val="none"/>
          <w:lang w:val="en-US" w:eastAsia="zh-CN"/>
        </w:rPr>
        <w:t>本项目为G65包茂高速K1759+500-K1760+500等11处重点管控路段交通安全设施综合提升工程设计项目，工程地点为G65包茂高速黄草至洪安段高速公路，上述路段在日常运营过程中，易发生交通事故，拟对交通安全设施进行改造提升。</w:t>
      </w:r>
    </w:p>
    <w:p>
      <w:pPr>
        <w:keepNext w:val="0"/>
        <w:keepLines w:val="0"/>
        <w:pageBreakBefore w:val="0"/>
        <w:widowControl/>
        <w:numPr>
          <w:ilvl w:val="0"/>
          <w:numId w:val="2"/>
        </w:numPr>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竞争性比选范围：</w:t>
      </w:r>
    </w:p>
    <w:p>
      <w:pPr>
        <w:snapToGrid/>
        <w:spacing w:before="0" w:beforeAutospacing="0" w:after="0" w:afterAutospacing="0" w:line="432" w:lineRule="exact"/>
        <w:ind w:firstLine="480" w:firstLineChars="200"/>
        <w:jc w:val="both"/>
        <w:textAlignment w:val="baseline"/>
        <w:rPr>
          <w:rFonts w:hint="eastAsia" w:asciiTheme="majorEastAsia" w:hAnsiTheme="majorEastAsia" w:eastAsiaTheme="majorEastAsia" w:cstheme="majorEastAsia"/>
          <w:b w:val="0"/>
          <w:i w:val="0"/>
          <w:caps w:val="0"/>
          <w:color w:val="auto"/>
          <w:spacing w:val="0"/>
          <w:w w:val="100"/>
          <w:sz w:val="24"/>
          <w:highlight w:val="none"/>
          <w:lang w:val="en-US" w:eastAsia="zh-CN"/>
        </w:rPr>
      </w:pPr>
      <w:r>
        <w:rPr>
          <w:rFonts w:hint="eastAsia" w:asciiTheme="majorEastAsia" w:hAnsiTheme="majorEastAsia" w:eastAsiaTheme="majorEastAsia" w:cstheme="majorEastAsia"/>
          <w:b w:val="0"/>
          <w:bCs w:val="0"/>
          <w:i w:val="0"/>
          <w:caps w:val="0"/>
          <w:color w:val="auto"/>
          <w:spacing w:val="0"/>
          <w:w w:val="100"/>
          <w:sz w:val="24"/>
          <w:highlight w:val="none"/>
          <w:u w:val="none"/>
          <w:lang w:val="en-US" w:eastAsia="zh-CN"/>
        </w:rPr>
        <w:t>（1）本次竞争性比选范围为G65包茂高速K1759+500-K1760+500等11处重点管控路段（具体桩号为：K1759+500～K1760+500上行及下行；K1774+000～K1775+000上行；K1780+000～K1781+000下行；K1792+000～K1795+000下行；K1829+500～K1830+500上行及下行；K1843+000～K1847+000上行及下行；K1884+500上行；K1889+500下行、K1890+000上行；K1909+500～K1910+500上行及下行；K1926+000下行；K1963+000～K1967+000上行及下行；这里的上行指道路桩号增大方向，下行则反之）</w:t>
      </w:r>
      <w:r>
        <w:rPr>
          <w:rFonts w:hint="eastAsia" w:asciiTheme="majorEastAsia" w:hAnsiTheme="majorEastAsia" w:eastAsiaTheme="majorEastAsia" w:cstheme="majorEastAsia"/>
          <w:b w:val="0"/>
          <w:i w:val="0"/>
          <w:caps w:val="0"/>
          <w:color w:val="auto"/>
          <w:spacing w:val="0"/>
          <w:w w:val="100"/>
          <w:sz w:val="24"/>
          <w:highlight w:val="none"/>
          <w:lang w:val="en-US" w:eastAsia="zh-CN"/>
        </w:rPr>
        <w:t>交通安全设施综合提升工程的施工图设计（含预算）服务；主要包括交通安全设施、监控设施等相关内容的施工图设计、施工过程设计变更、施工过程中的技术咨询服务等；参与后期有关质量问题的分析和处理等工作内容。</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color w:val="auto"/>
          <w:szCs w:val="21"/>
        </w:rPr>
      </w:pPr>
      <w:r>
        <w:rPr>
          <w:rFonts w:hint="eastAsia"/>
          <w:color w:val="auto"/>
          <w:szCs w:val="21"/>
        </w:rPr>
        <w:t>（</w:t>
      </w:r>
      <w:r>
        <w:rPr>
          <w:rFonts w:hint="eastAsia"/>
          <w:color w:val="auto"/>
          <w:szCs w:val="21"/>
          <w:lang w:val="en-US" w:eastAsia="zh-CN"/>
        </w:rPr>
        <w:t>2</w:t>
      </w:r>
      <w:r>
        <w:rPr>
          <w:rFonts w:hint="eastAsia"/>
          <w:color w:val="auto"/>
          <w:szCs w:val="21"/>
        </w:rPr>
        <w:t>）服务期：自竞争性比选人提供相应阶段的基础资料后</w:t>
      </w:r>
      <w:r>
        <w:rPr>
          <w:rFonts w:hint="eastAsia"/>
          <w:color w:val="auto"/>
          <w:szCs w:val="21"/>
          <w:lang w:val="en-US" w:eastAsia="zh-CN"/>
        </w:rPr>
        <w:t>30</w:t>
      </w:r>
      <w:r>
        <w:rPr>
          <w:rFonts w:hint="eastAsia"/>
          <w:color w:val="auto"/>
          <w:szCs w:val="21"/>
        </w:rPr>
        <w:t>日内提交审查合格的成果资料。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szCs w:val="21"/>
        </w:rPr>
      </w:pPr>
      <w:r>
        <w:rPr>
          <w:rFonts w:hint="eastAsia"/>
          <w:b/>
          <w:szCs w:val="21"/>
        </w:rPr>
        <w:t>2、</w:t>
      </w:r>
      <w:r>
        <w:rPr>
          <w:b/>
          <w:szCs w:val="21"/>
        </w:rPr>
        <w:t>本次</w:t>
      </w:r>
      <w:r>
        <w:rPr>
          <w:rFonts w:hint="eastAsia"/>
          <w:b/>
          <w:szCs w:val="21"/>
        </w:rPr>
        <w:t>竞争性比选</w:t>
      </w:r>
      <w:r>
        <w:rPr>
          <w:b/>
          <w:szCs w:val="21"/>
        </w:rPr>
        <w:t>不接受联合体竞标。</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szCs w:val="21"/>
        </w:rPr>
      </w:pPr>
      <w:r>
        <w:rPr>
          <w:rFonts w:hint="eastAsia"/>
          <w:b/>
          <w:bCs/>
          <w:szCs w:val="21"/>
        </w:rPr>
        <w:t>3、本次比选为一个合同包。</w:t>
      </w:r>
    </w:p>
    <w:p>
      <w:pPr>
        <w:snapToGrid/>
        <w:spacing w:before="0" w:beforeAutospacing="0" w:after="0" w:afterAutospacing="0" w:line="432" w:lineRule="exact"/>
        <w:ind w:firstLine="405" w:firstLineChars="192"/>
        <w:jc w:val="both"/>
        <w:textAlignment w:val="baseline"/>
        <w:rPr>
          <w:rFonts w:hint="eastAsia" w:asciiTheme="majorEastAsia" w:hAnsiTheme="majorEastAsia" w:eastAsiaTheme="majorEastAsia" w:cstheme="majorEastAsia"/>
          <w:b w:val="0"/>
          <w:i w:val="0"/>
          <w:caps w:val="0"/>
          <w:spacing w:val="0"/>
          <w:w w:val="100"/>
          <w:sz w:val="24"/>
          <w:highlight w:val="none"/>
          <w:lang w:val="en-US" w:eastAsia="zh-CN"/>
        </w:rPr>
      </w:pPr>
      <w:r>
        <w:rPr>
          <w:rFonts w:hint="eastAsia"/>
          <w:b/>
          <w:szCs w:val="21"/>
        </w:rPr>
        <w:t>4、本项目限价为：</w:t>
      </w:r>
      <w:r>
        <w:rPr>
          <w:rFonts w:hint="eastAsia" w:asciiTheme="majorEastAsia" w:hAnsiTheme="majorEastAsia" w:eastAsiaTheme="majorEastAsia" w:cstheme="majorEastAsia"/>
          <w:b w:val="0"/>
          <w:i w:val="0"/>
          <w:caps w:val="0"/>
          <w:spacing w:val="0"/>
          <w:w w:val="100"/>
          <w:sz w:val="24"/>
          <w:highlight w:val="none"/>
          <w:lang w:val="en-US" w:eastAsia="zh-CN"/>
        </w:rPr>
        <w:t>G65包茂高速K1759+500-K1760+500等11处重点管控路段交通安全设施综合提升工程设计项目暂定建安费为1225.4万元，设计费上限总价为404400元（大写：肆拾万肆仟肆佰圆整），上限价费率3.3%。比选人不得超过业主发布的最高总限价和上限价费率，否则按否决投标处理。</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szCs w:val="21"/>
        </w:rPr>
      </w:pPr>
      <w:r>
        <w:rPr>
          <w:b/>
          <w:szCs w:val="21"/>
        </w:rPr>
        <w:t>二、</w:t>
      </w:r>
      <w:r>
        <w:rPr>
          <w:rFonts w:hint="eastAsia"/>
          <w:b/>
          <w:szCs w:val="21"/>
        </w:rPr>
        <w:t>比选申请人</w:t>
      </w:r>
      <w:r>
        <w:rPr>
          <w:b/>
          <w:szCs w:val="21"/>
        </w:rPr>
        <w:t>资</w:t>
      </w:r>
      <w:r>
        <w:rPr>
          <w:rFonts w:hint="eastAsia"/>
          <w:b/>
          <w:szCs w:val="21"/>
        </w:rPr>
        <w:t>格</w:t>
      </w:r>
      <w:r>
        <w:rPr>
          <w:b/>
          <w:szCs w:val="21"/>
        </w:rPr>
        <w:t>要求</w:t>
      </w:r>
      <w:r>
        <w:rPr>
          <w:rFonts w:hint="eastAsia"/>
          <w:b/>
          <w:szCs w:val="21"/>
        </w:rPr>
        <w:t>：</w:t>
      </w:r>
    </w:p>
    <w:bookmarkEnd w:id="8"/>
    <w:bookmarkEnd w:id="9"/>
    <w:bookmarkEnd w:id="10"/>
    <w:bookmarkEnd w:id="11"/>
    <w:bookmarkEnd w:id="12"/>
    <w:bookmarkEnd w:id="13"/>
    <w:bookmarkEnd w:id="14"/>
    <w:bookmarkEnd w:id="15"/>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szCs w:val="21"/>
        </w:rPr>
      </w:pPr>
      <w:bookmarkStart w:id="24" w:name="_Toc144974490"/>
      <w:bookmarkStart w:id="25" w:name="_Toc246996169"/>
      <w:bookmarkStart w:id="26" w:name="_Toc179632539"/>
      <w:bookmarkStart w:id="27" w:name="_Toc246996912"/>
      <w:bookmarkStart w:id="28" w:name="_Toc152042298"/>
      <w:bookmarkStart w:id="29" w:name="_Toc247085683"/>
      <w:bookmarkStart w:id="30" w:name="_Toc152045522"/>
      <w:bookmarkStart w:id="31" w:name="_Toc296602413"/>
      <w:r>
        <w:rPr>
          <w:rFonts w:hint="eastAsia"/>
          <w:szCs w:val="21"/>
        </w:rPr>
        <w:t>1、资质要求：</w:t>
      </w:r>
    </w:p>
    <w:p>
      <w:pPr>
        <w:numPr>
          <w:ilvl w:val="0"/>
          <w:numId w:val="0"/>
        </w:numPr>
        <w:snapToGrid/>
        <w:spacing w:before="0" w:beforeAutospacing="0" w:after="0" w:afterAutospacing="0" w:line="360" w:lineRule="auto"/>
        <w:ind w:firstLine="420" w:firstLineChars="200"/>
        <w:jc w:val="left"/>
        <w:textAlignment w:val="baseline"/>
        <w:rPr>
          <w:rFonts w:hint="eastAsia"/>
          <w:szCs w:val="21"/>
          <w:lang w:val="en-US" w:eastAsia="zh-CN"/>
        </w:rPr>
      </w:pPr>
      <w:r>
        <w:rPr>
          <w:rFonts w:hint="eastAsia"/>
          <w:szCs w:val="21"/>
          <w:lang w:val="en-US" w:eastAsia="zh-CN"/>
        </w:rPr>
        <w:t>①投标人需具备独立法人资格及有效的营业执照；</w:t>
      </w:r>
    </w:p>
    <w:p>
      <w:pPr>
        <w:numPr>
          <w:ilvl w:val="0"/>
          <w:numId w:val="0"/>
        </w:numPr>
        <w:snapToGrid/>
        <w:spacing w:before="0" w:beforeAutospacing="0" w:after="0" w:afterAutospacing="0" w:line="360" w:lineRule="auto"/>
        <w:ind w:firstLine="420" w:firstLineChars="200"/>
        <w:jc w:val="left"/>
        <w:textAlignment w:val="baseline"/>
        <w:rPr>
          <w:rFonts w:hint="eastAsia"/>
          <w:szCs w:val="21"/>
          <w:lang w:val="en-US" w:eastAsia="zh-CN"/>
        </w:rPr>
      </w:pPr>
      <w:r>
        <w:rPr>
          <w:rFonts w:hint="eastAsia"/>
          <w:szCs w:val="21"/>
          <w:lang w:val="en-US" w:eastAsia="zh-CN"/>
        </w:rPr>
        <w:t>②具备公路行业甲级或公路行业（交通工程）专业甲级设计资质及以上资质。</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color w:val="auto"/>
          <w:szCs w:val="21"/>
        </w:rPr>
      </w:pPr>
      <w:r>
        <w:rPr>
          <w:rFonts w:hint="eastAsia"/>
          <w:b/>
          <w:color w:val="auto"/>
          <w:szCs w:val="21"/>
        </w:rPr>
        <w:t>（注：须提供营业执照、资质证书的复印件或扫描件。）</w:t>
      </w:r>
    </w:p>
    <w:p>
      <w:pPr>
        <w:numPr>
          <w:ilvl w:val="0"/>
          <w:numId w:val="0"/>
        </w:numPr>
        <w:snapToGrid/>
        <w:spacing w:before="0" w:beforeAutospacing="0" w:after="0" w:afterAutospacing="0" w:line="360" w:lineRule="auto"/>
        <w:ind w:firstLine="420" w:firstLineChars="200"/>
        <w:jc w:val="left"/>
        <w:textAlignment w:val="baseline"/>
        <w:rPr>
          <w:rFonts w:hint="eastAsia"/>
          <w:szCs w:val="21"/>
          <w:lang w:val="en-US" w:eastAsia="zh-CN"/>
        </w:rPr>
      </w:pPr>
      <w:r>
        <w:rPr>
          <w:rFonts w:hint="eastAsia"/>
          <w:szCs w:val="21"/>
          <w:lang w:val="en-US" w:eastAsia="zh-CN"/>
        </w:rPr>
        <w:t>2、业绩要求：2019年1月1日至投标截止日（以合同签订日期为准），具有一个高速公路交通安全设施工程或养护工程的设计业绩。</w:t>
      </w:r>
    </w:p>
    <w:p>
      <w:pPr>
        <w:numPr>
          <w:ilvl w:val="0"/>
          <w:numId w:val="0"/>
        </w:numPr>
        <w:snapToGrid/>
        <w:spacing w:before="0" w:beforeAutospacing="0" w:after="0" w:afterAutospacing="0" w:line="360" w:lineRule="auto"/>
        <w:ind w:firstLine="422" w:firstLineChars="200"/>
        <w:jc w:val="left"/>
        <w:textAlignment w:val="baseline"/>
        <w:rPr>
          <w:rFonts w:hint="eastAsia"/>
          <w:b/>
          <w:color w:val="auto"/>
          <w:szCs w:val="21"/>
        </w:rPr>
      </w:pPr>
      <w:r>
        <w:rPr>
          <w:rFonts w:hint="eastAsia"/>
          <w:b/>
          <w:color w:val="auto"/>
          <w:szCs w:val="21"/>
        </w:rPr>
        <w:t>（注：</w:t>
      </w:r>
      <w:r>
        <w:rPr>
          <w:rFonts w:hint="eastAsia"/>
          <w:b/>
          <w:color w:val="auto"/>
          <w:szCs w:val="21"/>
          <w:lang w:val="en-US" w:eastAsia="zh-CN"/>
        </w:rPr>
        <w:t>1.养护工程指运营高速公路边坡、桥梁、隧道、涵洞、交通安全设施、绿化、房屋建筑等沿线结构物/建筑物及附属设施。2.</w:t>
      </w:r>
      <w:r>
        <w:rPr>
          <w:rFonts w:hint="eastAsia"/>
          <w:b/>
          <w:color w:val="auto"/>
          <w:szCs w:val="21"/>
        </w:rPr>
        <w:t>须提供合同的复印件或扫描件，且合同中能清晰反映该业绩要求）。</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三、</w:t>
      </w:r>
      <w:r>
        <w:rPr>
          <w:rFonts w:hint="eastAsia"/>
          <w:b/>
          <w:color w:val="auto"/>
          <w:szCs w:val="21"/>
        </w:rPr>
        <w:t>竞争性比选申请</w:t>
      </w:r>
      <w:r>
        <w:rPr>
          <w:b/>
          <w:color w:val="auto"/>
          <w:szCs w:val="21"/>
        </w:rPr>
        <w:t>文件的相关要求：</w:t>
      </w:r>
    </w:p>
    <w:bookmarkEnd w:id="24"/>
    <w:bookmarkEnd w:id="25"/>
    <w:bookmarkEnd w:id="26"/>
    <w:bookmarkEnd w:id="27"/>
    <w:bookmarkEnd w:id="28"/>
    <w:bookmarkEnd w:id="29"/>
    <w:bookmarkEnd w:id="30"/>
    <w:bookmarkEnd w:id="31"/>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1、</w:t>
      </w:r>
      <w:r>
        <w:rPr>
          <w:b/>
          <w:bCs/>
          <w:color w:val="auto"/>
          <w:szCs w:val="21"/>
        </w:rPr>
        <w:t>本次</w:t>
      </w:r>
      <w:r>
        <w:rPr>
          <w:rFonts w:hint="eastAsia"/>
          <w:b/>
          <w:bCs/>
          <w:color w:val="auto"/>
          <w:szCs w:val="21"/>
        </w:rPr>
        <w:t>比选申请</w:t>
      </w:r>
      <w:r>
        <w:rPr>
          <w:b/>
          <w:bCs/>
          <w:color w:val="auto"/>
          <w:szCs w:val="21"/>
        </w:rPr>
        <w:t>文件的组成：</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(1)报价书；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(2)法定代表人（单位负责人）身份证明及授权委托书；</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(3)比选申请单位有效的营业执照、资质证书等证明材料；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(4)比选申请单位的业绩证明材料；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5</w:t>
      </w:r>
      <w:r>
        <w:rPr>
          <w:rFonts w:hint="eastAsia"/>
          <w:color w:val="auto"/>
          <w:szCs w:val="21"/>
        </w:rPr>
        <w:t>)比选申请单位技术部分；</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6</w:t>
      </w:r>
      <w:r>
        <w:rPr>
          <w:rFonts w:hint="eastAsia"/>
          <w:color w:val="auto"/>
          <w:szCs w:val="21"/>
        </w:rPr>
        <w:t>)报价清单</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w:t>
      </w:r>
      <w:r>
        <w:rPr>
          <w:rFonts w:hint="eastAsia"/>
          <w:color w:val="auto"/>
          <w:szCs w:val="21"/>
          <w:lang w:val="en-US" w:eastAsia="zh-CN"/>
        </w:rPr>
        <w:t>7</w:t>
      </w:r>
      <w:r>
        <w:rPr>
          <w:rFonts w:hint="eastAsia"/>
          <w:color w:val="auto"/>
          <w:szCs w:val="21"/>
        </w:rPr>
        <w:t>)其他材料。</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（注：须比选申请单位法定代表人（单位负责人）或其授权代理人签署并加盖单位公章，并装订成册）</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2" w:firstLineChars="200"/>
        <w:textAlignment w:val="auto"/>
        <w:outlineLvl w:val="9"/>
        <w:rPr>
          <w:b/>
          <w:bCs/>
          <w:color w:val="auto"/>
          <w:szCs w:val="21"/>
        </w:rPr>
      </w:pPr>
      <w:r>
        <w:rPr>
          <w:rFonts w:hint="eastAsia"/>
          <w:b/>
          <w:bCs/>
          <w:color w:val="auto"/>
          <w:szCs w:val="21"/>
        </w:rPr>
        <w:t>2、比选申请</w:t>
      </w:r>
      <w:r>
        <w:rPr>
          <w:b/>
          <w:bCs/>
          <w:color w:val="auto"/>
          <w:szCs w:val="21"/>
        </w:rPr>
        <w:t>文件的份数及编制要求</w:t>
      </w:r>
      <w:r>
        <w:rPr>
          <w:rFonts w:hint="eastAsia"/>
          <w:b/>
          <w:bCs/>
          <w:color w:val="auto"/>
          <w:szCs w:val="21"/>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20" w:firstLineChars="200"/>
        <w:textAlignment w:val="auto"/>
        <w:outlineLvl w:val="9"/>
        <w:rPr>
          <w:color w:val="auto"/>
          <w:szCs w:val="21"/>
        </w:rPr>
      </w:pPr>
      <w:r>
        <w:rPr>
          <w:rFonts w:hint="eastAsia"/>
          <w:color w:val="auto"/>
          <w:szCs w:val="21"/>
        </w:rPr>
        <w:t>比选申请文件2份（正本1份、副本1份，正本可为副本的复印件，比选人应在比选申请文件右上角清楚的标记“正本”“副本”字样，当正本与副本不一致时，以正本为准），比选申请文件按竞争性比选文件中规定格式排版。</w:t>
      </w:r>
    </w:p>
    <w:p>
      <w:pPr>
        <w:keepNext w:val="0"/>
        <w:keepLines w:val="0"/>
        <w:pageBreakBefore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rFonts w:hint="eastAsia"/>
          <w:b/>
          <w:color w:val="auto"/>
          <w:szCs w:val="21"/>
        </w:rPr>
        <w:t>四、评标办法（本项目采用综合评估法）：</w:t>
      </w:r>
    </w:p>
    <w:tbl>
      <w:tblPr>
        <w:tblStyle w:val="11"/>
        <w:tblW w:w="9216" w:type="dxa"/>
        <w:tblInd w:w="-2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6"/>
        <w:gridCol w:w="1205"/>
        <w:gridCol w:w="2136"/>
        <w:gridCol w:w="1701"/>
        <w:gridCol w:w="1276"/>
        <w:gridCol w:w="1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条款号</w:t>
            </w:r>
          </w:p>
        </w:tc>
        <w:tc>
          <w:tcPr>
            <w:tcW w:w="2136" w:type="dxa"/>
            <w:vAlign w:val="center"/>
          </w:tcPr>
          <w:p>
            <w:pPr>
              <w:spacing w:line="300" w:lineRule="exact"/>
              <w:ind w:firstLine="420" w:firstLineChars="200"/>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评审因素</w:t>
            </w:r>
          </w:p>
        </w:tc>
        <w:tc>
          <w:tcPr>
            <w:tcW w:w="4909" w:type="dxa"/>
            <w:gridSpan w:val="3"/>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1</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形式评审标准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比选申请人名称</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报价书签字盖章</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kern w:val="0"/>
              </w:rPr>
              <w:t>有法定代表人或其委托代理人签字、加盖单位公章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比选申请文件格式</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报价唯一</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比选申请文件份数</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最高限价</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符合最高限价规定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2</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资格评审标准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营业执照</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资质要求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符合比选申请人资质要求的规定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29" w:firstLineChars="14"/>
              <w:rPr>
                <w:rFonts w:ascii="宋体" w:hAnsi="宋体" w:cs="宋体"/>
                <w:color w:val="auto"/>
                <w:szCs w:val="21"/>
                <w:shd w:val="clear" w:color="auto" w:fill="FFFFFF"/>
              </w:rPr>
            </w:pPr>
          </w:p>
        </w:tc>
        <w:tc>
          <w:tcPr>
            <w:tcW w:w="1205" w:type="dxa"/>
            <w:vMerge w:val="continue"/>
            <w:vAlign w:val="center"/>
          </w:tcPr>
          <w:p>
            <w:pPr>
              <w:spacing w:line="300" w:lineRule="exact"/>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业绩要求</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符合比选申请人业绩要求的规定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restart"/>
            <w:vAlign w:val="center"/>
          </w:tcPr>
          <w:p>
            <w:pPr>
              <w:spacing w:line="300" w:lineRule="exact"/>
              <w:ind w:firstLine="29" w:firstLineChars="14"/>
              <w:rPr>
                <w:rFonts w:ascii="宋体" w:hAnsi="宋体" w:cs="宋体"/>
                <w:color w:val="auto"/>
                <w:szCs w:val="21"/>
                <w:shd w:val="clear" w:color="auto" w:fill="FFFFFF"/>
              </w:rPr>
            </w:pPr>
            <w:r>
              <w:rPr>
                <w:rFonts w:hint="eastAsia" w:ascii="宋体" w:hAnsi="宋体" w:cs="宋体"/>
                <w:color w:val="auto"/>
                <w:szCs w:val="21"/>
                <w:shd w:val="clear" w:color="auto" w:fill="FFFFFF"/>
              </w:rPr>
              <w:t>3</w:t>
            </w:r>
          </w:p>
        </w:tc>
        <w:tc>
          <w:tcPr>
            <w:tcW w:w="1205" w:type="dxa"/>
            <w:vMerge w:val="restart"/>
            <w:vAlign w:val="center"/>
          </w:tcPr>
          <w:p>
            <w:pPr>
              <w:spacing w:line="300" w:lineRule="exact"/>
              <w:jc w:val="center"/>
              <w:rPr>
                <w:rFonts w:ascii="宋体" w:hAnsi="宋体" w:cs="宋体"/>
                <w:color w:val="auto"/>
                <w:szCs w:val="21"/>
                <w:shd w:val="clear" w:color="auto" w:fill="FFFFFF"/>
              </w:rPr>
            </w:pPr>
            <w:r>
              <w:rPr>
                <w:rFonts w:hint="eastAsia" w:ascii="宋体" w:hAnsi="宋体" w:cs="宋体"/>
                <w:color w:val="auto"/>
                <w:szCs w:val="21"/>
                <w:shd w:val="clear" w:color="auto" w:fill="FFFFFF"/>
              </w:rPr>
              <w:t>响应性评审标准</w:t>
            </w: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比选内容</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kern w:val="0"/>
              </w:rPr>
              <w:t>服务期</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szCs w:val="21"/>
                <w:shd w:val="clear" w:color="auto" w:fill="FFFFFF"/>
              </w:rPr>
            </w:pPr>
            <w:r>
              <w:rPr>
                <w:rFonts w:hint="eastAsia" w:ascii="宋体" w:hAnsi="宋体" w:cs="宋体"/>
                <w:color w:val="auto"/>
                <w:szCs w:val="21"/>
                <w:shd w:val="clear" w:color="auto" w:fill="FFFFFF"/>
              </w:rPr>
              <w:t>竞标有效期</w:t>
            </w:r>
          </w:p>
        </w:tc>
        <w:tc>
          <w:tcPr>
            <w:tcW w:w="4909" w:type="dxa"/>
            <w:gridSpan w:val="3"/>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trPr>
        <w:tc>
          <w:tcPr>
            <w:tcW w:w="966"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1205" w:type="dxa"/>
            <w:vMerge w:val="continue"/>
            <w:vAlign w:val="center"/>
          </w:tcPr>
          <w:p>
            <w:pPr>
              <w:spacing w:line="300" w:lineRule="exact"/>
              <w:ind w:firstLine="420" w:firstLineChars="200"/>
              <w:rPr>
                <w:rFonts w:ascii="宋体" w:hAnsi="宋体" w:cs="宋体"/>
                <w:color w:val="auto"/>
                <w:szCs w:val="21"/>
                <w:shd w:val="clear" w:color="auto" w:fill="FFFFFF"/>
              </w:rPr>
            </w:pPr>
          </w:p>
        </w:tc>
        <w:tc>
          <w:tcPr>
            <w:tcW w:w="2136" w:type="dxa"/>
            <w:vAlign w:val="center"/>
          </w:tcPr>
          <w:p>
            <w:pPr>
              <w:spacing w:line="300" w:lineRule="exact"/>
              <w:jc w:val="left"/>
              <w:rPr>
                <w:rFonts w:ascii="宋体" w:hAnsi="宋体" w:cs="宋体"/>
                <w:color w:val="auto"/>
                <w:kern w:val="0"/>
              </w:rPr>
            </w:pPr>
            <w:r>
              <w:rPr>
                <w:rFonts w:hint="eastAsia" w:ascii="宋体" w:hAnsi="宋体" w:cs="宋体"/>
                <w:color w:val="auto"/>
                <w:kern w:val="0"/>
              </w:rPr>
              <w:t>实质性要求</w:t>
            </w:r>
          </w:p>
        </w:tc>
        <w:tc>
          <w:tcPr>
            <w:tcW w:w="4909" w:type="dxa"/>
            <w:gridSpan w:val="3"/>
            <w:vAlign w:val="center"/>
          </w:tcPr>
          <w:p>
            <w:pPr>
              <w:spacing w:line="300" w:lineRule="exact"/>
              <w:jc w:val="left"/>
              <w:rPr>
                <w:rFonts w:ascii="宋体" w:hAnsi="宋体" w:cs="宋体"/>
                <w:color w:val="auto"/>
                <w:kern w:val="0"/>
              </w:rPr>
            </w:pPr>
            <w:r>
              <w:rPr>
                <w:rFonts w:hint="eastAsia" w:ascii="宋体" w:hAnsi="宋体" w:cs="宋体"/>
                <w:color w:val="auto"/>
                <w:kern w:val="0"/>
              </w:rPr>
              <w:t>符合比选文件中规定的其他实质性要求。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6"/>
            <w:vAlign w:val="center"/>
          </w:tcPr>
          <w:p>
            <w:pPr>
              <w:spacing w:line="300" w:lineRule="exact"/>
              <w:rPr>
                <w:rFonts w:ascii="宋体" w:hAnsi="宋体" w:cs="宋体"/>
                <w:color w:val="auto"/>
                <w:szCs w:val="21"/>
                <w:shd w:val="clear" w:color="auto" w:fill="FFFFFF"/>
              </w:rPr>
            </w:pPr>
            <w:r>
              <w:rPr>
                <w:rFonts w:hint="eastAsia" w:ascii="宋体" w:hAnsi="宋体" w:cs="宋体"/>
                <w:color w:val="auto"/>
                <w:szCs w:val="21"/>
                <w:shd w:val="clear" w:color="auto" w:fill="FFFFFF"/>
              </w:rPr>
              <w:t>注：条款1-3均为强制性要求，比选申请人如不满足，按否决竞标处理。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216" w:type="dxa"/>
            <w:gridSpan w:val="6"/>
            <w:vAlign w:val="center"/>
          </w:tcPr>
          <w:p>
            <w:pPr>
              <w:spacing w:line="300" w:lineRule="exact"/>
              <w:rPr>
                <w:b/>
                <w:color w:val="auto"/>
                <w:szCs w:val="21"/>
              </w:rPr>
            </w:pPr>
            <w:r>
              <w:rPr>
                <w:b/>
                <w:color w:val="auto"/>
                <w:szCs w:val="21"/>
              </w:rPr>
              <w:t>有下列情况之一的，视为</w:t>
            </w:r>
            <w:r>
              <w:rPr>
                <w:rFonts w:hint="eastAsia"/>
                <w:b/>
                <w:color w:val="auto"/>
                <w:szCs w:val="21"/>
              </w:rPr>
              <w:t>比选申请人</w:t>
            </w:r>
            <w:r>
              <w:rPr>
                <w:b/>
                <w:color w:val="auto"/>
                <w:szCs w:val="21"/>
              </w:rPr>
              <w:t>相互串通</w:t>
            </w:r>
            <w:r>
              <w:rPr>
                <w:rFonts w:hint="eastAsia"/>
                <w:b/>
                <w:color w:val="auto"/>
                <w:szCs w:val="21"/>
              </w:rPr>
              <w:t>竞标</w:t>
            </w:r>
            <w:r>
              <w:rPr>
                <w:b/>
                <w:color w:val="auto"/>
                <w:szCs w:val="21"/>
              </w:rPr>
              <w:t>，做否决</w:t>
            </w:r>
            <w:r>
              <w:rPr>
                <w:rFonts w:hint="eastAsia"/>
                <w:b/>
                <w:color w:val="auto"/>
                <w:szCs w:val="21"/>
              </w:rPr>
              <w:t>竞标</w:t>
            </w:r>
            <w:r>
              <w:rPr>
                <w:b/>
                <w:color w:val="auto"/>
                <w:szCs w:val="21"/>
              </w:rPr>
              <w:t>处理。</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由同一单位或者个人编制；</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委托同一单位或者个人办理</w:t>
            </w:r>
            <w:r>
              <w:rPr>
                <w:rFonts w:hint="eastAsia"/>
                <w:color w:val="auto"/>
                <w:szCs w:val="21"/>
              </w:rPr>
              <w:t>竞标</w:t>
            </w:r>
            <w:r>
              <w:rPr>
                <w:color w:val="auto"/>
                <w:szCs w:val="21"/>
              </w:rPr>
              <w:t>事宜；</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载明的项目管理成员为同一人；</w:t>
            </w:r>
          </w:p>
          <w:p>
            <w:pPr>
              <w:numPr>
                <w:ilvl w:val="0"/>
                <w:numId w:val="3"/>
              </w:numPr>
              <w:spacing w:line="300" w:lineRule="exact"/>
              <w:ind w:left="0"/>
              <w:rPr>
                <w:color w:val="auto"/>
                <w:szCs w:val="21"/>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异常一致或者</w:t>
            </w:r>
            <w:r>
              <w:rPr>
                <w:rFonts w:hint="eastAsia"/>
                <w:color w:val="auto"/>
                <w:szCs w:val="21"/>
              </w:rPr>
              <w:t>竞标报价</w:t>
            </w:r>
            <w:r>
              <w:rPr>
                <w:color w:val="auto"/>
                <w:szCs w:val="21"/>
              </w:rPr>
              <w:t>呈规律性差异；</w:t>
            </w:r>
          </w:p>
          <w:p>
            <w:pPr>
              <w:spacing w:line="300" w:lineRule="exact"/>
              <w:rPr>
                <w:rFonts w:ascii="宋体" w:hAnsi="宋体" w:cs="宋体"/>
                <w:color w:val="auto"/>
                <w:szCs w:val="21"/>
                <w:shd w:val="clear" w:color="auto" w:fill="FFFFFF"/>
              </w:rPr>
            </w:pPr>
            <w:r>
              <w:rPr>
                <w:color w:val="auto"/>
                <w:szCs w:val="21"/>
              </w:rPr>
              <w:t>不同</w:t>
            </w:r>
            <w:r>
              <w:rPr>
                <w:rFonts w:hint="eastAsia"/>
                <w:color w:val="auto"/>
                <w:szCs w:val="21"/>
              </w:rPr>
              <w:t>比选申请人</w:t>
            </w:r>
            <w:r>
              <w:rPr>
                <w:color w:val="auto"/>
                <w:szCs w:val="21"/>
              </w:rPr>
              <w:t>的</w:t>
            </w:r>
            <w:r>
              <w:rPr>
                <w:rFonts w:hint="eastAsia"/>
                <w:color w:val="auto"/>
                <w:szCs w:val="21"/>
              </w:rPr>
              <w:t>比选申请文件</w:t>
            </w:r>
            <w:r>
              <w:rPr>
                <w:color w:val="auto"/>
                <w:szCs w:val="21"/>
              </w:rPr>
              <w:t>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trPr>
        <w:tc>
          <w:tcPr>
            <w:tcW w:w="966" w:type="dxa"/>
            <w:vAlign w:val="center"/>
          </w:tcPr>
          <w:p>
            <w:pPr>
              <w:spacing w:line="300" w:lineRule="exact"/>
              <w:jc w:val="center"/>
              <w:rPr>
                <w:color w:val="auto"/>
                <w:szCs w:val="21"/>
              </w:rPr>
            </w:pPr>
            <w:r>
              <w:rPr>
                <w:rFonts w:hint="eastAsia"/>
                <w:color w:val="auto"/>
                <w:szCs w:val="21"/>
              </w:rPr>
              <w:t>2.1</w:t>
            </w:r>
          </w:p>
        </w:tc>
        <w:tc>
          <w:tcPr>
            <w:tcW w:w="1205" w:type="dxa"/>
            <w:vAlign w:val="center"/>
          </w:tcPr>
          <w:p>
            <w:pPr>
              <w:spacing w:line="300" w:lineRule="exact"/>
              <w:jc w:val="center"/>
              <w:rPr>
                <w:color w:val="auto"/>
                <w:szCs w:val="21"/>
              </w:rPr>
            </w:pPr>
            <w:r>
              <w:rPr>
                <w:rFonts w:hint="eastAsia"/>
                <w:color w:val="auto"/>
                <w:szCs w:val="21"/>
              </w:rPr>
              <w:t>分值构成 （100分）</w:t>
            </w:r>
          </w:p>
        </w:tc>
        <w:tc>
          <w:tcPr>
            <w:tcW w:w="7045" w:type="dxa"/>
            <w:gridSpan w:val="4"/>
            <w:vAlign w:val="center"/>
          </w:tcPr>
          <w:p>
            <w:pPr>
              <w:spacing w:line="300" w:lineRule="exact"/>
              <w:jc w:val="left"/>
            </w:pPr>
            <w:r>
              <w:t>评审因素</w:t>
            </w:r>
            <w:r>
              <w:tab/>
            </w:r>
            <w:r>
              <w:t xml:space="preserve">                               </w:t>
            </w:r>
          </w:p>
          <w:p>
            <w:pPr>
              <w:pStyle w:val="14"/>
              <w:keepNext w:val="0"/>
              <w:keepLines w:val="0"/>
              <w:suppressLineNumbers w:val="0"/>
              <w:spacing w:before="0" w:beforeAutospacing="0" w:after="0" w:afterAutospacing="0" w:line="360" w:lineRule="auto"/>
              <w:ind w:right="97"/>
              <w:rPr>
                <w:rFonts w:hint="default"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1</w:t>
            </w:r>
            <w:r>
              <w:rPr>
                <w:rFonts w:hint="eastAsia" w:ascii="Calibri" w:hAnsi="Calibri"/>
                <w:sz w:val="22"/>
                <w:szCs w:val="22"/>
                <w:lang w:val="zh-CN"/>
              </w:rPr>
              <w:t>）</w:t>
            </w:r>
            <w:r>
              <w:rPr>
                <w:rFonts w:hint="eastAsia"/>
                <w:sz w:val="22"/>
                <w:szCs w:val="22"/>
                <w:lang w:val="zh-CN"/>
              </w:rPr>
              <w:t>竞标</w:t>
            </w:r>
            <w:r>
              <w:rPr>
                <w:rFonts w:hint="eastAsia" w:ascii="Calibri" w:hAnsi="Calibri"/>
                <w:sz w:val="22"/>
                <w:szCs w:val="22"/>
                <w:lang w:val="zh-CN"/>
              </w:rPr>
              <w:t>报价：</w:t>
            </w:r>
            <w:r>
              <w:rPr>
                <w:rFonts w:hint="default" w:ascii="Calibri" w:hAnsi="Calibri"/>
                <w:sz w:val="22"/>
                <w:szCs w:val="22"/>
                <w:u w:val="single"/>
                <w:lang w:val="zh-CN"/>
              </w:rPr>
              <w:t xml:space="preserve"> </w:t>
            </w:r>
            <w:r>
              <w:rPr>
                <w:rFonts w:hint="eastAsia"/>
                <w:sz w:val="22"/>
                <w:szCs w:val="22"/>
                <w:u w:val="single"/>
                <w:lang w:val="en-US" w:eastAsia="zh-CN"/>
              </w:rPr>
              <w:t>50</w:t>
            </w:r>
            <w:r>
              <w:rPr>
                <w:rFonts w:hint="default" w:ascii="Calibri" w:hAnsi="Calibri"/>
                <w:sz w:val="22"/>
                <w:szCs w:val="22"/>
                <w:u w:val="single"/>
                <w:lang w:val="zh-CN"/>
              </w:rPr>
              <w:t xml:space="preserve"> </w:t>
            </w:r>
            <w:r>
              <w:rPr>
                <w:rFonts w:hint="eastAsia" w:ascii="Calibri" w:hAnsi="Calibri"/>
                <w:sz w:val="22"/>
                <w:szCs w:val="22"/>
                <w:lang w:val="zh-CN"/>
              </w:rPr>
              <w:t>分</w:t>
            </w:r>
          </w:p>
          <w:p>
            <w:pPr>
              <w:pStyle w:val="14"/>
              <w:keepNext w:val="0"/>
              <w:keepLines w:val="0"/>
              <w:suppressLineNumbers w:val="0"/>
              <w:spacing w:before="0" w:beforeAutospacing="0" w:after="0" w:afterAutospacing="0" w:line="360" w:lineRule="auto"/>
              <w:ind w:right="97"/>
              <w:rPr>
                <w:rFonts w:hint="eastAsia" w:ascii="Calibri" w:hAnsi="Calibri"/>
                <w:sz w:val="22"/>
                <w:szCs w:val="22"/>
                <w:lang w:val="zh-CN"/>
              </w:rPr>
            </w:pPr>
            <w:r>
              <w:rPr>
                <w:rFonts w:hint="eastAsia" w:ascii="Calibri" w:hAnsi="Calibri"/>
                <w:sz w:val="22"/>
                <w:szCs w:val="22"/>
                <w:lang w:val="zh-CN"/>
              </w:rPr>
              <w:t>（</w:t>
            </w:r>
            <w:r>
              <w:rPr>
                <w:rFonts w:hint="default" w:ascii="Calibri" w:hAnsi="Calibri"/>
                <w:sz w:val="22"/>
                <w:szCs w:val="22"/>
                <w:lang w:val="zh-CN"/>
              </w:rPr>
              <w:t>2</w:t>
            </w:r>
            <w:r>
              <w:rPr>
                <w:rFonts w:hint="eastAsia" w:ascii="Calibri" w:hAnsi="Calibri"/>
                <w:sz w:val="22"/>
                <w:szCs w:val="22"/>
                <w:lang w:val="zh-CN"/>
              </w:rPr>
              <w:t>）技术部分：</w:t>
            </w:r>
            <w:r>
              <w:rPr>
                <w:rFonts w:hint="default" w:ascii="Calibri" w:hAnsi="Calibri"/>
                <w:sz w:val="22"/>
                <w:szCs w:val="22"/>
                <w:u w:val="single"/>
                <w:lang w:val="zh-CN"/>
              </w:rPr>
              <w:t xml:space="preserve"> </w:t>
            </w:r>
            <w:r>
              <w:rPr>
                <w:rFonts w:hint="eastAsia"/>
                <w:sz w:val="22"/>
                <w:szCs w:val="22"/>
                <w:u w:val="single"/>
                <w:lang w:val="en-US" w:eastAsia="zh-CN"/>
              </w:rPr>
              <w:t>20</w:t>
            </w:r>
            <w:r>
              <w:rPr>
                <w:rFonts w:hint="default" w:ascii="Calibri" w:hAnsi="Calibri"/>
                <w:sz w:val="22"/>
                <w:szCs w:val="22"/>
                <w:u w:val="single"/>
                <w:lang w:val="zh-CN"/>
              </w:rPr>
              <w:t xml:space="preserve"> </w:t>
            </w:r>
            <w:r>
              <w:rPr>
                <w:rFonts w:hint="eastAsia" w:ascii="Calibri" w:hAnsi="Calibri"/>
                <w:sz w:val="22"/>
                <w:szCs w:val="22"/>
                <w:lang w:val="zh-CN"/>
              </w:rPr>
              <w:t>分</w:t>
            </w:r>
          </w:p>
          <w:p>
            <w:pPr>
              <w:pStyle w:val="14"/>
              <w:keepNext w:val="0"/>
              <w:keepLines w:val="0"/>
              <w:suppressLineNumbers w:val="0"/>
              <w:spacing w:before="0" w:beforeAutospacing="0" w:after="0" w:afterAutospacing="0" w:line="360" w:lineRule="auto"/>
              <w:ind w:right="97"/>
            </w:pPr>
            <w:r>
              <w:rPr>
                <w:rFonts w:hint="eastAsia" w:ascii="Calibri" w:hAnsi="Calibri"/>
                <w:sz w:val="22"/>
                <w:szCs w:val="22"/>
                <w:lang w:val="zh-CN"/>
              </w:rPr>
              <w:t>（3）商务部分：</w:t>
            </w:r>
            <w:r>
              <w:rPr>
                <w:rFonts w:hint="default" w:ascii="Calibri" w:hAnsi="Calibri"/>
                <w:sz w:val="22"/>
                <w:szCs w:val="22"/>
                <w:u w:val="single"/>
                <w:lang w:val="zh-CN"/>
              </w:rPr>
              <w:t xml:space="preserve"> </w:t>
            </w:r>
            <w:r>
              <w:rPr>
                <w:rFonts w:hint="eastAsia"/>
                <w:sz w:val="22"/>
                <w:szCs w:val="22"/>
                <w:u w:val="single"/>
                <w:lang w:val="en-US" w:eastAsia="zh-CN"/>
              </w:rPr>
              <w:t>30</w:t>
            </w:r>
            <w:r>
              <w:rPr>
                <w:rFonts w:hint="default" w:ascii="Calibri" w:hAnsi="Calibri"/>
                <w:sz w:val="22"/>
                <w:szCs w:val="22"/>
                <w:u w:val="single"/>
                <w:lang w:val="zh-CN"/>
              </w:rPr>
              <w:t xml:space="preserve"> </w:t>
            </w:r>
            <w:r>
              <w:rPr>
                <w:rFonts w:hint="eastAsia" w:ascii="Calibri" w:hAnsi="Calibri"/>
                <w:sz w:val="22"/>
                <w:szCs w:val="22"/>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73" w:hRule="atLeast"/>
        </w:trPr>
        <w:tc>
          <w:tcPr>
            <w:tcW w:w="966" w:type="dxa"/>
            <w:vAlign w:val="center"/>
          </w:tcPr>
          <w:p>
            <w:pPr>
              <w:spacing w:line="300" w:lineRule="exact"/>
              <w:jc w:val="center"/>
              <w:rPr>
                <w:color w:val="auto"/>
                <w:szCs w:val="21"/>
              </w:rPr>
            </w:pPr>
            <w:r>
              <w:rPr>
                <w:rFonts w:hint="eastAsia"/>
                <w:color w:val="auto"/>
                <w:szCs w:val="21"/>
              </w:rPr>
              <w:t>2.1.1</w:t>
            </w:r>
          </w:p>
        </w:tc>
        <w:tc>
          <w:tcPr>
            <w:tcW w:w="1205" w:type="dxa"/>
            <w:vAlign w:val="center"/>
          </w:tcPr>
          <w:p>
            <w:pPr>
              <w:spacing w:line="300" w:lineRule="exact"/>
              <w:jc w:val="center"/>
              <w:rPr>
                <w:color w:val="auto"/>
                <w:szCs w:val="22"/>
              </w:rPr>
            </w:pPr>
            <w:r>
              <w:rPr>
                <w:rFonts w:hint="eastAsia"/>
                <w:color w:val="auto"/>
                <w:szCs w:val="22"/>
              </w:rPr>
              <w:t>竞标报价</w:t>
            </w:r>
            <w:r>
              <w:rPr>
                <w:rFonts w:hint="eastAsia"/>
                <w:color w:val="auto"/>
                <w:szCs w:val="22"/>
                <w:lang w:val="en-US" w:eastAsia="zh-CN"/>
              </w:rPr>
              <w:t>文件</w:t>
            </w:r>
          </w:p>
          <w:p>
            <w:pPr>
              <w:spacing w:line="300" w:lineRule="exact"/>
              <w:jc w:val="center"/>
              <w:rPr>
                <w:color w:val="auto"/>
                <w:szCs w:val="21"/>
              </w:rPr>
            </w:pPr>
            <w:r>
              <w:rPr>
                <w:rFonts w:hint="eastAsia"/>
                <w:color w:val="auto"/>
                <w:szCs w:val="22"/>
              </w:rPr>
              <w:t>（</w:t>
            </w:r>
            <w:r>
              <w:rPr>
                <w:rFonts w:hint="eastAsia"/>
                <w:color w:val="auto"/>
                <w:szCs w:val="22"/>
                <w:lang w:val="en-US" w:eastAsia="zh-CN"/>
              </w:rPr>
              <w:t>5</w:t>
            </w:r>
            <w:r>
              <w:rPr>
                <w:rFonts w:hint="eastAsia"/>
                <w:color w:val="auto"/>
                <w:szCs w:val="22"/>
              </w:rPr>
              <w:t>0分）</w:t>
            </w:r>
          </w:p>
        </w:tc>
        <w:tc>
          <w:tcPr>
            <w:tcW w:w="7045" w:type="dxa"/>
            <w:gridSpan w:val="4"/>
            <w:vAlign w:val="top"/>
          </w:tcPr>
          <w:p>
            <w:pPr>
              <w:pStyle w:val="5"/>
              <w:spacing w:line="360" w:lineRule="auto"/>
              <w:rPr>
                <w:rFonts w:hint="eastAsia"/>
              </w:rPr>
            </w:pPr>
            <w:r>
              <w:rPr>
                <w:rFonts w:hint="eastAsia"/>
              </w:rPr>
              <w:t>竞标价的确定：竞标价＝报价函文字报价</w:t>
            </w:r>
          </w:p>
          <w:p>
            <w:pPr>
              <w:pStyle w:val="5"/>
              <w:spacing w:line="360" w:lineRule="auto"/>
              <w:rPr>
                <w:rFonts w:hint="eastAsia"/>
              </w:rPr>
            </w:pPr>
            <w:r>
              <w:rPr>
                <w:rFonts w:hint="eastAsia"/>
              </w:rPr>
              <w:t>A、</w:t>
            </w:r>
            <w:r>
              <w:rPr>
                <w:rFonts w:hint="eastAsia"/>
                <w:lang w:eastAsia="zh-CN"/>
              </w:rPr>
              <w:t>G65包茂高速K1759+500-K1760+500等11处重点管控路段交通安全设施综合提升工程设计项目</w:t>
            </w:r>
            <w:r>
              <w:rPr>
                <w:rFonts w:hint="eastAsia"/>
              </w:rPr>
              <w:t>最高限价</w:t>
            </w:r>
            <w:r>
              <w:rPr>
                <w:rFonts w:hint="eastAsia"/>
                <w:lang w:eastAsia="zh-CN"/>
              </w:rPr>
              <w:t>：</w:t>
            </w:r>
            <w:r>
              <w:rPr>
                <w:rFonts w:hint="eastAsia"/>
                <w:lang w:val="en-US" w:eastAsia="zh-CN"/>
              </w:rPr>
              <w:t>40.44万元，</w:t>
            </w:r>
            <w:r>
              <w:rPr>
                <w:rFonts w:hint="eastAsia" w:asciiTheme="majorEastAsia" w:hAnsiTheme="majorEastAsia" w:eastAsiaTheme="majorEastAsia" w:cstheme="majorEastAsia"/>
                <w:b w:val="0"/>
                <w:i w:val="0"/>
                <w:caps w:val="0"/>
                <w:spacing w:val="0"/>
                <w:w w:val="100"/>
                <w:sz w:val="24"/>
                <w:highlight w:val="none"/>
                <w:lang w:val="en-US" w:eastAsia="zh-CN"/>
              </w:rPr>
              <w:t>上限价费率3.3%</w:t>
            </w:r>
            <w:r>
              <w:rPr>
                <w:rFonts w:hint="eastAsia"/>
                <w:lang w:val="en-US" w:eastAsia="zh-CN"/>
              </w:rPr>
              <w:t>。</w:t>
            </w:r>
          </w:p>
          <w:p>
            <w:pPr>
              <w:pStyle w:val="5"/>
              <w:spacing w:line="360" w:lineRule="auto"/>
              <w:rPr>
                <w:rFonts w:hint="eastAsia"/>
              </w:rPr>
            </w:pPr>
            <w:r>
              <w:rPr>
                <w:rFonts w:hint="eastAsia"/>
              </w:rPr>
              <w:t>B、竞标价</w:t>
            </w:r>
            <w:r>
              <w:t>得分的计算程序：</w:t>
            </w:r>
          </w:p>
          <w:p>
            <w:pPr>
              <w:pStyle w:val="5"/>
              <w:spacing w:line="360" w:lineRule="auto"/>
              <w:rPr>
                <w:rFonts w:hint="eastAsia"/>
              </w:rPr>
            </w:pPr>
            <w:r>
              <w:rPr>
                <w:rFonts w:hint="eastAsia"/>
              </w:rPr>
              <w:t>（1）有效竞标价的确定：不大于最高投标限价A的竞标报价，高于最高投标限价的竞标报价按否决处理，不予进一步评审，并不参与评标基准价的计算。</w:t>
            </w:r>
          </w:p>
          <w:p>
            <w:pPr>
              <w:spacing w:line="360" w:lineRule="auto"/>
              <w:rPr>
                <w:rFonts w:hint="eastAsia"/>
              </w:rPr>
            </w:pPr>
            <w:r>
              <w:rPr>
                <w:rFonts w:hint="eastAsia"/>
              </w:rPr>
              <w:t>（2</w:t>
            </w:r>
            <w:r>
              <w:t>）</w:t>
            </w:r>
            <w:r>
              <w:rPr>
                <w:rFonts w:hint="eastAsia"/>
              </w:rPr>
              <w:t>投标基准价</w:t>
            </w:r>
            <w:r>
              <w:t>（</w:t>
            </w:r>
            <w:r>
              <w:rPr>
                <w:rFonts w:hint="eastAsia"/>
              </w:rPr>
              <w:t>D</w:t>
            </w:r>
            <w:r>
              <w:t>）的计算：</w:t>
            </w:r>
          </w:p>
          <w:p>
            <w:pPr>
              <w:pStyle w:val="14"/>
              <w:keepNext w:val="0"/>
              <w:keepLines w:val="0"/>
              <w:suppressLineNumbers w:val="0"/>
              <w:spacing w:before="0" w:beforeAutospacing="0" w:after="0" w:afterAutospacing="0" w:line="360" w:lineRule="auto"/>
              <w:ind w:left="104" w:right="97" w:firstLine="420" w:firstLineChars="200"/>
              <w:rPr>
                <w:rFonts w:hint="eastAsia"/>
                <w:lang w:val="zh-CN"/>
              </w:rPr>
            </w:pPr>
            <w:r>
              <w:rPr>
                <w:rFonts w:hint="eastAsia"/>
                <w:lang w:val="zh-CN"/>
              </w:rPr>
              <w:t>投标基准价=最高投标限价*60%+有效报价中去掉1/6（不能整除的按小数点前整数取整，不足6家报价则不去掉）的最低价和相同家数的最高价后的算术平均值*40%。</w:t>
            </w:r>
          </w:p>
          <w:p>
            <w:pPr>
              <w:spacing w:line="360" w:lineRule="auto"/>
            </w:pPr>
            <w:r>
              <w:t>（</w:t>
            </w:r>
            <w:r>
              <w:rPr>
                <w:rFonts w:hint="eastAsia"/>
              </w:rPr>
              <w:t>3</w:t>
            </w:r>
            <w:r>
              <w:t>）当投标人</w:t>
            </w:r>
            <w:r>
              <w:rPr>
                <w:rFonts w:hint="eastAsia"/>
              </w:rPr>
              <w:t>竞标价</w:t>
            </w:r>
            <w:r>
              <w:t>等于D时得满分（</w:t>
            </w:r>
            <w:r>
              <w:rPr>
                <w:rFonts w:hint="eastAsia"/>
                <w:lang w:val="en-US" w:eastAsia="zh-CN"/>
              </w:rPr>
              <w:t>5</w:t>
            </w:r>
            <w:r>
              <w:rPr>
                <w:rFonts w:hint="eastAsia"/>
              </w:rPr>
              <w:t>0</w:t>
            </w:r>
            <w:r>
              <w:t>分），每高于D一个百分点扣</w:t>
            </w:r>
            <w:r>
              <w:rPr>
                <w:rFonts w:hint="eastAsia"/>
              </w:rPr>
              <w:t>0.2</w:t>
            </w:r>
            <w:r>
              <w:t>分，每低于D一个百分点扣</w:t>
            </w:r>
            <w:r>
              <w:rPr>
                <w:rFonts w:hint="eastAsia"/>
              </w:rPr>
              <w:t>0.1</w:t>
            </w:r>
            <w:r>
              <w:t>分，中间值按比例内插。</w:t>
            </w:r>
          </w:p>
          <w:p>
            <w:pPr>
              <w:spacing w:line="360" w:lineRule="auto"/>
              <w:ind w:firstLine="480"/>
            </w:pPr>
            <w:r>
              <w:rPr>
                <w:rFonts w:hint="eastAsia"/>
              </w:rPr>
              <w:t>竞标价</w:t>
            </w:r>
            <w:r>
              <w:t>得分用</w:t>
            </w:r>
            <w:r>
              <w:rPr>
                <w:rFonts w:hint="eastAsia"/>
              </w:rPr>
              <w:t>公</w:t>
            </w:r>
            <w:r>
              <w:t>式表示如下：</w:t>
            </w:r>
          </w:p>
          <w:p>
            <w:pPr>
              <w:spacing w:line="360" w:lineRule="auto"/>
              <w:ind w:firstLine="480"/>
              <w:jc w:val="center"/>
            </w:pPr>
            <w:r>
              <w:object>
                <v:shape id="_x0000_i1025" o:spt="75" type="#_x0000_t75" style="height:31.95pt;width:139.95pt;" o:ole="t" fillcolor="#595959" filled="f" stroked="f" coordsize="21600,21600">
                  <v:path/>
                  <v:fill on="f" focussize="0,0"/>
                  <v:stroke on="f"/>
                  <v:imagedata r:id="rId10" o:title=""/>
                  <o:lock v:ext="edit" grouping="f" rotation="f" text="f" aspectratio="t"/>
                  <w10:wrap type="none"/>
                  <w10:anchorlock/>
                </v:shape>
                <o:OLEObject Type="Embed" ProgID="Equation.3" ShapeID="_x0000_i1025" DrawAspect="Content" ObjectID="_1468075725" r:id="rId9">
                  <o:LockedField>false</o:LockedField>
                </o:OLEObject>
              </w:object>
            </w:r>
          </w:p>
          <w:p>
            <w:pPr>
              <w:spacing w:line="360" w:lineRule="auto"/>
              <w:ind w:firstLine="480"/>
            </w:pPr>
            <w:r>
              <w:t>式中：F1=</w:t>
            </w:r>
            <w:r>
              <w:rPr>
                <w:rFonts w:hint="eastAsia"/>
              </w:rPr>
              <w:t>竞标价</w:t>
            </w:r>
            <w:r>
              <w:t>得分；</w:t>
            </w:r>
          </w:p>
          <w:p>
            <w:pPr>
              <w:tabs>
                <w:tab w:val="left" w:pos="5060"/>
              </w:tabs>
              <w:spacing w:line="360" w:lineRule="auto"/>
              <w:ind w:firstLine="480"/>
            </w:pPr>
            <w:r>
              <w:t>F=</w:t>
            </w:r>
            <w:r>
              <w:rPr>
                <w:rFonts w:hint="eastAsia"/>
                <w:lang w:val="en-US" w:eastAsia="zh-CN"/>
              </w:rPr>
              <w:t>5</w:t>
            </w:r>
            <w:r>
              <w:rPr>
                <w:rFonts w:hint="eastAsia"/>
              </w:rPr>
              <w:t>0</w:t>
            </w:r>
            <w:r>
              <w:t>；</w:t>
            </w:r>
          </w:p>
          <w:p>
            <w:pPr>
              <w:spacing w:line="360" w:lineRule="auto"/>
              <w:ind w:firstLine="480"/>
            </w:pPr>
            <w:r>
              <w:t>D1=投标人的</w:t>
            </w:r>
            <w:r>
              <w:rPr>
                <w:rFonts w:hint="eastAsia"/>
              </w:rPr>
              <w:t>竞标价</w:t>
            </w:r>
            <w:r>
              <w:t>；</w:t>
            </w:r>
          </w:p>
          <w:p>
            <w:pPr>
              <w:spacing w:line="360" w:lineRule="auto"/>
              <w:ind w:firstLine="480"/>
            </w:pPr>
            <w:r>
              <w:t>D=评标基准价。</w:t>
            </w:r>
          </w:p>
          <w:p>
            <w:pPr>
              <w:tabs>
                <w:tab w:val="left" w:pos="5920"/>
              </w:tabs>
              <w:snapToGrid w:val="0"/>
              <w:spacing w:line="360" w:lineRule="auto"/>
              <w:ind w:firstLine="480"/>
            </w:pPr>
            <w:r>
              <w:t>若D1</w:t>
            </w:r>
            <w:r>
              <w:rPr/>
              <w:sym w:font="Symbol" w:char="F0B3"/>
            </w:r>
            <w:r>
              <w:t>D，则E=</w:t>
            </w:r>
            <w:r>
              <w:rPr>
                <w:rFonts w:hint="eastAsia"/>
              </w:rPr>
              <w:t>0.2</w:t>
            </w:r>
            <w:r>
              <w:t>；若D1&lt;D，则E=</w:t>
            </w:r>
            <w:r>
              <w:rPr>
                <w:rFonts w:hint="eastAsia"/>
              </w:rPr>
              <w:t>0.1</w:t>
            </w:r>
            <w:r>
              <w:t>。</w:t>
            </w:r>
          </w:p>
          <w:p>
            <w:pPr>
              <w:pStyle w:val="2"/>
              <w:tabs>
                <w:tab w:val="right" w:leader="dot" w:pos="8805"/>
              </w:tabs>
            </w:pPr>
            <w:r>
              <w:rPr>
                <w:rFonts w:hint="eastAsia"/>
              </w:rPr>
              <w:t>注：计算时均需保留小数点后两位，小数点后第三位“四舍五入”。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spacing w:line="300" w:lineRule="exact"/>
              <w:jc w:val="center"/>
              <w:rPr>
                <w:rFonts w:ascii="宋体" w:hAnsi="宋体"/>
                <w:b/>
                <w:color w:val="auto"/>
                <w:szCs w:val="21"/>
              </w:rPr>
            </w:pPr>
            <w:r>
              <w:rPr>
                <w:rFonts w:hint="eastAsia" w:ascii="宋体" w:hAnsi="宋体"/>
                <w:b/>
                <w:color w:val="auto"/>
                <w:szCs w:val="21"/>
              </w:rPr>
              <w:t>条款号</w:t>
            </w:r>
          </w:p>
        </w:tc>
        <w:tc>
          <w:tcPr>
            <w:tcW w:w="3837" w:type="dxa"/>
            <w:gridSpan w:val="2"/>
            <w:vAlign w:val="center"/>
          </w:tcPr>
          <w:p>
            <w:pPr>
              <w:spacing w:line="300" w:lineRule="exact"/>
              <w:ind w:firstLine="316" w:firstLineChars="150"/>
              <w:jc w:val="center"/>
              <w:rPr>
                <w:rFonts w:ascii="宋体" w:hAnsi="宋体"/>
                <w:b/>
                <w:color w:val="auto"/>
                <w:szCs w:val="21"/>
              </w:rPr>
            </w:pPr>
            <w:r>
              <w:rPr>
                <w:rFonts w:hint="eastAsia" w:ascii="宋体" w:hAnsi="宋体"/>
                <w:b/>
                <w:color w:val="auto"/>
                <w:szCs w:val="21"/>
              </w:rPr>
              <w:t>评分因素</w:t>
            </w:r>
          </w:p>
        </w:tc>
        <w:tc>
          <w:tcPr>
            <w:tcW w:w="1276" w:type="dxa"/>
            <w:vAlign w:val="center"/>
          </w:tcPr>
          <w:p>
            <w:pPr>
              <w:spacing w:line="300" w:lineRule="exact"/>
              <w:jc w:val="center"/>
              <w:rPr>
                <w:rFonts w:hint="eastAsia" w:ascii="宋体" w:hAnsi="宋体" w:eastAsia="宋体"/>
                <w:b/>
                <w:color w:val="auto"/>
                <w:szCs w:val="21"/>
                <w:lang w:eastAsia="zh-CN"/>
              </w:rPr>
            </w:pPr>
            <w:r>
              <w:rPr>
                <w:rFonts w:hint="eastAsia" w:ascii="宋体" w:hAnsi="宋体"/>
                <w:b/>
                <w:color w:val="auto"/>
                <w:szCs w:val="21"/>
                <w:lang w:val="en-US" w:eastAsia="zh-CN"/>
              </w:rPr>
              <w:t>分值</w:t>
            </w:r>
          </w:p>
        </w:tc>
        <w:tc>
          <w:tcPr>
            <w:tcW w:w="1932" w:type="dxa"/>
            <w:vAlign w:val="center"/>
          </w:tcPr>
          <w:p>
            <w:pPr>
              <w:spacing w:line="300" w:lineRule="exact"/>
              <w:jc w:val="center"/>
              <w:rPr>
                <w:rFonts w:ascii="宋体" w:hAnsi="宋体"/>
                <w:b/>
                <w:color w:val="auto"/>
                <w:szCs w:val="21"/>
              </w:rPr>
            </w:pPr>
            <w:r>
              <w:rPr>
                <w:rFonts w:hint="eastAsia" w:ascii="宋体" w:hAnsi="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restart"/>
            <w:vAlign w:val="center"/>
          </w:tcPr>
          <w:p>
            <w:pPr>
              <w:spacing w:line="300" w:lineRule="exact"/>
              <w:ind w:firstLine="29" w:firstLineChars="14"/>
              <w:jc w:val="center"/>
              <w:rPr>
                <w:color w:val="auto"/>
                <w:szCs w:val="21"/>
              </w:rPr>
            </w:pPr>
            <w:r>
              <w:rPr>
                <w:rFonts w:hint="eastAsia"/>
                <w:color w:val="auto"/>
                <w:szCs w:val="21"/>
              </w:rPr>
              <w:t>2.1.2</w:t>
            </w:r>
          </w:p>
        </w:tc>
        <w:tc>
          <w:tcPr>
            <w:tcW w:w="1205" w:type="dxa"/>
            <w:vMerge w:val="restart"/>
            <w:vAlign w:val="center"/>
          </w:tcPr>
          <w:p>
            <w:pPr>
              <w:spacing w:line="300" w:lineRule="exact"/>
              <w:jc w:val="center"/>
              <w:rPr>
                <w:color w:val="auto"/>
                <w:szCs w:val="22"/>
              </w:rPr>
            </w:pPr>
            <w:r>
              <w:rPr>
                <w:rFonts w:hint="eastAsia"/>
                <w:color w:val="auto"/>
                <w:szCs w:val="22"/>
              </w:rPr>
              <w:t>技术</w:t>
            </w:r>
            <w:r>
              <w:rPr>
                <w:rFonts w:hint="eastAsia"/>
                <w:color w:val="auto"/>
                <w:szCs w:val="22"/>
                <w:lang w:val="en-US" w:eastAsia="zh-CN"/>
              </w:rPr>
              <w:t>文件</w:t>
            </w:r>
            <w:r>
              <w:rPr>
                <w:rFonts w:hint="eastAsia"/>
                <w:color w:val="auto"/>
                <w:szCs w:val="22"/>
              </w:rPr>
              <w:t>（</w:t>
            </w:r>
            <w:r>
              <w:rPr>
                <w:rFonts w:hint="eastAsia"/>
                <w:color w:val="auto"/>
                <w:szCs w:val="22"/>
                <w:lang w:val="en-US" w:eastAsia="zh-CN"/>
              </w:rPr>
              <w:t>2</w:t>
            </w:r>
            <w:r>
              <w:rPr>
                <w:rFonts w:hint="eastAsia"/>
                <w:color w:val="auto"/>
                <w:szCs w:val="22"/>
              </w:rPr>
              <w:t>0分）</w:t>
            </w:r>
          </w:p>
        </w:tc>
        <w:tc>
          <w:tcPr>
            <w:tcW w:w="3837" w:type="dxa"/>
            <w:gridSpan w:val="2"/>
            <w:vAlign w:val="center"/>
          </w:tcPr>
          <w:p>
            <w:pPr>
              <w:spacing w:line="300" w:lineRule="exact"/>
              <w:rPr>
                <w:rFonts w:hint="eastAsia"/>
              </w:rPr>
            </w:pPr>
            <w:r>
              <w:rPr>
                <w:rFonts w:hint="eastAsia"/>
              </w:rPr>
              <w:t>a.对项目的理解和总体设计思路</w:t>
            </w:r>
          </w:p>
          <w:p>
            <w:pPr>
              <w:spacing w:line="300" w:lineRule="exact"/>
            </w:pPr>
            <w:r>
              <w:rPr>
                <w:rFonts w:hint="eastAsia"/>
              </w:rPr>
              <w:t>本项目的目标定位和总体思路合理、可行（</w:t>
            </w:r>
            <w:r>
              <w:rPr>
                <w:rFonts w:hint="eastAsia"/>
                <w:lang w:val="en-US" w:eastAsia="zh-CN"/>
              </w:rPr>
              <w:t>4</w:t>
            </w:r>
            <w:r>
              <w:rPr>
                <w:rFonts w:hint="eastAsia"/>
              </w:rPr>
              <w:t>分）。</w:t>
            </w:r>
          </w:p>
        </w:tc>
        <w:tc>
          <w:tcPr>
            <w:tcW w:w="1276" w:type="dxa"/>
            <w:vAlign w:val="center"/>
          </w:tcPr>
          <w:p>
            <w:pPr>
              <w:spacing w:line="300" w:lineRule="exact"/>
              <w:jc w:val="center"/>
              <w:rPr>
                <w:color w:val="auto"/>
                <w:szCs w:val="22"/>
              </w:rPr>
            </w:pPr>
            <w:r>
              <w:rPr>
                <w:rFonts w:hint="eastAsia" w:ascii="宋体" w:hAnsi="宋体"/>
                <w:color w:val="auto"/>
                <w:szCs w:val="21"/>
                <w:lang w:val="en-US" w:eastAsia="zh-CN"/>
              </w:rPr>
              <w:t>4</w:t>
            </w:r>
            <w:r>
              <w:rPr>
                <w:rFonts w:hint="eastAsia" w:ascii="宋体" w:hAnsi="宋体"/>
                <w:color w:val="auto"/>
                <w:szCs w:val="21"/>
              </w:rPr>
              <w:t>分</w:t>
            </w:r>
          </w:p>
        </w:tc>
        <w:tc>
          <w:tcPr>
            <w:tcW w:w="1932" w:type="dxa"/>
            <w:vMerge w:val="restart"/>
            <w:vAlign w:val="center"/>
          </w:tcPr>
          <w:p>
            <w:pPr>
              <w:spacing w:line="300" w:lineRule="exact"/>
              <w:rPr>
                <w:color w:val="auto"/>
                <w:sz w:val="18"/>
                <w:szCs w:val="18"/>
              </w:rPr>
            </w:pPr>
            <w:r>
              <w:rPr>
                <w:rFonts w:hint="eastAsia"/>
                <w:color w:val="auto"/>
                <w:sz w:val="18"/>
                <w:szCs w:val="18"/>
              </w:rPr>
              <w:t>评标委员会全体成员对技术部分进行评审，比选申请人技术部分得分应为所有评委打分的算术平均值。</w:t>
            </w:r>
          </w:p>
          <w:p>
            <w:pPr>
              <w:spacing w:line="300" w:lineRule="exact"/>
              <w:rPr>
                <w:color w:val="auto"/>
                <w:szCs w:val="22"/>
              </w:rPr>
            </w:pPr>
            <w:r>
              <w:rPr>
                <w:rFonts w:hint="eastAsia"/>
                <w:color w:val="auto"/>
                <w:sz w:val="18"/>
                <w:szCs w:val="18"/>
              </w:rPr>
              <w:t>注：对技术部分的评审因素，评标专家根据比选申请人技术文件编写的情况自行打分。若比选申请人技术文件中无对应的评审因素内容，则该项评审因素可以给予0分。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0" w:hRule="atLeast"/>
        </w:trPr>
        <w:tc>
          <w:tcPr>
            <w:tcW w:w="966" w:type="dxa"/>
            <w:vMerge w:val="continue"/>
            <w:vAlign w:val="center"/>
          </w:tcPr>
          <w:p>
            <w:pPr>
              <w:spacing w:line="300" w:lineRule="exact"/>
              <w:ind w:firstLine="29" w:firstLineChars="14"/>
              <w:jc w:val="center"/>
              <w:rPr>
                <w:color w:val="auto"/>
                <w:szCs w:val="21"/>
              </w:rPr>
            </w:pPr>
          </w:p>
        </w:tc>
        <w:tc>
          <w:tcPr>
            <w:tcW w:w="1205" w:type="dxa"/>
            <w:vMerge w:val="continue"/>
            <w:vAlign w:val="center"/>
          </w:tcPr>
          <w:p>
            <w:pPr>
              <w:spacing w:line="300" w:lineRule="exact"/>
              <w:jc w:val="center"/>
              <w:rPr>
                <w:color w:val="auto"/>
                <w:szCs w:val="22"/>
              </w:rPr>
            </w:pPr>
          </w:p>
        </w:tc>
        <w:tc>
          <w:tcPr>
            <w:tcW w:w="3837" w:type="dxa"/>
            <w:gridSpan w:val="2"/>
            <w:vAlign w:val="center"/>
          </w:tcPr>
          <w:p>
            <w:pPr>
              <w:spacing w:line="300" w:lineRule="exact"/>
              <w:rPr>
                <w:rFonts w:hint="eastAsia"/>
                <w:color w:val="auto"/>
                <w:szCs w:val="22"/>
              </w:rPr>
            </w:pPr>
            <w:r>
              <w:rPr>
                <w:rFonts w:hint="eastAsia"/>
                <w:color w:val="auto"/>
                <w:szCs w:val="22"/>
              </w:rPr>
              <w:t>b．项目的重点及难点、关键技术问题的认识、对策措施及其相应的设计方案</w:t>
            </w:r>
          </w:p>
          <w:p>
            <w:pPr>
              <w:spacing w:line="300" w:lineRule="exact"/>
              <w:rPr>
                <w:rFonts w:hint="eastAsia"/>
                <w:color w:val="auto"/>
                <w:szCs w:val="22"/>
              </w:rPr>
            </w:pPr>
            <w:r>
              <w:rPr>
                <w:rFonts w:hint="eastAsia"/>
                <w:color w:val="auto"/>
                <w:szCs w:val="22"/>
              </w:rPr>
              <w:t>①对项目可能存在的主要问题进行分析、评判，提出经济合理、技术可行的设计方案（</w:t>
            </w:r>
            <w:r>
              <w:rPr>
                <w:rFonts w:hint="eastAsia"/>
                <w:color w:val="auto"/>
                <w:szCs w:val="22"/>
                <w:lang w:val="en-US" w:eastAsia="zh-CN"/>
              </w:rPr>
              <w:t>6</w:t>
            </w:r>
            <w:r>
              <w:rPr>
                <w:rFonts w:hint="eastAsia"/>
                <w:color w:val="auto"/>
                <w:szCs w:val="22"/>
              </w:rPr>
              <w:t>分）；</w:t>
            </w:r>
          </w:p>
          <w:p>
            <w:pPr>
              <w:spacing w:line="300" w:lineRule="exact"/>
              <w:rPr>
                <w:rFonts w:hint="eastAsia"/>
                <w:color w:val="auto"/>
                <w:szCs w:val="22"/>
              </w:rPr>
            </w:pPr>
            <w:r>
              <w:rPr>
                <w:rFonts w:hint="eastAsia"/>
                <w:color w:val="auto"/>
                <w:szCs w:val="22"/>
              </w:rPr>
              <w:t>②本项目对既有设施的合理利用（</w:t>
            </w:r>
            <w:r>
              <w:rPr>
                <w:rFonts w:hint="eastAsia"/>
                <w:color w:val="auto"/>
                <w:szCs w:val="22"/>
                <w:lang w:val="en-US" w:eastAsia="zh-CN"/>
              </w:rPr>
              <w:t>2</w:t>
            </w:r>
            <w:r>
              <w:rPr>
                <w:rFonts w:hint="eastAsia"/>
                <w:color w:val="auto"/>
                <w:szCs w:val="22"/>
              </w:rPr>
              <w:t>分）；</w:t>
            </w:r>
          </w:p>
          <w:p>
            <w:pPr>
              <w:spacing w:line="300" w:lineRule="exact"/>
              <w:rPr>
                <w:rFonts w:hint="eastAsia"/>
                <w:color w:val="auto"/>
                <w:szCs w:val="22"/>
              </w:rPr>
            </w:pPr>
            <w:r>
              <w:rPr>
                <w:rFonts w:hint="eastAsia"/>
                <w:color w:val="auto"/>
                <w:szCs w:val="22"/>
              </w:rPr>
              <w:t>③工程投资的控制措施（</w:t>
            </w:r>
            <w:r>
              <w:rPr>
                <w:rFonts w:hint="eastAsia"/>
                <w:color w:val="auto"/>
                <w:szCs w:val="22"/>
                <w:lang w:val="en-US" w:eastAsia="zh-CN"/>
              </w:rPr>
              <w:t>3</w:t>
            </w:r>
            <w:r>
              <w:rPr>
                <w:rFonts w:hint="eastAsia"/>
                <w:color w:val="auto"/>
                <w:szCs w:val="22"/>
              </w:rPr>
              <w:t>分）；</w:t>
            </w:r>
          </w:p>
          <w:p>
            <w:pPr>
              <w:spacing w:line="300" w:lineRule="exact"/>
              <w:rPr>
                <w:color w:val="auto"/>
                <w:szCs w:val="22"/>
              </w:rPr>
            </w:pPr>
            <w:r>
              <w:rPr>
                <w:rFonts w:hint="eastAsia"/>
                <w:color w:val="auto"/>
                <w:szCs w:val="22"/>
              </w:rPr>
              <w:t>④其他重点、难点的理解及解决方案（</w:t>
            </w:r>
            <w:r>
              <w:rPr>
                <w:rFonts w:hint="eastAsia"/>
                <w:color w:val="auto"/>
                <w:szCs w:val="22"/>
                <w:lang w:val="en-US" w:eastAsia="zh-CN"/>
              </w:rPr>
              <w:t>1</w:t>
            </w:r>
            <w:r>
              <w:rPr>
                <w:rFonts w:hint="eastAsia"/>
                <w:color w:val="auto"/>
                <w:szCs w:val="22"/>
              </w:rPr>
              <w:t>分）；</w:t>
            </w:r>
          </w:p>
        </w:tc>
        <w:tc>
          <w:tcPr>
            <w:tcW w:w="1276" w:type="dxa"/>
            <w:vAlign w:val="center"/>
          </w:tcPr>
          <w:p>
            <w:pPr>
              <w:spacing w:line="300" w:lineRule="exact"/>
              <w:jc w:val="center"/>
              <w:rPr>
                <w:color w:val="auto"/>
                <w:szCs w:val="22"/>
              </w:rPr>
            </w:pPr>
            <w:r>
              <w:rPr>
                <w:rFonts w:hint="eastAsia" w:ascii="宋体" w:hAnsi="宋体" w:cs="宋体"/>
                <w:bCs/>
                <w:color w:val="auto"/>
                <w:szCs w:val="21"/>
                <w:lang w:val="en-US" w:eastAsia="zh-CN"/>
              </w:rPr>
              <w:t>12</w:t>
            </w:r>
            <w:r>
              <w:rPr>
                <w:rFonts w:hint="eastAsia" w:ascii="宋体" w:hAnsi="宋体" w:cs="宋体"/>
                <w:bCs/>
                <w:color w:val="auto"/>
                <w:szCs w:val="21"/>
              </w:rPr>
              <w:t>分</w:t>
            </w:r>
          </w:p>
        </w:tc>
        <w:tc>
          <w:tcPr>
            <w:tcW w:w="1932" w:type="dxa"/>
            <w:vMerge w:val="continue"/>
            <w:vAlign w:val="center"/>
          </w:tcPr>
          <w:p>
            <w:pPr>
              <w:spacing w:line="300" w:lineRule="exact"/>
              <w:rPr>
                <w:rFonts w:ascii="宋体" w:hAnsi="宋体"/>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Merge w:val="continue"/>
            <w:vAlign w:val="center"/>
          </w:tcPr>
          <w:p>
            <w:pPr>
              <w:spacing w:line="300" w:lineRule="exact"/>
              <w:ind w:firstLine="29" w:firstLineChars="14"/>
              <w:jc w:val="center"/>
              <w:rPr>
                <w:color w:val="auto"/>
                <w:szCs w:val="21"/>
              </w:rPr>
            </w:pPr>
          </w:p>
        </w:tc>
        <w:tc>
          <w:tcPr>
            <w:tcW w:w="1205" w:type="dxa"/>
            <w:vMerge w:val="continue"/>
            <w:vAlign w:val="center"/>
          </w:tcPr>
          <w:p>
            <w:pPr>
              <w:spacing w:line="300" w:lineRule="exact"/>
              <w:jc w:val="center"/>
              <w:rPr>
                <w:color w:val="auto"/>
                <w:szCs w:val="22"/>
              </w:rPr>
            </w:pPr>
          </w:p>
        </w:tc>
        <w:tc>
          <w:tcPr>
            <w:tcW w:w="3837" w:type="dxa"/>
            <w:gridSpan w:val="2"/>
            <w:vAlign w:val="center"/>
          </w:tcPr>
          <w:p>
            <w:pPr>
              <w:spacing w:line="300" w:lineRule="exact"/>
              <w:rPr>
                <w:rFonts w:hint="eastAsia"/>
                <w:lang w:val="en-US" w:eastAsia="zh-CN"/>
              </w:rPr>
            </w:pPr>
            <w:r>
              <w:rPr>
                <w:rFonts w:hint="eastAsia"/>
                <w:lang w:val="en-US" w:eastAsia="zh-CN"/>
              </w:rPr>
              <w:t>c.后续服务承诺和措施。</w:t>
            </w:r>
          </w:p>
          <w:p>
            <w:pPr>
              <w:spacing w:line="300" w:lineRule="exact"/>
              <w:rPr>
                <w:rFonts w:hint="eastAsia"/>
                <w:color w:val="auto"/>
                <w:szCs w:val="22"/>
              </w:rPr>
            </w:pPr>
            <w:r>
              <w:rPr>
                <w:rFonts w:hint="eastAsia"/>
                <w:lang w:val="en-US" w:eastAsia="zh-CN"/>
              </w:rPr>
              <w:t>服务承诺全面细致、特点突出、措施细致、服务效率高（4分）</w:t>
            </w:r>
          </w:p>
        </w:tc>
        <w:tc>
          <w:tcPr>
            <w:tcW w:w="1276" w:type="dxa"/>
            <w:vAlign w:val="center"/>
          </w:tcPr>
          <w:p>
            <w:pPr>
              <w:spacing w:line="300" w:lineRule="exact"/>
              <w:jc w:val="center"/>
              <w:rPr>
                <w:rFonts w:hint="eastAsia" w:ascii="宋体" w:hAnsi="宋体" w:cs="宋体" w:eastAsiaTheme="minorEastAsia"/>
                <w:bCs/>
                <w:color w:val="auto"/>
                <w:szCs w:val="21"/>
                <w:lang w:val="en-US" w:eastAsia="zh-CN"/>
              </w:rPr>
            </w:pPr>
            <w:r>
              <w:rPr>
                <w:rFonts w:hint="eastAsia" w:ascii="宋体" w:hAnsi="宋体" w:cs="宋体"/>
                <w:bCs/>
                <w:color w:val="auto"/>
                <w:szCs w:val="21"/>
                <w:lang w:val="en-US" w:eastAsia="zh-CN"/>
              </w:rPr>
              <w:t>4分</w:t>
            </w:r>
          </w:p>
        </w:tc>
        <w:tc>
          <w:tcPr>
            <w:tcW w:w="1932" w:type="dxa"/>
            <w:vMerge w:val="continue"/>
            <w:vAlign w:val="center"/>
          </w:tcPr>
          <w:p>
            <w:pPr>
              <w:spacing w:line="300" w:lineRule="exact"/>
              <w:rPr>
                <w:rFonts w:ascii="宋体" w:hAnsi="宋体"/>
                <w:color w:val="auto"/>
                <w:sz w:val="18"/>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966" w:type="dxa"/>
            <w:vAlign w:val="center"/>
          </w:tcPr>
          <w:p>
            <w:pPr>
              <w:numPr>
                <w:ilvl w:val="0"/>
                <w:numId w:val="0"/>
              </w:numPr>
              <w:spacing w:line="300" w:lineRule="exact"/>
              <w:jc w:val="center"/>
              <w:rPr>
                <w:rFonts w:hint="default" w:eastAsiaTheme="minorEastAsia"/>
                <w:lang w:val="en-US" w:eastAsia="zh-CN"/>
              </w:rPr>
            </w:pPr>
            <w:r>
              <w:rPr>
                <w:rFonts w:hint="eastAsia"/>
                <w:lang w:val="en-US" w:eastAsia="zh-CN"/>
              </w:rPr>
              <w:t>2.1.3</w:t>
            </w:r>
          </w:p>
        </w:tc>
        <w:tc>
          <w:tcPr>
            <w:tcW w:w="1205" w:type="dxa"/>
            <w:vAlign w:val="center"/>
          </w:tcPr>
          <w:p>
            <w:pPr>
              <w:numPr>
                <w:ilvl w:val="0"/>
                <w:numId w:val="0"/>
              </w:numPr>
              <w:spacing w:line="300" w:lineRule="exact"/>
              <w:jc w:val="center"/>
              <w:rPr>
                <w:rFonts w:hint="eastAsia" w:ascii="仿宋" w:hAnsi="仿宋" w:eastAsia="仿宋" w:cs="宋体"/>
              </w:rPr>
            </w:pPr>
            <w:r>
              <w:rPr>
                <w:rFonts w:hint="eastAsia" w:ascii="仿宋" w:hAnsi="仿宋" w:eastAsia="仿宋" w:cs="宋体"/>
              </w:rPr>
              <w:t>商务文件（</w:t>
            </w:r>
            <w:r>
              <w:rPr>
                <w:rFonts w:hint="eastAsia" w:ascii="仿宋" w:hAnsi="仿宋" w:eastAsia="仿宋" w:cs="宋体"/>
                <w:lang w:val="en-US" w:eastAsia="zh-CN"/>
              </w:rPr>
              <w:t>3</w:t>
            </w:r>
            <w:r>
              <w:rPr>
                <w:rFonts w:ascii="仿宋" w:hAnsi="仿宋" w:eastAsia="仿宋" w:cs="宋体"/>
              </w:rPr>
              <w:t>0</w:t>
            </w:r>
            <w:r>
              <w:rPr>
                <w:rFonts w:hint="eastAsia" w:ascii="仿宋" w:hAnsi="仿宋" w:eastAsia="仿宋" w:cs="宋体"/>
              </w:rPr>
              <w:t>分）</w:t>
            </w:r>
          </w:p>
        </w:tc>
        <w:tc>
          <w:tcPr>
            <w:tcW w:w="7045" w:type="dxa"/>
            <w:gridSpan w:val="4"/>
            <w:vAlign w:val="center"/>
          </w:tcPr>
          <w:p>
            <w:pPr>
              <w:numPr>
                <w:ilvl w:val="0"/>
                <w:numId w:val="0"/>
              </w:numPr>
              <w:spacing w:line="300" w:lineRule="exact"/>
              <w:rPr>
                <w:rFonts w:hint="eastAsia"/>
              </w:rPr>
            </w:pPr>
            <w:r>
              <w:rPr>
                <w:rFonts w:hint="eastAsia"/>
              </w:rPr>
              <w:t>满足业绩最低要求，得</w:t>
            </w:r>
            <w:r>
              <w:rPr>
                <w:rFonts w:hint="eastAsia"/>
                <w:lang w:val="en-US" w:eastAsia="zh-CN"/>
              </w:rPr>
              <w:t>10</w:t>
            </w:r>
            <w:r>
              <w:rPr>
                <w:rFonts w:hint="eastAsia"/>
              </w:rPr>
              <w:t>分；</w:t>
            </w:r>
          </w:p>
          <w:p>
            <w:pPr>
              <w:numPr>
                <w:ilvl w:val="0"/>
                <w:numId w:val="0"/>
              </w:numPr>
              <w:snapToGrid/>
              <w:spacing w:before="0" w:beforeAutospacing="0" w:after="0" w:afterAutospacing="0" w:line="360" w:lineRule="auto"/>
              <w:ind w:firstLine="420" w:firstLineChars="200"/>
              <w:jc w:val="left"/>
              <w:textAlignment w:val="baseline"/>
              <w:rPr>
                <w:rFonts w:hint="eastAsia" w:eastAsiaTheme="minorEastAsia"/>
                <w:lang w:eastAsia="zh-CN"/>
              </w:rPr>
            </w:pPr>
            <w:r>
              <w:rPr>
                <w:rFonts w:hint="eastAsia"/>
                <w:lang w:val="en-US" w:eastAsia="zh-CN"/>
              </w:rPr>
              <w:t>2019年1月1日至投标截止日（以合同签订日期为准），每增加一个高速公路交通安全设施工程或养护工程的设计业绩加5分</w:t>
            </w:r>
            <w:r>
              <w:rPr>
                <w:rFonts w:hint="eastAsia"/>
              </w:rPr>
              <w:t>。本项最多可得</w:t>
            </w:r>
            <w:r>
              <w:rPr>
                <w:rFonts w:hint="eastAsia"/>
                <w:lang w:val="en-US" w:eastAsia="zh-CN"/>
              </w:rPr>
              <w:t>30</w:t>
            </w:r>
            <w:r>
              <w:rPr>
                <w:rFonts w:hint="eastAsia"/>
              </w:rPr>
              <w:t>分。</w:t>
            </w:r>
            <w:r>
              <w:rPr>
                <w:rFonts w:hint="eastAsia"/>
                <w:lang w:eastAsia="zh-CN"/>
              </w:rPr>
              <w:t>（</w:t>
            </w:r>
            <w:r>
              <w:rPr>
                <w:rFonts w:hint="eastAsia"/>
                <w:b/>
                <w:color w:val="auto"/>
                <w:szCs w:val="21"/>
              </w:rPr>
              <w:t>须提供合同的复印件或扫描件，且合同中能清晰反映该业绩要求）。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2171" w:type="dxa"/>
            <w:gridSpan w:val="2"/>
            <w:vAlign w:val="center"/>
          </w:tcPr>
          <w:p>
            <w:pPr>
              <w:numPr>
                <w:ilvl w:val="0"/>
                <w:numId w:val="0"/>
              </w:numPr>
              <w:spacing w:line="300" w:lineRule="exact"/>
              <w:ind w:left="0" w:leftChars="0" w:firstLine="0" w:firstLineChars="0"/>
              <w:jc w:val="center"/>
              <w:rPr>
                <w:rFonts w:hint="eastAsia" w:asciiTheme="minorHAnsi" w:hAnsiTheme="minorHAnsi" w:eastAsiaTheme="minorEastAsia" w:cstheme="minorBidi"/>
                <w:kern w:val="2"/>
                <w:sz w:val="21"/>
                <w:szCs w:val="24"/>
                <w:lang w:val="en-US" w:eastAsia="zh-CN" w:bidi="ar-SA"/>
              </w:rPr>
            </w:pPr>
            <w:r>
              <w:rPr>
                <w:rFonts w:hint="eastAsia"/>
              </w:rPr>
              <w:t>成交候选人</w:t>
            </w:r>
            <w:r>
              <w:rPr>
                <w:rFonts w:hint="eastAsia"/>
                <w:lang w:eastAsia="zh-CN"/>
              </w:rPr>
              <w:t>推荐</w:t>
            </w:r>
          </w:p>
        </w:tc>
        <w:tc>
          <w:tcPr>
            <w:tcW w:w="7045" w:type="dxa"/>
            <w:gridSpan w:val="4"/>
            <w:vAlign w:val="center"/>
          </w:tcPr>
          <w:p>
            <w:pPr>
              <w:numPr>
                <w:ilvl w:val="0"/>
                <w:numId w:val="0"/>
              </w:numPr>
              <w:spacing w:line="300" w:lineRule="exact"/>
              <w:rPr>
                <w:rFonts w:hint="eastAsia"/>
              </w:rPr>
            </w:pPr>
            <w:r>
              <w:rPr>
                <w:rFonts w:hint="eastAsia"/>
                <w:lang w:val="en-US" w:eastAsia="zh-CN"/>
              </w:rPr>
              <w:t>1.</w:t>
            </w:r>
            <w:r>
              <w:rPr>
                <w:rFonts w:hint="eastAsia"/>
              </w:rPr>
              <w:t>成交候选人评标得分＝综合得分（</w:t>
            </w:r>
            <w:r>
              <w:rPr>
                <w:rFonts w:hint="eastAsia"/>
                <w:lang w:val="en-US" w:eastAsia="zh-CN"/>
              </w:rPr>
              <w:t>商务得分+</w:t>
            </w:r>
            <w:r>
              <w:rPr>
                <w:rFonts w:hint="eastAsia"/>
              </w:rPr>
              <w:t>报价得分+技术得分），对综合得分由高到低的先后顺序推荐3名成交候选人。若不足3名，则只选取相应的数量。</w:t>
            </w:r>
          </w:p>
          <w:p>
            <w:pPr>
              <w:numPr>
                <w:ilvl w:val="0"/>
                <w:numId w:val="0"/>
              </w:numPr>
              <w:spacing w:line="300" w:lineRule="exact"/>
              <w:ind w:left="0" w:leftChars="0" w:firstLine="0" w:firstLineChars="0"/>
              <w:rPr>
                <w:rFonts w:hint="eastAsia" w:asciiTheme="minorHAnsi" w:hAnsiTheme="minorHAnsi" w:eastAsiaTheme="minorEastAsia" w:cstheme="minorBidi"/>
                <w:kern w:val="2"/>
                <w:sz w:val="21"/>
                <w:szCs w:val="24"/>
                <w:lang w:val="en-US" w:eastAsia="zh-CN" w:bidi="ar-SA"/>
              </w:rPr>
            </w:pPr>
            <w:r>
              <w:rPr>
                <w:rFonts w:hint="eastAsia"/>
                <w:lang w:val="en-US" w:eastAsia="zh-CN"/>
              </w:rPr>
              <w:t>2.</w:t>
            </w:r>
            <w:r>
              <w:rPr>
                <w:rFonts w:hint="eastAsia"/>
              </w:rPr>
              <w:t>评标得分相等时，评标委员会依次按照以下原则推荐中标候选人或确定中标人：（1）以评标价低的投标人优先；（2）如评标价相等时，则以业绩个数较多优先；（3）如业绩个数相同时，则由评标委员会投票确定中标候选人。</w:t>
            </w:r>
          </w:p>
        </w:tc>
      </w:tr>
    </w:tbl>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textAlignment w:val="auto"/>
        <w:outlineLvl w:val="9"/>
        <w:rPr>
          <w:b/>
          <w:color w:val="auto"/>
          <w:szCs w:val="21"/>
        </w:rPr>
      </w:pPr>
      <w:r>
        <w:rPr>
          <w:b/>
          <w:color w:val="auto"/>
          <w:szCs w:val="21"/>
        </w:rPr>
        <w:t>五、</w:t>
      </w:r>
      <w:r>
        <w:rPr>
          <w:rFonts w:hint="eastAsia"/>
          <w:b/>
          <w:color w:val="auto"/>
          <w:szCs w:val="21"/>
        </w:rPr>
        <w:t>竞争性比选</w:t>
      </w:r>
      <w:r>
        <w:rPr>
          <w:b/>
          <w:color w:val="auto"/>
          <w:szCs w:val="21"/>
        </w:rPr>
        <w:t>须知</w:t>
      </w:r>
      <w:r>
        <w:rPr>
          <w:rFonts w:hint="eastAsia"/>
          <w:b/>
          <w:color w:val="auto"/>
          <w:szCs w:val="21"/>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（一）</w:t>
      </w:r>
      <w:r>
        <w:rPr>
          <w:rFonts w:hint="eastAsia" w:ascii="宋体" w:hAnsi="宋体" w:cs="宋体"/>
          <w:szCs w:val="21"/>
        </w:rPr>
        <w:t>凡有意参加竞标者，请于</w:t>
      </w:r>
      <w:r>
        <w:rPr>
          <w:rFonts w:hint="eastAsia" w:ascii="宋体" w:hAnsi="宋体" w:cs="宋体"/>
          <w:szCs w:val="21"/>
          <w:lang w:eastAsia="zh-CN"/>
        </w:rPr>
        <w:t>2022年</w:t>
      </w:r>
      <w:r>
        <w:rPr>
          <w:rFonts w:hint="eastAsia" w:ascii="宋体" w:hAnsi="宋体" w:cs="宋体"/>
          <w:szCs w:val="21"/>
          <w:lang w:val="en-US" w:eastAsia="zh-CN"/>
        </w:rPr>
        <w:t>9</w:t>
      </w:r>
      <w:r>
        <w:rPr>
          <w:rFonts w:hint="eastAsia" w:ascii="宋体" w:hAnsi="宋体" w:cs="宋体"/>
          <w:szCs w:val="21"/>
        </w:rPr>
        <w:t>月</w:t>
      </w:r>
      <w:r>
        <w:rPr>
          <w:rFonts w:hint="eastAsia" w:ascii="宋体" w:hAnsi="宋体" w:cs="宋体"/>
          <w:szCs w:val="21"/>
          <w:lang w:val="en-US" w:eastAsia="zh-CN"/>
        </w:rPr>
        <w:t>19</w:t>
      </w:r>
      <w:r>
        <w:rPr>
          <w:rFonts w:hint="eastAsia" w:ascii="宋体" w:hAnsi="宋体" w:cs="宋体"/>
          <w:szCs w:val="21"/>
        </w:rPr>
        <w:t>日（北京时间，下同）起在高速集团官网</w:t>
      </w:r>
      <w:r>
        <w:rPr>
          <w:rFonts w:hint="eastAsia" w:ascii="宋体" w:hAnsi="宋体" w:cs="宋体"/>
          <w:szCs w:val="21"/>
          <w:lang w:eastAsia="zh-CN"/>
        </w:rPr>
        <w:t>（</w:t>
      </w:r>
      <w:r>
        <w:rPr>
          <w:rFonts w:hint="eastAsia" w:ascii="宋体" w:hAnsi="宋体" w:cs="宋体"/>
          <w:szCs w:val="21"/>
        </w:rPr>
        <w:t>http://www.cegc.com.cn/gw/index</w:t>
      </w:r>
      <w:r>
        <w:rPr>
          <w:rFonts w:hint="eastAsia" w:ascii="宋体" w:hAnsi="宋体" w:cs="宋体"/>
          <w:szCs w:val="21"/>
          <w:lang w:eastAsia="zh-CN"/>
        </w:rPr>
        <w:t>）、</w:t>
      </w:r>
      <w:r>
        <w:rPr>
          <w:rFonts w:hint="eastAsia" w:ascii="宋体" w:hAnsi="宋体" w:cs="宋体"/>
          <w:szCs w:val="21"/>
          <w:lang w:val="en-US" w:eastAsia="zh-CN"/>
        </w:rPr>
        <w:t>高速</w:t>
      </w:r>
      <w:r>
        <w:rPr>
          <w:rFonts w:hint="eastAsia" w:ascii="宋体" w:hAnsi="宋体" w:cs="宋体"/>
          <w:szCs w:val="21"/>
        </w:rPr>
        <w:t>集团招</w:t>
      </w:r>
      <w:r>
        <w:rPr>
          <w:rFonts w:hint="eastAsia" w:ascii="宋体" w:hAnsi="宋体" w:cs="宋体"/>
          <w:szCs w:val="21"/>
          <w:lang w:val="en-US" w:eastAsia="zh-CN"/>
        </w:rPr>
        <w:t>投</w:t>
      </w:r>
      <w:r>
        <w:rPr>
          <w:rFonts w:hint="eastAsia" w:ascii="宋体" w:hAnsi="宋体" w:cs="宋体"/>
          <w:szCs w:val="21"/>
          <w:lang w:eastAsia="zh-CN"/>
        </w:rPr>
        <w:t>标</w:t>
      </w:r>
      <w:r>
        <w:rPr>
          <w:rFonts w:hint="eastAsia" w:ascii="宋体" w:hAnsi="宋体" w:cs="宋体"/>
          <w:szCs w:val="21"/>
        </w:rPr>
        <w:t>平台</w:t>
      </w:r>
      <w:r>
        <w:rPr>
          <w:rFonts w:hint="eastAsia" w:ascii="宋体" w:hAnsi="宋体" w:cs="宋体"/>
          <w:szCs w:val="21"/>
          <w:lang w:eastAsia="zh-CN"/>
        </w:rPr>
        <w:t>（</w:t>
      </w:r>
      <w:r>
        <w:rPr>
          <w:rFonts w:hint="eastAsia" w:ascii="宋体" w:hAnsi="宋体" w:cs="宋体"/>
          <w:szCs w:val="21"/>
        </w:rPr>
        <w:fldChar w:fldCharType="begin"/>
      </w:r>
      <w:r>
        <w:rPr>
          <w:rFonts w:hint="eastAsia" w:ascii="宋体" w:hAnsi="宋体" w:cs="宋体"/>
          <w:szCs w:val="21"/>
        </w:rPr>
        <w:instrText xml:space="preserve"> HYPERLINK "http://43.240.249.108:8088" </w:instrText>
      </w:r>
      <w:r>
        <w:rPr>
          <w:rFonts w:hint="eastAsia" w:ascii="宋体" w:hAnsi="宋体" w:cs="宋体"/>
          <w:szCs w:val="21"/>
        </w:rPr>
        <w:fldChar w:fldCharType="separate"/>
      </w:r>
      <w:r>
        <w:rPr>
          <w:rFonts w:hint="eastAsia" w:ascii="宋体" w:hAnsi="宋体" w:cs="宋体"/>
          <w:szCs w:val="21"/>
        </w:rPr>
        <w:t>http://43.240.249.108:8088</w:t>
      </w:r>
      <w:r>
        <w:rPr>
          <w:rFonts w:hint="eastAsia" w:ascii="宋体" w:hAnsi="宋体" w:cs="宋体"/>
          <w:szCs w:val="21"/>
        </w:rPr>
        <w:fldChar w:fldCharType="end"/>
      </w:r>
      <w:r>
        <w:rPr>
          <w:rFonts w:hint="eastAsia" w:ascii="宋体" w:hAnsi="宋体" w:cs="宋体"/>
          <w:szCs w:val="21"/>
          <w:lang w:eastAsia="zh-CN"/>
        </w:rPr>
        <w:t>）</w:t>
      </w:r>
      <w:r>
        <w:rPr>
          <w:rFonts w:hint="eastAsia" w:ascii="宋体" w:hAnsi="宋体" w:cs="宋体"/>
          <w:szCs w:val="21"/>
        </w:rPr>
        <w:t>上自行下载竞争性比选文件等全部内容。不管下载与否都视为潜在比选申请人全部知晓有关比选过程和全部内容。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（二）</w:t>
      </w:r>
      <w:r>
        <w:rPr>
          <w:rFonts w:hint="eastAsia" w:ascii="宋体" w:hAnsi="宋体" w:cs="宋体"/>
          <w:szCs w:val="21"/>
          <w:lang w:eastAsia="zh-CN"/>
        </w:rPr>
        <w:t>竞争性比选</w:t>
      </w:r>
      <w:r>
        <w:rPr>
          <w:rFonts w:hint="eastAsia" w:ascii="宋体" w:hAnsi="宋体" w:cs="宋体"/>
          <w:szCs w:val="21"/>
          <w:lang w:val="en-US" w:eastAsia="zh-CN"/>
        </w:rPr>
        <w:t>报价文件提交</w:t>
      </w:r>
      <w:r>
        <w:rPr>
          <w:rFonts w:hint="eastAsia" w:ascii="宋体" w:hAnsi="宋体" w:cs="宋体"/>
          <w:szCs w:val="21"/>
        </w:rPr>
        <w:t>截止时间</w:t>
      </w:r>
      <w:r>
        <w:rPr>
          <w:rFonts w:hint="eastAsia" w:ascii="宋体" w:hAnsi="宋体" w:cs="宋体"/>
          <w:szCs w:val="21"/>
          <w:lang w:eastAsia="zh-CN"/>
        </w:rPr>
        <w:t>（</w:t>
      </w:r>
      <w:r>
        <w:rPr>
          <w:rFonts w:hint="eastAsia" w:ascii="宋体" w:hAnsi="宋体" w:cs="宋体"/>
          <w:szCs w:val="21"/>
          <w:lang w:val="en-US" w:eastAsia="zh-CN"/>
        </w:rPr>
        <w:t>即开标时间</w:t>
      </w:r>
      <w:r>
        <w:rPr>
          <w:rFonts w:hint="eastAsia" w:ascii="宋体" w:hAnsi="宋体" w:cs="宋体"/>
          <w:szCs w:val="21"/>
          <w:lang w:eastAsia="zh-CN"/>
        </w:rPr>
        <w:t>）</w:t>
      </w:r>
      <w:r>
        <w:rPr>
          <w:rFonts w:hint="eastAsia" w:ascii="宋体" w:hAnsi="宋体" w:cs="宋体"/>
          <w:szCs w:val="21"/>
        </w:rPr>
        <w:t>：</w:t>
      </w:r>
      <w:r>
        <w:rPr>
          <w:rFonts w:hint="eastAsia" w:ascii="宋体" w:hAnsi="宋体" w:cs="宋体"/>
          <w:szCs w:val="21"/>
          <w:lang w:val="en-US" w:eastAsia="zh-CN"/>
        </w:rPr>
        <w:t>2022年9</w:t>
      </w:r>
      <w:r>
        <w:rPr>
          <w:rFonts w:hint="eastAsia" w:ascii="宋体" w:hAnsi="宋体" w:cs="宋体"/>
          <w:szCs w:val="21"/>
        </w:rPr>
        <w:t>月</w:t>
      </w:r>
      <w:r>
        <w:rPr>
          <w:rFonts w:hint="eastAsia" w:ascii="宋体" w:hAnsi="宋体" w:cs="宋体"/>
          <w:szCs w:val="21"/>
          <w:lang w:val="en-US" w:eastAsia="zh-CN"/>
        </w:rPr>
        <w:t>23</w:t>
      </w:r>
      <w:r>
        <w:rPr>
          <w:rFonts w:hint="eastAsia" w:ascii="宋体" w:hAnsi="宋体" w:cs="宋体"/>
          <w:szCs w:val="21"/>
        </w:rPr>
        <w:t>日</w:t>
      </w:r>
      <w:r>
        <w:rPr>
          <w:rFonts w:hint="eastAsia" w:ascii="宋体" w:hAnsi="宋体" w:cs="宋体"/>
          <w:szCs w:val="21"/>
          <w:lang w:val="en-US" w:eastAsia="zh-CN"/>
        </w:rPr>
        <w:t>14</w:t>
      </w:r>
      <w:r>
        <w:rPr>
          <w:rFonts w:hint="eastAsia" w:ascii="宋体" w:hAnsi="宋体" w:cs="宋体"/>
          <w:szCs w:val="21"/>
        </w:rPr>
        <w:t>时00分（北京时间）。</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（三）</w:t>
      </w:r>
      <w:r>
        <w:rPr>
          <w:rFonts w:hint="eastAsia" w:ascii="宋体" w:hAnsi="宋体" w:cs="宋体"/>
          <w:szCs w:val="21"/>
          <w:lang w:eastAsia="zh-CN"/>
        </w:rPr>
        <w:t>竞争性比选</w:t>
      </w:r>
      <w:r>
        <w:rPr>
          <w:rFonts w:hint="eastAsia" w:ascii="宋体" w:hAnsi="宋体" w:cs="宋体"/>
          <w:szCs w:val="21"/>
        </w:rPr>
        <w:t>地点：：重庆高速公路集团有限公司16</w:t>
      </w:r>
      <w:r>
        <w:rPr>
          <w:rFonts w:hint="eastAsia" w:ascii="宋体" w:hAnsi="宋体" w:cs="宋体"/>
          <w:szCs w:val="21"/>
          <w:lang w:val="en-US" w:eastAsia="zh-CN"/>
        </w:rPr>
        <w:t>11</w:t>
      </w:r>
      <w:r>
        <w:rPr>
          <w:rFonts w:hint="eastAsia" w:ascii="宋体" w:hAnsi="宋体" w:cs="宋体"/>
          <w:szCs w:val="21"/>
        </w:rPr>
        <w:t>会议室。</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lang w:val="en-US" w:eastAsia="zh-CN"/>
        </w:rPr>
        <w:t>（四）</w:t>
      </w:r>
      <w:r>
        <w:rPr>
          <w:rFonts w:hint="eastAsia" w:ascii="宋体" w:hAnsi="宋体" w:cs="宋体"/>
          <w:szCs w:val="21"/>
        </w:rPr>
        <w:t xml:space="preserve"> 逾期送达的或者未送达指定地点的比选申请文件，比选人不予受理。</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（五）</w:t>
      </w:r>
      <w:r>
        <w:rPr>
          <w:rFonts w:hint="eastAsia" w:ascii="宋体" w:hAnsi="宋体" w:cs="宋体"/>
          <w:szCs w:val="21"/>
        </w:rPr>
        <w:t>各</w:t>
      </w:r>
      <w:r>
        <w:rPr>
          <w:rFonts w:hint="eastAsia" w:ascii="宋体" w:hAnsi="宋体" w:cs="宋体"/>
          <w:szCs w:val="21"/>
          <w:lang w:val="en-US" w:eastAsia="zh-CN"/>
        </w:rPr>
        <w:t>竞标</w:t>
      </w:r>
      <w:r>
        <w:rPr>
          <w:rFonts w:hint="eastAsia" w:ascii="宋体" w:hAnsi="宋体" w:cs="宋体"/>
          <w:szCs w:val="21"/>
        </w:rPr>
        <w:t>人应根据本次</w:t>
      </w:r>
      <w:r>
        <w:rPr>
          <w:rFonts w:hint="eastAsia" w:ascii="宋体" w:hAnsi="宋体" w:cs="宋体"/>
          <w:szCs w:val="21"/>
          <w:lang w:eastAsia="zh-CN"/>
        </w:rPr>
        <w:t>竞争性比选</w:t>
      </w:r>
      <w:r>
        <w:rPr>
          <w:rFonts w:hint="eastAsia" w:ascii="宋体" w:hAnsi="宋体" w:cs="宋体"/>
          <w:szCs w:val="21"/>
        </w:rPr>
        <w:t>的具体要求，编制规范的</w:t>
      </w:r>
      <w:r>
        <w:rPr>
          <w:rFonts w:hint="eastAsia" w:ascii="宋体" w:hAnsi="宋体" w:cs="宋体"/>
          <w:szCs w:val="21"/>
          <w:lang w:eastAsia="zh-CN"/>
        </w:rPr>
        <w:t>竞争性比选</w:t>
      </w:r>
      <w:r>
        <w:rPr>
          <w:rFonts w:hint="eastAsia" w:ascii="宋体" w:hAnsi="宋体" w:cs="宋体"/>
          <w:szCs w:val="21"/>
        </w:rPr>
        <w:t>响应文件（</w:t>
      </w:r>
      <w:r>
        <w:rPr>
          <w:rFonts w:hint="eastAsia" w:ascii="宋体" w:hAnsi="宋体" w:cs="宋体"/>
          <w:szCs w:val="21"/>
          <w:lang w:eastAsia="zh-CN"/>
        </w:rPr>
        <w:t>竞争性比选</w:t>
      </w:r>
      <w:r>
        <w:rPr>
          <w:rFonts w:hint="eastAsia" w:ascii="宋体" w:hAnsi="宋体" w:cs="宋体"/>
          <w:szCs w:val="21"/>
        </w:rPr>
        <w:t>响应文件，要求填写规范，密封完好并在封口处加盖单位公章，所有</w:t>
      </w:r>
      <w:r>
        <w:rPr>
          <w:rFonts w:hint="eastAsia" w:ascii="宋体" w:hAnsi="宋体" w:cs="宋体"/>
          <w:szCs w:val="21"/>
          <w:lang w:eastAsia="zh-CN"/>
        </w:rPr>
        <w:t>竞争性比选</w:t>
      </w:r>
      <w:r>
        <w:rPr>
          <w:rFonts w:hint="eastAsia" w:ascii="宋体" w:hAnsi="宋体" w:cs="宋体"/>
          <w:szCs w:val="21"/>
        </w:rPr>
        <w:t>响应文件均只能作一次性提交，提交后不得更改。</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（六）竞争性比选响应文件的份数及编制要求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竞争性比选响应文件正本1份，副本1份，竞争性比选响应文件按竞争性比选文件中规定格式排版，并应编制目录，逐页标注页码。</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（七）密封要求</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rPr>
      </w:pPr>
      <w:r>
        <w:rPr>
          <w:rFonts w:hint="eastAsia" w:ascii="宋体" w:hAnsi="宋体" w:cs="宋体"/>
          <w:szCs w:val="21"/>
        </w:rPr>
        <w:t>将竞争性比选响应文件密封到一个封套中，再在封套上写明：</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ascii="宋体" w:hAnsi="宋体" w:cs="宋体"/>
          <w:szCs w:val="21"/>
          <w:u w:val="single"/>
        </w:rPr>
      </w:pPr>
      <w:r>
        <w:rPr>
          <w:rFonts w:hint="eastAsia" w:ascii="宋体" w:hAnsi="宋体" w:cs="宋体"/>
          <w:szCs w:val="21"/>
          <w:u w:val="single"/>
          <w:lang w:eastAsia="zh-CN"/>
        </w:rPr>
        <w:t>G65包茂高速K1759+500-K1760+500等11处重点管控路段交通安全设施综合提升工程设计项目</w:t>
      </w:r>
      <w:r>
        <w:rPr>
          <w:rFonts w:hint="eastAsia" w:ascii="宋体" w:hAnsi="宋体" w:cs="宋体"/>
          <w:szCs w:val="21"/>
          <w:u w:val="single"/>
        </w:rPr>
        <w:t>竞争性比选申请文件</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outlineLvl w:val="9"/>
        <w:rPr>
          <w:rFonts w:hint="eastAsia" w:ascii="宋体" w:hAnsi="宋体" w:cs="宋体"/>
          <w:szCs w:val="21"/>
          <w:u w:val="single"/>
        </w:rPr>
      </w:pPr>
      <w:r>
        <w:rPr>
          <w:rFonts w:hint="eastAsia" w:ascii="宋体" w:hAnsi="宋体" w:cs="宋体"/>
          <w:szCs w:val="21"/>
          <w:u w:val="single"/>
        </w:rPr>
        <w:t>在</w:t>
      </w:r>
      <w:r>
        <w:rPr>
          <w:rFonts w:hint="eastAsia" w:ascii="宋体" w:hAnsi="宋体" w:cs="宋体"/>
          <w:szCs w:val="21"/>
          <w:u w:val="single"/>
          <w:lang w:eastAsia="zh-CN"/>
        </w:rPr>
        <w:t>2022年</w:t>
      </w:r>
      <w:r>
        <w:rPr>
          <w:rFonts w:hint="eastAsia" w:ascii="宋体" w:hAnsi="宋体" w:cs="宋体"/>
          <w:szCs w:val="21"/>
          <w:u w:val="single"/>
        </w:rPr>
        <w:t xml:space="preserve"> </w:t>
      </w:r>
      <w:r>
        <w:rPr>
          <w:rFonts w:hint="eastAsia" w:ascii="宋体" w:hAnsi="宋体" w:cs="宋体"/>
          <w:szCs w:val="21"/>
          <w:u w:val="single"/>
          <w:lang w:val="en-US" w:eastAsia="zh-CN"/>
        </w:rPr>
        <w:t>9</w:t>
      </w:r>
      <w:r>
        <w:rPr>
          <w:rFonts w:hint="eastAsia" w:ascii="宋体" w:hAnsi="宋体" w:cs="宋体"/>
          <w:szCs w:val="21"/>
          <w:u w:val="single"/>
        </w:rPr>
        <w:t xml:space="preserve"> 月  </w:t>
      </w:r>
      <w:r>
        <w:rPr>
          <w:rFonts w:hint="eastAsia" w:ascii="宋体" w:hAnsi="宋体" w:cs="宋体"/>
          <w:szCs w:val="21"/>
          <w:u w:val="single"/>
          <w:lang w:val="en-US" w:eastAsia="zh-CN"/>
        </w:rPr>
        <w:t>23</w:t>
      </w:r>
      <w:r>
        <w:rPr>
          <w:rFonts w:hint="eastAsia" w:ascii="宋体" w:hAnsi="宋体" w:cs="宋体"/>
          <w:szCs w:val="21"/>
          <w:u w:val="single"/>
        </w:rPr>
        <w:t xml:space="preserve"> 日  </w:t>
      </w:r>
      <w:r>
        <w:rPr>
          <w:rFonts w:hint="eastAsia" w:ascii="宋体" w:hAnsi="宋体" w:cs="宋体"/>
          <w:szCs w:val="21"/>
          <w:u w:val="single"/>
          <w:lang w:val="en-US" w:eastAsia="zh-CN"/>
        </w:rPr>
        <w:t xml:space="preserve">14 </w:t>
      </w:r>
      <w:r>
        <w:rPr>
          <w:rFonts w:hint="eastAsia" w:ascii="宋体" w:hAnsi="宋体" w:cs="宋体"/>
          <w:szCs w:val="21"/>
          <w:u w:val="single"/>
        </w:rPr>
        <w:t>时 00 分前不得开启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（八）投标人应做好疫情防控工作，参加投标当日应全程佩戴口罩。同时，潜在比选申请人应考虑健康码、行程码、核酸检测证明等因素的影响。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szCs w:val="21"/>
          <w:lang w:val="en-US" w:eastAsia="zh-CN"/>
        </w:rPr>
      </w:pPr>
      <w:r>
        <w:rPr>
          <w:rFonts w:hint="eastAsia" w:ascii="宋体" w:hAnsi="宋体" w:cs="宋体"/>
          <w:szCs w:val="21"/>
          <w:lang w:val="en-US" w:eastAsia="zh-CN"/>
        </w:rPr>
        <w:t>（九）联系方式</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宋体" w:hAnsi="宋体" w:cs="宋体" w:eastAsiaTheme="minorEastAsia"/>
          <w:szCs w:val="21"/>
          <w:lang w:eastAsia="zh-CN"/>
        </w:rPr>
      </w:pPr>
      <w:r>
        <w:rPr>
          <w:rFonts w:hint="eastAsia" w:ascii="宋体" w:hAnsi="宋体" w:cs="宋体"/>
          <w:szCs w:val="21"/>
        </w:rPr>
        <w:t>询价人：</w:t>
      </w:r>
      <w:r>
        <w:rPr>
          <w:rFonts w:hint="eastAsia" w:ascii="宋体" w:hAnsi="宋体" w:cs="宋体"/>
          <w:szCs w:val="21"/>
          <w:lang w:eastAsia="zh-CN"/>
        </w:rPr>
        <w:t>重庆高速公路集团有限公司东南营运分公司</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default" w:ascii="宋体" w:hAnsi="宋体" w:cs="宋体" w:eastAsiaTheme="minorEastAsia"/>
          <w:szCs w:val="21"/>
          <w:lang w:val="en-US" w:eastAsia="zh-CN"/>
        </w:rPr>
      </w:pPr>
      <w:r>
        <w:rPr>
          <w:rFonts w:hint="eastAsia" w:ascii="宋体" w:hAnsi="宋体" w:cs="宋体"/>
          <w:szCs w:val="21"/>
        </w:rPr>
        <w:t>地</w:t>
      </w:r>
      <w:r>
        <w:rPr>
          <w:rFonts w:ascii="宋体" w:hAnsi="宋体" w:cs="宋体"/>
          <w:szCs w:val="21"/>
        </w:rPr>
        <w:t xml:space="preserve">  址：</w:t>
      </w:r>
      <w:r>
        <w:rPr>
          <w:rFonts w:hint="eastAsia" w:ascii="宋体" w:hAnsi="宋体" w:cs="宋体"/>
          <w:szCs w:val="21"/>
        </w:rPr>
        <w:t>重庆市渝北区</w:t>
      </w:r>
      <w:r>
        <w:rPr>
          <w:rFonts w:hint="eastAsia" w:ascii="宋体" w:hAnsi="宋体" w:cs="宋体"/>
          <w:szCs w:val="21"/>
          <w:lang w:eastAsia="zh-CN"/>
        </w:rPr>
        <w:t>银杉路</w:t>
      </w:r>
      <w:r>
        <w:rPr>
          <w:rFonts w:hint="eastAsia" w:ascii="宋体" w:hAnsi="宋体" w:cs="宋体"/>
          <w:szCs w:val="21"/>
          <w:lang w:val="en-US" w:eastAsia="zh-CN"/>
        </w:rPr>
        <w:t>66号</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ascii="宋体" w:hAnsi="宋体" w:cs="宋体"/>
          <w:szCs w:val="21"/>
        </w:rPr>
      </w:pPr>
      <w:r>
        <w:rPr>
          <w:rFonts w:hint="eastAsia" w:ascii="宋体" w:hAnsi="宋体" w:cs="宋体"/>
          <w:szCs w:val="21"/>
        </w:rPr>
        <w:t>联系人：</w:t>
      </w:r>
      <w:r>
        <w:rPr>
          <w:rFonts w:hint="eastAsia" w:ascii="宋体" w:hAnsi="宋体" w:cs="宋体"/>
          <w:szCs w:val="21"/>
          <w:lang w:eastAsia="zh-CN"/>
        </w:rPr>
        <w:t>马松林</w:t>
      </w:r>
      <w:r>
        <w:rPr>
          <w:rFonts w:hint="eastAsia" w:ascii="宋体" w:hAnsi="宋体" w:cs="宋体"/>
          <w:szCs w:val="21"/>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left"/>
        <w:textAlignment w:val="auto"/>
        <w:outlineLvl w:val="9"/>
        <w:rPr>
          <w:rFonts w:hint="eastAsia" w:asciiTheme="majorEastAsia" w:hAnsiTheme="majorEastAsia" w:eastAsiaTheme="majorEastAsia" w:cstheme="majorEastAsia"/>
          <w:b w:val="0"/>
          <w:i w:val="0"/>
          <w:caps w:val="0"/>
          <w:spacing w:val="0"/>
          <w:w w:val="100"/>
          <w:sz w:val="24"/>
          <w:highlight w:val="none"/>
        </w:rPr>
      </w:pPr>
      <w:r>
        <w:rPr>
          <w:rFonts w:hint="eastAsia" w:ascii="宋体" w:hAnsi="宋体" w:cs="宋体"/>
          <w:szCs w:val="21"/>
        </w:rPr>
        <w:t>电</w:t>
      </w:r>
      <w:r>
        <w:rPr>
          <w:rFonts w:ascii="宋体" w:hAnsi="宋体" w:cs="宋体"/>
          <w:szCs w:val="21"/>
        </w:rPr>
        <w:t xml:space="preserve">  话：</w:t>
      </w:r>
      <w:r>
        <w:rPr>
          <w:rFonts w:hint="eastAsia" w:asciiTheme="majorEastAsia" w:hAnsiTheme="majorEastAsia" w:eastAsiaTheme="majorEastAsia" w:cstheme="majorEastAsia"/>
          <w:b w:val="0"/>
          <w:i w:val="0"/>
          <w:caps w:val="0"/>
          <w:spacing w:val="0"/>
          <w:w w:val="100"/>
          <w:sz w:val="24"/>
          <w:highlight w:val="none"/>
        </w:rPr>
        <w:t xml:space="preserve">17347656198 </w:t>
      </w: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eastAsia" w:asciiTheme="majorEastAsia" w:hAnsiTheme="majorEastAsia" w:eastAsiaTheme="majorEastAsia" w:cstheme="majorEastAsia"/>
          <w:b w:val="0"/>
          <w:i w:val="0"/>
          <w:caps w:val="0"/>
          <w:spacing w:val="0"/>
          <w:w w:val="100"/>
          <w:sz w:val="24"/>
          <w:highlight w:val="none"/>
        </w:rPr>
      </w:pPr>
    </w:p>
    <w:p>
      <w:pPr>
        <w:rPr>
          <w:rFonts w:hint="eastAsia" w:asciiTheme="majorEastAsia" w:hAnsiTheme="majorEastAsia" w:eastAsiaTheme="majorEastAsia" w:cstheme="majorEastAsia"/>
          <w:b w:val="0"/>
          <w:i w:val="0"/>
          <w:caps w:val="0"/>
          <w:spacing w:val="0"/>
          <w:w w:val="100"/>
          <w:sz w:val="24"/>
          <w:highlight w:val="none"/>
        </w:rPr>
      </w:pPr>
    </w:p>
    <w:p>
      <w:pPr>
        <w:pStyle w:val="2"/>
        <w:rPr>
          <w:rFonts w:hint="default"/>
          <w:lang w:val="en-US" w:eastAsia="zh-CN"/>
        </w:rPr>
      </w:pPr>
    </w:p>
    <w:p>
      <w:pPr>
        <w:jc w:val="center"/>
        <w:rPr>
          <w:rFonts w:ascii="宋体" w:hAnsi="宋体" w:cs="宋体"/>
          <w:b/>
          <w:sz w:val="36"/>
        </w:rPr>
      </w:pPr>
      <w:r>
        <w:rPr>
          <w:rFonts w:hint="eastAsia" w:ascii="宋体" w:hAnsi="宋体" w:cs="宋体"/>
          <w:b/>
          <w:sz w:val="36"/>
        </w:rPr>
        <w:t>竞争性比选申请文件格式</w:t>
      </w:r>
    </w:p>
    <w:p>
      <w:pPr>
        <w:jc w:val="center"/>
        <w:rPr>
          <w:rFonts w:ascii="宋体" w:hAnsi="宋体" w:cs="宋体"/>
          <w:b/>
          <w:sz w:val="24"/>
        </w:rPr>
      </w:pPr>
    </w:p>
    <w:p>
      <w:pPr>
        <w:jc w:val="center"/>
        <w:rPr>
          <w:rFonts w:ascii="宋体" w:hAnsi="宋体" w:cs="宋体"/>
          <w:b/>
          <w:sz w:val="24"/>
        </w:rPr>
      </w:pPr>
      <w:r>
        <w:rPr>
          <w:rFonts w:hint="eastAsia" w:ascii="宋体" w:hAnsi="宋体" w:cs="宋体"/>
          <w:b/>
          <w:sz w:val="24"/>
        </w:rPr>
        <w:t>（以下内容为示例）</w:t>
      </w:r>
    </w:p>
    <w:p>
      <w:pPr>
        <w:jc w:val="center"/>
        <w:rPr>
          <w:rFonts w:ascii="宋体" w:hAnsi="宋体" w:cs="宋体"/>
          <w:b/>
          <w:sz w:val="24"/>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pPr>
    </w:p>
    <w:p>
      <w:pPr>
        <w:ind w:right="480" w:firstLine="2849" w:firstLineChars="946"/>
        <w:rPr>
          <w:rFonts w:ascii="宋体" w:hAnsi="宋体" w:cs="宋体"/>
          <w:b/>
          <w:sz w:val="30"/>
          <w:szCs w:val="30"/>
        </w:rPr>
        <w:sectPr>
          <w:headerReference r:id="rId3" w:type="default"/>
          <w:footerReference r:id="rId4" w:type="default"/>
          <w:pgSz w:w="11906" w:h="16838"/>
          <w:pgMar w:top="1418" w:right="1361" w:bottom="1418" w:left="1361" w:header="851" w:footer="992" w:gutter="0"/>
          <w:cols w:space="720" w:num="1"/>
          <w:docGrid w:type="lines" w:linePitch="312" w:charSpace="0"/>
        </w:sectPr>
      </w:pPr>
    </w:p>
    <w:p>
      <w:pPr>
        <w:jc w:val="right"/>
        <w:rPr>
          <w:rFonts w:ascii="宋体" w:hAnsi="宋体" w:cs="宋体"/>
          <w:b/>
          <w:sz w:val="32"/>
          <w:szCs w:val="36"/>
        </w:rPr>
      </w:pPr>
      <w:r>
        <w:rPr>
          <w:rFonts w:hint="eastAsia" w:ascii="宋体" w:hAnsi="宋体" w:cs="宋体"/>
          <w:b/>
          <w:sz w:val="32"/>
          <w:szCs w:val="36"/>
        </w:rPr>
        <w:t>正本（或副本）</w:t>
      </w:r>
    </w:p>
    <w:p>
      <w:pPr>
        <w:jc w:val="center"/>
        <w:rPr>
          <w:rFonts w:ascii="宋体" w:hAnsi="宋体" w:cs="宋体"/>
          <w:b/>
          <w:sz w:val="40"/>
          <w:szCs w:val="44"/>
          <w:u w:val="single"/>
        </w:rPr>
      </w:pPr>
    </w:p>
    <w:p>
      <w:pPr>
        <w:jc w:val="center"/>
        <w:rPr>
          <w:rFonts w:ascii="宋体" w:hAnsi="宋体" w:cs="宋体"/>
          <w:b/>
          <w:sz w:val="40"/>
          <w:szCs w:val="44"/>
          <w:u w:val="single"/>
        </w:rPr>
      </w:pPr>
      <w:r>
        <w:rPr>
          <w:rFonts w:hint="eastAsia" w:ascii="宋体" w:hAnsi="宋体" w:cs="宋体"/>
          <w:b/>
          <w:sz w:val="40"/>
          <w:szCs w:val="44"/>
          <w:u w:val="single"/>
          <w:lang w:eastAsia="zh-CN"/>
        </w:rPr>
        <w:t>G65包茂高速K1759+500-K1760+500等11处重点管控路段交通安全设施综合提升工程设计项目</w:t>
      </w:r>
    </w:p>
    <w:p>
      <w:pPr>
        <w:jc w:val="center"/>
        <w:rPr>
          <w:rFonts w:ascii="宋体" w:hAnsi="宋体" w:cs="宋体"/>
          <w:b/>
          <w:sz w:val="40"/>
          <w:szCs w:val="44"/>
        </w:rPr>
      </w:pPr>
      <w:r>
        <w:rPr>
          <w:rFonts w:hint="eastAsia" w:ascii="宋体" w:hAnsi="宋体" w:cs="宋体"/>
          <w:b/>
          <w:sz w:val="40"/>
          <w:szCs w:val="44"/>
          <w:u w:val="single"/>
        </w:rPr>
        <w:t>竞争性比选申请文件</w:t>
      </w: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rPr>
      </w:pPr>
    </w:p>
    <w:p>
      <w:pPr>
        <w:jc w:val="center"/>
        <w:rPr>
          <w:rFonts w:ascii="宋体" w:hAnsi="宋体" w:cs="宋体"/>
          <w:sz w:val="32"/>
          <w:szCs w:val="32"/>
          <w:u w:val="single"/>
        </w:rPr>
      </w:pPr>
      <w:r>
        <w:rPr>
          <w:rFonts w:hint="eastAsia" w:ascii="宋体" w:hAnsi="宋体" w:cs="宋体"/>
          <w:sz w:val="32"/>
          <w:szCs w:val="32"/>
          <w:u w:val="single"/>
        </w:rPr>
        <w:t>比选申请单位名称全称（盖单位公章）</w:t>
      </w:r>
    </w:p>
    <w:p>
      <w:pPr>
        <w:jc w:val="center"/>
        <w:rPr>
          <w:rFonts w:ascii="宋体" w:hAnsi="宋体" w:cs="宋体"/>
          <w:sz w:val="32"/>
          <w:szCs w:val="32"/>
          <w:u w:val="single"/>
        </w:rPr>
      </w:pPr>
    </w:p>
    <w:p>
      <w:pPr>
        <w:pStyle w:val="13"/>
        <w:rPr>
          <w:color w:val="auto"/>
        </w:rPr>
      </w:pPr>
    </w:p>
    <w:p>
      <w:pPr>
        <w:pStyle w:val="13"/>
        <w:rPr>
          <w:color w:val="auto"/>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p>
    <w:p>
      <w:pPr>
        <w:tabs>
          <w:tab w:val="left" w:pos="900"/>
          <w:tab w:val="left" w:pos="1080"/>
        </w:tabs>
        <w:spacing w:line="300" w:lineRule="auto"/>
        <w:jc w:val="center"/>
        <w:outlineLvl w:val="0"/>
        <w:rPr>
          <w:rFonts w:ascii="Arial" w:hAnsi="Arial" w:cs="Arial"/>
          <w:b/>
          <w:sz w:val="24"/>
        </w:rPr>
      </w:pPr>
      <w:r>
        <w:rPr>
          <w:rFonts w:hint="eastAsia" w:ascii="Arial" w:hAnsi="Arial" w:cs="Arial"/>
          <w:b/>
          <w:sz w:val="24"/>
        </w:rPr>
        <w:t>目  录</w:t>
      </w:r>
    </w:p>
    <w:p>
      <w:pPr>
        <w:tabs>
          <w:tab w:val="left" w:pos="900"/>
          <w:tab w:val="left" w:pos="1080"/>
        </w:tabs>
        <w:spacing w:line="300" w:lineRule="auto"/>
        <w:jc w:val="center"/>
        <w:outlineLvl w:val="0"/>
        <w:rPr>
          <w:rFonts w:ascii="Arial" w:hAnsi="Arial" w:cs="Arial"/>
          <w:b/>
          <w:sz w:val="24"/>
        </w:rPr>
      </w:pPr>
    </w:p>
    <w:p>
      <w:pPr>
        <w:spacing w:line="360" w:lineRule="auto"/>
      </w:pPr>
      <w:r>
        <w:rPr>
          <w:rFonts w:hint="eastAsia"/>
        </w:rPr>
        <w:t>一、报价书</w:t>
      </w:r>
    </w:p>
    <w:p>
      <w:pPr>
        <w:spacing w:line="360" w:lineRule="auto"/>
      </w:pPr>
      <w:r>
        <w:rPr>
          <w:rFonts w:hint="eastAsia"/>
        </w:rPr>
        <w:t>二、法定代表人（单位负责人）身份证明及授权委托书</w:t>
      </w:r>
    </w:p>
    <w:p>
      <w:pPr>
        <w:spacing w:line="360" w:lineRule="auto"/>
      </w:pPr>
      <w:r>
        <w:rPr>
          <w:rFonts w:hint="eastAsia"/>
        </w:rPr>
        <w:t>三、比选申请单位有效的营业执照、资质证书等证明材料</w:t>
      </w:r>
    </w:p>
    <w:p>
      <w:pPr>
        <w:spacing w:line="360" w:lineRule="auto"/>
      </w:pPr>
      <w:r>
        <w:rPr>
          <w:rFonts w:hint="eastAsia"/>
        </w:rPr>
        <w:t>四、比选申请单位的业绩证明材料</w:t>
      </w:r>
    </w:p>
    <w:p>
      <w:pPr>
        <w:spacing w:line="360" w:lineRule="auto"/>
        <w:rPr>
          <w:rFonts w:hint="eastAsia"/>
        </w:rPr>
      </w:pPr>
      <w:r>
        <w:rPr>
          <w:rFonts w:hint="eastAsia"/>
          <w:lang w:val="en-US" w:eastAsia="zh-CN"/>
        </w:rPr>
        <w:t>五</w:t>
      </w:r>
      <w:r>
        <w:rPr>
          <w:rFonts w:hint="eastAsia"/>
        </w:rPr>
        <w:t>、比选申请单位技术部分</w:t>
      </w:r>
    </w:p>
    <w:p>
      <w:pPr>
        <w:spacing w:line="360" w:lineRule="auto"/>
        <w:rPr>
          <w:rFonts w:ascii="Calibri" w:hAnsi="Calibri"/>
          <w:color w:val="auto"/>
        </w:rPr>
      </w:pPr>
      <w:r>
        <w:rPr>
          <w:rFonts w:hint="eastAsia"/>
          <w:lang w:val="en-US" w:eastAsia="zh-CN"/>
        </w:rPr>
        <w:t>六</w:t>
      </w:r>
      <w:r>
        <w:rPr>
          <w:rFonts w:hint="eastAsia" w:ascii="Calibri" w:hAnsi="Calibri"/>
          <w:color w:val="0000FF"/>
        </w:rPr>
        <w:t>、</w:t>
      </w:r>
      <w:r>
        <w:rPr>
          <w:rFonts w:hint="eastAsia" w:ascii="Calibri" w:hAnsi="Calibri"/>
          <w:color w:val="auto"/>
        </w:rPr>
        <w:t>报价清单</w:t>
      </w:r>
    </w:p>
    <w:p>
      <w:pPr>
        <w:spacing w:line="360" w:lineRule="auto"/>
      </w:pPr>
      <w:r>
        <w:rPr>
          <w:rFonts w:hint="eastAsia"/>
          <w:lang w:eastAsia="zh-CN"/>
        </w:rPr>
        <w:t>七</w:t>
      </w:r>
      <w:r>
        <w:rPr>
          <w:rFonts w:hint="eastAsia"/>
        </w:rPr>
        <w:t>、其他材料</w:t>
      </w:r>
    </w:p>
    <w:p/>
    <w:p/>
    <w:p>
      <w:pPr>
        <w:rPr>
          <w:rFonts w:ascii="宋体" w:hAnsi="宋体" w:cs="宋体"/>
          <w:b/>
          <w:sz w:val="24"/>
        </w:rPr>
      </w:pPr>
    </w:p>
    <w:p/>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Pr>
        <w:rPr>
          <w:rFonts w:ascii="宋体" w:hAnsi="宋体" w:cs="宋体"/>
          <w:b/>
          <w:sz w:val="24"/>
        </w:rPr>
      </w:pPr>
    </w:p>
    <w:p/>
    <w:p/>
    <w:p/>
    <w:p/>
    <w:p/>
    <w:p/>
    <w:p>
      <w:bookmarkStart w:id="32" w:name="_Toc265510122"/>
    </w:p>
    <w:p/>
    <w:p>
      <w:pPr>
        <w:pStyle w:val="2"/>
      </w:pPr>
    </w:p>
    <w:p/>
    <w:p>
      <w:pPr>
        <w:tabs>
          <w:tab w:val="left" w:pos="900"/>
          <w:tab w:val="left" w:pos="1080"/>
        </w:tabs>
        <w:spacing w:line="300" w:lineRule="auto"/>
        <w:jc w:val="center"/>
        <w:outlineLvl w:val="0"/>
        <w:rPr>
          <w:rFonts w:ascii="宋体" w:hAnsi="宋体" w:cs="宋体"/>
          <w:b/>
          <w:sz w:val="28"/>
          <w:szCs w:val="28"/>
        </w:rPr>
      </w:pPr>
      <w:r>
        <w:rPr>
          <w:rFonts w:hint="eastAsia" w:ascii="宋体" w:hAnsi="宋体" w:cs="宋体"/>
          <w:b/>
          <w:sz w:val="28"/>
          <w:szCs w:val="28"/>
        </w:rPr>
        <w:t>一、报价书</w:t>
      </w:r>
      <w:bookmarkEnd w:id="32"/>
    </w:p>
    <w:p>
      <w:pPr>
        <w:spacing w:line="440" w:lineRule="exact"/>
        <w:rPr>
          <w:rFonts w:hint="eastAsia" w:ascii="宋体" w:hAnsi="宋体" w:eastAsiaTheme="minorEastAsia"/>
          <w:b/>
          <w:u w:val="single"/>
          <w:lang w:eastAsia="zh-CN"/>
        </w:rPr>
      </w:pPr>
      <w:r>
        <w:rPr>
          <w:rFonts w:hint="eastAsia" w:ascii="宋体" w:hAnsi="宋体"/>
          <w:b/>
          <w:u w:val="single"/>
        </w:rPr>
        <w:t>致：</w:t>
      </w:r>
      <w:r>
        <w:rPr>
          <w:rFonts w:hint="eastAsia" w:ascii="宋体" w:hAnsi="宋体"/>
          <w:b/>
          <w:u w:val="single"/>
          <w:lang w:eastAsia="zh-CN"/>
        </w:rPr>
        <w:t>重庆高速公路集团有限公司东南营运分公司</w:t>
      </w:r>
    </w:p>
    <w:p>
      <w:pPr>
        <w:spacing w:line="276" w:lineRule="auto"/>
        <w:ind w:firstLine="420" w:firstLineChars="200"/>
      </w:pPr>
    </w:p>
    <w:p>
      <w:pPr>
        <w:spacing w:line="276" w:lineRule="auto"/>
        <w:ind w:firstLine="420" w:firstLineChars="200"/>
        <w:rPr>
          <w:color w:val="auto"/>
        </w:rPr>
      </w:pPr>
      <w:r>
        <w:rPr>
          <w:rFonts w:hint="eastAsia"/>
          <w:color w:val="auto"/>
        </w:rPr>
        <w:t>1、我们已经仔细地研究了</w:t>
      </w:r>
      <w:r>
        <w:rPr>
          <w:rFonts w:hint="eastAsia"/>
          <w:color w:val="auto"/>
          <w:u w:val="single"/>
        </w:rPr>
        <w:t xml:space="preserve">          </w:t>
      </w:r>
      <w:r>
        <w:rPr>
          <w:rFonts w:hint="eastAsia"/>
          <w:color w:val="auto"/>
        </w:rPr>
        <w:t>（项目名称）竞争性比选文件的全部内容，包括但不限于比选申请人须知、合同条件、咨询工作要求，以及全部补遗和澄清文件。我们已了解并完全理解了比选文件规定的合同范围、工作要求、技术标准和要求，并考虑到了潜在所有风险。据此，我方愿意以人民币（大写）</w:t>
      </w:r>
      <w:r>
        <w:rPr>
          <w:color w:val="auto"/>
          <w:sz w:val="24"/>
          <w:u w:val="single"/>
        </w:rPr>
        <w:t xml:space="preserve">          </w:t>
      </w:r>
      <w:r>
        <w:rPr>
          <w:rFonts w:hint="eastAsia"/>
          <w:color w:val="auto"/>
          <w:sz w:val="24"/>
        </w:rPr>
        <w:t>（</w:t>
      </w:r>
      <w:r>
        <w:rPr>
          <w:color w:val="auto"/>
          <w:sz w:val="24"/>
        </w:rPr>
        <w:t>¥</w:t>
      </w:r>
      <w:r>
        <w:rPr>
          <w:color w:val="auto"/>
          <w:sz w:val="24"/>
          <w:u w:val="single"/>
        </w:rPr>
        <w:t xml:space="preserve">      </w:t>
      </w:r>
      <w:r>
        <w:rPr>
          <w:rFonts w:hint="eastAsia"/>
          <w:color w:val="auto"/>
          <w:sz w:val="24"/>
        </w:rPr>
        <w:t>）</w:t>
      </w:r>
      <w:r>
        <w:rPr>
          <w:color w:val="auto"/>
        </w:rPr>
        <w:t>的</w:t>
      </w:r>
      <w:r>
        <w:rPr>
          <w:rFonts w:hint="eastAsia"/>
          <w:color w:val="auto"/>
        </w:rPr>
        <w:t>竞标报价</w:t>
      </w:r>
      <w:r>
        <w:rPr>
          <w:rFonts w:hint="eastAsia"/>
          <w:color w:val="auto"/>
          <w:sz w:val="24"/>
        </w:rPr>
        <w:t>，</w:t>
      </w:r>
      <w:r>
        <w:rPr>
          <w:rFonts w:hint="eastAsia"/>
          <w:color w:val="auto"/>
        </w:rPr>
        <w:t>作为本工程咨询工作所需的全部费用。</w:t>
      </w:r>
    </w:p>
    <w:p>
      <w:pPr>
        <w:spacing w:line="276" w:lineRule="auto"/>
        <w:ind w:firstLine="420" w:firstLineChars="200"/>
        <w:rPr>
          <w:rFonts w:hint="eastAsia"/>
          <w:color w:val="auto"/>
        </w:rPr>
      </w:pPr>
      <w:r>
        <w:rPr>
          <w:rFonts w:hint="eastAsia"/>
          <w:color w:val="auto"/>
        </w:rPr>
        <w:t>2. 服务期：自竞争性比选人提供相应阶段的基础资料后</w:t>
      </w:r>
      <w:r>
        <w:rPr>
          <w:rFonts w:hint="eastAsia"/>
          <w:color w:val="auto"/>
          <w:u w:val="single"/>
          <w:lang w:val="en-US" w:eastAsia="zh-CN"/>
        </w:rPr>
        <w:t xml:space="preserve">    </w:t>
      </w:r>
      <w:r>
        <w:rPr>
          <w:rFonts w:hint="eastAsia"/>
          <w:color w:val="auto"/>
        </w:rPr>
        <w:t xml:space="preserve">日内提交审查合格的成果资料。 </w:t>
      </w:r>
    </w:p>
    <w:p>
      <w:pPr>
        <w:spacing w:line="276" w:lineRule="auto"/>
        <w:ind w:firstLine="420" w:firstLineChars="200"/>
        <w:rPr>
          <w:color w:val="auto"/>
        </w:rPr>
      </w:pPr>
      <w:r>
        <w:rPr>
          <w:rFonts w:hint="eastAsia"/>
          <w:color w:val="auto"/>
        </w:rPr>
        <w:t>3.如果贵方接受我单位中标，我单位保证在竞争性比选文件规定的期限内，按本比选申请配备的人员和设备开始本工程的咨询工作，否则，贵方有权单方面终止合同。</w:t>
      </w:r>
    </w:p>
    <w:p>
      <w:pPr>
        <w:spacing w:line="276" w:lineRule="auto"/>
        <w:ind w:firstLine="420" w:firstLineChars="200"/>
        <w:rPr>
          <w:color w:val="auto"/>
        </w:rPr>
      </w:pPr>
      <w:r>
        <w:rPr>
          <w:rFonts w:hint="eastAsia"/>
          <w:color w:val="auto"/>
        </w:rPr>
        <w:t>4.我们同意在从规定的递交比选申请文件截止之日起到投标有效期满前遵守本比选申请文件。且本比选申请文件一直对我们具有约束力，并可随时被接受中标。</w:t>
      </w:r>
    </w:p>
    <w:p>
      <w:pPr>
        <w:spacing w:line="276" w:lineRule="auto"/>
        <w:ind w:firstLine="420" w:firstLineChars="200"/>
        <w:rPr>
          <w:color w:val="auto"/>
        </w:rPr>
      </w:pPr>
      <w:r>
        <w:rPr>
          <w:rFonts w:hint="eastAsia"/>
          <w:color w:val="auto"/>
        </w:rPr>
        <w:t>5.如果我们中标，我们将及时签订合同。</w:t>
      </w:r>
    </w:p>
    <w:p>
      <w:pPr>
        <w:spacing w:line="276" w:lineRule="auto"/>
        <w:ind w:firstLine="420" w:firstLineChars="200"/>
        <w:rPr>
          <w:color w:val="auto"/>
        </w:rPr>
      </w:pPr>
      <w:r>
        <w:rPr>
          <w:rFonts w:hint="eastAsia"/>
          <w:color w:val="auto"/>
        </w:rPr>
        <w:t>6.在制定和签署一份正式协议书之前，本比选申请文件连同你方的书面成交通知，应构成在我们双方之间有约束力的合同。</w:t>
      </w:r>
    </w:p>
    <w:p>
      <w:pPr>
        <w:spacing w:line="276" w:lineRule="auto"/>
        <w:ind w:firstLine="420" w:firstLineChars="200"/>
        <w:rPr>
          <w:color w:val="auto"/>
        </w:rPr>
      </w:pPr>
      <w:r>
        <w:rPr>
          <w:rFonts w:hint="eastAsia"/>
          <w:color w:val="auto"/>
        </w:rPr>
        <w:t>7.我们声明，本比选申请文件的全部内容都已了解和熟悉，并承诺成交后严格按此竞争性比选申请文件执行。</w:t>
      </w:r>
    </w:p>
    <w:p>
      <w:pPr>
        <w:spacing w:line="276" w:lineRule="auto"/>
        <w:ind w:firstLine="3675" w:firstLineChars="1750"/>
        <w:rPr>
          <w:color w:val="auto"/>
          <w:szCs w:val="21"/>
        </w:rPr>
      </w:pPr>
    </w:p>
    <w:p>
      <w:pPr>
        <w:spacing w:line="276" w:lineRule="auto"/>
        <w:ind w:firstLine="3255" w:firstLineChars="1550"/>
        <w:rPr>
          <w:color w:val="auto"/>
          <w:szCs w:val="21"/>
        </w:rPr>
      </w:pPr>
      <w:r>
        <w:rPr>
          <w:rFonts w:hint="eastAsia"/>
          <w:color w:val="auto"/>
          <w:szCs w:val="21"/>
        </w:rPr>
        <w:t>比选申请人</w:t>
      </w:r>
      <w:r>
        <w:rPr>
          <w:color w:val="auto"/>
          <w:szCs w:val="21"/>
        </w:rPr>
        <w:t>：</w:t>
      </w:r>
      <w:r>
        <w:rPr>
          <w:color w:val="auto"/>
          <w:szCs w:val="21"/>
          <w:u w:val="single"/>
        </w:rPr>
        <w:t xml:space="preserve">                      </w:t>
      </w:r>
      <w:r>
        <w:rPr>
          <w:color w:val="auto"/>
          <w:szCs w:val="21"/>
        </w:rPr>
        <w:t>（盖单位章）</w:t>
      </w:r>
    </w:p>
    <w:p>
      <w:pPr>
        <w:spacing w:line="276" w:lineRule="auto"/>
        <w:ind w:firstLine="3255" w:firstLineChars="1550"/>
        <w:rPr>
          <w:color w:val="auto"/>
          <w:szCs w:val="21"/>
        </w:rPr>
      </w:pPr>
      <w:r>
        <w:rPr>
          <w:rFonts w:hint="eastAsia"/>
          <w:color w:val="auto"/>
          <w:szCs w:val="21"/>
        </w:rPr>
        <w:t>法定代表人（单位负责人）</w:t>
      </w:r>
      <w:r>
        <w:rPr>
          <w:color w:val="auto"/>
          <w:szCs w:val="21"/>
        </w:rPr>
        <w:t>或其委托代理人：</w:t>
      </w:r>
      <w:r>
        <w:rPr>
          <w:color w:val="auto"/>
          <w:szCs w:val="21"/>
          <w:u w:val="single"/>
        </w:rPr>
        <w:t xml:space="preserve">    </w:t>
      </w:r>
      <w:r>
        <w:rPr>
          <w:color w:val="auto"/>
          <w:szCs w:val="21"/>
        </w:rPr>
        <w:t>（签字）</w:t>
      </w:r>
    </w:p>
    <w:p>
      <w:pPr>
        <w:spacing w:line="276" w:lineRule="auto"/>
        <w:ind w:firstLine="3255" w:firstLineChars="1550"/>
        <w:rPr>
          <w:color w:val="auto"/>
          <w:szCs w:val="21"/>
        </w:rPr>
      </w:pPr>
      <w:r>
        <w:rPr>
          <w:color w:val="auto"/>
          <w:szCs w:val="21"/>
        </w:rPr>
        <w:t>地址：</w:t>
      </w:r>
      <w:r>
        <w:rPr>
          <w:color w:val="auto"/>
          <w:szCs w:val="21"/>
          <w:u w:val="single"/>
        </w:rPr>
        <w:t xml:space="preserve">                                     </w:t>
      </w:r>
    </w:p>
    <w:p>
      <w:pPr>
        <w:spacing w:line="276" w:lineRule="auto"/>
        <w:ind w:firstLine="3255" w:firstLineChars="1550"/>
        <w:rPr>
          <w:color w:val="auto"/>
          <w:szCs w:val="21"/>
        </w:rPr>
      </w:pPr>
      <w:r>
        <w:rPr>
          <w:color w:val="auto"/>
          <w:szCs w:val="21"/>
        </w:rPr>
        <w:t>网址：</w:t>
      </w:r>
      <w:r>
        <w:rPr>
          <w:color w:val="auto"/>
          <w:szCs w:val="21"/>
          <w:u w:val="single"/>
        </w:rPr>
        <w:t xml:space="preserve">                                     </w:t>
      </w:r>
    </w:p>
    <w:p>
      <w:pPr>
        <w:spacing w:line="276" w:lineRule="auto"/>
        <w:ind w:firstLine="3255" w:firstLineChars="1550"/>
        <w:rPr>
          <w:color w:val="auto"/>
          <w:szCs w:val="21"/>
        </w:rPr>
      </w:pPr>
      <w:r>
        <w:rPr>
          <w:color w:val="auto"/>
          <w:szCs w:val="21"/>
        </w:rPr>
        <w:t>电话：</w:t>
      </w:r>
      <w:r>
        <w:rPr>
          <w:color w:val="auto"/>
          <w:szCs w:val="21"/>
          <w:u w:val="single"/>
        </w:rPr>
        <w:t xml:space="preserve">                                     </w:t>
      </w:r>
    </w:p>
    <w:p>
      <w:pPr>
        <w:spacing w:line="276" w:lineRule="auto"/>
        <w:ind w:firstLine="3255" w:firstLineChars="1550"/>
        <w:rPr>
          <w:color w:val="auto"/>
          <w:szCs w:val="21"/>
        </w:rPr>
      </w:pPr>
      <w:r>
        <w:rPr>
          <w:color w:val="auto"/>
          <w:szCs w:val="21"/>
        </w:rPr>
        <w:t>传真：</w:t>
      </w:r>
      <w:r>
        <w:rPr>
          <w:color w:val="auto"/>
          <w:szCs w:val="21"/>
          <w:u w:val="single"/>
        </w:rPr>
        <w:t xml:space="preserve">                                     </w:t>
      </w:r>
    </w:p>
    <w:p>
      <w:pPr>
        <w:spacing w:line="276" w:lineRule="auto"/>
        <w:ind w:firstLine="3255" w:firstLineChars="1550"/>
        <w:rPr>
          <w:color w:val="auto"/>
          <w:szCs w:val="21"/>
        </w:rPr>
      </w:pPr>
      <w:r>
        <w:rPr>
          <w:color w:val="auto"/>
          <w:szCs w:val="21"/>
        </w:rPr>
        <w:t>邮政编码：</w:t>
      </w:r>
      <w:r>
        <w:rPr>
          <w:color w:val="auto"/>
          <w:szCs w:val="21"/>
          <w:u w:val="single"/>
        </w:rPr>
        <w:t xml:space="preserve">                                 </w:t>
      </w:r>
    </w:p>
    <w:p>
      <w:pPr>
        <w:spacing w:line="276" w:lineRule="auto"/>
        <w:ind w:firstLine="3675" w:firstLineChars="1750"/>
        <w:rPr>
          <w:color w:val="auto"/>
          <w:szCs w:val="21"/>
        </w:rPr>
      </w:pPr>
    </w:p>
    <w:p>
      <w:pPr>
        <w:spacing w:line="276" w:lineRule="auto"/>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00" w:lineRule="atLeast"/>
        <w:jc w:val="center"/>
        <w:rPr>
          <w:rFonts w:ascii="宋体" w:hAnsi="宋体" w:cs="宋体"/>
          <w:b/>
          <w:color w:val="auto"/>
          <w:sz w:val="28"/>
          <w:szCs w:val="28"/>
        </w:rPr>
      </w:pPr>
    </w:p>
    <w:p>
      <w:pPr>
        <w:spacing w:line="400" w:lineRule="atLeast"/>
        <w:jc w:val="center"/>
        <w:rPr>
          <w:rFonts w:ascii="宋体" w:hAnsi="宋体" w:cs="宋体"/>
          <w:b/>
          <w:color w:val="auto"/>
          <w:sz w:val="28"/>
          <w:szCs w:val="28"/>
        </w:rPr>
        <w:sectPr>
          <w:pgSz w:w="11906" w:h="16838"/>
          <w:pgMar w:top="1418" w:right="1725" w:bottom="1418" w:left="1781" w:header="851" w:footer="992" w:gutter="0"/>
          <w:cols w:space="720" w:num="1"/>
          <w:docGrid w:type="lines" w:linePitch="312" w:charSpace="0"/>
        </w:sectPr>
      </w:pP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二、法定代表人（单位负责人）身份证明及授权委托书</w:t>
      </w:r>
    </w:p>
    <w:p>
      <w:pPr>
        <w:spacing w:line="440" w:lineRule="exact"/>
        <w:rPr>
          <w:rFonts w:ascii="宋体" w:hAnsi="宋体" w:cs="宋体"/>
          <w:color w:val="auto"/>
          <w:sz w:val="20"/>
        </w:rPr>
      </w:pPr>
    </w:p>
    <w:p>
      <w:pPr>
        <w:topLinePunct/>
        <w:spacing w:line="440" w:lineRule="exact"/>
        <w:ind w:firstLine="422" w:firstLineChars="200"/>
        <w:jc w:val="center"/>
        <w:outlineLvl w:val="2"/>
        <w:rPr>
          <w:b/>
          <w:color w:val="auto"/>
          <w:szCs w:val="21"/>
        </w:rPr>
      </w:pPr>
      <w:bookmarkStart w:id="33" w:name="_Toc262547328"/>
      <w:r>
        <w:rPr>
          <w:rFonts w:hint="eastAsia"/>
          <w:b/>
          <w:color w:val="auto"/>
          <w:szCs w:val="21"/>
        </w:rPr>
        <w:t>（一）法定代表人（单位负责人）身份证明</w:t>
      </w:r>
      <w:bookmarkEnd w:id="3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r>
        <w:rPr>
          <w:color w:val="auto"/>
          <w:szCs w:val="21"/>
        </w:rPr>
        <w:t xml:space="preserve">                             </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（法定代表人（单位负责人）手签）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（比选申请人名称）的法定代表人（单位负责人）。</w:t>
      </w:r>
    </w:p>
    <w:p>
      <w:pPr>
        <w:spacing w:line="440" w:lineRule="exact"/>
        <w:ind w:firstLine="420" w:firstLineChars="200"/>
        <w:rPr>
          <w:color w:val="auto"/>
          <w:szCs w:val="21"/>
        </w:rPr>
      </w:pPr>
      <w:r>
        <w:rPr>
          <w:rFonts w:hint="eastAsia"/>
          <w:color w:val="auto"/>
          <w:szCs w:val="21"/>
        </w:rPr>
        <w:t>特此证明。</w:t>
      </w:r>
    </w:p>
    <w:p>
      <w:pPr>
        <w:spacing w:line="440" w:lineRule="exact"/>
        <w:rPr>
          <w:b/>
          <w:color w:val="auto"/>
          <w:szCs w:val="21"/>
        </w:rPr>
      </w:pPr>
      <w:r>
        <w:rPr>
          <w:b/>
          <w:color w:val="auto"/>
          <w:szCs w:val="21"/>
        </w:rPr>
        <w:t>附</w:t>
      </w:r>
      <w:r>
        <w:rPr>
          <w:rFonts w:hint="eastAsia"/>
          <w:b/>
          <w:color w:val="auto"/>
          <w:szCs w:val="21"/>
        </w:rPr>
        <w:t>：法定代表人（单位负责人）身份证明</w:t>
      </w:r>
    </w:p>
    <w:p>
      <w:pPr>
        <w:rPr>
          <w:color w:val="auto"/>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p>
    <w:p>
      <w:pPr>
        <w:ind w:firstLine="105" w:firstLineChars="50"/>
        <w:rPr>
          <w:rFonts w:ascii="宋体" w:hAnsi="宋体"/>
          <w:color w:val="auto"/>
          <w:szCs w:val="21"/>
        </w:rPr>
      </w:pPr>
      <w:r>
        <w:rPr>
          <w:rFonts w:hint="eastAsia" w:ascii="宋体" w:hAnsi="宋体"/>
          <w:color w:val="auto"/>
          <w:szCs w:val="21"/>
        </w:rPr>
        <w:t>注：法定代表人（单位负责人）的签字必须是亲笔签名，不得用印章、签名章或其他电子制版签名。</w:t>
      </w:r>
    </w:p>
    <w:p>
      <w:pPr>
        <w:topLinePunct/>
        <w:spacing w:line="440" w:lineRule="exact"/>
        <w:jc w:val="center"/>
        <w:outlineLvl w:val="2"/>
        <w:rPr>
          <w:rFonts w:ascii="宋体" w:hAnsi="宋体" w:cs="宋体"/>
          <w:b/>
          <w:color w:val="auto"/>
          <w:szCs w:val="21"/>
        </w:rPr>
      </w:pPr>
      <w:r>
        <w:rPr>
          <w:rFonts w:hint="eastAsia" w:ascii="宋体" w:hAnsi="宋体" w:cs="宋体"/>
          <w:color w:val="auto"/>
          <w:sz w:val="20"/>
        </w:rPr>
        <w:br w:type="page"/>
      </w:r>
      <w:bookmarkStart w:id="34" w:name="_Toc262547329"/>
      <w:r>
        <w:rPr>
          <w:rFonts w:hint="eastAsia" w:ascii="宋体" w:hAnsi="宋体" w:cs="宋体"/>
          <w:b/>
          <w:color w:val="auto"/>
          <w:szCs w:val="21"/>
        </w:rPr>
        <w:t>（二）授权委托书</w:t>
      </w:r>
      <w:bookmarkEnd w:id="34"/>
      <w:r>
        <w:rPr>
          <w:rFonts w:hint="eastAsia" w:ascii="宋体" w:hAnsi="宋体" w:cs="宋体"/>
          <w:b/>
          <w:color w:val="auto"/>
          <w:szCs w:val="21"/>
        </w:rPr>
        <w:t xml:space="preserve"> </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w:t>
      </w:r>
      <w:r>
        <w:rPr>
          <w:rFonts w:hint="eastAsia"/>
          <w:color w:val="auto"/>
          <w:szCs w:val="21"/>
        </w:rPr>
        <w:t>法定代表人（单位负责人）</w:t>
      </w:r>
      <w:r>
        <w:rPr>
          <w:rFonts w:hint="eastAsia" w:ascii="宋体" w:hAnsi="宋体" w:cs="宋体"/>
          <w:color w:val="auto"/>
          <w:kern w:val="0"/>
          <w:szCs w:val="21"/>
        </w:rPr>
        <w:t>，现委托</w:t>
      </w:r>
      <w:r>
        <w:rPr>
          <w:rFonts w:hint="eastAsia" w:ascii="宋体" w:hAnsi="宋体" w:cs="宋体"/>
          <w:color w:val="auto"/>
          <w:kern w:val="0"/>
          <w:szCs w:val="21"/>
          <w:u w:val="single"/>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（姓名）为我方代理人。代理人根据授权，以我方名义签署、澄清、说明、补正、递交、撤回、修改</w:t>
      </w:r>
      <w:r>
        <w:rPr>
          <w:rFonts w:hint="eastAsia" w:ascii="宋体" w:hAnsi="宋体" w:cs="宋体"/>
          <w:color w:val="auto"/>
          <w:kern w:val="0"/>
          <w:szCs w:val="21"/>
          <w:u w:val="single"/>
        </w:rPr>
        <w:t xml:space="preserve">     （项目名称）</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kern w:val="0"/>
          <w:szCs w:val="21"/>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宋体"/>
          <w:b/>
          <w:bCs/>
          <w:color w:val="auto"/>
          <w:kern w:val="0"/>
          <w:szCs w:val="21"/>
        </w:rPr>
      </w:pPr>
      <w:r>
        <w:rPr>
          <w:rFonts w:hint="eastAsia" w:ascii="宋体" w:hAnsi="宋体" w:cs="宋体"/>
          <w:b/>
          <w:bCs/>
          <w:color w:val="auto"/>
          <w:kern w:val="0"/>
          <w:szCs w:val="21"/>
        </w:rPr>
        <w:t>附：</w:t>
      </w:r>
      <w:r>
        <w:rPr>
          <w:rFonts w:hint="eastAsia"/>
          <w:b/>
          <w:color w:val="auto"/>
          <w:szCs w:val="21"/>
        </w:rPr>
        <w:t>法定代表人（单位负责人）及授权人的</w:t>
      </w:r>
      <w:r>
        <w:rPr>
          <w:rFonts w:hint="eastAsia" w:ascii="宋体" w:hAnsi="宋体" w:cs="宋体"/>
          <w:b/>
          <w:bCs/>
          <w:color w:val="auto"/>
          <w:kern w:val="0"/>
          <w:szCs w:val="21"/>
        </w:rPr>
        <w:t>身份证明。</w:t>
      </w:r>
    </w:p>
    <w:p>
      <w:pPr>
        <w:autoSpaceDE w:val="0"/>
        <w:autoSpaceDN w:val="0"/>
        <w:adjustRightInd w:val="0"/>
        <w:snapToGrid w:val="0"/>
        <w:spacing w:line="360" w:lineRule="auto"/>
        <w:jc w:val="left"/>
        <w:rPr>
          <w:rFonts w:ascii="宋体" w:hAnsi="宋体" w:cs="宋体"/>
          <w:color w:val="auto"/>
          <w:kern w:val="0"/>
          <w:sz w:val="12"/>
          <w:szCs w:val="12"/>
        </w:rPr>
      </w:pPr>
    </w:p>
    <w:p>
      <w:pPr>
        <w:autoSpaceDE w:val="0"/>
        <w:autoSpaceDN w:val="0"/>
        <w:adjustRightInd w:val="0"/>
        <w:snapToGrid w:val="0"/>
        <w:spacing w:line="360" w:lineRule="auto"/>
        <w:jc w:val="left"/>
        <w:rPr>
          <w:rFonts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color w:val="auto"/>
          <w:szCs w:val="21"/>
        </w:rPr>
        <w:t>法定代表人（单位负责人）</w:t>
      </w:r>
      <w:r>
        <w:rPr>
          <w:rFonts w:hint="eastAsia" w:ascii="宋体" w:hAnsi="宋体" w:cs="宋体"/>
          <w:color w:val="auto"/>
          <w:kern w:val="0"/>
          <w:szCs w:val="21"/>
        </w:rPr>
        <w:t>：</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0"/>
        </w:rPr>
      </w:pPr>
    </w:p>
    <w:p>
      <w:pPr>
        <w:autoSpaceDE w:val="0"/>
        <w:autoSpaceDN w:val="0"/>
        <w:adjustRightInd w:val="0"/>
        <w:snapToGrid w:val="0"/>
        <w:spacing w:line="360" w:lineRule="auto"/>
        <w:jc w:val="left"/>
        <w:rPr>
          <w:rFonts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ascii="宋体" w:hAnsi="宋体" w:cs="宋体"/>
          <w:color w:val="auto"/>
          <w:kern w:val="0"/>
          <w:szCs w:val="21"/>
        </w:rPr>
        <w:sectPr>
          <w:pgSz w:w="11906" w:h="16838"/>
          <w:pgMar w:top="1418" w:right="991" w:bottom="1418" w:left="1361" w:header="851" w:footer="992" w:gutter="0"/>
          <w:cols w:space="720" w:num="1"/>
          <w:docGrid w:type="lines" w:linePitch="312" w:charSpace="0"/>
        </w:sect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tabs>
          <w:tab w:val="left" w:pos="900"/>
          <w:tab w:val="left" w:pos="1080"/>
        </w:tabs>
        <w:spacing w:line="300" w:lineRule="auto"/>
        <w:jc w:val="center"/>
        <w:outlineLvl w:val="0"/>
        <w:rPr>
          <w:rFonts w:ascii="宋体" w:hAnsi="宋体" w:cs="宋体"/>
          <w:b/>
          <w:color w:val="auto"/>
          <w:sz w:val="28"/>
          <w:szCs w:val="28"/>
        </w:rPr>
        <w:sectPr>
          <w:pgSz w:w="11906" w:h="16838"/>
          <w:pgMar w:top="1418" w:right="991" w:bottom="1418" w:left="1361" w:header="851" w:footer="992" w:gutter="0"/>
          <w:cols w:space="720" w:num="1"/>
          <w:docGrid w:type="lines" w:linePitch="312" w:charSpace="0"/>
        </w:sectPr>
      </w:pPr>
      <w:r>
        <w:rPr>
          <w:rFonts w:hint="eastAsia" w:ascii="宋体" w:hAnsi="宋体" w:cs="宋体"/>
          <w:b/>
          <w:color w:val="auto"/>
          <w:sz w:val="28"/>
          <w:szCs w:val="28"/>
        </w:rPr>
        <w:t>三、比选申请单位有效的营业执照、资质证书等证明材料</w:t>
      </w:r>
    </w:p>
    <w:p>
      <w:pPr>
        <w:tabs>
          <w:tab w:val="left" w:pos="900"/>
          <w:tab w:val="left" w:pos="1080"/>
        </w:tabs>
        <w:spacing w:line="300" w:lineRule="auto"/>
        <w:jc w:val="center"/>
        <w:outlineLvl w:val="0"/>
        <w:rPr>
          <w:rFonts w:ascii="宋体" w:hAnsi="宋体" w:cs="宋体"/>
          <w:b/>
          <w:color w:val="auto"/>
          <w:sz w:val="28"/>
          <w:szCs w:val="28"/>
        </w:rPr>
        <w:sectPr>
          <w:headerReference r:id="rId5" w:type="default"/>
          <w:pgSz w:w="11906" w:h="16838"/>
          <w:pgMar w:top="1440" w:right="1800" w:bottom="1440" w:left="1800" w:header="851" w:footer="992" w:gutter="0"/>
          <w:cols w:space="720" w:num="1"/>
          <w:docGrid w:type="lines" w:linePitch="312" w:charSpace="0"/>
        </w:sectPr>
      </w:pPr>
      <w:r>
        <w:rPr>
          <w:rFonts w:hint="eastAsia" w:ascii="宋体" w:hAnsi="宋体" w:cs="宋体"/>
          <w:b/>
          <w:color w:val="auto"/>
          <w:sz w:val="28"/>
          <w:szCs w:val="28"/>
        </w:rPr>
        <w:t>四、比选申请单位的业绩证明材料</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lang w:val="en-US" w:eastAsia="zh-CN"/>
        </w:rPr>
        <w:t>五</w:t>
      </w:r>
      <w:r>
        <w:rPr>
          <w:rFonts w:hint="eastAsia" w:ascii="宋体" w:hAnsi="宋体" w:cs="宋体"/>
          <w:b/>
          <w:color w:val="auto"/>
          <w:sz w:val="28"/>
          <w:szCs w:val="28"/>
        </w:rPr>
        <w:t>、比选申请单位技术部分</w:t>
      </w:r>
    </w:p>
    <w:p>
      <w:pPr>
        <w:rPr>
          <w:b/>
          <w:bCs/>
          <w:color w:val="auto"/>
        </w:rPr>
      </w:pPr>
      <w:r>
        <w:rPr>
          <w:rFonts w:hint="eastAsia"/>
          <w:b/>
          <w:bCs/>
          <w:color w:val="auto"/>
          <w:lang w:val="en-US" w:eastAsia="zh-CN"/>
        </w:rPr>
        <w:t xml:space="preserve">            </w:t>
      </w:r>
      <w:r>
        <w:rPr>
          <w:rFonts w:hint="eastAsia"/>
          <w:b/>
          <w:bCs/>
          <w:color w:val="auto"/>
        </w:rPr>
        <w:t>由比选申请单位根据比选文件自行编制，格式自拟。</w:t>
      </w: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pStyle w:val="2"/>
        <w:tabs>
          <w:tab w:val="right" w:leader="dot" w:pos="8805"/>
        </w:tabs>
        <w:rPr>
          <w:color w:val="auto"/>
        </w:rPr>
      </w:pPr>
    </w:p>
    <w:p>
      <w:pPr>
        <w:rPr>
          <w:color w:val="auto"/>
        </w:rPr>
      </w:pPr>
    </w:p>
    <w:p>
      <w:pPr>
        <w:rPr>
          <w:color w:val="auto"/>
        </w:rPr>
      </w:pPr>
    </w:p>
    <w:p>
      <w:pPr>
        <w:tabs>
          <w:tab w:val="left" w:pos="900"/>
          <w:tab w:val="left" w:pos="1080"/>
        </w:tabs>
        <w:spacing w:line="360" w:lineRule="auto"/>
        <w:jc w:val="center"/>
        <w:outlineLvl w:val="0"/>
        <w:rPr>
          <w:b/>
          <w:bCs/>
          <w:color w:val="auto"/>
          <w:sz w:val="28"/>
          <w:szCs w:val="28"/>
        </w:rPr>
        <w:sectPr>
          <w:pgSz w:w="11906" w:h="16838"/>
          <w:pgMar w:top="1440" w:right="1800" w:bottom="1440" w:left="1800" w:header="851" w:footer="992" w:gutter="0"/>
          <w:cols w:space="720" w:num="1"/>
          <w:docGrid w:type="lines" w:linePitch="312" w:charSpace="0"/>
        </w:sectPr>
      </w:pPr>
    </w:p>
    <w:p>
      <w:pPr>
        <w:numPr>
          <w:ilvl w:val="0"/>
          <w:numId w:val="0"/>
        </w:numPr>
        <w:tabs>
          <w:tab w:val="left" w:pos="900"/>
          <w:tab w:val="left" w:pos="1080"/>
        </w:tabs>
        <w:spacing w:line="360" w:lineRule="auto"/>
        <w:jc w:val="center"/>
        <w:outlineLvl w:val="0"/>
        <w:rPr>
          <w:rFonts w:hint="eastAsia"/>
          <w:b/>
          <w:bCs/>
          <w:color w:val="auto"/>
          <w:sz w:val="28"/>
          <w:szCs w:val="28"/>
        </w:rPr>
      </w:pPr>
      <w:r>
        <w:rPr>
          <w:rFonts w:hint="eastAsia"/>
          <w:b/>
          <w:bCs/>
          <w:color w:val="auto"/>
          <w:sz w:val="28"/>
          <w:szCs w:val="28"/>
          <w:lang w:eastAsia="zh-CN"/>
        </w:rPr>
        <w:t>六、</w:t>
      </w:r>
      <w:r>
        <w:rPr>
          <w:rFonts w:hint="eastAsia"/>
          <w:b/>
          <w:bCs/>
          <w:color w:val="auto"/>
          <w:sz w:val="28"/>
          <w:szCs w:val="28"/>
        </w:rPr>
        <w:t>报价清单</w:t>
      </w:r>
    </w:p>
    <w:tbl>
      <w:tblPr>
        <w:tblStyle w:val="12"/>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588"/>
        <w:gridCol w:w="1087"/>
        <w:gridCol w:w="1113"/>
        <w:gridCol w:w="4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692" w:type="dxa"/>
          </w:tcPr>
          <w:p>
            <w:pPr>
              <w:pStyle w:val="2"/>
              <w:numPr>
                <w:ilvl w:val="0"/>
                <w:numId w:val="0"/>
              </w:numPr>
              <w:jc w:val="center"/>
              <w:rPr>
                <w:rFonts w:hint="eastAsia" w:eastAsiaTheme="minorEastAsia"/>
                <w:vertAlign w:val="baseline"/>
                <w:lang w:eastAsia="zh-CN"/>
              </w:rPr>
            </w:pPr>
            <w:r>
              <w:rPr>
                <w:rFonts w:hint="eastAsia"/>
                <w:vertAlign w:val="baseline"/>
                <w:lang w:eastAsia="zh-CN"/>
              </w:rPr>
              <w:t>序号</w:t>
            </w:r>
          </w:p>
        </w:tc>
        <w:tc>
          <w:tcPr>
            <w:tcW w:w="1588" w:type="dxa"/>
          </w:tcPr>
          <w:p>
            <w:pPr>
              <w:pStyle w:val="2"/>
              <w:numPr>
                <w:ilvl w:val="0"/>
                <w:numId w:val="0"/>
              </w:numPr>
              <w:jc w:val="center"/>
              <w:rPr>
                <w:rFonts w:hint="eastAsia" w:eastAsiaTheme="minorEastAsia"/>
                <w:vertAlign w:val="baseline"/>
                <w:lang w:eastAsia="zh-CN"/>
              </w:rPr>
            </w:pPr>
            <w:r>
              <w:rPr>
                <w:rFonts w:hint="eastAsia"/>
                <w:vertAlign w:val="baseline"/>
                <w:lang w:eastAsia="zh-CN"/>
              </w:rPr>
              <w:t>建安费</w:t>
            </w:r>
          </w:p>
        </w:tc>
        <w:tc>
          <w:tcPr>
            <w:tcW w:w="1087" w:type="dxa"/>
          </w:tcPr>
          <w:p>
            <w:pPr>
              <w:pStyle w:val="2"/>
              <w:numPr>
                <w:ilvl w:val="0"/>
                <w:numId w:val="0"/>
              </w:numPr>
              <w:jc w:val="center"/>
              <w:rPr>
                <w:rFonts w:hint="eastAsia" w:eastAsiaTheme="minorEastAsia"/>
                <w:vertAlign w:val="baseline"/>
                <w:lang w:eastAsia="zh-CN"/>
              </w:rPr>
            </w:pPr>
            <w:r>
              <w:rPr>
                <w:rFonts w:hint="eastAsia"/>
                <w:vertAlign w:val="baseline"/>
                <w:lang w:eastAsia="zh-CN"/>
              </w:rPr>
              <w:t>费率（</w:t>
            </w:r>
            <w:r>
              <w:rPr>
                <w:rFonts w:hint="eastAsia"/>
                <w:vertAlign w:val="baseline"/>
                <w:lang w:val="en-US" w:eastAsia="zh-CN"/>
              </w:rPr>
              <w:t>%</w:t>
            </w:r>
            <w:r>
              <w:rPr>
                <w:rFonts w:hint="eastAsia"/>
                <w:vertAlign w:val="baseline"/>
                <w:lang w:eastAsia="zh-CN"/>
              </w:rPr>
              <w:t>）</w:t>
            </w:r>
          </w:p>
        </w:tc>
        <w:tc>
          <w:tcPr>
            <w:tcW w:w="1113" w:type="dxa"/>
          </w:tcPr>
          <w:p>
            <w:pPr>
              <w:pStyle w:val="2"/>
              <w:numPr>
                <w:ilvl w:val="0"/>
                <w:numId w:val="0"/>
              </w:numPr>
              <w:jc w:val="center"/>
              <w:rPr>
                <w:rFonts w:hint="eastAsia" w:eastAsiaTheme="minorEastAsia"/>
                <w:vertAlign w:val="baseline"/>
                <w:lang w:eastAsia="zh-CN"/>
              </w:rPr>
            </w:pPr>
            <w:r>
              <w:rPr>
                <w:rFonts w:hint="eastAsia"/>
                <w:vertAlign w:val="baseline"/>
                <w:lang w:eastAsia="zh-CN"/>
              </w:rPr>
              <w:t>总报价</w:t>
            </w:r>
          </w:p>
        </w:tc>
        <w:tc>
          <w:tcPr>
            <w:tcW w:w="4280" w:type="dxa"/>
          </w:tcPr>
          <w:p>
            <w:pPr>
              <w:pStyle w:val="2"/>
              <w:numPr>
                <w:ilvl w:val="0"/>
                <w:numId w:val="0"/>
              </w:numPr>
              <w:jc w:val="center"/>
              <w:rPr>
                <w:rFonts w:hint="eastAsia" w:eastAsiaTheme="minorEastAsia"/>
                <w:vertAlign w:val="baseline"/>
                <w:lang w:eastAsia="zh-CN"/>
              </w:rPr>
            </w:pPr>
            <w:r>
              <w:rPr>
                <w:rFonts w:hint="eastAsia"/>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692" w:type="dxa"/>
            <w:vAlign w:val="center"/>
          </w:tcPr>
          <w:p>
            <w:pPr>
              <w:pStyle w:val="2"/>
              <w:numPr>
                <w:ilvl w:val="0"/>
                <w:numId w:val="0"/>
              </w:numPr>
              <w:jc w:val="center"/>
              <w:rPr>
                <w:rFonts w:hint="eastAsia" w:eastAsiaTheme="minorEastAsia"/>
                <w:vertAlign w:val="baseline"/>
                <w:lang w:val="en-US" w:eastAsia="zh-CN"/>
              </w:rPr>
            </w:pPr>
            <w:r>
              <w:rPr>
                <w:rFonts w:hint="eastAsia"/>
                <w:vertAlign w:val="baseline"/>
                <w:lang w:val="en-US" w:eastAsia="zh-CN"/>
              </w:rPr>
              <w:t>1</w:t>
            </w:r>
          </w:p>
        </w:tc>
        <w:tc>
          <w:tcPr>
            <w:tcW w:w="1588" w:type="dxa"/>
            <w:vAlign w:val="center"/>
          </w:tcPr>
          <w:p>
            <w:pPr>
              <w:pStyle w:val="2"/>
              <w:numPr>
                <w:ilvl w:val="0"/>
                <w:numId w:val="0"/>
              </w:numPr>
              <w:jc w:val="center"/>
              <w:rPr>
                <w:vertAlign w:val="baseline"/>
              </w:rPr>
            </w:pPr>
            <w:r>
              <w:rPr>
                <w:rFonts w:hint="eastAsia" w:asciiTheme="majorEastAsia" w:hAnsiTheme="majorEastAsia" w:eastAsiaTheme="majorEastAsia" w:cstheme="majorEastAsia"/>
                <w:b w:val="0"/>
                <w:i w:val="0"/>
                <w:caps w:val="0"/>
                <w:spacing w:val="0"/>
                <w:w w:val="100"/>
                <w:sz w:val="24"/>
                <w:highlight w:val="none"/>
                <w:lang w:eastAsia="zh-CN"/>
              </w:rPr>
              <w:t>1225.4万元</w:t>
            </w:r>
          </w:p>
        </w:tc>
        <w:tc>
          <w:tcPr>
            <w:tcW w:w="1087" w:type="dxa"/>
            <w:vAlign w:val="center"/>
          </w:tcPr>
          <w:p>
            <w:pPr>
              <w:pStyle w:val="2"/>
              <w:numPr>
                <w:ilvl w:val="0"/>
                <w:numId w:val="0"/>
              </w:numPr>
              <w:jc w:val="center"/>
              <w:rPr>
                <w:vertAlign w:val="baseline"/>
              </w:rPr>
            </w:pPr>
          </w:p>
        </w:tc>
        <w:tc>
          <w:tcPr>
            <w:tcW w:w="1113" w:type="dxa"/>
            <w:vAlign w:val="center"/>
          </w:tcPr>
          <w:p>
            <w:pPr>
              <w:pStyle w:val="2"/>
              <w:numPr>
                <w:ilvl w:val="0"/>
                <w:numId w:val="0"/>
              </w:numPr>
              <w:jc w:val="center"/>
              <w:rPr>
                <w:vertAlign w:val="baseline"/>
              </w:rPr>
            </w:pPr>
          </w:p>
        </w:tc>
        <w:tc>
          <w:tcPr>
            <w:tcW w:w="4280" w:type="dxa"/>
            <w:vAlign w:val="center"/>
          </w:tcPr>
          <w:p>
            <w:pPr>
              <w:pStyle w:val="2"/>
              <w:numPr>
                <w:ilvl w:val="0"/>
                <w:numId w:val="0"/>
              </w:numPr>
              <w:jc w:val="left"/>
              <w:rPr>
                <w:rFonts w:hint="eastAsia" w:asciiTheme="majorEastAsia" w:hAnsiTheme="majorEastAsia" w:eastAsiaTheme="majorEastAsia" w:cstheme="majorEastAsia"/>
                <w:b w:val="0"/>
                <w:i w:val="0"/>
                <w:caps w:val="0"/>
                <w:spacing w:val="0"/>
                <w:w w:val="100"/>
                <w:sz w:val="24"/>
                <w:highlight w:val="none"/>
                <w:lang w:eastAsia="zh-CN"/>
              </w:rPr>
            </w:pPr>
            <w:r>
              <w:rPr>
                <w:rFonts w:hint="eastAsia" w:asciiTheme="majorEastAsia" w:hAnsiTheme="majorEastAsia" w:eastAsiaTheme="majorEastAsia" w:cstheme="majorEastAsia"/>
                <w:b w:val="0"/>
                <w:i w:val="0"/>
                <w:caps w:val="0"/>
                <w:spacing w:val="0"/>
                <w:w w:val="100"/>
                <w:sz w:val="24"/>
                <w:highlight w:val="none"/>
                <w:lang w:val="en-US" w:eastAsia="zh-CN"/>
              </w:rPr>
              <w:t>1.本项目设计费计算基数（建安费）暂定</w:t>
            </w:r>
            <w:r>
              <w:rPr>
                <w:rFonts w:hint="eastAsia" w:asciiTheme="majorEastAsia" w:hAnsiTheme="majorEastAsia" w:eastAsiaTheme="majorEastAsia" w:cstheme="majorEastAsia"/>
                <w:b w:val="0"/>
                <w:i w:val="0"/>
                <w:caps w:val="0"/>
                <w:spacing w:val="0"/>
                <w:w w:val="100"/>
                <w:sz w:val="24"/>
                <w:highlight w:val="none"/>
                <w:lang w:eastAsia="zh-CN"/>
              </w:rPr>
              <w:t>1225.4万元，仅作为比选申请人共同报价的基础，不得修改，否则按否决投标处理；</w:t>
            </w:r>
          </w:p>
          <w:p>
            <w:pPr>
              <w:pStyle w:val="2"/>
              <w:numPr>
                <w:ilvl w:val="0"/>
                <w:numId w:val="0"/>
              </w:numPr>
              <w:jc w:val="center"/>
              <w:rPr>
                <w:rFonts w:hint="eastAsia"/>
                <w:lang w:val="en-US" w:eastAsia="zh-CN"/>
              </w:rPr>
            </w:pPr>
            <w:r>
              <w:rPr>
                <w:rFonts w:hint="eastAsia" w:asciiTheme="majorEastAsia" w:hAnsiTheme="majorEastAsia" w:eastAsiaTheme="majorEastAsia" w:cstheme="majorEastAsia"/>
                <w:b w:val="0"/>
                <w:i w:val="0"/>
                <w:caps w:val="0"/>
                <w:spacing w:val="0"/>
                <w:w w:val="100"/>
                <w:sz w:val="24"/>
                <w:highlight w:val="none"/>
                <w:lang w:val="en-US" w:eastAsia="zh-CN"/>
              </w:rPr>
              <w:t>2.以通过评审后的施工图设计文件建安费乘以成交费率作为结算金额。若结算金额大于竞争性比选文件发布限价，则以竞争性比选文件发布的限价结算；若结算金额小于竞争性比选文件发布限价，则结算金额以评审后的施工图设计文件建安费乘以成交费率据实结算。</w:t>
            </w:r>
          </w:p>
        </w:tc>
      </w:tr>
    </w:tbl>
    <w:p>
      <w:pPr>
        <w:pStyle w:val="2"/>
        <w:numPr>
          <w:ilvl w:val="0"/>
          <w:numId w:val="0"/>
        </w:numPr>
      </w:pPr>
    </w:p>
    <w:p/>
    <w:p>
      <w:pPr>
        <w:rPr>
          <w:color w:val="auto"/>
        </w:rPr>
      </w:pPr>
    </w:p>
    <w:p>
      <w:pPr>
        <w:rPr>
          <w:b/>
          <w:bCs/>
          <w:color w:val="auto"/>
          <w:sz w:val="28"/>
          <w:szCs w:val="28"/>
        </w:rPr>
      </w:pPr>
    </w:p>
    <w:p>
      <w:pPr>
        <w:pStyle w:val="2"/>
        <w:tabs>
          <w:tab w:val="right" w:leader="dot" w:pos="8805"/>
        </w:tabs>
        <w:rPr>
          <w:color w:val="auto"/>
          <w:sz w:val="28"/>
          <w:szCs w:val="28"/>
        </w:rPr>
      </w:pPr>
    </w:p>
    <w:p>
      <w:pPr>
        <w:rPr>
          <w:b/>
          <w:bCs/>
          <w:color w:val="auto"/>
          <w:sz w:val="28"/>
          <w:szCs w:val="28"/>
        </w:rPr>
      </w:pPr>
    </w:p>
    <w:p>
      <w:pPr>
        <w:pStyle w:val="2"/>
        <w:tabs>
          <w:tab w:val="right" w:leader="dot" w:pos="8805"/>
        </w:tabs>
        <w:rPr>
          <w:color w:val="auto"/>
          <w:sz w:val="28"/>
          <w:szCs w:val="28"/>
        </w:rPr>
      </w:pPr>
    </w:p>
    <w:p>
      <w:pPr>
        <w:rPr>
          <w:b/>
          <w:bCs/>
          <w:color w:val="auto"/>
          <w:sz w:val="28"/>
          <w:szCs w:val="28"/>
        </w:rPr>
      </w:pPr>
    </w:p>
    <w:p>
      <w:pPr>
        <w:pStyle w:val="2"/>
        <w:rPr>
          <w:b/>
          <w:bCs/>
          <w:color w:val="auto"/>
          <w:sz w:val="28"/>
          <w:szCs w:val="28"/>
        </w:rPr>
      </w:pPr>
    </w:p>
    <w:p>
      <w:pPr>
        <w:rPr>
          <w:b/>
          <w:bCs/>
          <w:color w:val="auto"/>
          <w:sz w:val="28"/>
          <w:szCs w:val="28"/>
        </w:rPr>
      </w:pPr>
    </w:p>
    <w:p>
      <w:pPr>
        <w:pStyle w:val="2"/>
        <w:rPr>
          <w:b/>
          <w:bCs/>
          <w:color w:val="auto"/>
          <w:sz w:val="28"/>
          <w:szCs w:val="28"/>
        </w:rPr>
      </w:pPr>
    </w:p>
    <w:p/>
    <w:p>
      <w:pPr>
        <w:pStyle w:val="2"/>
        <w:tabs>
          <w:tab w:val="right" w:leader="dot" w:pos="8805"/>
        </w:tabs>
        <w:rPr>
          <w:color w:val="auto"/>
          <w:sz w:val="28"/>
          <w:szCs w:val="28"/>
        </w:rPr>
      </w:pPr>
    </w:p>
    <w:p>
      <w:pPr>
        <w:tabs>
          <w:tab w:val="left" w:pos="900"/>
          <w:tab w:val="left" w:pos="1080"/>
        </w:tabs>
        <w:spacing w:line="360" w:lineRule="auto"/>
        <w:jc w:val="center"/>
        <w:outlineLvl w:val="0"/>
        <w:rPr>
          <w:b/>
          <w:bCs/>
          <w:color w:val="auto"/>
          <w:sz w:val="28"/>
          <w:szCs w:val="28"/>
        </w:rPr>
      </w:pPr>
      <w:r>
        <w:rPr>
          <w:rFonts w:hint="eastAsia"/>
          <w:b/>
          <w:bCs/>
          <w:color w:val="auto"/>
          <w:sz w:val="28"/>
          <w:szCs w:val="28"/>
          <w:lang w:eastAsia="zh-CN"/>
        </w:rPr>
        <w:t>七</w:t>
      </w:r>
      <w:r>
        <w:rPr>
          <w:rFonts w:hint="eastAsia"/>
          <w:b/>
          <w:bCs/>
          <w:color w:val="auto"/>
          <w:sz w:val="28"/>
          <w:szCs w:val="28"/>
        </w:rPr>
        <w:t>、其他材料</w:t>
      </w:r>
    </w:p>
    <w:p>
      <w:pPr>
        <w:pStyle w:val="2"/>
        <w:tabs>
          <w:tab w:val="right" w:leader="dot" w:pos="8805"/>
        </w:tabs>
        <w:rPr>
          <w:color w:val="auto"/>
        </w:rPr>
      </w:pPr>
      <w:r>
        <w:rPr>
          <w:rFonts w:hint="eastAsia"/>
          <w:color w:val="auto"/>
        </w:rPr>
        <w:t>由比选申请人自行提供，格式自拟。</w:t>
      </w:r>
    </w:p>
    <w:p>
      <w:pPr>
        <w:rPr>
          <w:rFonts w:ascii="宋体" w:hAnsi="宋体"/>
          <w:b/>
          <w:color w:val="auto"/>
          <w:sz w:val="36"/>
        </w:rPr>
      </w:pPr>
    </w:p>
    <w:p>
      <w:pPr>
        <w:rPr>
          <w:rFonts w:hint="eastAsia"/>
          <w:lang w:val="en-US" w:eastAsia="zh-CN"/>
        </w:rPr>
      </w:pPr>
    </w:p>
    <w:p>
      <w:pPr>
        <w:spacing w:line="360" w:lineRule="auto"/>
        <w:rPr>
          <w:rFonts w:hint="eastAsia" w:ascii="方正仿宋_GBK" w:hAnsi="方正仿宋_GBK" w:eastAsia="方正仿宋_GBK" w:cs="方正仿宋_GBK"/>
          <w:color w:val="000000"/>
          <w:kern w:val="2"/>
          <w:sz w:val="32"/>
          <w:szCs w:val="32"/>
          <w:lang w:val="en-US" w:eastAsia="zh-CN" w:bidi="ar-SA"/>
        </w:rPr>
      </w:pPr>
    </w:p>
    <w:p>
      <w:pPr>
        <w:pStyle w:val="2"/>
        <w:rPr>
          <w:rFonts w:hint="eastAsia"/>
          <w:lang w:val="en-US" w:eastAsia="zh-CN"/>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40849C0A-DDDA-47B3-85BB-092F3D4BE609}"/>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embedRegular r:id="rId2" w:fontKey="{B4BE066D-31A7-42C0-AB76-88AF333405F4}"/>
  </w:font>
  <w:font w:name="Calibri">
    <w:panose1 w:val="020F0502020204030204"/>
    <w:charset w:val="00"/>
    <w:family w:val="swiss"/>
    <w:pitch w:val="default"/>
    <w:sig w:usb0="E00002FF" w:usb1="4000ACFF" w:usb2="00000001" w:usb3="00000000" w:csb0="2000019F" w:csb1="00000000"/>
    <w:embedRegular r:id="rId3" w:fontKey="{4E08D401-CE20-436A-A49D-6C282FB41255}"/>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embedRegular r:id="rId4" w:fontKey="{B45543FE-55FC-4642-94BD-973D2D19215B}"/>
  </w:font>
  <w:font w:name="方正仿宋_GBK">
    <w:panose1 w:val="03000509000000000000"/>
    <w:charset w:val="86"/>
    <w:family w:val="auto"/>
    <w:pitch w:val="default"/>
    <w:sig w:usb0="00000001" w:usb1="080E0000" w:usb2="00000000" w:usb3="00000000" w:csb0="00040000" w:csb1="00000000"/>
    <w:embedRegular r:id="rId5" w:fontKey="{E8AABD1D-4EEA-43C6-AA10-111DD5E3CF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fzykYtgEAAFcDAAAOAAAAAAAAAAEAIAAAACIBAABkcnMvZTJvRG9jLnhtbFBLBQYAAAAABgAG&#10;AFkBAABKBQAAAAA=&#10;">
              <v:fill on="f" focussize="0,0"/>
              <v:stroke on="f" weight="1.25pt"/>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7</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8305"/>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2B921"/>
    <w:multiLevelType w:val="singleLevel"/>
    <w:tmpl w:val="1B52B921"/>
    <w:lvl w:ilvl="0" w:tentative="0">
      <w:start w:val="1"/>
      <w:numFmt w:val="decimal"/>
      <w:suff w:val="nothing"/>
      <w:lvlText w:val="%1、"/>
      <w:lvlJc w:val="left"/>
    </w:lvl>
  </w:abstractNum>
  <w:abstractNum w:abstractNumId="1">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92D7809"/>
    <w:multiLevelType w:val="multilevel"/>
    <w:tmpl w:val="792D7809"/>
    <w:lvl w:ilvl="0" w:tentative="0">
      <w:start w:val="1"/>
      <w:numFmt w:val="japaneseCounting"/>
      <w:lvlText w:val="%1、"/>
      <w:lvlJc w:val="left"/>
      <w:pPr>
        <w:tabs>
          <w:tab w:val="left" w:pos="1245"/>
        </w:tabs>
        <w:ind w:left="1245" w:hanging="720"/>
      </w:pPr>
      <w:rPr>
        <w:rFonts w:hint="eastAsia" w:cs="Times New Roman"/>
      </w:rPr>
    </w:lvl>
    <w:lvl w:ilvl="1" w:tentative="0">
      <w:start w:val="9"/>
      <w:numFmt w:val="decimal"/>
      <w:lvlText w:val="%2．"/>
      <w:lvlJc w:val="left"/>
      <w:pPr>
        <w:tabs>
          <w:tab w:val="left" w:pos="1665"/>
        </w:tabs>
        <w:ind w:left="1665" w:hanging="720"/>
      </w:pPr>
      <w:rPr>
        <w:rFonts w:hint="eastAsia" w:cs="Times New Roman"/>
      </w:rPr>
    </w:lvl>
    <w:lvl w:ilvl="2" w:tentative="0">
      <w:start w:val="1"/>
      <w:numFmt w:val="upperLetter"/>
      <w:pStyle w:val="3"/>
      <w:lvlText w:val="%3、"/>
      <w:lvlJc w:val="left"/>
      <w:pPr>
        <w:tabs>
          <w:tab w:val="left" w:pos="2085"/>
        </w:tabs>
        <w:ind w:left="2085" w:hanging="720"/>
      </w:pPr>
      <w:rPr>
        <w:rFonts w:hint="eastAsia" w:cs="Times New Roman"/>
      </w:rPr>
    </w:lvl>
    <w:lvl w:ilvl="3" w:tentative="0">
      <w:start w:val="1"/>
      <w:numFmt w:val="decimal"/>
      <w:lvlText w:val="%4、"/>
      <w:lvlJc w:val="left"/>
      <w:pPr>
        <w:tabs>
          <w:tab w:val="left" w:pos="2505"/>
        </w:tabs>
        <w:ind w:left="2505" w:hanging="720"/>
      </w:pPr>
      <w:rPr>
        <w:rFonts w:hint="eastAsia" w:cs="Times New Roman"/>
      </w:rPr>
    </w:lvl>
    <w:lvl w:ilvl="4" w:tentative="0">
      <w:start w:val="1"/>
      <w:numFmt w:val="lowerLetter"/>
      <w:lvlText w:val="%5)"/>
      <w:lvlJc w:val="left"/>
      <w:pPr>
        <w:tabs>
          <w:tab w:val="left" w:pos="2625"/>
        </w:tabs>
        <w:ind w:left="2625" w:hanging="420"/>
      </w:pPr>
      <w:rPr>
        <w:rFonts w:cs="Times New Roman"/>
      </w:rPr>
    </w:lvl>
    <w:lvl w:ilvl="5" w:tentative="0">
      <w:start w:val="1"/>
      <w:numFmt w:val="lowerRoman"/>
      <w:lvlText w:val="%6."/>
      <w:lvlJc w:val="right"/>
      <w:pPr>
        <w:tabs>
          <w:tab w:val="left" w:pos="3045"/>
        </w:tabs>
        <w:ind w:left="3045" w:hanging="420"/>
      </w:pPr>
      <w:rPr>
        <w:rFonts w:cs="Times New Roman"/>
      </w:rPr>
    </w:lvl>
    <w:lvl w:ilvl="6" w:tentative="0">
      <w:start w:val="1"/>
      <w:numFmt w:val="decimal"/>
      <w:lvlText w:val="%7."/>
      <w:lvlJc w:val="left"/>
      <w:pPr>
        <w:tabs>
          <w:tab w:val="left" w:pos="3465"/>
        </w:tabs>
        <w:ind w:left="3465" w:hanging="420"/>
      </w:pPr>
      <w:rPr>
        <w:rFonts w:cs="Times New Roman"/>
      </w:rPr>
    </w:lvl>
    <w:lvl w:ilvl="7" w:tentative="0">
      <w:start w:val="1"/>
      <w:numFmt w:val="lowerLetter"/>
      <w:lvlText w:val="%8)"/>
      <w:lvlJc w:val="left"/>
      <w:pPr>
        <w:tabs>
          <w:tab w:val="left" w:pos="3885"/>
        </w:tabs>
        <w:ind w:left="3885" w:hanging="420"/>
      </w:pPr>
      <w:rPr>
        <w:rFonts w:cs="Times New Roman"/>
      </w:rPr>
    </w:lvl>
    <w:lvl w:ilvl="8" w:tentative="0">
      <w:start w:val="1"/>
      <w:numFmt w:val="lowerRoman"/>
      <w:lvlText w:val="%9."/>
      <w:lvlJc w:val="right"/>
      <w:pPr>
        <w:tabs>
          <w:tab w:val="left" w:pos="4305"/>
        </w:tabs>
        <w:ind w:left="4305"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lZmJmZDA2MWY0ZTA5MTRhNWZjMzUzYWZhZmI1ZjQifQ=="/>
  </w:docVars>
  <w:rsids>
    <w:rsidRoot w:val="3AED6E94"/>
    <w:rsid w:val="029F1D38"/>
    <w:rsid w:val="0E4C7B2F"/>
    <w:rsid w:val="0EA82087"/>
    <w:rsid w:val="0EDE0A7E"/>
    <w:rsid w:val="106B671D"/>
    <w:rsid w:val="10772A46"/>
    <w:rsid w:val="13714B00"/>
    <w:rsid w:val="169A6A25"/>
    <w:rsid w:val="177C150E"/>
    <w:rsid w:val="196B2B0B"/>
    <w:rsid w:val="1C5A7EA7"/>
    <w:rsid w:val="1D42718A"/>
    <w:rsid w:val="1E28447F"/>
    <w:rsid w:val="1F5D4085"/>
    <w:rsid w:val="20060188"/>
    <w:rsid w:val="200E5441"/>
    <w:rsid w:val="20D319B6"/>
    <w:rsid w:val="21420E07"/>
    <w:rsid w:val="21BB52DB"/>
    <w:rsid w:val="23A210B2"/>
    <w:rsid w:val="26E46610"/>
    <w:rsid w:val="2A1B2604"/>
    <w:rsid w:val="2E5F1414"/>
    <w:rsid w:val="2EEB2541"/>
    <w:rsid w:val="303F7EAD"/>
    <w:rsid w:val="30F64771"/>
    <w:rsid w:val="31182A9D"/>
    <w:rsid w:val="32240EF7"/>
    <w:rsid w:val="32897BBE"/>
    <w:rsid w:val="366A008A"/>
    <w:rsid w:val="377B54DD"/>
    <w:rsid w:val="38471CCB"/>
    <w:rsid w:val="3A6E60FC"/>
    <w:rsid w:val="3AD94202"/>
    <w:rsid w:val="3AED6E94"/>
    <w:rsid w:val="3B924A32"/>
    <w:rsid w:val="3C175AA7"/>
    <w:rsid w:val="3D7F73A8"/>
    <w:rsid w:val="3E9C1071"/>
    <w:rsid w:val="3FD20CB9"/>
    <w:rsid w:val="400B1CC0"/>
    <w:rsid w:val="407E5EF5"/>
    <w:rsid w:val="4380125F"/>
    <w:rsid w:val="44A1200F"/>
    <w:rsid w:val="457156B5"/>
    <w:rsid w:val="461E7D91"/>
    <w:rsid w:val="49A00942"/>
    <w:rsid w:val="49A36C61"/>
    <w:rsid w:val="4A950C79"/>
    <w:rsid w:val="4CAA24A7"/>
    <w:rsid w:val="4D697CAD"/>
    <w:rsid w:val="4EEC49E1"/>
    <w:rsid w:val="4FEF2C9F"/>
    <w:rsid w:val="52694A84"/>
    <w:rsid w:val="58852950"/>
    <w:rsid w:val="5B1C2D39"/>
    <w:rsid w:val="5D0E5B44"/>
    <w:rsid w:val="5E223066"/>
    <w:rsid w:val="5FE2736F"/>
    <w:rsid w:val="60E05C74"/>
    <w:rsid w:val="62C17F5C"/>
    <w:rsid w:val="62CA5B82"/>
    <w:rsid w:val="66E64CFC"/>
    <w:rsid w:val="684A528A"/>
    <w:rsid w:val="690E7951"/>
    <w:rsid w:val="6E021EC3"/>
    <w:rsid w:val="72EF5BF4"/>
    <w:rsid w:val="75AE40D6"/>
    <w:rsid w:val="79640A17"/>
    <w:rsid w:val="7CBC4D1A"/>
    <w:rsid w:val="7D5664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numPr>
        <w:ilvl w:val="2"/>
        <w:numId w:val="1"/>
      </w:numPr>
      <w:spacing w:line="360" w:lineRule="auto"/>
      <w:outlineLvl w:val="2"/>
    </w:pPr>
    <w:rPr>
      <w:rFonts w:eastAsia="仿宋_GB2312"/>
      <w:sz w:val="28"/>
      <w:szCs w:val="20"/>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rFonts w:ascii="Calibri" w:hAnsi="Calibri"/>
      <w:b/>
      <w:bCs/>
      <w:caps/>
      <w:sz w:val="20"/>
      <w:szCs w:val="20"/>
    </w:rPr>
  </w:style>
  <w:style w:type="paragraph" w:styleId="5">
    <w:name w:val="Plain Text"/>
    <w:basedOn w:val="1"/>
    <w:qFormat/>
    <w:uiPriority w:val="0"/>
    <w:rPr>
      <w:rFonts w:ascii="宋体" w:hAnsi="Courier New" w:cs="Courier New"/>
      <w:szCs w:val="21"/>
    </w:rPr>
  </w:style>
  <w:style w:type="paragraph" w:styleId="6">
    <w:name w:val="Date"/>
    <w:basedOn w:val="1"/>
    <w:next w:val="1"/>
    <w:qFormat/>
    <w:uiPriority w:val="0"/>
    <w:pPr>
      <w:ind w:left="1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table" w:styleId="12">
    <w:name w:val="Table Grid"/>
    <w:basedOn w:val="11"/>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Default"/>
    <w:next w:val="1"/>
    <w:qFormat/>
    <w:uiPriority w:val="99"/>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paragraph" w:customStyle="1" w:styleId="14">
    <w:name w:val="No Spacing"/>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4684</Words>
  <Characters>5091</Characters>
  <Lines>0</Lines>
  <Paragraphs>0</Paragraphs>
  <TotalTime>7</TotalTime>
  <ScaleCrop>false</ScaleCrop>
  <LinksUpToDate>false</LinksUpToDate>
  <CharactersWithSpaces>5820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2021-10-11T02:00:00Z</dcterms:created>
  <dc:creator>申飞</dc:creator>
  <cp:lastModifiedBy>Linda</cp:lastModifiedBy>
  <cp:lastPrinted>2021-10-15T08:40:00Z</cp:lastPrinted>
  <dcterms:modified xsi:type="dcterms:W3CDTF">2022-09-18T09:48:14Z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420A843568814C14A346739552B63E0E</vt:lpwstr>
  </property>
</Properties>
</file>