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G5012恩施至广元国家高速公路万州至开江段全过程跟踪审计（含竣工决算审计）中标候选人公示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15</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19</w:t>
      </w:r>
      <w:r>
        <w:rPr>
          <w:rFonts w:hint="eastAsia" w:ascii="方正小标宋_GBK" w:eastAsia="方正小标宋_GBK"/>
          <w:sz w:val="30"/>
          <w:szCs w:val="30"/>
        </w:rPr>
        <w:t>日）</w:t>
      </w:r>
    </w:p>
    <w:tbl>
      <w:tblPr>
        <w:tblStyle w:val="5"/>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655"/>
        <w:gridCol w:w="1417"/>
        <w:gridCol w:w="461"/>
        <w:gridCol w:w="503"/>
        <w:gridCol w:w="972"/>
        <w:gridCol w:w="1000"/>
        <w:gridCol w:w="527"/>
        <w:gridCol w:w="55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G5012恩施至广元国家高速公路万州至开江段全过程跟踪审计（含竣工决算审计）　</w:t>
            </w:r>
          </w:p>
        </w:tc>
        <w:tc>
          <w:tcPr>
            <w:tcW w:w="1566"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1950000元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FG2200160870B</w:t>
            </w:r>
          </w:p>
        </w:tc>
        <w:tc>
          <w:tcPr>
            <w:tcW w:w="1566"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29"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566"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　</w:t>
            </w:r>
          </w:p>
        </w:tc>
        <w:tc>
          <w:tcPr>
            <w:tcW w:w="1566"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18883000073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5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29"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566"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70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服务期限</w:t>
            </w:r>
          </w:p>
        </w:tc>
        <w:tc>
          <w:tcPr>
            <w:tcW w:w="998"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标准</w:t>
            </w:r>
          </w:p>
        </w:tc>
        <w:tc>
          <w:tcPr>
            <w:tcW w:w="3673"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8" w:type="dxa"/>
            <w:vMerge w:val="continue"/>
            <w:vAlign w:val="center"/>
          </w:tcPr>
          <w:p>
            <w:pPr>
              <w:widowControl/>
              <w:jc w:val="left"/>
              <w:rPr>
                <w:rFonts w:ascii="宋体" w:hAnsi="宋体" w:eastAsia="宋体" w:cs="宋体"/>
                <w:color w:val="000000"/>
                <w:kern w:val="0"/>
                <w:sz w:val="22"/>
              </w:rPr>
            </w:pPr>
          </w:p>
        </w:tc>
        <w:tc>
          <w:tcPr>
            <w:tcW w:w="170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998" w:type="dxa"/>
            <w:vMerge w:val="continue"/>
            <w:vAlign w:val="center"/>
          </w:tcPr>
          <w:p>
            <w:pPr>
              <w:widowControl/>
              <w:jc w:val="left"/>
              <w:rPr>
                <w:rFonts w:ascii="宋体" w:hAnsi="宋体" w:eastAsia="宋体" w:cs="宋体"/>
                <w:color w:val="000000"/>
                <w:kern w:val="0"/>
                <w:sz w:val="22"/>
              </w:rPr>
            </w:pPr>
          </w:p>
        </w:tc>
        <w:tc>
          <w:tcPr>
            <w:tcW w:w="102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default" w:ascii="宋体" w:hAnsi="宋体" w:eastAsia="宋体" w:cs="宋体"/>
                <w:color w:val="000000"/>
                <w:kern w:val="0"/>
                <w:sz w:val="22"/>
                <w:lang w:val="en-US" w:eastAsia="zh-CN"/>
              </w:rPr>
              <w:t xml:space="preserve">重庆恒申达工程造价咨询有限公司 </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1940000</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王治金</w:t>
            </w:r>
            <w:r>
              <w:rPr>
                <w:rFonts w:hint="default" w:ascii="宋体" w:hAnsi="宋体" w:eastAsia="宋体" w:cs="宋体"/>
                <w:color w:val="000000"/>
                <w:kern w:val="0"/>
                <w:sz w:val="22"/>
                <w:lang w:val="en-US" w:eastAsia="zh-CN"/>
              </w:rPr>
              <w:t xml:space="preserve"> </w:t>
            </w:r>
          </w:p>
        </w:tc>
        <w:tc>
          <w:tcPr>
            <w:tcW w:w="1109"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一级注册造价工程师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建[造]</w:t>
            </w:r>
          </w:p>
          <w:p>
            <w:pPr>
              <w:widowControl/>
              <w:jc w:val="both"/>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 xml:space="preserve">11135000003191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default" w:ascii="宋体" w:hAnsi="宋体" w:eastAsia="宋体" w:cs="宋体"/>
                <w:color w:val="000000"/>
                <w:kern w:val="0"/>
                <w:sz w:val="22"/>
                <w:lang w:val="en-US" w:eastAsia="zh-CN"/>
              </w:rPr>
              <w:t xml:space="preserve"> 重庆求精工程造价有限责任公司</w:t>
            </w:r>
          </w:p>
        </w:tc>
        <w:tc>
          <w:tcPr>
            <w:tcW w:w="1438" w:type="dxa"/>
            <w:shd w:val="clear" w:color="auto" w:fill="auto"/>
            <w:vAlign w:val="center"/>
          </w:tcPr>
          <w:p>
            <w:pPr>
              <w:widowControl/>
              <w:jc w:val="center"/>
              <w:rPr>
                <w:rFonts w:hint="eastAsia" w:ascii="宋体" w:hAnsi="宋体" w:eastAsia="宋体" w:cs="宋体"/>
                <w:color w:val="000000"/>
                <w:kern w:val="0"/>
                <w:sz w:val="22"/>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1900000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val="en-US" w:eastAsia="zh-CN"/>
              </w:rPr>
              <w:t>刘茜林</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一级注册造价工程师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 xml:space="preserve"> 建[造]</w:t>
            </w:r>
          </w:p>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15500004285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703" w:type="dxa"/>
            <w:shd w:val="clear" w:color="auto" w:fill="auto"/>
            <w:vAlign w:val="center"/>
          </w:tcPr>
          <w:p>
            <w:pPr>
              <w:widowControl/>
              <w:jc w:val="center"/>
              <w:rPr>
                <w:rFonts w:hint="eastAsia" w:ascii="宋体" w:hAnsi="宋体" w:eastAsia="宋体" w:cs="宋体"/>
                <w:color w:val="000000"/>
                <w:kern w:val="0"/>
                <w:sz w:val="22"/>
              </w:rPr>
            </w:pPr>
            <w:r>
              <w:rPr>
                <w:rFonts w:hint="default" w:ascii="宋体" w:hAnsi="宋体" w:eastAsia="宋体" w:cs="宋体"/>
                <w:color w:val="000000"/>
                <w:kern w:val="0"/>
                <w:sz w:val="22"/>
                <w:lang w:val="en-US" w:eastAsia="zh-CN"/>
              </w:rPr>
              <w:t xml:space="preserve">天健工程咨询（重庆）有限公司 </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1940000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99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027"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张四中</w:t>
            </w:r>
            <w:r>
              <w:rPr>
                <w:rFonts w:hint="default" w:ascii="宋体" w:hAnsi="宋体" w:eastAsia="宋体" w:cs="宋体"/>
                <w:color w:val="000000"/>
                <w:kern w:val="0"/>
                <w:sz w:val="22"/>
                <w:lang w:val="en-US" w:eastAsia="zh-CN"/>
              </w:rPr>
              <w:t xml:space="preserve"> </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一级注册造价工程师</w:t>
            </w:r>
          </w:p>
        </w:tc>
        <w:tc>
          <w:tcPr>
            <w:tcW w:w="1537" w:type="dxa"/>
            <w:shd w:val="clear" w:color="auto" w:fill="auto"/>
            <w:vAlign w:val="center"/>
          </w:tcPr>
          <w:p>
            <w:pPr>
              <w:widowControl/>
              <w:ind w:firstLine="440" w:firstLineChars="200"/>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建[造]</w:t>
            </w:r>
          </w:p>
          <w:p>
            <w:pPr>
              <w:widowControl/>
              <w:ind w:firstLine="220" w:firstLineChars="100"/>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06500003479</w:t>
            </w:r>
            <w:r>
              <w:rPr>
                <w:rFonts w:hint="default" w:ascii="宋体" w:hAnsi="宋体" w:eastAsia="宋体" w:cs="宋体"/>
                <w:color w:val="000000"/>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80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80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一中标候选人：重庆恒申达工程造价咨询有限公司:重庆九龙坡至永川高速公路(成渝高速扩能)项目全过程审计；恩施至广元国家高速公路重庆新田至高峰段项目全过程审计；铜梁至安岳高速公路（重庆段）项目全过程造价跟踪审计；渝武高速公路扩能（北碚至合川段）项目全过程造价跟踪审计；重庆九龙坡至永川高速公路(成渝高速扩能)项目全过程审计；四川省巴中至万源高速公路项目全过程造价咨询服务。</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第二中标候选人：重庆求精工程造价有限责任公司:宜宾至彝良至昭通高速公路彝良（川滇界）至昭通段项目。</w:t>
            </w:r>
          </w:p>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第三中标候选人：天健工程咨询（重庆）有限公司:S232 线布尔津至喀纳斯机场公路建设项目。</w:t>
            </w:r>
          </w:p>
          <w:p>
            <w:pPr>
              <w:widowControl/>
              <w:jc w:val="left"/>
              <w:rPr>
                <w:rFonts w:hint="eastAsia" w:ascii="宋体" w:hAnsi="宋体" w:eastAsia="宋体" w:cs="宋体"/>
                <w:color w:val="000000"/>
                <w:kern w:val="0"/>
                <w:sz w:val="22"/>
                <w:lang w:eastAsia="zh-CN"/>
              </w:rPr>
            </w:pPr>
            <w:r>
              <w:rPr>
                <w:rFonts w:hint="eastAsia" w:ascii="宋体" w:hAnsi="宋体" w:eastAsia="宋体" w:cs="宋体"/>
                <w:b/>
                <w:bCs/>
                <w:color w:val="000000"/>
                <w:kern w:val="0"/>
                <w:sz w:val="22"/>
                <w:lang w:eastAsia="zh-CN"/>
              </w:rPr>
              <w:t>否决投标情况：</w:t>
            </w:r>
            <w:r>
              <w:rPr>
                <w:rFonts w:hint="eastAsia" w:ascii="宋体" w:hAnsi="宋体" w:eastAsia="宋体" w:cs="宋体"/>
                <w:b/>
                <w:bCs/>
                <w:color w:val="000000"/>
                <w:kern w:val="0"/>
                <w:sz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80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35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80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(联系人：刘老师，联系电话：18883000073）提出异议。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招标人（盖章）:  </w:t>
            </w:r>
            <w:r>
              <w:rPr>
                <w:rFonts w:hint="eastAsia" w:ascii="宋体" w:hAnsi="宋体" w:eastAsia="宋体" w:cs="宋体"/>
                <w:color w:val="000000"/>
                <w:kern w:val="0"/>
                <w:sz w:val="22"/>
                <w:lang w:val="en-US" w:eastAsia="zh-CN"/>
              </w:rPr>
              <w:t>重庆高速铁建万开达高速公路有限公司</w:t>
            </w: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15 </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招标代理机构（盖章）：重庆国际投资咨询集团有限公司 </w:t>
            </w: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15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20D770A"/>
    <w:rsid w:val="02154E6B"/>
    <w:rsid w:val="025507E1"/>
    <w:rsid w:val="0429305B"/>
    <w:rsid w:val="047F1DAB"/>
    <w:rsid w:val="084819CC"/>
    <w:rsid w:val="08884840"/>
    <w:rsid w:val="08F21A03"/>
    <w:rsid w:val="09834A1F"/>
    <w:rsid w:val="0A0C3409"/>
    <w:rsid w:val="0AD80180"/>
    <w:rsid w:val="0AFE4225"/>
    <w:rsid w:val="0E090577"/>
    <w:rsid w:val="0E95291F"/>
    <w:rsid w:val="0F474788"/>
    <w:rsid w:val="0F7110E9"/>
    <w:rsid w:val="15791A87"/>
    <w:rsid w:val="160805D7"/>
    <w:rsid w:val="166B41F1"/>
    <w:rsid w:val="18C67B43"/>
    <w:rsid w:val="19C14582"/>
    <w:rsid w:val="1A182FA5"/>
    <w:rsid w:val="1E110AAE"/>
    <w:rsid w:val="1E2433C8"/>
    <w:rsid w:val="1EBE0C60"/>
    <w:rsid w:val="27762747"/>
    <w:rsid w:val="2887022B"/>
    <w:rsid w:val="2A067935"/>
    <w:rsid w:val="2AED63FF"/>
    <w:rsid w:val="2CEA4F93"/>
    <w:rsid w:val="2F334741"/>
    <w:rsid w:val="3290545A"/>
    <w:rsid w:val="337E22EA"/>
    <w:rsid w:val="339B0D78"/>
    <w:rsid w:val="34014CC9"/>
    <w:rsid w:val="34310729"/>
    <w:rsid w:val="346B1830"/>
    <w:rsid w:val="394A036E"/>
    <w:rsid w:val="3A1B6D32"/>
    <w:rsid w:val="3D3B0A08"/>
    <w:rsid w:val="3DF92F26"/>
    <w:rsid w:val="3FF746D7"/>
    <w:rsid w:val="40471EFB"/>
    <w:rsid w:val="40477F08"/>
    <w:rsid w:val="43767507"/>
    <w:rsid w:val="44F56185"/>
    <w:rsid w:val="46024FFD"/>
    <w:rsid w:val="47FA230E"/>
    <w:rsid w:val="4812474D"/>
    <w:rsid w:val="48B42A45"/>
    <w:rsid w:val="48CC36A0"/>
    <w:rsid w:val="4AC9760C"/>
    <w:rsid w:val="4C7B50C0"/>
    <w:rsid w:val="4D300D98"/>
    <w:rsid w:val="4ED32720"/>
    <w:rsid w:val="4EFE2381"/>
    <w:rsid w:val="4FFB3C11"/>
    <w:rsid w:val="50661029"/>
    <w:rsid w:val="509727E6"/>
    <w:rsid w:val="53956916"/>
    <w:rsid w:val="574B7F6D"/>
    <w:rsid w:val="59BE6F2B"/>
    <w:rsid w:val="5BA72C22"/>
    <w:rsid w:val="5D694D67"/>
    <w:rsid w:val="61670F69"/>
    <w:rsid w:val="63924BE7"/>
    <w:rsid w:val="63F20A4B"/>
    <w:rsid w:val="63F86CD6"/>
    <w:rsid w:val="657C50E7"/>
    <w:rsid w:val="65AF2D06"/>
    <w:rsid w:val="67147067"/>
    <w:rsid w:val="69793BB8"/>
    <w:rsid w:val="7031057E"/>
    <w:rsid w:val="71066FB1"/>
    <w:rsid w:val="76B24303"/>
    <w:rsid w:val="7775502F"/>
    <w:rsid w:val="77C43611"/>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ascii="monospace" w:hAnsi="monospace" w:eastAsia="monospace" w:cs="monospace"/>
      <w:sz w:val="20"/>
    </w:rPr>
  </w:style>
  <w:style w:type="character" w:styleId="12">
    <w:name w:val="HTML Acronym"/>
    <w:basedOn w:val="6"/>
    <w:semiHidden/>
    <w:unhideWhenUsed/>
    <w:qFormat/>
    <w:uiPriority w:val="99"/>
    <w:rPr>
      <w:rFonts w:ascii="微软雅黑" w:hAnsi="微软雅黑" w:eastAsia="微软雅黑" w:cs="微软雅黑"/>
      <w:color w:val="FFFFFF"/>
      <w:sz w:val="19"/>
      <w:szCs w:val="19"/>
      <w:u w:val="none"/>
      <w:bdr w:val="none" w:color="A9ACB5" w:sz="0" w:space="0"/>
      <w:shd w:val="clear" w:fill="59C2E6"/>
    </w:rPr>
  </w:style>
  <w:style w:type="character" w:styleId="13">
    <w:name w:val="HTML Variable"/>
    <w:basedOn w:val="6"/>
    <w:semiHidden/>
    <w:unhideWhenUsed/>
    <w:qFormat/>
    <w:uiPriority w:val="99"/>
    <w:rPr>
      <w:vertAlign w:val="baseline"/>
    </w:rPr>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rPr>
      <w:rFonts w:ascii="微软雅黑" w:hAnsi="微软雅黑" w:eastAsia="微软雅黑" w:cs="微软雅黑"/>
      <w:color w:val="FFFFFF"/>
      <w:sz w:val="19"/>
      <w:szCs w:val="19"/>
      <w:u w:val="none"/>
      <w:shd w:val="clear" w:fill="59C2E6"/>
    </w:rPr>
  </w:style>
  <w:style w:type="character" w:styleId="17">
    <w:name w:val="HTML Keyboard"/>
    <w:basedOn w:val="6"/>
    <w:semiHidden/>
    <w:unhideWhenUsed/>
    <w:qFormat/>
    <w:uiPriority w:val="99"/>
    <w:rPr>
      <w:rFonts w:hint="default"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mini-output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1009</Words>
  <Characters>1145</Characters>
  <Lines>5</Lines>
  <Paragraphs>1</Paragraphs>
  <TotalTime>0</TotalTime>
  <ScaleCrop>false</ScaleCrop>
  <LinksUpToDate>false</LinksUpToDate>
  <CharactersWithSpaces>1265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2022-12-14T15:20:30Z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13E531705D504F8F8A19355103B29F77</vt:lpwstr>
  </property>
</Properties>
</file>