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32"/>
        </w:rPr>
      </w:pPr>
      <w:r>
        <w:rPr>
          <w:rFonts w:hint="eastAsia" w:ascii="方正小标宋_GBK" w:hAnsi="方正小标宋_GBK" w:eastAsia="方正小标宋_GBK" w:cs="方正小标宋_GBK"/>
          <w:b w:val="0"/>
          <w:bCs/>
          <w:sz w:val="44"/>
          <w:szCs w:val="32"/>
        </w:rPr>
        <w:t>重庆</w:t>
      </w:r>
      <w:r>
        <w:rPr>
          <w:rFonts w:hint="eastAsia" w:ascii="方正小标宋_GBK" w:hAnsi="方正小标宋_GBK" w:eastAsia="方正小标宋_GBK" w:cs="方正小标宋_GBK"/>
          <w:b w:val="0"/>
          <w:bCs/>
          <w:sz w:val="44"/>
          <w:szCs w:val="32"/>
          <w:lang w:val="en-US" w:eastAsia="zh-CN"/>
        </w:rPr>
        <w:t>安全产业发展集团</w:t>
      </w:r>
      <w:r>
        <w:rPr>
          <w:rFonts w:hint="eastAsia" w:ascii="方正小标宋_GBK" w:hAnsi="方正小标宋_GBK" w:eastAsia="方正小标宋_GBK" w:cs="方正小标宋_GBK"/>
          <w:b w:val="0"/>
          <w:bCs/>
          <w:sz w:val="44"/>
          <w:szCs w:val="32"/>
        </w:rPr>
        <w:t>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32"/>
          <w:lang w:val="en-US"/>
        </w:rPr>
      </w:pPr>
      <w:r>
        <w:rPr>
          <w:rFonts w:hint="eastAsia" w:ascii="方正小标宋_GBK" w:hAnsi="方正小标宋_GBK" w:eastAsia="方正小标宋_GBK" w:cs="方正小标宋_GBK"/>
          <w:b w:val="0"/>
          <w:bCs/>
          <w:sz w:val="44"/>
          <w:szCs w:val="32"/>
          <w:lang w:val="en-US" w:eastAsia="zh-CN"/>
        </w:rPr>
        <w:t>报废资产处置(2021年第一批)评标结果公示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333333"/>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0"/>
        <w:jc w:val="both"/>
        <w:textAlignment w:val="auto"/>
        <w:outlineLvl w:val="9"/>
        <w:rPr>
          <w:rFonts w:hint="eastAsia" w:ascii="方正仿宋_GBK" w:hAnsi="方正仿宋_GBK" w:eastAsia="方正仿宋_GBK" w:cs="方正仿宋_GBK"/>
          <w:i w:val="0"/>
          <w:caps w:val="0"/>
          <w:color w:val="333333"/>
          <w:spacing w:val="0"/>
          <w:sz w:val="28"/>
          <w:szCs w:val="28"/>
          <w:shd w:val="clear" w:fill="FFFFFF"/>
        </w:rPr>
      </w:pPr>
      <w:r>
        <w:rPr>
          <w:rFonts w:hint="eastAsia" w:ascii="方正仿宋_GBK" w:hAnsi="方正仿宋_GBK" w:eastAsia="方正仿宋_GBK" w:cs="方正仿宋_GBK"/>
          <w:i w:val="0"/>
          <w:caps w:val="0"/>
          <w:color w:val="333333"/>
          <w:spacing w:val="0"/>
          <w:sz w:val="28"/>
          <w:szCs w:val="28"/>
          <w:shd w:val="clear" w:fill="FFFFFF"/>
        </w:rPr>
        <w:t>经重庆安全产业发展集团有限公</w:t>
      </w:r>
      <w:r>
        <w:rPr>
          <w:rFonts w:hint="eastAsia" w:ascii="方正仿宋_GBK" w:hAnsi="方正仿宋_GBK" w:eastAsia="方正仿宋_GBK" w:cs="方正仿宋_GBK"/>
          <w:i w:val="0"/>
          <w:caps w:val="0"/>
          <w:color w:val="333333"/>
          <w:spacing w:val="0"/>
          <w:sz w:val="28"/>
          <w:szCs w:val="28"/>
          <w:shd w:val="clear" w:fill="FFFFFF"/>
          <w:lang w:val="en-US" w:eastAsia="zh-CN"/>
        </w:rPr>
        <w:t>司（以下简称“安产集团”）</w:t>
      </w:r>
      <w:r>
        <w:rPr>
          <w:rFonts w:hint="eastAsia" w:ascii="方正仿宋_GBK" w:hAnsi="方正仿宋_GBK" w:eastAsia="方正仿宋_GBK" w:cs="方正仿宋_GBK"/>
          <w:i w:val="0"/>
          <w:caps w:val="0"/>
          <w:color w:val="333333"/>
          <w:spacing w:val="0"/>
          <w:sz w:val="28"/>
          <w:szCs w:val="28"/>
          <w:shd w:val="clear" w:fill="FFFFFF"/>
        </w:rPr>
        <w:t>2021年第5次总办会决策，同意对安产集团2020年报废的一批机器设备</w:t>
      </w:r>
      <w:r>
        <w:rPr>
          <w:rFonts w:hint="eastAsia" w:ascii="方正仿宋_GBK" w:hAnsi="方正仿宋_GBK" w:eastAsia="方正仿宋_GBK" w:cs="方正仿宋_GBK"/>
          <w:i w:val="0"/>
          <w:caps w:val="0"/>
          <w:color w:val="333333"/>
          <w:spacing w:val="0"/>
          <w:sz w:val="28"/>
          <w:szCs w:val="28"/>
          <w:shd w:val="clear" w:fill="FFFFFF"/>
          <w:lang w:eastAsia="zh-CN"/>
        </w:rPr>
        <w:t>、</w:t>
      </w:r>
      <w:r>
        <w:rPr>
          <w:rFonts w:hint="eastAsia" w:ascii="方正仿宋_GBK" w:hAnsi="方正仿宋_GBK" w:eastAsia="方正仿宋_GBK" w:cs="方正仿宋_GBK"/>
          <w:i w:val="0"/>
          <w:caps w:val="0"/>
          <w:color w:val="333333"/>
          <w:spacing w:val="0"/>
          <w:sz w:val="28"/>
          <w:szCs w:val="28"/>
          <w:shd w:val="clear" w:fill="FFFFFF"/>
        </w:rPr>
        <w:t>报废机动车</w:t>
      </w:r>
      <w:r>
        <w:rPr>
          <w:rFonts w:hint="eastAsia" w:ascii="方正仿宋_GBK" w:hAnsi="方正仿宋_GBK" w:eastAsia="方正仿宋_GBK" w:cs="方正仿宋_GBK"/>
          <w:i w:val="0"/>
          <w:caps w:val="0"/>
          <w:color w:val="333333"/>
          <w:spacing w:val="0"/>
          <w:sz w:val="28"/>
          <w:szCs w:val="28"/>
          <w:shd w:val="clear" w:fill="FFFFFF"/>
          <w:lang w:eastAsia="zh-CN"/>
        </w:rPr>
        <w:t>、</w:t>
      </w:r>
      <w:r>
        <w:rPr>
          <w:rFonts w:hint="eastAsia" w:ascii="方正仿宋_GBK" w:hAnsi="方正仿宋_GBK" w:eastAsia="方正仿宋_GBK" w:cs="方正仿宋_GBK"/>
          <w:i w:val="0"/>
          <w:caps w:val="0"/>
          <w:color w:val="333333"/>
          <w:spacing w:val="0"/>
          <w:sz w:val="28"/>
          <w:szCs w:val="28"/>
          <w:shd w:val="clear" w:fill="FFFFFF"/>
          <w:lang w:val="en-US" w:eastAsia="zh-CN"/>
        </w:rPr>
        <w:t>报废液氨瓶</w:t>
      </w:r>
      <w:r>
        <w:rPr>
          <w:rFonts w:hint="eastAsia" w:ascii="方正仿宋_GBK" w:hAnsi="方正仿宋_GBK" w:eastAsia="方正仿宋_GBK" w:cs="方正仿宋_GBK"/>
          <w:i w:val="0"/>
          <w:caps w:val="0"/>
          <w:color w:val="333333"/>
          <w:spacing w:val="0"/>
          <w:sz w:val="28"/>
          <w:szCs w:val="28"/>
          <w:shd w:val="clear" w:fill="FFFFFF"/>
        </w:rPr>
        <w:t>等进行处置，委托安产集团的全资子公司重庆安源金属制造有限公司</w:t>
      </w:r>
      <w:r>
        <w:rPr>
          <w:rFonts w:hint="eastAsia" w:ascii="方正仿宋_GBK" w:hAnsi="方正仿宋_GBK" w:eastAsia="方正仿宋_GBK" w:cs="方正仿宋_GBK"/>
          <w:i w:val="0"/>
          <w:caps w:val="0"/>
          <w:color w:val="333333"/>
          <w:spacing w:val="0"/>
          <w:sz w:val="28"/>
          <w:szCs w:val="28"/>
          <w:shd w:val="clear" w:fill="FFFFFF"/>
          <w:lang w:eastAsia="zh-CN"/>
        </w:rPr>
        <w:t>（</w:t>
      </w:r>
      <w:r>
        <w:rPr>
          <w:rFonts w:hint="eastAsia" w:ascii="方正仿宋_GBK" w:hAnsi="方正仿宋_GBK" w:eastAsia="方正仿宋_GBK" w:cs="方正仿宋_GBK"/>
          <w:i w:val="0"/>
          <w:caps w:val="0"/>
          <w:color w:val="333333"/>
          <w:spacing w:val="0"/>
          <w:sz w:val="28"/>
          <w:szCs w:val="28"/>
          <w:shd w:val="clear" w:fill="FFFFFF"/>
          <w:lang w:val="en-US" w:eastAsia="zh-CN"/>
        </w:rPr>
        <w:t>以下简称“安源公司”</w:t>
      </w:r>
      <w:r>
        <w:rPr>
          <w:rFonts w:hint="eastAsia" w:ascii="方正仿宋_GBK" w:hAnsi="方正仿宋_GBK" w:eastAsia="方正仿宋_GBK" w:cs="方正仿宋_GBK"/>
          <w:i w:val="0"/>
          <w:caps w:val="0"/>
          <w:color w:val="333333"/>
          <w:spacing w:val="0"/>
          <w:sz w:val="28"/>
          <w:szCs w:val="28"/>
          <w:shd w:val="clear" w:fill="FFFFFF"/>
          <w:lang w:eastAsia="zh-CN"/>
        </w:rPr>
        <w:t>）</w:t>
      </w:r>
      <w:r>
        <w:rPr>
          <w:rFonts w:hint="eastAsia" w:ascii="方正仿宋_GBK" w:hAnsi="方正仿宋_GBK" w:eastAsia="方正仿宋_GBK" w:cs="方正仿宋_GBK"/>
          <w:i w:val="0"/>
          <w:caps w:val="0"/>
          <w:color w:val="333333"/>
          <w:spacing w:val="0"/>
          <w:sz w:val="28"/>
          <w:szCs w:val="28"/>
          <w:shd w:val="clear" w:fill="FFFFFF"/>
        </w:rPr>
        <w:t>按规定程序进行处置。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0"/>
        <w:jc w:val="both"/>
        <w:textAlignment w:val="auto"/>
        <w:outlineLvl w:val="9"/>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安源公司于2021年10月11日至2021年10月22日在重庆高速集团官网上发布了报废资产竞价处置及报废液氨瓶竞争性比选</w:t>
      </w:r>
      <w:bookmarkStart w:id="0" w:name="_GoBack"/>
      <w:bookmarkEnd w:id="0"/>
      <w:r>
        <w:rPr>
          <w:rFonts w:hint="eastAsia" w:ascii="方正仿宋_GBK" w:hAnsi="方正仿宋_GBK" w:eastAsia="方正仿宋_GBK" w:cs="方正仿宋_GBK"/>
          <w:i w:val="0"/>
          <w:caps w:val="0"/>
          <w:color w:val="333333"/>
          <w:spacing w:val="0"/>
          <w:sz w:val="28"/>
          <w:szCs w:val="28"/>
          <w:shd w:val="clear" w:fill="FFFFFF"/>
          <w:lang w:val="en-US" w:eastAsia="zh-CN"/>
        </w:rPr>
        <w:t>处置的公告，截止到2021年10月22日上午10:30，报废资产处置包一（报废机动车）共收到14家投标单位的报价资料，包二（报废机器设备）共收到6家投标单位的报价资料。按照竞价文件要求，在安源公司102会议室进行了公开开标。2021年10月25日评标小组于安源公司503会议室进行了评标。根据满足比选文件要求并符合国家法律法规的前提下，按经评审的最高价中标法，推荐中标候选人如下：</w:t>
      </w:r>
    </w:p>
    <w:tbl>
      <w:tblPr>
        <w:tblStyle w:val="5"/>
        <w:tblpPr w:leftFromText="180" w:rightFromText="180" w:vertAnchor="text" w:horzAnchor="page" w:tblpX="1852" w:tblpY="18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4091"/>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333333"/>
                <w:spacing w:val="0"/>
                <w:sz w:val="24"/>
                <w:szCs w:val="24"/>
                <w:shd w:val="clear" w:fill="FFFFFF"/>
                <w:lang w:val="en-US" w:eastAsia="zh-CN"/>
              </w:rPr>
            </w:pPr>
            <w:r>
              <w:rPr>
                <w:rFonts w:hint="eastAsia" w:ascii="方正仿宋_GBK" w:hAnsi="方正仿宋_GBK" w:eastAsia="方正仿宋_GBK" w:cs="方正仿宋_GBK"/>
                <w:i w:val="0"/>
                <w:caps w:val="0"/>
                <w:color w:val="333333"/>
                <w:spacing w:val="0"/>
                <w:sz w:val="24"/>
                <w:szCs w:val="24"/>
                <w:shd w:val="clear" w:fill="FFFFFF"/>
                <w:lang w:val="en-US" w:eastAsia="zh-CN"/>
              </w:rPr>
              <w:t>包一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333333"/>
                <w:spacing w:val="0"/>
                <w:sz w:val="24"/>
                <w:szCs w:val="24"/>
                <w:shd w:val="clear" w:fill="FFFFFF"/>
                <w:vertAlign w:val="baseline"/>
                <w:lang w:val="en-US" w:eastAsia="zh-CN"/>
              </w:rPr>
            </w:pPr>
            <w:r>
              <w:rPr>
                <w:rFonts w:hint="eastAsia" w:ascii="方正仿宋_GBK" w:hAnsi="方正仿宋_GBK" w:eastAsia="方正仿宋_GBK" w:cs="方正仿宋_GBK"/>
                <w:i w:val="0"/>
                <w:caps w:val="0"/>
                <w:color w:val="333333"/>
                <w:spacing w:val="0"/>
                <w:sz w:val="24"/>
                <w:szCs w:val="24"/>
                <w:shd w:val="clear" w:fill="FFFFFF"/>
                <w:lang w:val="en-US" w:eastAsia="zh-CN"/>
              </w:rPr>
              <w:t>（报废机动车）</w:t>
            </w:r>
          </w:p>
        </w:tc>
        <w:tc>
          <w:tcPr>
            <w:tcW w:w="40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第一中标候选人：</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sz w:val="24"/>
                <w:szCs w:val="24"/>
                <w:lang w:val="en-US" w:eastAsia="zh-CN"/>
              </w:rPr>
            </w:pPr>
            <w:r>
              <w:rPr>
                <w:rFonts w:hint="eastAsia" w:ascii="方正仿宋_GBK" w:hAnsi="方正仿宋_GBK" w:eastAsia="方正仿宋_GBK" w:cs="方正仿宋_GBK"/>
                <w:i w:val="0"/>
                <w:caps w:val="0"/>
                <w:color w:val="333333"/>
                <w:spacing w:val="0"/>
                <w:sz w:val="24"/>
                <w:szCs w:val="24"/>
                <w:shd w:val="clear" w:fill="FFFFFF"/>
                <w:lang w:val="en-US" w:eastAsia="zh-CN"/>
              </w:rPr>
              <w:t>重庆市嘉华报废汽车回收有限公司</w:t>
            </w:r>
          </w:p>
        </w:tc>
        <w:tc>
          <w:tcPr>
            <w:tcW w:w="24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报价金额：</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lang w:val="en-US" w:eastAsia="zh-CN"/>
              </w:rPr>
            </w:pPr>
            <w:r>
              <w:rPr>
                <w:rFonts w:hint="eastAsia"/>
                <w:lang w:val="en-US" w:eastAsia="zh-CN"/>
              </w:rPr>
              <w:t xml:space="preserve">    </w:t>
            </w:r>
            <w:r>
              <w:rPr>
                <w:rFonts w:hint="eastAsia" w:ascii="方正仿宋_GBK" w:hAnsi="方正仿宋_GBK" w:eastAsia="方正仿宋_GBK" w:cs="方正仿宋_GBK"/>
                <w:sz w:val="24"/>
                <w:szCs w:val="24"/>
                <w:lang w:val="en-US" w:eastAsia="zh-CN"/>
              </w:rPr>
              <w:t>200005元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333333"/>
                <w:spacing w:val="0"/>
                <w:sz w:val="24"/>
                <w:szCs w:val="24"/>
                <w:shd w:val="clear" w:fill="FFFFFF"/>
                <w:vertAlign w:val="baseline"/>
                <w:lang w:val="en-US" w:eastAsia="zh-CN"/>
              </w:rPr>
            </w:pPr>
          </w:p>
        </w:tc>
        <w:tc>
          <w:tcPr>
            <w:tcW w:w="4091" w:type="dxa"/>
            <w:vAlign w:val="center"/>
          </w:tcPr>
          <w:p>
            <w:pPr>
              <w:keepNext w:val="0"/>
              <w:keepLines w:val="0"/>
              <w:pageBreakBefore w:val="0"/>
              <w:widowControl w:val="0"/>
              <w:tabs>
                <w:tab w:val="left" w:pos="1027"/>
              </w:tabs>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第二中标候选人：</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sz w:val="24"/>
                <w:szCs w:val="24"/>
                <w:lang w:val="en-US" w:eastAsia="zh-CN"/>
              </w:rPr>
            </w:pPr>
            <w:r>
              <w:rPr>
                <w:rFonts w:hint="eastAsia" w:ascii="方正仿宋_GBK" w:hAnsi="方正仿宋_GBK" w:eastAsia="方正仿宋_GBK" w:cs="方正仿宋_GBK"/>
                <w:i w:val="0"/>
                <w:caps w:val="0"/>
                <w:color w:val="333333"/>
                <w:spacing w:val="0"/>
                <w:sz w:val="24"/>
                <w:szCs w:val="24"/>
                <w:shd w:val="clear" w:fill="FFFFFF"/>
                <w:lang w:val="en-US" w:eastAsia="zh-CN"/>
              </w:rPr>
              <w:t>重庆明田报废汽车回收有限公司</w:t>
            </w:r>
          </w:p>
        </w:tc>
        <w:tc>
          <w:tcPr>
            <w:tcW w:w="2404"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报价金额：</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方正仿宋_GBK" w:hAnsi="方正仿宋_GBK" w:eastAsia="方正仿宋_GBK" w:cs="方正仿宋_GBK"/>
                <w:i w:val="0"/>
                <w:caps w:val="0"/>
                <w:color w:val="333333"/>
                <w:spacing w:val="0"/>
                <w:sz w:val="24"/>
                <w:szCs w:val="24"/>
                <w:shd w:val="clear" w:fill="FFFFFF"/>
                <w:vertAlign w:val="baseline"/>
                <w:lang w:val="en-US" w:eastAsia="zh-CN"/>
              </w:rPr>
            </w:pPr>
            <w:r>
              <w:rPr>
                <w:rFonts w:hint="eastAsia"/>
                <w:lang w:val="en-US" w:eastAsia="zh-CN"/>
              </w:rPr>
              <w:t xml:space="preserve">    </w:t>
            </w:r>
            <w:r>
              <w:rPr>
                <w:rFonts w:hint="eastAsia" w:ascii="方正仿宋_GBK" w:hAnsi="方正仿宋_GBK" w:eastAsia="方正仿宋_GBK" w:cs="方正仿宋_GBK"/>
                <w:i w:val="0"/>
                <w:caps w:val="0"/>
                <w:color w:val="333333"/>
                <w:spacing w:val="0"/>
                <w:sz w:val="24"/>
                <w:szCs w:val="24"/>
                <w:shd w:val="clear" w:fill="FFFFFF"/>
                <w:lang w:val="en-US" w:eastAsia="zh-CN"/>
              </w:rPr>
              <w:t>121100</w:t>
            </w:r>
            <w:r>
              <w:rPr>
                <w:rFonts w:hint="eastAsia" w:ascii="方正仿宋_GBK" w:hAnsi="方正仿宋_GBK" w:eastAsia="方正仿宋_GBK" w:cs="方正仿宋_GBK"/>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333333"/>
                <w:spacing w:val="0"/>
                <w:sz w:val="24"/>
                <w:szCs w:val="24"/>
                <w:shd w:val="clear" w:fill="FFFFFF"/>
                <w:vertAlign w:val="baseline"/>
                <w:lang w:val="en-US" w:eastAsia="zh-CN"/>
              </w:rPr>
            </w:pPr>
          </w:p>
        </w:tc>
        <w:tc>
          <w:tcPr>
            <w:tcW w:w="4091" w:type="dxa"/>
            <w:textDirection w:val="lrTb"/>
            <w:vAlign w:val="center"/>
          </w:tcPr>
          <w:p>
            <w:pPr>
              <w:keepNext w:val="0"/>
              <w:keepLines w:val="0"/>
              <w:pageBreakBefore w:val="0"/>
              <w:widowControl w:val="0"/>
              <w:tabs>
                <w:tab w:val="left" w:pos="1027"/>
              </w:tabs>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第三中标候选人：</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方正仿宋_GBK" w:hAnsi="方正仿宋_GBK" w:eastAsia="方正仿宋_GBK" w:cs="方正仿宋_GBK"/>
                <w:i w:val="0"/>
                <w:caps w:val="0"/>
                <w:color w:val="333333"/>
                <w:spacing w:val="0"/>
                <w:sz w:val="24"/>
                <w:szCs w:val="24"/>
                <w:shd w:val="clear" w:fill="FFFFFF"/>
                <w:vertAlign w:val="baseline"/>
                <w:lang w:val="en-US" w:eastAsia="zh-CN"/>
              </w:rPr>
            </w:pPr>
            <w:r>
              <w:rPr>
                <w:rFonts w:hint="eastAsia" w:ascii="方正仿宋_GBK" w:hAnsi="方正仿宋_GBK" w:eastAsia="方正仿宋_GBK" w:cs="方正仿宋_GBK"/>
                <w:i w:val="0"/>
                <w:caps w:val="0"/>
                <w:color w:val="333333"/>
                <w:spacing w:val="0"/>
                <w:sz w:val="24"/>
                <w:szCs w:val="24"/>
                <w:shd w:val="clear" w:fill="FFFFFF"/>
                <w:lang w:val="en-US" w:eastAsia="zh-CN"/>
              </w:rPr>
              <w:t>重庆锦尚再生资源综合利用有限公司</w:t>
            </w:r>
          </w:p>
        </w:tc>
        <w:tc>
          <w:tcPr>
            <w:tcW w:w="2404"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报价金额：</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方正仿宋_GBK" w:hAnsi="方正仿宋_GBK" w:eastAsia="方正仿宋_GBK" w:cs="方正仿宋_GBK"/>
                <w:i w:val="0"/>
                <w:caps w:val="0"/>
                <w:color w:val="333333"/>
                <w:spacing w:val="0"/>
                <w:sz w:val="24"/>
                <w:szCs w:val="24"/>
                <w:shd w:val="clear" w:fill="FFFFFF"/>
                <w:vertAlign w:val="baseline"/>
                <w:lang w:val="en-US" w:eastAsia="zh-CN"/>
              </w:rPr>
            </w:pPr>
            <w:r>
              <w:rPr>
                <w:rFonts w:hint="eastAsia"/>
                <w:lang w:val="en-US" w:eastAsia="zh-CN"/>
              </w:rPr>
              <w:t xml:space="preserve">    </w:t>
            </w:r>
            <w:r>
              <w:rPr>
                <w:rFonts w:hint="eastAsia" w:ascii="方正仿宋_GBK" w:hAnsi="方正仿宋_GBK" w:eastAsia="方正仿宋_GBK" w:cs="方正仿宋_GBK"/>
                <w:i w:val="0"/>
                <w:caps w:val="0"/>
                <w:color w:val="333333"/>
                <w:spacing w:val="0"/>
                <w:sz w:val="24"/>
                <w:szCs w:val="24"/>
                <w:shd w:val="clear" w:fill="FFFFFF"/>
                <w:lang w:val="en-US" w:eastAsia="zh-CN"/>
              </w:rPr>
              <w:t>118000</w:t>
            </w:r>
            <w:r>
              <w:rPr>
                <w:rFonts w:hint="eastAsia" w:ascii="方正仿宋_GBK" w:hAnsi="方正仿宋_GBK" w:eastAsia="方正仿宋_GBK" w:cs="方正仿宋_GBK"/>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202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333333"/>
                <w:spacing w:val="0"/>
                <w:sz w:val="24"/>
                <w:szCs w:val="24"/>
                <w:shd w:val="clear" w:fill="FFFFFF"/>
                <w:vertAlign w:val="baseline"/>
                <w:lang w:val="en-US" w:eastAsia="zh-CN"/>
              </w:rPr>
            </w:pPr>
            <w:r>
              <w:rPr>
                <w:rFonts w:hint="eastAsia" w:ascii="方正仿宋_GBK" w:hAnsi="方正仿宋_GBK" w:eastAsia="方正仿宋_GBK" w:cs="方正仿宋_GBK"/>
                <w:i w:val="0"/>
                <w:caps w:val="0"/>
                <w:color w:val="333333"/>
                <w:spacing w:val="0"/>
                <w:sz w:val="24"/>
                <w:szCs w:val="24"/>
                <w:shd w:val="clear" w:fill="FFFFFF"/>
                <w:vertAlign w:val="baseline"/>
                <w:lang w:val="en-US" w:eastAsia="zh-CN"/>
              </w:rPr>
              <w:t>包二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333333"/>
                <w:spacing w:val="0"/>
                <w:sz w:val="24"/>
                <w:szCs w:val="24"/>
                <w:shd w:val="clear" w:fill="FFFFFF"/>
                <w:vertAlign w:val="baseline"/>
                <w:lang w:val="en-US" w:eastAsia="zh-CN"/>
              </w:rPr>
            </w:pPr>
            <w:r>
              <w:rPr>
                <w:rFonts w:hint="eastAsia" w:ascii="方正仿宋_GBK" w:hAnsi="方正仿宋_GBK" w:eastAsia="方正仿宋_GBK" w:cs="方正仿宋_GBK"/>
                <w:i w:val="0"/>
                <w:caps w:val="0"/>
                <w:color w:val="333333"/>
                <w:spacing w:val="0"/>
                <w:sz w:val="24"/>
                <w:szCs w:val="24"/>
                <w:shd w:val="clear" w:fill="FFFFFF"/>
                <w:vertAlign w:val="baseline"/>
                <w:lang w:val="en-US" w:eastAsia="zh-CN"/>
              </w:rPr>
              <w:t>（报废机器设备）</w:t>
            </w:r>
          </w:p>
        </w:tc>
        <w:tc>
          <w:tcPr>
            <w:tcW w:w="4091"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第一中标候选人：</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方正仿宋_GBK" w:hAnsi="方正仿宋_GBK" w:eastAsia="方正仿宋_GBK" w:cs="方正仿宋_GBK"/>
                <w:i w:val="0"/>
                <w:caps w:val="0"/>
                <w:color w:val="333333"/>
                <w:spacing w:val="0"/>
                <w:sz w:val="24"/>
                <w:szCs w:val="24"/>
                <w:shd w:val="clear" w:fill="FFFFFF"/>
                <w:vertAlign w:val="baseline"/>
                <w:lang w:val="en-US" w:eastAsia="zh-CN"/>
              </w:rPr>
            </w:pPr>
            <w:r>
              <w:rPr>
                <w:rFonts w:hint="eastAsia" w:ascii="方正仿宋_GBK" w:hAnsi="方正仿宋_GBK" w:eastAsia="方正仿宋_GBK" w:cs="方正仿宋_GBK"/>
                <w:i w:val="0"/>
                <w:caps w:val="0"/>
                <w:color w:val="333333"/>
                <w:spacing w:val="0"/>
                <w:sz w:val="24"/>
                <w:szCs w:val="24"/>
                <w:shd w:val="clear" w:fill="FFFFFF"/>
                <w:lang w:val="en-US" w:eastAsia="zh-CN"/>
              </w:rPr>
              <w:t>重庆淼淇商贸有限公司</w:t>
            </w:r>
          </w:p>
        </w:tc>
        <w:tc>
          <w:tcPr>
            <w:tcW w:w="2404"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报价：</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方正仿宋_GBK" w:hAnsi="方正仿宋_GBK" w:eastAsia="方正仿宋_GBK" w:cs="方正仿宋_GBK"/>
                <w:i w:val="0"/>
                <w:caps w:val="0"/>
                <w:color w:val="333333"/>
                <w:spacing w:val="0"/>
                <w:sz w:val="24"/>
                <w:szCs w:val="24"/>
                <w:shd w:val="clear" w:fill="FFFFFF"/>
                <w:vertAlign w:val="baseline"/>
                <w:lang w:val="en-US" w:eastAsia="zh-CN"/>
              </w:rPr>
            </w:pPr>
            <w:r>
              <w:rPr>
                <w:rFonts w:hint="eastAsia"/>
                <w:lang w:val="en-US" w:eastAsia="zh-CN"/>
              </w:rPr>
              <w:t xml:space="preserve">    </w:t>
            </w:r>
            <w:r>
              <w:rPr>
                <w:rFonts w:hint="eastAsia" w:ascii="方正仿宋_GBK" w:hAnsi="方正仿宋_GBK" w:eastAsia="方正仿宋_GBK" w:cs="方正仿宋_GBK"/>
                <w:i w:val="0"/>
                <w:caps w:val="0"/>
                <w:color w:val="333333"/>
                <w:spacing w:val="0"/>
                <w:sz w:val="24"/>
                <w:szCs w:val="24"/>
                <w:shd w:val="clear" w:fill="FFFFFF"/>
                <w:lang w:val="en-US" w:eastAsia="zh-CN"/>
              </w:rPr>
              <w:t>4160元/吨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333333"/>
                <w:spacing w:val="0"/>
                <w:sz w:val="32"/>
                <w:szCs w:val="32"/>
                <w:shd w:val="clear" w:fill="FFFFFF"/>
                <w:vertAlign w:val="baseline"/>
                <w:lang w:val="en-US" w:eastAsia="zh-CN"/>
              </w:rPr>
            </w:pPr>
          </w:p>
        </w:tc>
        <w:tc>
          <w:tcPr>
            <w:tcW w:w="4091" w:type="dxa"/>
            <w:textDirection w:val="lrTb"/>
            <w:vAlign w:val="center"/>
          </w:tcPr>
          <w:p>
            <w:pPr>
              <w:keepNext w:val="0"/>
              <w:keepLines w:val="0"/>
              <w:pageBreakBefore w:val="0"/>
              <w:widowControl w:val="0"/>
              <w:tabs>
                <w:tab w:val="left" w:pos="1027"/>
              </w:tabs>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第二中标候选人：</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方正仿宋_GBK" w:hAnsi="方正仿宋_GBK" w:eastAsia="方正仿宋_GBK" w:cs="方正仿宋_GBK"/>
                <w:i w:val="0"/>
                <w:caps w:val="0"/>
                <w:color w:val="333333"/>
                <w:spacing w:val="0"/>
                <w:sz w:val="24"/>
                <w:szCs w:val="24"/>
                <w:shd w:val="clear" w:fill="FFFFFF"/>
                <w:vertAlign w:val="baseline"/>
                <w:lang w:val="en-US" w:eastAsia="zh-CN"/>
              </w:rPr>
            </w:pPr>
            <w:r>
              <w:rPr>
                <w:rFonts w:hint="eastAsia" w:ascii="方正仿宋_GBK" w:hAnsi="方正仿宋_GBK" w:eastAsia="方正仿宋_GBK" w:cs="方正仿宋_GBK"/>
                <w:i w:val="0"/>
                <w:caps w:val="0"/>
                <w:color w:val="333333"/>
                <w:spacing w:val="0"/>
                <w:sz w:val="24"/>
                <w:szCs w:val="24"/>
                <w:shd w:val="clear" w:fill="FFFFFF"/>
                <w:lang w:val="en-US" w:eastAsia="zh-CN"/>
              </w:rPr>
              <w:t>重庆市南群金属科技有限公司</w:t>
            </w:r>
          </w:p>
        </w:tc>
        <w:tc>
          <w:tcPr>
            <w:tcW w:w="2404"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报价金额：</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方正仿宋_GBK" w:hAnsi="方正仿宋_GBK" w:eastAsia="方正仿宋_GBK" w:cs="方正仿宋_GBK"/>
                <w:i w:val="0"/>
                <w:caps w:val="0"/>
                <w:color w:val="333333"/>
                <w:spacing w:val="0"/>
                <w:sz w:val="24"/>
                <w:szCs w:val="24"/>
                <w:shd w:val="clear" w:fill="FFFFFF"/>
                <w:vertAlign w:val="baseline"/>
                <w:lang w:val="en-US" w:eastAsia="zh-CN"/>
              </w:rPr>
            </w:pPr>
            <w:r>
              <w:rPr>
                <w:rFonts w:hint="eastAsia"/>
                <w:lang w:val="en-US" w:eastAsia="zh-CN"/>
              </w:rPr>
              <w:t xml:space="preserve">    </w:t>
            </w:r>
            <w:r>
              <w:rPr>
                <w:rFonts w:hint="eastAsia" w:ascii="方正仿宋_GBK" w:hAnsi="方正仿宋_GBK" w:eastAsia="方正仿宋_GBK" w:cs="方正仿宋_GBK"/>
                <w:i w:val="0"/>
                <w:caps w:val="0"/>
                <w:color w:val="333333"/>
                <w:spacing w:val="0"/>
                <w:sz w:val="24"/>
                <w:szCs w:val="24"/>
                <w:shd w:val="clear" w:fill="FFFFFF"/>
                <w:lang w:val="en-US" w:eastAsia="zh-CN"/>
              </w:rPr>
              <w:t>4030元/吨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333333"/>
                <w:spacing w:val="0"/>
                <w:sz w:val="32"/>
                <w:szCs w:val="32"/>
                <w:shd w:val="clear" w:fill="FFFFFF"/>
                <w:vertAlign w:val="baseline"/>
                <w:lang w:val="en-US" w:eastAsia="zh-CN"/>
              </w:rPr>
            </w:pPr>
          </w:p>
        </w:tc>
        <w:tc>
          <w:tcPr>
            <w:tcW w:w="4091" w:type="dxa"/>
            <w:textDirection w:val="lrTb"/>
            <w:vAlign w:val="center"/>
          </w:tcPr>
          <w:p>
            <w:pPr>
              <w:keepNext w:val="0"/>
              <w:keepLines w:val="0"/>
              <w:pageBreakBefore w:val="0"/>
              <w:widowControl w:val="0"/>
              <w:tabs>
                <w:tab w:val="left" w:pos="1027"/>
              </w:tabs>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第三中标候选人：</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方正仿宋_GBK" w:hAnsi="方正仿宋_GBK" w:eastAsia="方正仿宋_GBK" w:cs="方正仿宋_GBK"/>
                <w:i w:val="0"/>
                <w:caps w:val="0"/>
                <w:color w:val="333333"/>
                <w:spacing w:val="0"/>
                <w:sz w:val="24"/>
                <w:szCs w:val="24"/>
                <w:shd w:val="clear" w:fill="FFFFFF"/>
                <w:vertAlign w:val="baseline"/>
                <w:lang w:val="en-US" w:eastAsia="zh-CN"/>
              </w:rPr>
            </w:pPr>
            <w:r>
              <w:rPr>
                <w:rFonts w:hint="eastAsia" w:ascii="方正仿宋_GBK" w:hAnsi="方正仿宋_GBK" w:eastAsia="方正仿宋_GBK" w:cs="方正仿宋_GBK"/>
                <w:i w:val="0"/>
                <w:caps w:val="0"/>
                <w:color w:val="333333"/>
                <w:spacing w:val="0"/>
                <w:sz w:val="24"/>
                <w:szCs w:val="24"/>
                <w:shd w:val="clear" w:fill="FFFFFF"/>
                <w:lang w:val="en-US" w:eastAsia="zh-CN"/>
              </w:rPr>
              <w:t>重庆佳维人力资源有限公司</w:t>
            </w:r>
          </w:p>
        </w:tc>
        <w:tc>
          <w:tcPr>
            <w:tcW w:w="2404"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报价金额：</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方正仿宋_GBK" w:hAnsi="方正仿宋_GBK" w:eastAsia="方正仿宋_GBK" w:cs="方正仿宋_GBK"/>
                <w:i w:val="0"/>
                <w:caps w:val="0"/>
                <w:color w:val="333333"/>
                <w:spacing w:val="0"/>
                <w:sz w:val="24"/>
                <w:szCs w:val="24"/>
                <w:shd w:val="clear" w:fill="FFFFFF"/>
                <w:vertAlign w:val="baseline"/>
                <w:lang w:val="en-US" w:eastAsia="zh-CN"/>
              </w:rPr>
            </w:pPr>
            <w:r>
              <w:rPr>
                <w:rFonts w:hint="eastAsia"/>
                <w:lang w:val="en-US" w:eastAsia="zh-CN"/>
              </w:rPr>
              <w:t xml:space="preserve">    </w:t>
            </w:r>
            <w:r>
              <w:rPr>
                <w:rFonts w:hint="eastAsia" w:ascii="方正仿宋_GBK" w:hAnsi="方正仿宋_GBK" w:eastAsia="方正仿宋_GBK" w:cs="方正仿宋_GBK"/>
                <w:i w:val="0"/>
                <w:caps w:val="0"/>
                <w:color w:val="333333"/>
                <w:spacing w:val="0"/>
                <w:sz w:val="24"/>
                <w:szCs w:val="24"/>
                <w:shd w:val="clear" w:fill="FFFFFF"/>
                <w:lang w:val="en-US" w:eastAsia="zh-CN"/>
              </w:rPr>
              <w:t>3920元/吨</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报废液氨瓶处置竞争性比选无单位报价，本次流标。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47EE5"/>
    <w:rsid w:val="0BC040D1"/>
    <w:rsid w:val="2AFE4AA1"/>
    <w:rsid w:val="34D73917"/>
    <w:rsid w:val="34F01C5C"/>
    <w:rsid w:val="4F666C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ind w:firstLine="630"/>
    </w:pPr>
    <w:rPr>
      <w:rFonts w:ascii="宋体"/>
      <w:color w:val="000000"/>
      <w:sz w:val="30"/>
      <w:szCs w:val="20"/>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AYCQ083</dc:creator>
  <cp:lastModifiedBy>Acer</cp:lastModifiedBy>
  <dcterms:modified xsi:type="dcterms:W3CDTF">2021-10-26T09:00:36Z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