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重庆高速公路集团有限公司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巫云开高速砂石骨料供应商类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非必须招标项目临时合格供方库单位的公告</w:t>
      </w:r>
    </w:p>
    <w:p>
      <w:pPr>
        <w:spacing w:line="640" w:lineRule="exact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   重庆高速集团拟建立部分业务临时非必须招标项目合格供方库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（巫云开项目砂石骨料临建设施、便道供应）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，现诚邀满足条件的单位申请入库。现将有关事项公告如下：</w:t>
      </w:r>
    </w:p>
    <w:p>
      <w:pPr>
        <w:numPr>
          <w:ilvl w:val="0"/>
          <w:numId w:val="1"/>
        </w:numPr>
        <w:spacing w:line="640" w:lineRule="exact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合格供方库内容</w:t>
      </w:r>
    </w:p>
    <w:tbl>
      <w:tblPr>
        <w:tblStyle w:val="7"/>
        <w:tblW w:w="86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4500"/>
        <w:gridCol w:w="28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序号</w:t>
            </w:r>
          </w:p>
        </w:tc>
        <w:tc>
          <w:tcPr>
            <w:tcW w:w="45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合格供方库类别</w:t>
            </w:r>
          </w:p>
        </w:tc>
        <w:tc>
          <w:tcPr>
            <w:tcW w:w="2871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入库单位数量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01</w:t>
            </w:r>
          </w:p>
        </w:tc>
        <w:tc>
          <w:tcPr>
            <w:tcW w:w="45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eastAsia="zh-CN"/>
              </w:rPr>
              <w:t>巫云开高速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  <w:lang w:eastAsia="zh-CN"/>
              </w:rPr>
              <w:t>砂石骨料供应商</w:t>
            </w: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类</w:t>
            </w:r>
          </w:p>
        </w:tc>
        <w:tc>
          <w:tcPr>
            <w:tcW w:w="2871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33"/>
                <w:szCs w:val="33"/>
              </w:rPr>
            </w:pPr>
            <w:r>
              <w:rPr>
                <w:rFonts w:hint="eastAsia" w:ascii="方正仿宋_GBK" w:hAnsi="方正仿宋_GBK" w:eastAsia="方正仿宋_GBK" w:cs="方正仿宋_GBK"/>
                <w:sz w:val="33"/>
                <w:szCs w:val="33"/>
              </w:rPr>
              <w:t>≥4家</w:t>
            </w:r>
          </w:p>
        </w:tc>
      </w:tr>
    </w:tbl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二、申请入库资格要求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砂石骨料矿山企业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30"/>
        <w:jc w:val="both"/>
        <w:outlineLvl w:val="9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1、营业执照、要求营业期限（长期）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30"/>
        <w:jc w:val="both"/>
        <w:outlineLvl w:val="9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2、采矿许可证（由行业主管部门颁发的）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30"/>
        <w:jc w:val="both"/>
        <w:outlineLvl w:val="9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3、安全生产许可证（由行业主管部门颁发的）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30"/>
        <w:jc w:val="both"/>
        <w:outlineLvl w:val="9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4、环保相关手续（由行业主管部门颁发的）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right="0" w:rightChars="0" w:firstLine="630"/>
        <w:jc w:val="both"/>
        <w:outlineLvl w:val="9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5、材质的检查报告（由有资质的单位出具）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未被“信用中国”网站(www.creditchina.gov.cn/)中列</w:t>
      </w:r>
      <w:r>
        <w:rPr>
          <w:rFonts w:hint="eastAsia" w:ascii="方正仿宋_GBK" w:hAnsi="方正仿宋_GBK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入失信被执行人名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单。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砂石骨料商贸公司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1、营业执照、要求营业期限（长期）。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2、业绩证明材料（与采购方的销售合同）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3、与合作矿山企业的授权销售文件（为唯一授权巫云开项目）。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4、合作矿山企业的采矿许可证、安全生产许可证、环保相关手续、材质的检查报告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未被“信用中国”网站(www.creditchina.gov.cn/)中列</w:t>
      </w:r>
      <w:r>
        <w:rPr>
          <w:rFonts w:hint="eastAsia" w:ascii="方正仿宋_GBK" w:hAnsi="方正仿宋_GBK" w:eastAsia="方正仿宋_GBK" w:cs="方正仿宋_GBK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入失信被执行人名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单。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三、申请入库材料要求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矿山企业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企业营业执照（扫描件）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法定代表人身份证及法定代表人授权委托书（扫描件）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采矿许可证(扫描件）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安全生产许可证(扫描件）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环保相关手续（扫描件）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6.材质的检测报告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（扫描件）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企业征信证明（提供“信用中国”查询截图）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商贸公司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企业营业执照（扫描件）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法定代表人身份证及法定代表人授权委托书（扫描件）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3.与合作矿山销售授权文件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(扫描件</w:t>
      </w:r>
      <w:r>
        <w:rPr>
          <w:rFonts w:hint="eastAsia" w:ascii="方正仿宋_GBK" w:hAnsi="方正仿宋_GBK" w:eastAsia="方正仿宋_GBK" w:cs="方正仿宋_GBK"/>
          <w:sz w:val="33"/>
          <w:szCs w:val="33"/>
          <w:lang w:eastAsia="zh-CN"/>
        </w:rPr>
        <w:t>，见附件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业绩证明（合同扫描件）</w:t>
      </w:r>
    </w:p>
    <w:p>
      <w:pPr>
        <w:spacing w:line="640" w:lineRule="exact"/>
        <w:ind w:firstLine="660" w:firstLineChars="2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企业征信证明（提供“信用中国”查询截图）</w:t>
      </w:r>
    </w:p>
    <w:p>
      <w:pPr>
        <w:spacing w:line="640" w:lineRule="exact"/>
        <w:ind w:firstLine="562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楷体_GBK" w:hAnsi="方正仿宋_GBK" w:eastAsia="方正楷体_GBK" w:cs="方正仿宋_GBK"/>
          <w:b/>
          <w:sz w:val="28"/>
          <w:szCs w:val="28"/>
        </w:rPr>
        <w:t>（注意：“</w:t>
      </w:r>
      <w:r>
        <w:rPr>
          <w:rFonts w:hint="eastAsia" w:ascii="方正楷体_GBK" w:hAnsi="方正黑体_GBK" w:eastAsia="方正楷体_GBK" w:cs="方正黑体_GBK"/>
          <w:b/>
          <w:sz w:val="28"/>
          <w:szCs w:val="28"/>
        </w:rPr>
        <w:t>申请入库材料要求</w:t>
      </w:r>
      <w:r>
        <w:rPr>
          <w:rFonts w:hint="eastAsia" w:ascii="方正楷体_GBK" w:hAnsi="方正仿宋_GBK" w:eastAsia="方正楷体_GBK" w:cs="方正仿宋_GBK"/>
          <w:b/>
          <w:sz w:val="28"/>
          <w:szCs w:val="28"/>
        </w:rPr>
        <w:t>”中所列内容应包含“</w:t>
      </w:r>
      <w:r>
        <w:rPr>
          <w:rFonts w:hint="eastAsia" w:ascii="方正楷体_GBK" w:hAnsi="方正黑体_GBK" w:eastAsia="方正楷体_GBK" w:cs="方正黑体_GBK"/>
          <w:b/>
          <w:sz w:val="28"/>
          <w:szCs w:val="28"/>
        </w:rPr>
        <w:t>申请入库资格要求</w:t>
      </w:r>
      <w:r>
        <w:rPr>
          <w:rFonts w:hint="eastAsia" w:ascii="方正楷体_GBK" w:hAnsi="方正仿宋_GBK" w:eastAsia="方正楷体_GBK" w:cs="方正仿宋_GBK"/>
          <w:b/>
          <w:sz w:val="28"/>
          <w:szCs w:val="28"/>
        </w:rPr>
        <w:t>”中的对应证明材料）</w:t>
      </w:r>
    </w:p>
    <w:p>
      <w:pPr>
        <w:spacing w:line="640" w:lineRule="exact"/>
        <w:ind w:firstLine="660" w:firstLineChars="200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四、申请入库注意事项</w:t>
      </w:r>
    </w:p>
    <w:p>
      <w:pPr>
        <w:spacing w:line="64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（一）申请入库单位符合资格条件可进行申请；对存在不良行为被联合惩戒的单位申请将被拒绝。</w:t>
      </w:r>
    </w:p>
    <w:p>
      <w:pPr>
        <w:spacing w:line="640" w:lineRule="exact"/>
        <w:ind w:firstLine="660" w:firstLineChars="200"/>
        <w:rPr>
          <w:rFonts w:ascii="方正仿宋_GBK" w:hAnsi="方正仿宋_GBK" w:eastAsia="方正仿宋_GBK" w:cs="方正仿宋_GBK"/>
          <w:color w:val="FF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（二）申请入库单位登陆重庆高速公路集团招投标系统（http://43.240.249.109:8081）注册并按要求上传相关材料扫描件。</w:t>
      </w:r>
    </w:p>
    <w:p>
      <w:pPr>
        <w:spacing w:line="64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（三）业绩时间以委托或合同签订时间为准。</w:t>
      </w:r>
    </w:p>
    <w:p>
      <w:pPr>
        <w:snapToGrid w:val="0"/>
        <w:spacing w:line="640" w:lineRule="exact"/>
        <w:ind w:firstLine="660" w:firstLineChars="20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（四）入库申请单位须于202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月 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日之前提交申请，逾期不再受理（另行通知除外）。</w:t>
      </w:r>
    </w:p>
    <w:p>
      <w:pPr>
        <w:spacing w:line="640" w:lineRule="exact"/>
        <w:ind w:firstLine="825" w:firstLineChars="250"/>
        <w:rPr>
          <w:rFonts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五、其他事项</w:t>
      </w:r>
    </w:p>
    <w:p>
      <w:pPr>
        <w:snapToGrid w:val="0"/>
        <w:spacing w:line="640" w:lineRule="exact"/>
        <w:ind w:firstLine="825" w:firstLineChars="250"/>
        <w:rPr>
          <w:rFonts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入库申请单位提供的资质、业绩、人员等资料存在弄虚作假情况的，将取消其入选资格，并禁止其参与重庆高速公路集团有限公司其它业务。</w:t>
      </w:r>
    </w:p>
    <w:p>
      <w:pPr>
        <w:ind w:firstLine="5280" w:firstLineChars="1600"/>
        <w:rPr>
          <w:rFonts w:ascii="方正仿宋_GBK" w:hAnsi="方正仿宋_GBK" w:eastAsia="方正仿宋_GBK" w:cs="方正仿宋_GBK"/>
          <w:sz w:val="33"/>
          <w:szCs w:val="33"/>
        </w:rPr>
      </w:pPr>
    </w:p>
    <w:p>
      <w:pPr>
        <w:ind w:firstLine="5280" w:firstLineChars="1600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202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3"/>
          <w:szCs w:val="33"/>
        </w:rPr>
        <w:t>日</w:t>
      </w:r>
    </w:p>
    <w:p>
      <w:pPr>
        <w:pStyle w:val="6"/>
        <w:rPr>
          <w:rFonts w:hint="eastAsia" w:ascii="方正仿宋_GBK" w:hAnsi="方正仿宋_GBK" w:eastAsia="方正仿宋_GBK" w:cs="方正仿宋_GBK"/>
          <w:sz w:val="33"/>
          <w:szCs w:val="33"/>
        </w:rPr>
      </w:pPr>
    </w:p>
    <w:p>
      <w:pPr>
        <w:spacing w:line="580" w:lineRule="exact"/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spacing w:line="620" w:lineRule="exact"/>
        <w:jc w:val="both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授权书</w:t>
      </w:r>
    </w:p>
    <w:p>
      <w:pPr>
        <w:snapToGrid w:val="0"/>
        <w:spacing w:line="62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20" w:lineRule="exac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重庆安全产业发展集团有限公司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我公司正式授权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安产集团巫云开砂石项目供应唯一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代理商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全面负责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巫云开高速公路砂石骨料供应及相关服务，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授权期限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2021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日起至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本授权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特此证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明。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ind w:left="0" w:leftChars="0" w:firstLine="3200" w:firstLineChars="10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授权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单位（盖章）：</w:t>
      </w:r>
    </w:p>
    <w:p>
      <w:pPr>
        <w:pStyle w:val="2"/>
        <w:jc w:val="center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期：</w:t>
      </w:r>
    </w:p>
    <w:p>
      <w:pPr>
        <w:pStyle w:val="6"/>
        <w:ind w:left="0" w:leftChars="0" w:firstLine="0" w:firstLineChars="0"/>
        <w:rPr>
          <w:rFonts w:hint="eastAsia" w:ascii="方正仿宋_GBK" w:hAnsi="方正仿宋_GBK" w:eastAsia="方正仿宋_GBK" w:cs="方正仿宋_GBK"/>
          <w:sz w:val="33"/>
          <w:szCs w:val="33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9CFC"/>
    <w:multiLevelType w:val="multilevel"/>
    <w:tmpl w:val="107E9CFC"/>
    <w:lvl w:ilvl="0" w:tentative="0">
      <w:start w:val="1"/>
      <w:numFmt w:val="japaneseCounting"/>
      <w:lvlText w:val="%1、"/>
      <w:lvlJc w:val="left"/>
      <w:pPr>
        <w:ind w:left="1380" w:hanging="720"/>
      </w:p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B1BAE"/>
    <w:rsid w:val="0002251A"/>
    <w:rsid w:val="00033750"/>
    <w:rsid w:val="00182AD2"/>
    <w:rsid w:val="00184D07"/>
    <w:rsid w:val="001A0EF7"/>
    <w:rsid w:val="001F020D"/>
    <w:rsid w:val="00235157"/>
    <w:rsid w:val="002D4D0F"/>
    <w:rsid w:val="002D4FB3"/>
    <w:rsid w:val="002E22AD"/>
    <w:rsid w:val="003B486F"/>
    <w:rsid w:val="003E458C"/>
    <w:rsid w:val="004006B4"/>
    <w:rsid w:val="00444D44"/>
    <w:rsid w:val="00490774"/>
    <w:rsid w:val="004E526F"/>
    <w:rsid w:val="00530B21"/>
    <w:rsid w:val="006766E9"/>
    <w:rsid w:val="00697741"/>
    <w:rsid w:val="006B7EAB"/>
    <w:rsid w:val="00741D28"/>
    <w:rsid w:val="00782C09"/>
    <w:rsid w:val="00844A6F"/>
    <w:rsid w:val="009022BC"/>
    <w:rsid w:val="009544BD"/>
    <w:rsid w:val="00971013"/>
    <w:rsid w:val="00AC1B39"/>
    <w:rsid w:val="00B96A02"/>
    <w:rsid w:val="00BD27F2"/>
    <w:rsid w:val="00E54086"/>
    <w:rsid w:val="00E74C88"/>
    <w:rsid w:val="00F1253F"/>
    <w:rsid w:val="02A474B0"/>
    <w:rsid w:val="02C66B7B"/>
    <w:rsid w:val="030B1BAE"/>
    <w:rsid w:val="05410AD9"/>
    <w:rsid w:val="06E87979"/>
    <w:rsid w:val="0BDD24AC"/>
    <w:rsid w:val="11B107D4"/>
    <w:rsid w:val="120300EE"/>
    <w:rsid w:val="124274D1"/>
    <w:rsid w:val="16B7207D"/>
    <w:rsid w:val="173D49B3"/>
    <w:rsid w:val="18EC329E"/>
    <w:rsid w:val="1E2147F5"/>
    <w:rsid w:val="1F7F0195"/>
    <w:rsid w:val="20F665CE"/>
    <w:rsid w:val="278B75F3"/>
    <w:rsid w:val="27C3721C"/>
    <w:rsid w:val="27C52D3E"/>
    <w:rsid w:val="2DEB73A9"/>
    <w:rsid w:val="30BB28F3"/>
    <w:rsid w:val="317C7975"/>
    <w:rsid w:val="344044C2"/>
    <w:rsid w:val="34D6086B"/>
    <w:rsid w:val="354A7F02"/>
    <w:rsid w:val="372966CA"/>
    <w:rsid w:val="3A7443A5"/>
    <w:rsid w:val="3B83693A"/>
    <w:rsid w:val="3E9324E3"/>
    <w:rsid w:val="45DA23A2"/>
    <w:rsid w:val="466E38C5"/>
    <w:rsid w:val="493B0959"/>
    <w:rsid w:val="4A187178"/>
    <w:rsid w:val="4B1D39F4"/>
    <w:rsid w:val="4B263842"/>
    <w:rsid w:val="4D3F1624"/>
    <w:rsid w:val="4E163CB2"/>
    <w:rsid w:val="500125F6"/>
    <w:rsid w:val="57150F1E"/>
    <w:rsid w:val="58BC2102"/>
    <w:rsid w:val="58DC23F6"/>
    <w:rsid w:val="5D5A0088"/>
    <w:rsid w:val="5E131AA1"/>
    <w:rsid w:val="60E606EC"/>
    <w:rsid w:val="646B41E1"/>
    <w:rsid w:val="65674050"/>
    <w:rsid w:val="683777E6"/>
    <w:rsid w:val="6B184110"/>
    <w:rsid w:val="6C7256DB"/>
    <w:rsid w:val="6CC41366"/>
    <w:rsid w:val="6F033BAC"/>
    <w:rsid w:val="724103F4"/>
    <w:rsid w:val="75967860"/>
    <w:rsid w:val="76E24B77"/>
    <w:rsid w:val="79B7542D"/>
    <w:rsid w:val="7DF90DCD"/>
    <w:rsid w:val="7F525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2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line="450" w:lineRule="atLeast"/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Body Text First Indent"/>
    <w:basedOn w:val="2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character" w:styleId="9">
    <w:name w:val="FollowedHyperlink"/>
    <w:basedOn w:val="8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10">
    <w:name w:val="Hyperlink"/>
    <w:basedOn w:val="8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11">
    <w:name w:val="hover48"/>
    <w:basedOn w:val="8"/>
    <w:qFormat/>
    <w:uiPriority w:val="0"/>
    <w:rPr>
      <w:shd w:val="clear" w:color="auto" w:fill="346AC3"/>
    </w:rPr>
  </w:style>
  <w:style w:type="character" w:customStyle="1" w:styleId="12">
    <w:name w:val="hover49"/>
    <w:basedOn w:val="8"/>
    <w:qFormat/>
    <w:uiPriority w:val="0"/>
    <w:rPr>
      <w:color w:val="4285F4"/>
      <w:u w:val="none"/>
    </w:rPr>
  </w:style>
  <w:style w:type="character" w:customStyle="1" w:styleId="13">
    <w:name w:val="hover50"/>
    <w:basedOn w:val="8"/>
    <w:qFormat/>
    <w:uiPriority w:val="0"/>
    <w:rPr>
      <w:color w:val="4285F4"/>
    </w:rPr>
  </w:style>
  <w:style w:type="character" w:customStyle="1" w:styleId="14">
    <w:name w:val="hover51"/>
    <w:basedOn w:val="8"/>
    <w:qFormat/>
    <w:uiPriority w:val="0"/>
    <w:rPr>
      <w:color w:val="1A85D7"/>
    </w:rPr>
  </w:style>
  <w:style w:type="character" w:customStyle="1" w:styleId="15">
    <w:name w:val="hover52"/>
    <w:basedOn w:val="8"/>
    <w:qFormat/>
    <w:uiPriority w:val="0"/>
  </w:style>
  <w:style w:type="character" w:customStyle="1" w:styleId="16">
    <w:name w:val="credit"/>
    <w:basedOn w:val="8"/>
    <w:qFormat/>
    <w:uiPriority w:val="0"/>
    <w:rPr>
      <w:sz w:val="18"/>
      <w:szCs w:val="18"/>
    </w:rPr>
  </w:style>
  <w:style w:type="character" w:customStyle="1" w:styleId="17">
    <w:name w:val="after"/>
    <w:basedOn w:val="8"/>
    <w:qFormat/>
    <w:uiPriority w:val="0"/>
    <w:rPr>
      <w:bdr w:val="dashed" w:color="auto" w:sz="48" w:space="0"/>
    </w:rPr>
  </w:style>
  <w:style w:type="character" w:customStyle="1" w:styleId="18">
    <w:name w:val="before"/>
    <w:basedOn w:val="8"/>
    <w:qFormat/>
    <w:uiPriority w:val="0"/>
    <w:rPr>
      <w:bdr w:val="single" w:color="auto" w:sz="48" w:space="0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hover"/>
    <w:basedOn w:val="8"/>
    <w:qFormat/>
    <w:uiPriority w:val="0"/>
    <w:rPr>
      <w:shd w:val="clear" w:color="auto" w:fill="346AC3"/>
    </w:rPr>
  </w:style>
  <w:style w:type="character" w:customStyle="1" w:styleId="21">
    <w:name w:val="hover1"/>
    <w:basedOn w:val="8"/>
    <w:qFormat/>
    <w:uiPriority w:val="0"/>
    <w:rPr>
      <w:color w:val="1A85D7"/>
    </w:rPr>
  </w:style>
  <w:style w:type="character" w:customStyle="1" w:styleId="22">
    <w:name w:val="hover2"/>
    <w:basedOn w:val="8"/>
    <w:qFormat/>
    <w:uiPriority w:val="0"/>
    <w:rPr>
      <w:color w:val="4285F4"/>
    </w:rPr>
  </w:style>
  <w:style w:type="character" w:customStyle="1" w:styleId="23">
    <w:name w:val="hover3"/>
    <w:basedOn w:val="8"/>
    <w:qFormat/>
    <w:uiPriority w:val="0"/>
    <w:rPr>
      <w:color w:val="4285F4"/>
      <w:u w:val="none"/>
    </w:rPr>
  </w:style>
  <w:style w:type="character" w:customStyle="1" w:styleId="24">
    <w:name w:val="hover4"/>
    <w:basedOn w:val="8"/>
    <w:qFormat/>
    <w:uiPriority w:val="0"/>
  </w:style>
  <w:style w:type="character" w:customStyle="1" w:styleId="25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6">
    <w:name w:val="页眉 Char1"/>
    <w:basedOn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2020-03-25T03:27:00Z</dcterms:created>
  <dc:creator>陈艳</dc:creator>
  <cp:lastModifiedBy>123</cp:lastModifiedBy>
  <cp:lastPrinted>2020-03-09T01:37:00Z</cp:lastPrinted>
  <dcterms:modified xsi:type="dcterms:W3CDTF">2021-01-28T09:03:41Z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257449721_btnclosed</vt:lpwstr>
  </property>
</Properties>
</file>