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干副</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10</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干副</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以下简称“员工食堂”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干副</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干副</w:t>
      </w:r>
      <w:r>
        <w:rPr>
          <w:rFonts w:hint="eastAsia" w:ascii="方正仿宋_GBK" w:hAnsi="方正仿宋_GBK" w:eastAsia="方正仿宋_GBK" w:cs="方正仿宋_GBK"/>
          <w:sz w:val="24"/>
          <w:szCs w:val="24"/>
        </w:rPr>
        <w:t>类配送服务面向社会进行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pStyle w:val="90"/>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二、询价内容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1.全年365天向询价人员工食堂提供干副配送，本次询价择优选择供应商合作期限为1年，时间从中标人与询价人正式签订合同之日算起。</w:t>
      </w:r>
    </w:p>
    <w:p>
      <w:pPr>
        <w:spacing w:line="360" w:lineRule="auto"/>
        <w:ind w:left="-420" w:leftChars="-200" w:firstLine="960" w:firstLineChars="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干副明细清单于开单日下午2：00前报给中标人，中标人在供货日将净重干副产品交询价人指定人员称重验收，单品上下浮动重量应控制在该货品报单数量的5%以内，瓶、罐、袋装货品应同报单数量相同。中标人尽量保证向询价人提供全项单品，如无法满足，需在开单日下午18：00前与询价人联系并经询价人确认，应保证询价人对货品的要求，如需稀缺单品询价人应提前告知中标人备货，三次缺货或干副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所供货品均为正规厂家生产、无质量问题，定期提供检验报告，所送干副产品应在送货单上标注生产日期、等级和产地（询价人无明确规定的货品，应与新世纪百货爱融荟城店品质一致）。严禁配送“三无”和“临期”产品，如发现有质量问题，中标人应立即退换不合格货品，如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7.双方每月中旬在新世纪百货爱融荟城店按照“同质同价”的原则共同采价，当月配送结算价按采价的货品价格×报价折扣率执行。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1.报价人具有独立法人资格、注册资本贰仟万元及以上，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围包括具备干副或农产品销售、配送资质；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3.近2年（2020年1月1日至今）独立完成服务5个及以上重庆市内的大中型机关、事业单位、企业（用餐人数300人以上，提供人数证明）或供应大中型生活超市的业绩；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1.本项目最高折扣率为80%，报价不得等于或大于80%，否则报价文件将被否决。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投标文件递交的截止时间：2022年10月17日15:20前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递交地址：重庆市渝北区银杉路66号（高速集团）2306室。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（四）开标时间：2022年10月17日15:20（北京时间）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联系人：谢磊、曾立应</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话：89133343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2022年10月11日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重庆高速公路集团有限公司总部员工食堂干副配送服务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员工食堂所需的干副配送服务面向社会进行公开竞争性询价。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1、本项目最高折扣率为80%，报价不得等于或大于80%，否则报价文件将被否决。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2022年10月14日15: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2022年10月14日15: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10</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17</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15:20</w:t>
            </w:r>
            <w:bookmarkStart w:id="15" w:name="_GoBack"/>
            <w:bookmarkEnd w:id="15"/>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疫情防控：要求报价人代表进入询价人单位现场踏勘及递交报价文件均需提供重庆本地24小时内核酸检测阴性证明及核验“双码”</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重庆高速公路集团有限公司总部员工食堂干副配送服务。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中标人保证所供货品均为正规厂家生产、无质量问题，定期提供检验报告，所送预包装货品应在送货单上标注生产日期。</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干副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1、中标人所配送的干副质量及规格必须跟中标要求一致，如发现不一致的情况，中标人必须提供真实有效书面证明，且询价人有权根据实际情况终止合同。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2、中标人供货日将净重干副交询价人指定人员称重验收，下浮动重量应控制在该货品报单数量的5%以内，瓶、罐、袋装货品应同报单数量相同。</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3、中标人所供干副需有重庆市专业权威机构出具的质检报告，应保证干副使用率达到100%，“三无”和“临期”产品。</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1、中标人必须遵守《中华人民共和国食品安全法》，保证所供干副质量及卫生安全均符合法律法规要求。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2、若因配送干副质量问题造成食物中毒或其他食源性疾患的，一切经济损失和法律后果都由报价人承担。询价人将追究法律责任，并终止合同。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3、合同期内三次无故缺货或提供的干副出现严重质量问题，询价人有权立即终止合同。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干副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2、如发现所供商品中有质量问题，中标人应按照约定立即退换不合格商品，如影响询价人正常供餐，中标人须承担询价人当日另购干副费用。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1.本项目最高折扣率为80%，报价不得等于或大于80%，否则报价文件将被否决。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3"/>
        <w:gridCol w:w="457"/>
        <w:gridCol w:w="557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w:t>
            </w:r>
            <w:r>
              <w:rPr>
                <w:rFonts w:hint="eastAsia" w:ascii="方正仿宋_GBK" w:hAnsi="方正仿宋_GBK" w:eastAsia="方正仿宋_GBK" w:cs="方正仿宋_GBK"/>
                <w:color w:val="000000"/>
                <w:kern w:val="0"/>
                <w:sz w:val="18"/>
                <w:szCs w:val="18"/>
                <w:lang w:val="en-US" w:eastAsia="zh-CN"/>
              </w:rPr>
              <w:t>小组</w:t>
            </w:r>
            <w:r>
              <w:rPr>
                <w:rFonts w:hint="eastAsia" w:ascii="方正仿宋_GBK" w:hAnsi="方正仿宋_GBK" w:eastAsia="方正仿宋_GBK" w:cs="方正仿宋_GBK"/>
                <w:color w:val="000000"/>
                <w:kern w:val="0"/>
                <w:sz w:val="18"/>
                <w:szCs w:val="18"/>
              </w:rPr>
              <w:t>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技术及服务能力</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pStyle w:val="2"/>
              <w:numPr>
                <w:ilvl w:val="0"/>
                <w:numId w:val="3"/>
              </w:numPr>
              <w:jc w:val="both"/>
              <w:rPr>
                <w:rFonts w:hint="eastAsia" w:ascii="方正仿宋_GBK" w:hAnsi="方正仿宋_GBK" w:eastAsia="方正仿宋_GBK" w:cs="方正仿宋_GBK"/>
                <w:color w:val="auto"/>
                <w:kern w:val="0"/>
                <w:sz w:val="18"/>
                <w:szCs w:val="18"/>
                <w:lang w:val="en-US" w:eastAsia="zh-CN" w:bidi="ar-SA"/>
              </w:rPr>
            </w:pPr>
            <w:r>
              <w:rPr>
                <w:rFonts w:hint="eastAsia" w:ascii="方正仿宋_GBK" w:hAnsi="方正仿宋_GBK" w:eastAsia="方正仿宋_GBK" w:cs="方正仿宋_GBK"/>
                <w:color w:val="auto"/>
                <w:kern w:val="0"/>
                <w:sz w:val="18"/>
                <w:szCs w:val="18"/>
                <w:lang w:val="en-US" w:eastAsia="zh-CN" w:bidi="ar-SA"/>
              </w:rPr>
              <w:t>具有有效期内的ISO2200食品安全管理体系认证，ISO9001质量管理体系认证，ISO14001环境管理体系认证，ISO45001职业健康安全管理体系认证，ISO28000供应链安全管理体系认证，HACCP危害分析与关键控制点，GB/T36733售后服务认证，GB/T 31950 企业诚信管理体系认证，</w:t>
            </w:r>
            <w:r>
              <w:rPr>
                <w:rFonts w:hint="eastAsia" w:ascii="方正仿宋_GBK" w:hAnsi="方正仿宋_GBK" w:eastAsia="方正仿宋_GBK" w:cs="方正仿宋_GBK"/>
                <w:color w:val="auto"/>
                <w:kern w:val="0"/>
                <w:sz w:val="18"/>
                <w:szCs w:val="18"/>
                <w:lang w:val="en-US" w:eastAsia="zh-CN"/>
              </w:rPr>
              <w:t>每个1分，共7分</w:t>
            </w:r>
            <w:r>
              <w:rPr>
                <w:rFonts w:hint="eastAsia" w:ascii="方正仿宋_GBK" w:hAnsi="方正仿宋_GBK" w:eastAsia="方正仿宋_GBK" w:cs="方正仿宋_GBK"/>
                <w:color w:val="auto"/>
                <w:kern w:val="0"/>
                <w:sz w:val="18"/>
                <w:szCs w:val="18"/>
                <w:lang w:val="en-US" w:eastAsia="zh-CN" w:bidi="ar-SA"/>
              </w:rPr>
              <w:t>（提供证书复印件）。</w:t>
            </w:r>
          </w:p>
          <w:p>
            <w:pPr>
              <w:numPr>
                <w:ilvl w:val="0"/>
                <w:numId w:val="3"/>
              </w:numPr>
              <w:ind w:left="0" w:leftChars="0" w:firstLine="0" w:firstLineChars="0"/>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在重庆主城区域内自有连锁超市10家以上，且单家营业面积不低于2000平方米的得3分（提供分店营业执照复印件，租赁合同复印件或自有产权证明，现场照片)。                                                           </w:t>
            </w:r>
          </w:p>
          <w:p>
            <w:pPr>
              <w:numPr>
                <w:ilvl w:val="0"/>
                <w:numId w:val="0"/>
              </w:numPr>
              <w:ind w:leftChars="0"/>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3、距离招标人60公里内有仓库5000平方米以上得3分，4000-5000平方米得1.5分，不足4000平方米不得分（提供库房租赁合同复印件及库房租赁费用发票复印件或自有产权证明，现场照片，百度及高德地图截图）                                                                                                                                       4、在重庆市内自建有检测室、自有检测设备、有专业检测人员。自有干副农产品测仪器2台及以上，得1分；在自有检测设备的基础上，具有专业技术证明材料的专业检测人员1人得0.5分，每多1人加1分，最多不超过2分；合计最多不超过3分（提供检测室照片；.提供购买检测设备发票；.提供检测人员检验员证书复印件，提供上述检测人员2022年期间的连续3个月社保缴纳证明）。</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5、购买食品安全责任险，且在有效期内。食品安全责任险保额4000万元，得1分；每多1000万元，加1分，最高不超过4分（提供有效期内的保险合同或有效期内的保单复印件）。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2、日常及应急保障方案（2分）：优得2分，良得1分，差或无不得分；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1、报价人针对本项目制定有食品卫生安全保障措施、预防食物中毒和疫情常态化管控预案（3分）：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21"/>
                <w:szCs w:val="21"/>
                <w:lang w:val="en-US" w:eastAsia="zh-CN" w:bidi="ar-SA"/>
              </w:rPr>
              <w:t>2</w:t>
            </w:r>
            <w:r>
              <w:rPr>
                <w:rFonts w:hint="eastAsia" w:ascii="方正仿宋_GBK" w:hAnsi="方正仿宋_GBK" w:eastAsia="方正仿宋_GBK" w:cs="方正仿宋_GBK"/>
                <w:kern w:val="2"/>
                <w:sz w:val="18"/>
                <w:szCs w:val="18"/>
                <w:lang w:val="en-US" w:eastAsia="zh-CN" w:bidi="ar-SA"/>
              </w:rPr>
              <w:t xml:space="preserve">、报价人针对本项目制定有针对自身及询价人的食品安全培训计划（2分）：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111" w:type="dxa"/>
            <w:gridSpan w:val="2"/>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1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干副产品</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80%</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备注：1、报价只填报折扣，如报价为79折填写79%。</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67582354"/>
      <w:bookmarkStart w:id="10" w:name="_Toc493178791"/>
      <w:bookmarkStart w:id="11" w:name="_Toc492721039"/>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3178793"/>
      <w:bookmarkStart w:id="13" w:name="_Toc67582355"/>
      <w:bookmarkStart w:id="14" w:name="_Toc492721038"/>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项目名称：重庆高速公路集团有限公司总部员工食堂干副配送服务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abstractNum w:abstractNumId="2">
    <w:nsid w:val="2DC94B4B"/>
    <w:multiLevelType w:val="singleLevel"/>
    <w:tmpl w:val="2DC94B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633D4"/>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7210D4"/>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B71A9"/>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901DC9"/>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69338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0D6ADA"/>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67D7F94"/>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4A6647"/>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161E7A"/>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49</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2021-02-22T23:13:00Z</cp:lastPrinted>
  <dcterms:modified xsi:type="dcterms:W3CDTF">2022-10-12T02:10:49Z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29538F3706D142DDA498C46F2D26147B</vt:lpwstr>
  </property>
</Properties>
</file>