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首讯公司户外展台设计搭建项目</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w:t>
      </w:r>
      <w:r>
        <w:rPr>
          <w:rFonts w:ascii="宋体" w:hAnsi="宋体" w:cs="宋体"/>
          <w:b/>
          <w:sz w:val="28"/>
          <w:szCs w:val="28"/>
          <w:u w:val="single"/>
        </w:rPr>
        <w:t>2</w:t>
      </w:r>
      <w:r>
        <w:rPr>
          <w:rFonts w:hint="eastAsia" w:ascii="宋体" w:hAnsi="宋体" w:cs="宋体"/>
          <w:b/>
          <w:sz w:val="28"/>
          <w:szCs w:val="28"/>
        </w:rPr>
        <w:t>年</w:t>
      </w:r>
      <w:r>
        <w:rPr>
          <w:rFonts w:hint="eastAsia" w:ascii="宋体" w:hAnsi="宋体" w:cs="宋体"/>
          <w:b/>
          <w:sz w:val="28"/>
          <w:szCs w:val="28"/>
          <w:u w:val="single"/>
        </w:rPr>
        <w:t xml:space="preserve"> </w:t>
      </w:r>
      <w:r>
        <w:rPr>
          <w:rFonts w:ascii="宋体" w:hAnsi="宋体" w:cs="宋体"/>
          <w:b/>
          <w:sz w:val="28"/>
          <w:szCs w:val="28"/>
          <w:u w:val="single"/>
        </w:rPr>
        <w:t>4</w:t>
      </w:r>
      <w:r>
        <w:rPr>
          <w:rFonts w:hint="eastAsia" w:ascii="宋体" w:hAnsi="宋体" w:cs="宋体"/>
          <w:b/>
          <w:sz w:val="28"/>
          <w:szCs w:val="28"/>
        </w:rPr>
        <w:t>月</w:t>
      </w:r>
    </w:p>
    <w:p>
      <w:pPr>
        <w:pStyle w:val="2"/>
        <w:jc w:val="center"/>
        <w:rPr>
          <w:rFonts w:ascii="宋体" w:hAnsi="宋体" w:cs="宋体"/>
          <w:szCs w:val="21"/>
        </w:rPr>
      </w:pPr>
      <w:r>
        <w:br w:type="page"/>
      </w:r>
      <w:bookmarkStart w:id="0" w:name="_Toc507428442"/>
      <w:bookmarkStart w:id="1" w:name="_Toc296602400"/>
      <w:bookmarkStart w:id="2" w:name="_Toc247085669"/>
      <w:bookmarkStart w:id="3" w:name="_Toc246996898"/>
      <w:bookmarkStart w:id="4" w:name="_Toc507319889"/>
      <w:r>
        <w:rPr>
          <w:rFonts w:hint="eastAsia" w:ascii="宋体" w:hAnsi="宋体" w:cs="宋体"/>
          <w:b w:val="0"/>
          <w:sz w:val="32"/>
        </w:rPr>
        <w:t>目   录</w:t>
      </w:r>
      <w:bookmarkEnd w:id="0"/>
      <w:bookmarkEnd w:id="1"/>
      <w:bookmarkEnd w:id="2"/>
      <w:bookmarkEnd w:id="3"/>
      <w:bookmarkEnd w:id="4"/>
    </w:p>
    <w:p>
      <w:pPr>
        <w:pStyle w:val="2"/>
        <w:tabs>
          <w:tab w:val="right" w:leader="dot" w:pos="9638"/>
        </w:tabs>
      </w:pPr>
      <w:r>
        <w:rPr>
          <w:rFonts w:hint="eastAsia" w:ascii="宋体" w:hAnsi="宋体" w:cs="宋体"/>
        </w:rPr>
        <w:fldChar w:fldCharType="begin"/>
      </w:r>
      <w:r>
        <w:rPr>
          <w:rFonts w:hint="eastAsia" w:ascii="宋体" w:hAnsi="宋体" w:cs="宋体"/>
        </w:rPr>
        <w:instrText xml:space="preserve"> TOC \o "1-2" \h \z \u </w:instrText>
      </w:r>
      <w:r>
        <w:rPr>
          <w:rFonts w:hint="eastAsia" w:ascii="宋体" w:hAnsi="宋体" w:cs="宋体"/>
        </w:rPr>
        <w:fldChar w:fldCharType="separate"/>
      </w:r>
      <w:r>
        <w:fldChar w:fldCharType="begin"/>
      </w:r>
      <w:r>
        <w:instrText xml:space="preserve"> HYPERLINK \l "_Toc2331" </w:instrText>
      </w:r>
      <w:r>
        <w:fldChar w:fldCharType="separate"/>
      </w:r>
      <w:r>
        <w:rPr>
          <w:rFonts w:hint="eastAsia" w:ascii="宋体" w:hAnsi="宋体" w:cs="宋体"/>
        </w:rPr>
        <w:t>第一章 比选公告</w:t>
      </w:r>
      <w:r>
        <w:tab/>
      </w:r>
      <w:r>
        <w:fldChar w:fldCharType="begin"/>
      </w:r>
      <w:r>
        <w:instrText xml:space="preserve"> PAGEREF _Toc2331 \h </w:instrText>
      </w:r>
      <w:r>
        <w:fldChar w:fldCharType="separate"/>
      </w:r>
      <w:r>
        <w:t>1</w:t>
      </w:r>
      <w:r>
        <w:fldChar w:fldCharType="end"/>
      </w:r>
      <w:r>
        <w:fldChar w:fldCharType="end"/>
      </w:r>
    </w:p>
    <w:p>
      <w:pPr>
        <w:pStyle w:val="2"/>
        <w:tabs>
          <w:tab w:val="right" w:leader="dot" w:pos="9638"/>
        </w:tabs>
      </w:pPr>
      <w:r>
        <w:fldChar w:fldCharType="begin"/>
      </w:r>
      <w:r>
        <w:instrText xml:space="preserve"> HYPERLINK \l "_Toc14597" </w:instrText>
      </w:r>
      <w:r>
        <w:fldChar w:fldCharType="separate"/>
      </w:r>
      <w:r>
        <w:rPr>
          <w:rFonts w:hint="eastAsia" w:ascii="宋体" w:hAnsi="宋体" w:cs="宋体"/>
        </w:rPr>
        <w:t>第二章 报价人须知</w:t>
      </w:r>
      <w:r>
        <w:tab/>
      </w:r>
      <w:r>
        <w:fldChar w:fldCharType="begin"/>
      </w:r>
      <w:r>
        <w:instrText xml:space="preserve"> PAGEREF _Toc14597 \h </w:instrText>
      </w:r>
      <w:r>
        <w:fldChar w:fldCharType="separate"/>
      </w:r>
      <w:r>
        <w:t>3</w:t>
      </w:r>
      <w:r>
        <w:fldChar w:fldCharType="end"/>
      </w:r>
      <w:r>
        <w:fldChar w:fldCharType="end"/>
      </w:r>
    </w:p>
    <w:p>
      <w:pPr>
        <w:pStyle w:val="2"/>
        <w:tabs>
          <w:tab w:val="right" w:leader="dot" w:pos="9638"/>
        </w:tabs>
      </w:pPr>
      <w:r>
        <w:fldChar w:fldCharType="begin"/>
      </w:r>
      <w:r>
        <w:instrText xml:space="preserve"> HYPERLINK \l "_Toc20774" </w:instrText>
      </w:r>
      <w:r>
        <w:fldChar w:fldCharType="separate"/>
      </w:r>
      <w:r>
        <w:rPr>
          <w:rFonts w:hint="eastAsia" w:ascii="宋体" w:hAnsi="宋体" w:cs="宋体"/>
        </w:rPr>
        <w:t>第三章 评标办法</w:t>
      </w:r>
      <w:r>
        <w:tab/>
      </w:r>
      <w:r>
        <w:fldChar w:fldCharType="begin"/>
      </w:r>
      <w:r>
        <w:instrText xml:space="preserve"> PAGEREF _Toc20774 \h </w:instrText>
      </w:r>
      <w:r>
        <w:fldChar w:fldCharType="separate"/>
      </w:r>
      <w:r>
        <w:t>8</w:t>
      </w:r>
      <w:r>
        <w:fldChar w:fldCharType="end"/>
      </w:r>
      <w:r>
        <w:fldChar w:fldCharType="end"/>
      </w:r>
    </w:p>
    <w:p>
      <w:pPr>
        <w:pStyle w:val="2"/>
        <w:tabs>
          <w:tab w:val="right" w:leader="dot" w:pos="9638"/>
        </w:tabs>
      </w:pPr>
      <w:r>
        <w:fldChar w:fldCharType="begin"/>
      </w:r>
      <w:r>
        <w:instrText xml:space="preserve"> HYPERLINK \l "_Toc9938" </w:instrText>
      </w:r>
      <w:r>
        <w:fldChar w:fldCharType="separate"/>
      </w:r>
      <w:r>
        <w:rPr>
          <w:rFonts w:hint="eastAsia"/>
        </w:rPr>
        <w:t>第四章 报价说明</w:t>
      </w:r>
      <w:r>
        <w:tab/>
      </w:r>
      <w:r>
        <w:fldChar w:fldCharType="begin"/>
      </w:r>
      <w:r>
        <w:instrText xml:space="preserve"> PAGEREF _Toc9938 \h </w:instrText>
      </w:r>
      <w:r>
        <w:fldChar w:fldCharType="separate"/>
      </w:r>
      <w:r>
        <w:t>10</w:t>
      </w:r>
      <w:r>
        <w:fldChar w:fldCharType="end"/>
      </w:r>
      <w:r>
        <w:fldChar w:fldCharType="end"/>
      </w:r>
    </w:p>
    <w:p>
      <w:pPr>
        <w:pStyle w:val="2"/>
        <w:tabs>
          <w:tab w:val="right" w:leader="dot" w:pos="9638"/>
        </w:tabs>
      </w:pPr>
      <w:r>
        <w:fldChar w:fldCharType="begin"/>
      </w:r>
      <w:r>
        <w:instrText xml:space="preserve"> HYPERLINK \l "_Toc8745" </w:instrText>
      </w:r>
      <w:r>
        <w:fldChar w:fldCharType="separate"/>
      </w:r>
      <w:r>
        <w:rPr>
          <w:rFonts w:hint="eastAsia" w:ascii="宋体" w:hAnsi="宋体" w:cs="宋体"/>
        </w:rPr>
        <w:t>第五章  工程量清单</w:t>
      </w:r>
      <w:r>
        <w:tab/>
      </w:r>
      <w:r>
        <w:fldChar w:fldCharType="begin"/>
      </w:r>
      <w:r>
        <w:instrText xml:space="preserve"> PAGEREF _Toc8745 \h </w:instrText>
      </w:r>
      <w:r>
        <w:fldChar w:fldCharType="separate"/>
      </w:r>
      <w:r>
        <w:t>11</w:t>
      </w:r>
      <w:r>
        <w:fldChar w:fldCharType="end"/>
      </w:r>
      <w:r>
        <w:fldChar w:fldCharType="end"/>
      </w:r>
    </w:p>
    <w:p>
      <w:pPr>
        <w:pStyle w:val="2"/>
        <w:tabs>
          <w:tab w:val="right" w:leader="dot" w:pos="9638"/>
        </w:tabs>
      </w:pPr>
      <w:r>
        <w:fldChar w:fldCharType="begin"/>
      </w:r>
      <w:r>
        <w:instrText xml:space="preserve"> HYPERLINK \l "_Toc3008" </w:instrText>
      </w:r>
      <w:r>
        <w:fldChar w:fldCharType="separate"/>
      </w:r>
      <w:r>
        <w:rPr>
          <w:rFonts w:hint="eastAsia" w:ascii="宋体" w:hAnsi="宋体" w:cs="宋体"/>
        </w:rPr>
        <w:t>第六章  图  纸</w:t>
      </w:r>
      <w:r>
        <w:tab/>
      </w:r>
      <w:r>
        <w:fldChar w:fldCharType="begin"/>
      </w:r>
      <w:r>
        <w:instrText xml:space="preserve"> PAGEREF _Toc3008 \h </w:instrText>
      </w:r>
      <w:r>
        <w:fldChar w:fldCharType="separate"/>
      </w:r>
      <w:r>
        <w:t>12</w:t>
      </w:r>
      <w:r>
        <w:fldChar w:fldCharType="end"/>
      </w:r>
      <w:r>
        <w:fldChar w:fldCharType="end"/>
      </w:r>
    </w:p>
    <w:p>
      <w:pPr>
        <w:pStyle w:val="2"/>
        <w:tabs>
          <w:tab w:val="right" w:leader="dot" w:pos="9638"/>
        </w:tabs>
      </w:pPr>
      <w:r>
        <w:fldChar w:fldCharType="begin"/>
      </w:r>
      <w:r>
        <w:instrText xml:space="preserve"> HYPERLINK \l "_Toc2585" </w:instrText>
      </w:r>
      <w:r>
        <w:fldChar w:fldCharType="separate"/>
      </w:r>
      <w:r>
        <w:rPr>
          <w:rFonts w:hint="eastAsia" w:ascii="宋体" w:hAnsi="宋体" w:cs="宋体"/>
        </w:rPr>
        <w:t>第七章  技术标准和工作要求</w:t>
      </w:r>
      <w:r>
        <w:tab/>
      </w:r>
      <w:r>
        <w:fldChar w:fldCharType="begin"/>
      </w:r>
      <w:r>
        <w:instrText xml:space="preserve"> PAGEREF _Toc2585 \h </w:instrText>
      </w:r>
      <w:r>
        <w:fldChar w:fldCharType="separate"/>
      </w:r>
      <w:r>
        <w:t>13</w:t>
      </w:r>
      <w:r>
        <w:fldChar w:fldCharType="end"/>
      </w:r>
      <w:r>
        <w:fldChar w:fldCharType="end"/>
      </w:r>
    </w:p>
    <w:p>
      <w:pPr>
        <w:pStyle w:val="2"/>
        <w:tabs>
          <w:tab w:val="right" w:leader="dot" w:pos="9638"/>
        </w:tabs>
      </w:pPr>
      <w:r>
        <w:fldChar w:fldCharType="begin"/>
      </w:r>
      <w:r>
        <w:instrText xml:space="preserve"> HYPERLINK \l "_Toc1416" </w:instrText>
      </w:r>
      <w:r>
        <w:fldChar w:fldCharType="separate"/>
      </w:r>
      <w:r>
        <w:rPr>
          <w:rFonts w:hint="eastAsia" w:ascii="宋体" w:hAnsi="宋体" w:cs="宋体"/>
        </w:rPr>
        <w:t>第九章  竞争性比选响应文件格式</w:t>
      </w:r>
      <w:r>
        <w:tab/>
      </w:r>
      <w:r>
        <w:fldChar w:fldCharType="begin"/>
      </w:r>
      <w:r>
        <w:instrText xml:space="preserve"> PAGEREF _Toc1416 \h </w:instrText>
      </w:r>
      <w:r>
        <w:fldChar w:fldCharType="separate"/>
      </w:r>
      <w:r>
        <w:t>15</w:t>
      </w:r>
      <w:r>
        <w:fldChar w:fldCharType="end"/>
      </w:r>
      <w:r>
        <w:fldChar w:fldCharType="end"/>
      </w:r>
    </w:p>
    <w:p>
      <w:pPr>
        <w:pStyle w:val="33"/>
        <w:tabs>
          <w:tab w:val="right" w:leader="dot" w:pos="9628"/>
        </w:tabs>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507319890"/>
      <w:bookmarkStart w:id="6" w:name="_Toc179632527"/>
      <w:bookmarkStart w:id="7" w:name="_Toc152042287"/>
      <w:bookmarkStart w:id="8" w:name="_Toc246996900"/>
      <w:bookmarkStart w:id="9" w:name="_Toc152045511"/>
      <w:bookmarkStart w:id="10" w:name="_Toc144974479"/>
      <w:bookmarkStart w:id="11" w:name="_Toc246996157"/>
      <w:bookmarkStart w:id="12" w:name="_Toc247085671"/>
      <w:bookmarkStart w:id="13" w:name="_Toc247096243"/>
      <w:bookmarkStart w:id="14" w:name="_Toc2000404"/>
      <w:bookmarkStart w:id="15" w:name="_Toc2331"/>
      <w:bookmarkStart w:id="16"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bookmarkEnd w:id="16"/>
    </w:p>
    <w:p>
      <w:pPr>
        <w:spacing w:line="440" w:lineRule="exact"/>
        <w:jc w:val="center"/>
        <w:rPr>
          <w:rFonts w:hint="eastAsia" w:ascii="宋体" w:hAnsi="宋体" w:eastAsia="宋体" w:cs="宋体"/>
          <w:b/>
          <w:sz w:val="28"/>
          <w:szCs w:val="28"/>
          <w:lang w:eastAsia="zh-CN"/>
        </w:rPr>
      </w:pPr>
      <w:bookmarkStart w:id="17" w:name="OLE_LINK3"/>
      <w:bookmarkStart w:id="18" w:name="OLE_LINK2"/>
      <w:r>
        <w:rPr>
          <w:rFonts w:hint="eastAsia" w:ascii="宋体" w:hAnsi="宋体" w:cs="宋体"/>
          <w:b/>
          <w:sz w:val="28"/>
          <w:szCs w:val="28"/>
          <w:lang w:eastAsia="zh-CN"/>
        </w:rPr>
        <w:t>首讯公司户外展台设计搭建项目</w:t>
      </w:r>
    </w:p>
    <w:p>
      <w:pPr>
        <w:spacing w:line="440" w:lineRule="exact"/>
        <w:jc w:val="center"/>
        <w:rPr>
          <w:rFonts w:ascii="宋体" w:hAnsi="宋体" w:cs="宋体"/>
          <w:b/>
          <w:sz w:val="28"/>
          <w:szCs w:val="28"/>
        </w:rPr>
      </w:pPr>
      <w:r>
        <w:rPr>
          <w:rFonts w:hint="eastAsia" w:ascii="宋体" w:hAnsi="宋体" w:cs="宋体"/>
          <w:b/>
          <w:sz w:val="28"/>
          <w:szCs w:val="28"/>
        </w:rPr>
        <w:t>竞争性比选公告</w:t>
      </w:r>
    </w:p>
    <w:p>
      <w:pPr>
        <w:spacing w:line="440" w:lineRule="exact"/>
        <w:jc w:val="center"/>
        <w:rPr>
          <w:rFonts w:ascii="宋体" w:hAnsi="宋体" w:cs="宋体"/>
          <w:b/>
          <w:sz w:val="28"/>
          <w:szCs w:val="28"/>
        </w:rPr>
      </w:pPr>
    </w:p>
    <w:p>
      <w:pPr>
        <w:pStyle w:val="4"/>
        <w:spacing w:before="0" w:after="0" w:line="360" w:lineRule="auto"/>
        <w:rPr>
          <w:rFonts w:ascii="宋体" w:hAnsi="宋体" w:eastAsia="宋体" w:cs="宋体"/>
        </w:rPr>
      </w:pPr>
      <w:bookmarkStart w:id="19" w:name="_Toc152045512"/>
      <w:bookmarkStart w:id="20" w:name="_Toc19148"/>
      <w:bookmarkStart w:id="21" w:name="_Toc179632528"/>
      <w:bookmarkStart w:id="22" w:name="_Toc152042288"/>
      <w:bookmarkStart w:id="23" w:name="_Toc10076"/>
      <w:bookmarkStart w:id="24" w:name="_Toc247085672"/>
      <w:bookmarkStart w:id="25" w:name="_Toc6549"/>
      <w:bookmarkStart w:id="26" w:name="_Toc246996158"/>
      <w:bookmarkStart w:id="27" w:name="_Toc11329213"/>
      <w:bookmarkStart w:id="28" w:name="_Toc144974480"/>
      <w:bookmarkStart w:id="29" w:name="_Toc24874"/>
      <w:bookmarkStart w:id="30" w:name="_Toc246996901"/>
      <w:bookmarkStart w:id="31" w:name="_Toc507319891"/>
      <w:r>
        <w:rPr>
          <w:rFonts w:hint="eastAsia" w:ascii="宋体" w:hAnsi="宋体" w:eastAsia="宋体" w:cs="宋体"/>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jc w:val="lef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首讯公司户外展台设计搭建项目</w:t>
      </w:r>
      <w:r>
        <w:rPr>
          <w:rFonts w:hint="eastAsia" w:ascii="宋体" w:hAnsi="宋体" w:cs="宋体"/>
          <w:szCs w:val="21"/>
        </w:rPr>
        <w:t>，采购人为</w:t>
      </w:r>
      <w:r>
        <w:rPr>
          <w:rFonts w:hint="eastAsia" w:ascii="宋体" w:hAnsi="宋体" w:cs="宋体"/>
          <w:szCs w:val="21"/>
          <w:u w:val="single"/>
        </w:rPr>
        <w:t>重庆首讯科技股份有限公司</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2" w:name="_Toc507319892"/>
      <w:bookmarkStart w:id="33" w:name="_Toc179632529"/>
      <w:bookmarkStart w:id="34" w:name="_Toc247085673"/>
      <w:bookmarkStart w:id="35" w:name="_Toc10321"/>
      <w:bookmarkStart w:id="36" w:name="_Toc152045513"/>
      <w:bookmarkStart w:id="37" w:name="_Toc144974481"/>
      <w:bookmarkStart w:id="38" w:name="_Toc21343"/>
      <w:bookmarkStart w:id="39" w:name="_Toc11329214"/>
      <w:bookmarkStart w:id="40" w:name="_Toc10952"/>
      <w:bookmarkStart w:id="41" w:name="_Toc246996159"/>
      <w:bookmarkStart w:id="42" w:name="_Toc246996902"/>
      <w:bookmarkStart w:id="43" w:name="_Toc18109"/>
      <w:bookmarkStart w:id="44" w:name="_Toc152042289"/>
      <w:r>
        <w:rPr>
          <w:rFonts w:hint="eastAsia" w:ascii="宋体" w:hAnsi="宋体" w:eastAsia="宋体" w:cs="宋体"/>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20" w:firstLineChars="200"/>
        <w:rPr>
          <w:rFonts w:ascii="宋体" w:hAnsi="宋体" w:cs="宋体"/>
        </w:rPr>
      </w:pPr>
      <w:bookmarkStart w:id="45" w:name="_Toc446247226"/>
      <w:r>
        <w:rPr>
          <w:rFonts w:hint="eastAsia" w:ascii="宋体" w:hAnsi="宋体" w:cs="宋体"/>
        </w:rPr>
        <w:t>2.1 项目背景：首讯公司承办市属国有投资类企业科技创新工作专题调研活动，拟针对实地参观采取户外简易展台方式，集中陈列演示公司多个核心研发解决方案及高速云、智能清洗车、高精数字底座采集系统、ETC检测车等软硬件产品，同时对现场局部进行布置。</w:t>
      </w:r>
    </w:p>
    <w:p>
      <w:pPr>
        <w:spacing w:line="360" w:lineRule="auto"/>
        <w:ind w:firstLine="420" w:firstLineChars="200"/>
        <w:rPr>
          <w:rFonts w:ascii="宋体" w:hAnsi="宋体" w:cs="宋体"/>
        </w:rPr>
      </w:pPr>
      <w:r>
        <w:rPr>
          <w:rFonts w:hint="eastAsia" w:ascii="宋体" w:hAnsi="宋体" w:cs="宋体"/>
        </w:rPr>
        <w:t>2.2项目地点：</w:t>
      </w:r>
      <w:bookmarkEnd w:id="45"/>
      <w:r>
        <w:rPr>
          <w:rFonts w:hint="eastAsia" w:ascii="宋体" w:hAnsi="宋体" w:cs="宋体"/>
        </w:rPr>
        <w:t>重庆市南岸区四公里内环入口高速集团首讯科技大楼。</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3</w:t>
      </w:r>
      <w:r>
        <w:rPr>
          <w:rFonts w:hint="eastAsia" w:ascii="宋体" w:hAnsi="宋体" w:cs="宋体"/>
          <w:szCs w:val="21"/>
        </w:rPr>
        <w:t xml:space="preserve"> 服务内容：</w:t>
      </w:r>
    </w:p>
    <w:p>
      <w:pPr>
        <w:pStyle w:val="2"/>
        <w:ind w:firstLine="420" w:firstLineChars="200"/>
        <w:rPr>
          <w:rFonts w:ascii="宋体" w:hAnsi="宋体" w:cs="宋体"/>
          <w:b w:val="0"/>
          <w:bCs w:val="0"/>
          <w:caps w:val="0"/>
          <w:sz w:val="21"/>
          <w:szCs w:val="24"/>
        </w:rPr>
      </w:pPr>
      <w:r>
        <w:rPr>
          <w:rFonts w:hint="eastAsia" w:ascii="宋体" w:hAnsi="宋体" w:cs="宋体"/>
          <w:b w:val="0"/>
          <w:bCs w:val="0"/>
          <w:caps w:val="0"/>
          <w:sz w:val="21"/>
          <w:szCs w:val="24"/>
        </w:rPr>
        <w:t>提供户外展台设计搭建及局部布置，具体包括：</w:t>
      </w:r>
    </w:p>
    <w:p>
      <w:pPr>
        <w:pStyle w:val="2"/>
        <w:ind w:firstLine="420" w:firstLineChars="200"/>
        <w:rPr>
          <w:rFonts w:ascii="宋体" w:hAnsi="宋体" w:cs="宋体"/>
          <w:b w:val="0"/>
          <w:bCs w:val="0"/>
          <w:caps w:val="0"/>
          <w:sz w:val="21"/>
          <w:szCs w:val="24"/>
        </w:rPr>
      </w:pPr>
      <w:r>
        <w:rPr>
          <w:rFonts w:hint="eastAsia" w:ascii="宋体" w:hAnsi="宋体" w:cs="宋体"/>
          <w:b w:val="0"/>
          <w:bCs w:val="0"/>
          <w:caps w:val="0"/>
          <w:sz w:val="21"/>
          <w:szCs w:val="24"/>
        </w:rPr>
        <w:t>1.涉及的搭建面积约1</w:t>
      </w:r>
      <w:r>
        <w:rPr>
          <w:rFonts w:ascii="宋体" w:hAnsi="宋体" w:cs="宋体"/>
          <w:b w:val="0"/>
          <w:bCs w:val="0"/>
          <w:caps w:val="0"/>
          <w:sz w:val="21"/>
          <w:szCs w:val="24"/>
        </w:rPr>
        <w:t>20</w:t>
      </w:r>
      <w:r>
        <w:rPr>
          <w:rFonts w:hint="eastAsia" w:ascii="宋体" w:hAnsi="宋体" w:cs="宋体"/>
          <w:b w:val="0"/>
          <w:bCs w:val="0"/>
          <w:caps w:val="0"/>
          <w:sz w:val="21"/>
          <w:szCs w:val="24"/>
        </w:rPr>
        <w:t>平米；</w:t>
      </w:r>
    </w:p>
    <w:p>
      <w:pPr>
        <w:pStyle w:val="2"/>
        <w:ind w:firstLine="420" w:firstLineChars="200"/>
        <w:rPr>
          <w:rFonts w:ascii="宋体" w:hAnsi="宋体" w:cs="宋体"/>
          <w:b w:val="0"/>
          <w:bCs w:val="0"/>
          <w:caps w:val="0"/>
          <w:sz w:val="21"/>
          <w:szCs w:val="24"/>
        </w:rPr>
      </w:pPr>
      <w:r>
        <w:rPr>
          <w:rFonts w:hint="eastAsia" w:ascii="宋体" w:hAnsi="宋体" w:cs="宋体"/>
          <w:b w:val="0"/>
          <w:bCs w:val="0"/>
          <w:caps w:val="0"/>
          <w:sz w:val="21"/>
          <w:szCs w:val="24"/>
        </w:rPr>
        <w:t>2.合同签订后</w:t>
      </w:r>
      <w:r>
        <w:rPr>
          <w:rFonts w:ascii="宋体" w:hAnsi="宋体" w:cs="宋体"/>
          <w:b w:val="0"/>
          <w:bCs w:val="0"/>
          <w:caps w:val="0"/>
          <w:sz w:val="21"/>
          <w:szCs w:val="24"/>
        </w:rPr>
        <w:t>1</w:t>
      </w:r>
      <w:r>
        <w:rPr>
          <w:rFonts w:hint="eastAsia" w:ascii="宋体" w:hAnsi="宋体" w:cs="宋体"/>
          <w:b w:val="0"/>
          <w:bCs w:val="0"/>
          <w:caps w:val="0"/>
          <w:sz w:val="21"/>
          <w:szCs w:val="24"/>
        </w:rPr>
        <w:t>日内提供户外展台文案和外观设计方案及局部布置方案（电子档）；</w:t>
      </w:r>
    </w:p>
    <w:p>
      <w:pPr>
        <w:pStyle w:val="2"/>
        <w:ind w:firstLine="420" w:firstLineChars="200"/>
        <w:rPr>
          <w:rFonts w:ascii="宋体" w:hAnsi="宋体" w:cs="宋体"/>
          <w:b w:val="0"/>
          <w:bCs w:val="0"/>
          <w:caps w:val="0"/>
          <w:sz w:val="21"/>
          <w:szCs w:val="24"/>
        </w:rPr>
      </w:pPr>
      <w:r>
        <w:rPr>
          <w:rFonts w:ascii="宋体" w:hAnsi="宋体" w:cs="宋体"/>
          <w:b w:val="0"/>
          <w:bCs w:val="0"/>
          <w:caps w:val="0"/>
          <w:sz w:val="21"/>
          <w:szCs w:val="24"/>
        </w:rPr>
        <w:t>3</w:t>
      </w:r>
      <w:r>
        <w:rPr>
          <w:rFonts w:hint="eastAsia" w:ascii="宋体" w:hAnsi="宋体" w:cs="宋体"/>
          <w:b w:val="0"/>
          <w:bCs w:val="0"/>
          <w:caps w:val="0"/>
          <w:sz w:val="21"/>
          <w:szCs w:val="24"/>
        </w:rPr>
        <w:t>.根据采购人的需求，对设计进行修改完善，直至获得采购人认可；</w:t>
      </w:r>
    </w:p>
    <w:p>
      <w:pPr>
        <w:pStyle w:val="2"/>
        <w:ind w:firstLine="420" w:firstLineChars="200"/>
        <w:rPr>
          <w:rFonts w:ascii="宋体" w:hAnsi="宋体" w:cs="宋体"/>
          <w:b w:val="0"/>
          <w:bCs w:val="0"/>
          <w:caps w:val="0"/>
          <w:sz w:val="21"/>
          <w:szCs w:val="24"/>
        </w:rPr>
      </w:pPr>
      <w:r>
        <w:rPr>
          <w:rFonts w:ascii="宋体" w:hAnsi="宋体" w:cs="宋体"/>
          <w:b w:val="0"/>
          <w:bCs w:val="0"/>
          <w:caps w:val="0"/>
          <w:sz w:val="21"/>
          <w:szCs w:val="24"/>
        </w:rPr>
        <w:t>4.</w:t>
      </w:r>
      <w:r>
        <w:rPr>
          <w:rFonts w:hint="eastAsia" w:ascii="宋体" w:hAnsi="宋体" w:cs="宋体"/>
          <w:b w:val="0"/>
          <w:bCs w:val="0"/>
          <w:caps w:val="0"/>
          <w:sz w:val="21"/>
          <w:szCs w:val="24"/>
        </w:rPr>
        <w:t>提供一切采购人认为必要的设施设备以满足户外展示需求，所需的用电、用网等由报价人自行解决；</w:t>
      </w:r>
    </w:p>
    <w:p>
      <w:pPr>
        <w:pStyle w:val="2"/>
        <w:ind w:firstLine="420" w:firstLineChars="200"/>
        <w:rPr>
          <w:rFonts w:ascii="宋体" w:hAnsi="宋体" w:cs="宋体"/>
          <w:b w:val="0"/>
          <w:bCs w:val="0"/>
          <w:caps w:val="0"/>
          <w:sz w:val="21"/>
          <w:szCs w:val="24"/>
        </w:rPr>
      </w:pPr>
      <w:r>
        <w:rPr>
          <w:rFonts w:ascii="宋体" w:hAnsi="宋体" w:cs="宋体"/>
          <w:b w:val="0"/>
          <w:bCs w:val="0"/>
          <w:caps w:val="0"/>
          <w:sz w:val="21"/>
          <w:szCs w:val="24"/>
        </w:rPr>
        <w:t>5</w:t>
      </w:r>
      <w:r>
        <w:rPr>
          <w:rFonts w:hint="eastAsia" w:ascii="宋体" w:hAnsi="宋体" w:cs="宋体"/>
          <w:b w:val="0"/>
          <w:bCs w:val="0"/>
          <w:caps w:val="0"/>
          <w:sz w:val="21"/>
          <w:szCs w:val="24"/>
        </w:rPr>
        <w:t>.设计方案确定后，根据采购人的通知，于1</w:t>
      </w:r>
      <w:r>
        <w:rPr>
          <w:rFonts w:ascii="宋体" w:hAnsi="宋体" w:cs="宋体"/>
          <w:b w:val="0"/>
          <w:bCs w:val="0"/>
          <w:caps w:val="0"/>
          <w:sz w:val="21"/>
          <w:szCs w:val="24"/>
        </w:rPr>
        <w:t>2</w:t>
      </w:r>
      <w:r>
        <w:rPr>
          <w:rFonts w:hint="eastAsia" w:ascii="宋体" w:hAnsi="宋体" w:cs="宋体"/>
          <w:b w:val="0"/>
          <w:bCs w:val="0"/>
          <w:caps w:val="0"/>
          <w:sz w:val="21"/>
          <w:szCs w:val="24"/>
        </w:rPr>
        <w:t>个小时内完成户外展台的搭建调试及局部布置；</w:t>
      </w:r>
    </w:p>
    <w:p>
      <w:pPr>
        <w:pStyle w:val="2"/>
        <w:ind w:firstLine="420" w:firstLineChars="200"/>
        <w:rPr>
          <w:rFonts w:ascii="宋体" w:hAnsi="宋体" w:cs="宋体"/>
          <w:b w:val="0"/>
          <w:bCs w:val="0"/>
          <w:caps w:val="0"/>
          <w:sz w:val="21"/>
          <w:szCs w:val="24"/>
        </w:rPr>
      </w:pPr>
      <w:r>
        <w:rPr>
          <w:rFonts w:ascii="宋体" w:hAnsi="宋体" w:cs="宋体"/>
          <w:b w:val="0"/>
          <w:bCs w:val="0"/>
          <w:caps w:val="0"/>
          <w:sz w:val="21"/>
          <w:szCs w:val="24"/>
        </w:rPr>
        <w:t>6</w:t>
      </w:r>
      <w:r>
        <w:rPr>
          <w:rFonts w:hint="eastAsia" w:ascii="宋体" w:hAnsi="宋体" w:cs="宋体"/>
          <w:b w:val="0"/>
          <w:bCs w:val="0"/>
          <w:caps w:val="0"/>
          <w:sz w:val="21"/>
          <w:szCs w:val="24"/>
        </w:rPr>
        <w:t>.展示当日提供5名技术人员以保障现场设备运转正常；</w:t>
      </w:r>
    </w:p>
    <w:p>
      <w:pPr>
        <w:pStyle w:val="2"/>
        <w:ind w:firstLine="420" w:firstLineChars="200"/>
        <w:rPr>
          <w:rFonts w:ascii="宋体" w:hAnsi="宋体" w:cs="宋体"/>
          <w:b w:val="0"/>
          <w:bCs w:val="0"/>
          <w:caps w:val="0"/>
          <w:sz w:val="21"/>
          <w:szCs w:val="24"/>
        </w:rPr>
      </w:pPr>
      <w:r>
        <w:rPr>
          <w:rFonts w:ascii="宋体" w:hAnsi="宋体" w:cs="宋体"/>
          <w:b w:val="0"/>
          <w:bCs w:val="0"/>
          <w:caps w:val="0"/>
          <w:sz w:val="21"/>
          <w:szCs w:val="24"/>
        </w:rPr>
        <w:t>7</w:t>
      </w:r>
      <w:r>
        <w:rPr>
          <w:rFonts w:hint="eastAsia" w:ascii="宋体" w:hAnsi="宋体" w:cs="宋体"/>
          <w:b w:val="0"/>
          <w:bCs w:val="0"/>
          <w:caps w:val="0"/>
          <w:sz w:val="21"/>
          <w:szCs w:val="24"/>
        </w:rPr>
        <w:t>.提供会议室桌椅等必要物品，并随时根据采购人的需求制作各种印刷平面内容；</w:t>
      </w:r>
    </w:p>
    <w:p>
      <w:pPr>
        <w:pStyle w:val="2"/>
        <w:ind w:firstLine="420" w:firstLineChars="200"/>
        <w:rPr>
          <w:rFonts w:ascii="宋体" w:hAnsi="宋体" w:cs="宋体"/>
          <w:b w:val="0"/>
          <w:bCs w:val="0"/>
          <w:sz w:val="21"/>
          <w:szCs w:val="21"/>
        </w:rPr>
      </w:pPr>
      <w:r>
        <w:rPr>
          <w:rFonts w:ascii="宋体" w:hAnsi="宋体" w:cs="宋体"/>
          <w:b w:val="0"/>
          <w:bCs w:val="0"/>
          <w:sz w:val="21"/>
          <w:szCs w:val="21"/>
        </w:rPr>
        <w:t>8</w:t>
      </w:r>
      <w:r>
        <w:rPr>
          <w:rFonts w:hint="eastAsia" w:ascii="宋体" w:hAnsi="宋体" w:cs="宋体"/>
          <w:b w:val="0"/>
          <w:bCs w:val="0"/>
          <w:sz w:val="21"/>
          <w:szCs w:val="21"/>
        </w:rPr>
        <w:t>.由于展示时间可能因上级通知而随时调整，报价人需满足可即时撤场，待采购人确定新的展示时间后，于1</w:t>
      </w:r>
      <w:r>
        <w:rPr>
          <w:rFonts w:ascii="宋体" w:hAnsi="宋体" w:cs="宋体"/>
          <w:b w:val="0"/>
          <w:bCs w:val="0"/>
          <w:sz w:val="21"/>
          <w:szCs w:val="21"/>
        </w:rPr>
        <w:t>2</w:t>
      </w:r>
      <w:r>
        <w:rPr>
          <w:rFonts w:hint="eastAsia" w:ascii="宋体" w:hAnsi="宋体" w:cs="宋体"/>
          <w:b w:val="0"/>
          <w:bCs w:val="0"/>
          <w:sz w:val="21"/>
          <w:szCs w:val="21"/>
        </w:rPr>
        <w:t>个小时内重新完成户外展台的搭建调试及局部布置，时间调整造成的重新搭建不限次数，且不额外计费；</w:t>
      </w:r>
    </w:p>
    <w:p>
      <w:pPr>
        <w:pStyle w:val="2"/>
        <w:ind w:firstLine="420" w:firstLineChars="200"/>
        <w:rPr>
          <w:rFonts w:cs="宋体" w:asciiTheme="minorEastAsia" w:hAnsiTheme="minorEastAsia" w:eastAsiaTheme="minorEastAsia"/>
          <w:b w:val="0"/>
          <w:bCs w:val="0"/>
          <w:sz w:val="21"/>
          <w:szCs w:val="21"/>
        </w:rPr>
      </w:pPr>
      <w:r>
        <w:rPr>
          <w:rFonts w:asciiTheme="minorEastAsia" w:hAnsiTheme="minorEastAsia" w:eastAsiaTheme="minorEastAsia"/>
          <w:b w:val="0"/>
          <w:bCs w:val="0"/>
          <w:sz w:val="21"/>
          <w:szCs w:val="21"/>
        </w:rPr>
        <w:t>9</w:t>
      </w:r>
      <w:r>
        <w:rPr>
          <w:rFonts w:hint="eastAsia" w:asciiTheme="minorEastAsia" w:hAnsiTheme="minorEastAsia" w:eastAsiaTheme="minorEastAsia"/>
          <w:b w:val="0"/>
          <w:bCs w:val="0"/>
          <w:sz w:val="21"/>
          <w:szCs w:val="21"/>
        </w:rPr>
        <w:t>.撤场需在3小时内全部完成，并清洁现场，以保证采购人正常办公。</w:t>
      </w:r>
    </w:p>
    <w:p>
      <w:pPr>
        <w:pStyle w:val="12"/>
        <w:adjustRightInd w:val="0"/>
        <w:spacing w:line="400" w:lineRule="exact"/>
        <w:rPr>
          <w:rFonts w:ascii="宋体" w:hAnsi="宋体" w:cs="宋体"/>
          <w:szCs w:val="21"/>
        </w:rPr>
      </w:pPr>
      <w:r>
        <w:rPr>
          <w:rFonts w:hint="eastAsia" w:ascii="宋体" w:hAnsi="宋体" w:cs="宋体"/>
          <w:szCs w:val="21"/>
        </w:rPr>
        <w:t>相关要求详见“第七章 技术标准和工作要求”。</w:t>
      </w:r>
    </w:p>
    <w:p>
      <w:pPr>
        <w:pStyle w:val="12"/>
        <w:adjustRightInd w:val="0"/>
        <w:spacing w:line="400" w:lineRule="exact"/>
        <w:rPr>
          <w:rFonts w:ascii="宋体" w:hAnsi="宋体" w:cs="宋体"/>
          <w:szCs w:val="21"/>
        </w:rPr>
      </w:pPr>
      <w:r>
        <w:rPr>
          <w:rFonts w:hint="eastAsia" w:ascii="宋体" w:hAnsi="宋体" w:cs="宋体"/>
          <w:szCs w:val="21"/>
        </w:rPr>
        <w:t>2.5 项目实施期</w:t>
      </w:r>
    </w:p>
    <w:p>
      <w:pPr>
        <w:pStyle w:val="12"/>
        <w:adjustRightInd w:val="0"/>
        <w:spacing w:line="400" w:lineRule="exact"/>
        <w:rPr>
          <w:rFonts w:ascii="宋体" w:hAnsi="宋体" w:cs="宋体"/>
          <w:szCs w:val="21"/>
        </w:rPr>
      </w:pPr>
      <w:r>
        <w:rPr>
          <w:rFonts w:hint="eastAsia" w:ascii="宋体" w:hAnsi="宋体" w:cs="宋体"/>
          <w:szCs w:val="21"/>
        </w:rPr>
        <w:t>在202</w:t>
      </w:r>
      <w:r>
        <w:rPr>
          <w:rFonts w:ascii="宋体" w:hAnsi="宋体" w:cs="宋体"/>
          <w:szCs w:val="21"/>
        </w:rPr>
        <w:t>2</w:t>
      </w:r>
      <w:r>
        <w:rPr>
          <w:rFonts w:hint="eastAsia" w:ascii="宋体" w:hAnsi="宋体" w:cs="宋体"/>
          <w:szCs w:val="21"/>
        </w:rPr>
        <w:t>年</w:t>
      </w:r>
      <w:r>
        <w:rPr>
          <w:rFonts w:ascii="宋体" w:hAnsi="宋体" w:cs="宋体"/>
          <w:szCs w:val="21"/>
        </w:rPr>
        <w:t>5</w:t>
      </w:r>
      <w:r>
        <w:rPr>
          <w:rFonts w:hint="eastAsia" w:ascii="宋体" w:hAnsi="宋体" w:cs="宋体"/>
          <w:szCs w:val="21"/>
        </w:rPr>
        <w:t>月30日前完成项目。</w:t>
      </w:r>
    </w:p>
    <w:p>
      <w:pPr>
        <w:pStyle w:val="4"/>
        <w:spacing w:before="120" w:after="0" w:line="360" w:lineRule="auto"/>
        <w:rPr>
          <w:rFonts w:ascii="宋体" w:hAnsi="宋体" w:eastAsia="宋体" w:cs="宋体"/>
        </w:rPr>
      </w:pPr>
      <w:bookmarkStart w:id="46" w:name="_Toc246996160"/>
      <w:bookmarkStart w:id="47" w:name="_Toc246996903"/>
      <w:bookmarkStart w:id="48" w:name="_Toc144974482"/>
      <w:bookmarkStart w:id="49" w:name="_Toc247085674"/>
      <w:bookmarkStart w:id="50" w:name="_Toc152045514"/>
      <w:bookmarkStart w:id="51" w:name="_Toc11329215"/>
      <w:bookmarkStart w:id="52" w:name="_Toc7065"/>
      <w:bookmarkStart w:id="53" w:name="_Toc10171"/>
      <w:bookmarkStart w:id="54" w:name="_Toc152042290"/>
      <w:bookmarkStart w:id="55" w:name="_Toc507319893"/>
      <w:bookmarkStart w:id="56" w:name="_Toc30356"/>
      <w:bookmarkStart w:id="57" w:name="_Toc8744"/>
      <w:bookmarkStart w:id="58" w:name="_Toc179632530"/>
      <w:r>
        <w:rPr>
          <w:rFonts w:hint="eastAsia" w:ascii="宋体" w:hAnsi="宋体" w:eastAsia="宋体" w:cs="宋体"/>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pPr>
        <w:spacing w:line="400" w:lineRule="exact"/>
        <w:ind w:firstLine="420" w:firstLineChars="200"/>
        <w:rPr>
          <w:rFonts w:ascii="宋体" w:hAnsi="宋体" w:cs="宋体"/>
          <w:szCs w:val="21"/>
          <w:shd w:val="clear" w:color="auto" w:fill="FFFFFF"/>
        </w:rPr>
      </w:pPr>
      <w:bookmarkStart w:id="59" w:name="_Toc152045515"/>
      <w:bookmarkStart w:id="60" w:name="_Toc152042291"/>
      <w:bookmarkStart w:id="61" w:name="_Toc144974483"/>
      <w:bookmarkStart w:id="62" w:name="_Toc246996904"/>
      <w:bookmarkStart w:id="63" w:name="_Toc179632531"/>
      <w:bookmarkStart w:id="64" w:name="_Toc246996161"/>
      <w:bookmarkStart w:id="65" w:name="_Toc247085675"/>
      <w:r>
        <w:rPr>
          <w:rFonts w:hint="eastAsia" w:ascii="宋体" w:hAnsi="宋体" w:cs="宋体"/>
          <w:szCs w:val="21"/>
          <w:shd w:val="clear" w:color="auto" w:fill="FFFFFF"/>
        </w:rPr>
        <w:t>3.1 资质要求（不满足以下要求，作废标处理）：</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（1）有效的营业执照；</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（2）具备重庆市展览工程企业A级资质证书；</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（3）具备重庆展览展示设计甲级资；</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（4）投标人具备ISO质量管理体系认证证书（证书内容覆盖：展览展示服务、会议服务）；</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（5）投标人具备ISO环境管理体系认证证书（证书内容覆盖：展览展示服务、会议服务）；</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w:t>
      </w:r>
      <w:r>
        <w:rPr>
          <w:rFonts w:ascii="宋体" w:hAnsi="宋体" w:cs="宋体"/>
          <w:szCs w:val="21"/>
          <w:shd w:val="clear" w:color="auto" w:fill="FFFFFF"/>
        </w:rPr>
        <w:t>6</w:t>
      </w:r>
      <w:r>
        <w:rPr>
          <w:rFonts w:hint="eastAsia" w:ascii="宋体" w:hAnsi="宋体" w:cs="宋体"/>
          <w:szCs w:val="21"/>
          <w:shd w:val="clear" w:color="auto" w:fill="FFFFFF"/>
        </w:rPr>
        <w:t>）信用良好：在国家企业信用信息公示系统（ http://www.gsxt.gov.cn/）中未被列入严重违法失信企业名单（黑名单）信息；在“信用中国”网站（ 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3.2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66" w:name="_Toc11329216"/>
      <w:bookmarkStart w:id="67" w:name="_Toc20193"/>
      <w:bookmarkStart w:id="68" w:name="_Toc14361"/>
      <w:bookmarkStart w:id="69" w:name="_Toc12460"/>
      <w:bookmarkStart w:id="70" w:name="_Toc507319894"/>
      <w:bookmarkStart w:id="71" w:name="_Toc25619"/>
      <w:r>
        <w:rPr>
          <w:rFonts w:hint="eastAsia" w:ascii="宋体" w:hAnsi="宋体" w:eastAsia="宋体" w:cs="宋体"/>
        </w:rPr>
        <w:t>4. 比选文件的获取</w:t>
      </w:r>
      <w:bookmarkEnd w:id="59"/>
      <w:bookmarkEnd w:id="60"/>
      <w:bookmarkEnd w:id="61"/>
      <w:bookmarkEnd w:id="62"/>
      <w:bookmarkEnd w:id="63"/>
      <w:bookmarkEnd w:id="64"/>
      <w:bookmarkEnd w:id="65"/>
      <w:bookmarkEnd w:id="66"/>
      <w:bookmarkEnd w:id="67"/>
      <w:bookmarkEnd w:id="68"/>
      <w:bookmarkEnd w:id="69"/>
      <w:bookmarkEnd w:id="70"/>
      <w:bookmarkEnd w:id="71"/>
    </w:p>
    <w:p>
      <w:pPr>
        <w:spacing w:line="360" w:lineRule="auto"/>
        <w:ind w:firstLine="420" w:firstLineChars="200"/>
        <w:rPr>
          <w:rFonts w:ascii="宋体" w:hAnsi="宋体"/>
          <w:szCs w:val="21"/>
        </w:rPr>
      </w:pPr>
      <w:bookmarkStart w:id="72" w:name="_Toc152045516"/>
      <w:bookmarkStart w:id="73" w:name="_Toc144974484"/>
      <w:bookmarkStart w:id="74" w:name="_Toc246996162"/>
      <w:bookmarkStart w:id="75" w:name="_Toc11329217"/>
      <w:bookmarkStart w:id="76" w:name="_Toc247085676"/>
      <w:bookmarkStart w:id="77" w:name="_Toc246996905"/>
      <w:bookmarkStart w:id="78" w:name="_Toc152042292"/>
      <w:bookmarkStart w:id="79" w:name="_Toc507319895"/>
      <w:bookmarkStart w:id="80" w:name="_Toc179632532"/>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rPr>
        <w:t>在</w:t>
      </w:r>
      <w:r>
        <w:rPr>
          <w:rFonts w:hint="eastAsia" w:ascii="宋体" w:hAnsi="宋体"/>
          <w:szCs w:val="21"/>
          <w:u w:val="single"/>
        </w:rPr>
        <w:t>202</w:t>
      </w:r>
      <w:r>
        <w:rPr>
          <w:rFonts w:ascii="宋体" w:hAnsi="宋体"/>
          <w:szCs w:val="21"/>
          <w:u w:val="single"/>
        </w:rPr>
        <w:t>2</w:t>
      </w:r>
      <w:r>
        <w:rPr>
          <w:rFonts w:hint="eastAsia" w:ascii="宋体" w:hAnsi="宋体"/>
          <w:szCs w:val="21"/>
        </w:rPr>
        <w:t>年</w:t>
      </w:r>
      <w:r>
        <w:rPr>
          <w:rFonts w:ascii="宋体" w:hAnsi="宋体"/>
          <w:szCs w:val="21"/>
          <w:u w:val="single"/>
        </w:rPr>
        <w:t xml:space="preserve"> </w:t>
      </w:r>
      <w:r>
        <w:rPr>
          <w:rFonts w:hint="eastAsia" w:ascii="宋体" w:hAnsi="宋体"/>
          <w:szCs w:val="21"/>
          <w:u w:val="single"/>
          <w:lang w:val="en-US" w:eastAsia="zh-CN"/>
        </w:rPr>
        <w:t>5</w:t>
      </w:r>
      <w:r>
        <w:rPr>
          <w:rFonts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6</w:t>
      </w:r>
      <w:r>
        <w:rPr>
          <w:rFonts w:ascii="宋体" w:hAnsi="宋体"/>
          <w:szCs w:val="21"/>
          <w:u w:val="single"/>
        </w:rPr>
        <w:t xml:space="preserve"> </w:t>
      </w:r>
      <w:r>
        <w:rPr>
          <w:rFonts w:hint="eastAsia" w:ascii="宋体" w:hAnsi="宋体"/>
          <w:szCs w:val="21"/>
        </w:rPr>
        <w:t>日下午</w:t>
      </w:r>
      <w:r>
        <w:rPr>
          <w:rFonts w:hint="eastAsia" w:ascii="宋体" w:hAnsi="宋体"/>
          <w:szCs w:val="21"/>
          <w:u w:val="single"/>
        </w:rPr>
        <w:t>15:00</w:t>
      </w:r>
      <w:r>
        <w:rPr>
          <w:rFonts w:hint="eastAsia" w:ascii="宋体" w:hAnsi="宋体"/>
          <w:szCs w:val="21"/>
        </w:rPr>
        <w:t>前在重庆高速集团官方网站关注网上发布的竞争性比选文件答疑、补遗、澄清等文件内容，不管报价人是否下载，均视为已知晓竞争性比选文件的全部内容和有关事宜。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81" w:name="_Toc16686"/>
      <w:bookmarkStart w:id="82" w:name="_Toc31493"/>
      <w:bookmarkStart w:id="83" w:name="_Toc17832"/>
      <w:bookmarkStart w:id="84" w:name="_Toc9131"/>
      <w:r>
        <w:rPr>
          <w:rFonts w:hint="eastAsia" w:ascii="宋体" w:hAnsi="宋体" w:eastAsia="宋体" w:cs="宋体"/>
        </w:rPr>
        <w:t>5. 竞争性比选响应文件的递交</w:t>
      </w:r>
      <w:bookmarkEnd w:id="72"/>
      <w:bookmarkEnd w:id="73"/>
      <w:bookmarkEnd w:id="74"/>
      <w:bookmarkEnd w:id="75"/>
      <w:bookmarkEnd w:id="76"/>
      <w:bookmarkEnd w:id="77"/>
      <w:bookmarkEnd w:id="78"/>
      <w:bookmarkEnd w:id="79"/>
      <w:bookmarkEnd w:id="80"/>
      <w:r>
        <w:rPr>
          <w:rFonts w:hint="eastAsia" w:ascii="宋体" w:hAnsi="宋体" w:eastAsia="宋体" w:cs="宋体"/>
        </w:rPr>
        <w:t>及相关事宜</w:t>
      </w:r>
      <w:bookmarkEnd w:id="81"/>
      <w:bookmarkEnd w:id="82"/>
      <w:bookmarkEnd w:id="83"/>
      <w:bookmarkEnd w:id="84"/>
    </w:p>
    <w:p>
      <w:pPr>
        <w:tabs>
          <w:tab w:val="left" w:pos="360"/>
        </w:tabs>
        <w:spacing w:line="400" w:lineRule="exact"/>
        <w:ind w:firstLine="420" w:firstLineChars="200"/>
        <w:rPr>
          <w:rFonts w:ascii="宋体" w:hAnsi="宋体" w:cs="宋体"/>
          <w:szCs w:val="21"/>
        </w:rPr>
      </w:pPr>
      <w:bookmarkStart w:id="85" w:name="OLE_LINK1"/>
      <w:r>
        <w:rPr>
          <w:rFonts w:hint="eastAsia" w:ascii="宋体" w:hAnsi="宋体" w:cs="宋体"/>
          <w:szCs w:val="21"/>
        </w:rPr>
        <w:t>5.1报价截止时间和开标时间：</w:t>
      </w:r>
      <w:r>
        <w:rPr>
          <w:rFonts w:hint="eastAsia" w:ascii="宋体" w:hAnsi="宋体" w:cs="宋体"/>
          <w:szCs w:val="21"/>
          <w:u w:val="single"/>
        </w:rPr>
        <w:t>202</w:t>
      </w:r>
      <w:r>
        <w:rPr>
          <w:rFonts w:ascii="宋体" w:hAnsi="宋体" w:cs="宋体"/>
          <w:szCs w:val="21"/>
          <w:u w:val="single"/>
        </w:rPr>
        <w:t>2</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5</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6</w:t>
      </w:r>
      <w:r>
        <w:rPr>
          <w:rFonts w:ascii="宋体" w:hAnsi="宋体" w:cs="宋体"/>
          <w:szCs w:val="21"/>
          <w:u w:val="single"/>
        </w:rPr>
        <w:t xml:space="preserve"> </w:t>
      </w:r>
      <w:r>
        <w:rPr>
          <w:rFonts w:hint="eastAsia" w:ascii="宋体" w:hAnsi="宋体" w:cs="宋体"/>
          <w:szCs w:val="21"/>
        </w:rPr>
        <w:t>日下午</w:t>
      </w:r>
      <w:r>
        <w:rPr>
          <w:rFonts w:hint="eastAsia" w:ascii="宋体" w:hAnsi="宋体" w:cs="宋体"/>
          <w:szCs w:val="21"/>
          <w:u w:val="single"/>
        </w:rPr>
        <w:t xml:space="preserve"> 15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5.2报价的递交：重庆市南岸区四公里内环入口200米处重庆首讯科技大楼一楼。</w:t>
      </w:r>
    </w:p>
    <w:bookmarkEnd w:id="85"/>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w:t>
      </w:r>
      <w:r>
        <w:rPr>
          <w:rFonts w:hint="eastAsia" w:ascii="宋体" w:hAnsi="宋体" w:cs="宋体"/>
          <w:szCs w:val="21"/>
        </w:rPr>
        <w:tab/>
      </w:r>
      <w:r>
        <w:rPr>
          <w:rFonts w:ascii="宋体" w:hAnsi="宋体" w:cs="宋体"/>
          <w:szCs w:val="21"/>
        </w:rPr>
        <w:t>人不召开报价预备会。</w:t>
      </w:r>
    </w:p>
    <w:p>
      <w:pPr>
        <w:pStyle w:val="4"/>
        <w:spacing w:before="120" w:after="0" w:line="400" w:lineRule="exact"/>
        <w:rPr>
          <w:rFonts w:ascii="宋体" w:hAnsi="宋体" w:eastAsia="宋体" w:cs="宋体"/>
        </w:rPr>
      </w:pPr>
      <w:bookmarkStart w:id="86" w:name="_Toc179632534"/>
      <w:bookmarkStart w:id="87" w:name="_Toc507319897"/>
      <w:bookmarkStart w:id="88" w:name="_Toc152045517"/>
      <w:bookmarkStart w:id="89" w:name="_Toc11329219"/>
      <w:bookmarkStart w:id="90" w:name="_Toc152042293"/>
      <w:bookmarkStart w:id="91" w:name="_Toc18284"/>
      <w:bookmarkStart w:id="92" w:name="_Toc247085678"/>
      <w:bookmarkStart w:id="93" w:name="_Toc246996907"/>
      <w:bookmarkStart w:id="94" w:name="_Toc21615"/>
      <w:bookmarkStart w:id="95" w:name="_Toc18402"/>
      <w:bookmarkStart w:id="96" w:name="_Toc393"/>
      <w:bookmarkStart w:id="97" w:name="_Toc144974485"/>
      <w:bookmarkStart w:id="98" w:name="_Toc246996164"/>
      <w:r>
        <w:rPr>
          <w:rFonts w:hint="eastAsia" w:ascii="宋体" w:hAnsi="宋体" w:eastAsia="宋体" w:cs="宋体"/>
        </w:rPr>
        <w:t>6. 联系方式</w:t>
      </w:r>
      <w:bookmarkEnd w:id="86"/>
      <w:bookmarkEnd w:id="87"/>
      <w:bookmarkEnd w:id="88"/>
      <w:bookmarkEnd w:id="89"/>
      <w:bookmarkEnd w:id="90"/>
      <w:bookmarkEnd w:id="91"/>
      <w:bookmarkEnd w:id="92"/>
      <w:bookmarkEnd w:id="93"/>
      <w:bookmarkEnd w:id="94"/>
      <w:bookmarkEnd w:id="95"/>
      <w:bookmarkEnd w:id="96"/>
      <w:bookmarkEnd w:id="97"/>
      <w:bookmarkEnd w:id="98"/>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0"/>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0"/>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地址：重庆市南岸区四公里内环入口高速集团首讯科技大楼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联系人：王老师</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pPr>
            <w:r>
              <w:rPr>
                <w:rFonts w:hint="eastAsia" w:ascii="宋体" w:hAnsi="宋体" w:cs="宋体"/>
                <w:szCs w:val="21"/>
              </w:rPr>
              <w:t>电 话：</w:t>
            </w:r>
            <w:r>
              <w:rPr>
                <w:rFonts w:ascii="宋体" w:hAnsi="宋体" w:cs="宋体"/>
                <w:szCs w:val="21"/>
              </w:rPr>
              <w:t>13364063569</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00" w:lineRule="exact"/>
              <w:rPr>
                <w:rFonts w:ascii="宋体" w:hAnsi="宋体" w:cs="宋体"/>
                <w:szCs w:val="21"/>
              </w:rPr>
            </w:pP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ascii="宋体" w:hAnsi="宋体" w:cs="宋体"/>
                <w:szCs w:val="21"/>
              </w:rPr>
            </w:pPr>
          </w:p>
        </w:tc>
        <w:tc>
          <w:tcPr>
            <w:tcW w:w="1415" w:type="dxa"/>
            <w:vAlign w:val="center"/>
          </w:tcPr>
          <w:p>
            <w:pPr>
              <w:spacing w:line="400" w:lineRule="exact"/>
              <w:ind w:firstLine="420" w:firstLineChars="200"/>
              <w:rPr>
                <w:rFonts w:ascii="宋体" w:hAnsi="宋体" w:cs="宋体"/>
                <w:szCs w:val="21"/>
              </w:rPr>
            </w:pPr>
          </w:p>
        </w:tc>
      </w:tr>
    </w:tbl>
    <w:p/>
    <w:p>
      <w:pPr>
        <w:pStyle w:val="2"/>
      </w:pPr>
    </w:p>
    <w:p/>
    <w:p>
      <w:pPr>
        <w:pStyle w:val="2"/>
        <w:sectPr>
          <w:footerReference r:id="rId7" w:type="default"/>
          <w:pgSz w:w="11906" w:h="16838"/>
          <w:pgMar w:top="1418" w:right="1134" w:bottom="1418" w:left="1134" w:header="851" w:footer="992" w:gutter="0"/>
          <w:pgNumType w:start="1"/>
          <w:cols w:space="720" w:num="1"/>
          <w:docGrid w:type="lines" w:linePitch="312" w:charSpace="0"/>
        </w:sectPr>
      </w:pPr>
    </w:p>
    <w:bookmarkEnd w:id="17"/>
    <w:bookmarkEnd w:id="18"/>
    <w:p>
      <w:pPr>
        <w:pStyle w:val="3"/>
        <w:spacing w:before="0" w:after="0" w:line="360" w:lineRule="auto"/>
        <w:jc w:val="center"/>
        <w:rPr>
          <w:rFonts w:ascii="宋体" w:hAnsi="宋体" w:cs="宋体"/>
        </w:rPr>
      </w:pPr>
      <w:bookmarkStart w:id="99" w:name="_Toc246996173"/>
      <w:bookmarkStart w:id="100" w:name="_Toc14597"/>
      <w:bookmarkStart w:id="101" w:name="_Toc21719"/>
      <w:bookmarkStart w:id="102" w:name="_Toc2000405"/>
      <w:bookmarkStart w:id="103" w:name="_Toc152042303"/>
      <w:bookmarkStart w:id="104" w:name="_Toc144974495"/>
      <w:bookmarkStart w:id="105" w:name="_Toc152045527"/>
      <w:bookmarkStart w:id="106" w:name="_Toc246996916"/>
      <w:bookmarkStart w:id="107" w:name="_Toc247085687"/>
      <w:bookmarkStart w:id="108" w:name="_Toc179632544"/>
      <w:bookmarkStart w:id="109" w:name="_Toc507319898"/>
      <w:r>
        <w:rPr>
          <w:rFonts w:hint="eastAsia" w:ascii="宋体" w:hAnsi="宋体" w:cs="宋体"/>
        </w:rPr>
        <w:t>第二章 报价人须知</w:t>
      </w:r>
      <w:bookmarkEnd w:id="99"/>
      <w:bookmarkEnd w:id="100"/>
      <w:bookmarkEnd w:id="101"/>
      <w:bookmarkEnd w:id="102"/>
      <w:bookmarkEnd w:id="103"/>
      <w:bookmarkEnd w:id="104"/>
      <w:bookmarkEnd w:id="105"/>
      <w:bookmarkEnd w:id="106"/>
      <w:bookmarkEnd w:id="107"/>
      <w:bookmarkEnd w:id="108"/>
      <w:bookmarkEnd w:id="109"/>
    </w:p>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10"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址：重庆市南岸区四公里内环入口高速集团首讯科技大楼</w:t>
            </w:r>
          </w:p>
          <w:p>
            <w:pPr>
              <w:spacing w:line="400" w:lineRule="exact"/>
              <w:ind w:firstLine="420" w:firstLineChars="200"/>
              <w:rPr>
                <w:rFonts w:ascii="宋体" w:hAnsi="宋体" w:cs="宋体"/>
                <w:szCs w:val="21"/>
              </w:rPr>
            </w:pPr>
            <w:r>
              <w:rPr>
                <w:rFonts w:hint="eastAsia" w:ascii="宋体" w:hAnsi="宋体" w:cs="宋体"/>
                <w:szCs w:val="21"/>
              </w:rPr>
              <w:t>联系人：王老师</w:t>
            </w:r>
          </w:p>
          <w:p>
            <w:pPr>
              <w:topLinePunct/>
              <w:spacing w:line="420" w:lineRule="exact"/>
              <w:ind w:firstLine="420" w:firstLineChars="200"/>
            </w:pPr>
            <w:r>
              <w:rPr>
                <w:rFonts w:hint="eastAsia" w:ascii="宋体" w:hAnsi="宋体" w:cs="宋体"/>
                <w:szCs w:val="21"/>
              </w:rPr>
              <w:t>电  话：</w:t>
            </w:r>
            <w:r>
              <w:rPr>
                <w:rFonts w:ascii="宋体" w:hAnsi="宋体" w:cs="宋体"/>
                <w:szCs w:val="21"/>
              </w:rPr>
              <w:t>13364063569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首讯公司户外展台设计搭建项目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资金来源</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出资比例</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资金落实情况</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计划工期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（1）资质条件：见附录1</w:t>
            </w:r>
          </w:p>
          <w:p>
            <w:pPr>
              <w:spacing w:line="400" w:lineRule="exact"/>
              <w:ind w:firstLine="420" w:firstLineChars="200"/>
              <w:rPr>
                <w:rFonts w:ascii="宋体" w:hAnsi="宋体" w:cs="宋体"/>
                <w:szCs w:val="21"/>
              </w:rPr>
            </w:pPr>
            <w:r>
              <w:rPr>
                <w:rFonts w:hint="eastAsia" w:ascii="宋体" w:hAnsi="宋体" w:cs="宋体"/>
                <w:szCs w:val="21"/>
              </w:rPr>
              <w:t>（2）财务要求：见附录2</w:t>
            </w:r>
          </w:p>
          <w:p>
            <w:pPr>
              <w:spacing w:line="400" w:lineRule="exact"/>
              <w:ind w:firstLine="420" w:firstLineChars="200"/>
              <w:rPr>
                <w:rFonts w:ascii="宋体" w:hAnsi="宋体" w:cs="宋体"/>
                <w:szCs w:val="21"/>
              </w:rPr>
            </w:pPr>
            <w:r>
              <w:rPr>
                <w:rFonts w:hint="eastAsia" w:ascii="宋体" w:hAnsi="宋体" w:cs="宋体"/>
                <w:szCs w:val="21"/>
              </w:rPr>
              <w:t>（3）业绩要求：见附录3</w:t>
            </w:r>
          </w:p>
          <w:p>
            <w:pPr>
              <w:spacing w:line="400" w:lineRule="exact"/>
              <w:ind w:firstLine="420" w:firstLineChars="200"/>
              <w:rPr>
                <w:rFonts w:ascii="宋体" w:hAnsi="宋体" w:cs="宋体"/>
                <w:szCs w:val="21"/>
              </w:rPr>
            </w:pPr>
            <w:r>
              <w:rPr>
                <w:rFonts w:hint="eastAsia" w:ascii="宋体" w:hAnsi="宋体" w:cs="宋体"/>
                <w:szCs w:val="21"/>
              </w:rPr>
              <w:t>（4）信誉要求：见附录4</w:t>
            </w:r>
          </w:p>
          <w:p>
            <w:pPr>
              <w:spacing w:line="400" w:lineRule="exact"/>
              <w:ind w:firstLine="420" w:firstLineChars="200"/>
              <w:rPr>
                <w:rFonts w:ascii="宋体" w:hAnsi="宋体" w:cs="宋体"/>
                <w:szCs w:val="21"/>
              </w:rPr>
            </w:pPr>
            <w:r>
              <w:rPr>
                <w:rFonts w:hint="eastAsia" w:ascii="宋体" w:hAnsi="宋体" w:cs="宋体"/>
                <w:szCs w:val="21"/>
              </w:rPr>
              <w:t>（5）项目主要人员要求：见附录5</w:t>
            </w:r>
          </w:p>
          <w:p>
            <w:pPr>
              <w:spacing w:line="400" w:lineRule="exact"/>
              <w:ind w:firstLine="420" w:firstLineChars="200"/>
              <w:rPr>
                <w:rFonts w:ascii="宋体" w:hAnsi="宋体" w:cs="宋体"/>
                <w:szCs w:val="21"/>
              </w:rPr>
            </w:pPr>
            <w:r>
              <w:rPr>
                <w:rFonts w:hint="eastAsia" w:ascii="宋体" w:hAnsi="宋体" w:cs="宋体"/>
                <w:szCs w:val="21"/>
              </w:rPr>
              <w:t>（6）其他要求：见附录6、见附录7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14</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采购人发布的工程量清单、补遗书、答疑、澄清、最高限价通知等附件。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11" w:name="_Hlt227984024"/>
            <w:bookmarkEnd w:id="111"/>
            <w:r>
              <w:rPr>
                <w:rFonts w:hint="eastAsia" w:ascii="宋体" w:hAnsi="宋体" w:cs="宋体"/>
                <w:kern w:val="0"/>
                <w:szCs w:val="21"/>
              </w:rPr>
              <w:t>17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47"/>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19</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rPr>
            </w:pPr>
            <w:r>
              <w:rPr>
                <w:rFonts w:hint="eastAsia" w:ascii="宋体" w:hAnsi="宋体"/>
                <w:b/>
                <w:bCs/>
                <w:szCs w:val="21"/>
              </w:rPr>
              <w:t>本项目最高限价</w:t>
            </w:r>
            <w:r>
              <w:rPr>
                <w:rFonts w:ascii="宋体" w:hAnsi="宋体"/>
                <w:b/>
                <w:bCs/>
                <w:szCs w:val="21"/>
                <w:u w:val="single"/>
              </w:rPr>
              <w:t>86305.14</w:t>
            </w:r>
            <w:r>
              <w:rPr>
                <w:rFonts w:hint="eastAsia" w:ascii="宋体" w:hAnsi="宋体"/>
                <w:b/>
                <w:bCs/>
                <w:szCs w:val="21"/>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报价人总价及单项目报价均不得高于采购人发布的最高限价和单项目限价，否则其竞争性比选响应文件视为重大偏差，竞争性比选响应文件将按否决报价处理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20</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spacing w:line="276" w:lineRule="auto"/>
              <w:ind w:firstLine="420" w:firstLineChars="200"/>
            </w:pPr>
            <w:r>
              <w:rPr>
                <w:rFonts w:hint="eastAsia" w:ascii="宋体" w:hAnsi="宋体" w:cs="宋体"/>
              </w:rPr>
              <w:t>一次性支付：</w:t>
            </w:r>
            <w:r>
              <w:rPr>
                <w:rFonts w:hint="eastAsia" w:ascii="宋体" w:hAnsi="宋体" w:cs="宋体"/>
                <w:lang w:val="en-US" w:eastAsia="zh-CN"/>
              </w:rPr>
              <w:t>乙方按合同要求</w:t>
            </w:r>
            <w:r>
              <w:rPr>
                <w:rFonts w:hint="eastAsia" w:ascii="宋体" w:hAnsi="宋体" w:cs="宋体"/>
              </w:rPr>
              <w:t>完成</w:t>
            </w:r>
            <w:r>
              <w:rPr>
                <w:rFonts w:hint="eastAsia" w:ascii="宋体" w:hAnsi="宋体" w:cs="宋体"/>
                <w:lang w:val="en-US" w:eastAsia="zh-CN"/>
              </w:rPr>
              <w:t>户外站台</w:t>
            </w:r>
            <w:r>
              <w:rPr>
                <w:rFonts w:hint="eastAsia" w:ascii="宋体" w:hAnsi="宋体" w:cs="宋体"/>
              </w:rPr>
              <w:t>设计、搭建、展示后，</w:t>
            </w:r>
            <w:r>
              <w:rPr>
                <w:rFonts w:hint="eastAsia" w:ascii="宋体" w:hAnsi="宋体" w:cs="宋体"/>
                <w:lang w:val="en-US" w:eastAsia="zh-CN"/>
              </w:rPr>
              <w:t>甲方</w:t>
            </w:r>
            <w:r>
              <w:rPr>
                <w:rFonts w:ascii="宋体" w:hAnsi="宋体" w:cs="宋体"/>
              </w:rPr>
              <w:t>15</w:t>
            </w:r>
            <w:r>
              <w:rPr>
                <w:rFonts w:hint="eastAsia" w:ascii="宋体" w:hAnsi="宋体" w:cs="宋体"/>
              </w:rPr>
              <w:t>个工作日内</w:t>
            </w:r>
            <w:r>
              <w:rPr>
                <w:rFonts w:hint="eastAsia" w:ascii="宋体" w:hAnsi="宋体" w:cs="宋体"/>
                <w:lang w:val="en-US" w:eastAsia="zh-CN"/>
              </w:rPr>
              <w:t>向乙方</w:t>
            </w:r>
            <w:r>
              <w:rPr>
                <w:rFonts w:hint="eastAsia" w:ascii="宋体" w:hAnsi="宋体" w:cs="宋体"/>
              </w:rPr>
              <w:t>一次性支付全部费用。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21</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乙方人员的管理</w:t>
            </w:r>
          </w:p>
        </w:tc>
        <w:tc>
          <w:tcPr>
            <w:tcW w:w="7104" w:type="dxa"/>
            <w:tcBorders>
              <w:bottom w:val="single" w:color="auto" w:sz="4" w:space="0"/>
            </w:tcBorders>
          </w:tcPr>
          <w:p>
            <w:pPr>
              <w:spacing w:line="400" w:lineRule="exact"/>
              <w:ind w:firstLine="420" w:firstLineChars="200"/>
              <w:rPr>
                <w:rFonts w:eastAsiaTheme="minorEastAsia"/>
              </w:rPr>
            </w:pPr>
            <w:r>
              <w:rPr>
                <w:rFonts w:hint="eastAsia" w:eastAsiaTheme="minor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22</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乙方人员违约的处理</w:t>
            </w:r>
          </w:p>
        </w:tc>
        <w:tc>
          <w:tcPr>
            <w:tcW w:w="7104" w:type="dxa"/>
            <w:tcBorders>
              <w:bottom w:val="single" w:color="auto" w:sz="4" w:space="0"/>
            </w:tcBorders>
          </w:tcPr>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1.乙方不履行合同约定的任何一项义务，或拒绝按照采购人要求服务的，在采购人要求的期限内如仍未履行的，采购人有权解除合同并按照采购人所受损失进行赔偿。</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2.采购人有权从应支付给乙方的款项中直接扣除应由乙方承担的违约金、赔偿金等款项，不足部分，采购人有权向乙方追偿。</w:t>
            </w:r>
          </w:p>
          <w:p>
            <w:pPr>
              <w:pStyle w:val="147"/>
              <w:spacing w:line="400" w:lineRule="exact"/>
              <w:ind w:firstLine="420" w:firstLineChars="200"/>
            </w:pPr>
            <w:r>
              <w:rPr>
                <w:rFonts w:hint="eastAsia" w:hAnsi="宋体"/>
                <w:color w:val="auto"/>
                <w:kern w:val="2"/>
                <w:sz w:val="21"/>
                <w:szCs w:val="21"/>
              </w:rPr>
              <w:t>3.因乙方原因导致本合同解除的，乙方应向采购人支付合同总价款【100】%的违约金，如乙方支付的违约金不足以弥补采购人受到的损失的，乙方还应赔偿采购人的全部损失（包括但不限于采购人为维权而支出的诉讼费、律师费、差旅费等合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22</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w:t>
            </w:r>
            <w:r>
              <w:rPr>
                <w:rFonts w:ascii="宋体" w:hAnsi="宋体" w:cs="宋体"/>
              </w:rPr>
              <w:t>2</w:t>
            </w:r>
            <w:r>
              <w:rPr>
                <w:rFonts w:hint="eastAsia" w:ascii="宋体" w:hAnsi="宋体" w:cs="宋体"/>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7"/>
              <w:spacing w:line="400" w:lineRule="exact"/>
              <w:jc w:val="center"/>
              <w:rPr>
                <w:rFonts w:hAnsi="宋体"/>
                <w:color w:val="auto"/>
                <w:sz w:val="21"/>
                <w:szCs w:val="21"/>
              </w:rPr>
            </w:pPr>
            <w:r>
              <w:rPr>
                <w:rFonts w:hint="eastAsia" w:hAnsi="宋体"/>
                <w:color w:val="auto"/>
                <w:kern w:val="2"/>
                <w:sz w:val="21"/>
                <w:szCs w:val="21"/>
              </w:rPr>
              <w:t>23</w:t>
            </w:r>
          </w:p>
        </w:tc>
        <w:tc>
          <w:tcPr>
            <w:tcW w:w="2106" w:type="dxa"/>
            <w:vAlign w:val="center"/>
          </w:tcPr>
          <w:p>
            <w:pPr>
              <w:pStyle w:val="147"/>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监督部门：重庆首讯科技股份有限公司风险管理部</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地    址：重庆市南岸区四公里内环入口高速集团首讯科技大楼</w:t>
            </w:r>
          </w:p>
          <w:p>
            <w:pPr>
              <w:pStyle w:val="147"/>
              <w:spacing w:line="400" w:lineRule="exact"/>
              <w:ind w:firstLine="420" w:firstLineChars="200"/>
              <w:rPr>
                <w:rFonts w:hAnsi="宋体"/>
                <w:color w:val="auto"/>
                <w:sz w:val="21"/>
                <w:szCs w:val="21"/>
              </w:rPr>
            </w:pPr>
            <w:r>
              <w:rPr>
                <w:rFonts w:hint="eastAsia" w:hAnsi="宋体"/>
                <w:color w:val="auto"/>
                <w:kern w:val="2"/>
                <w:sz w:val="21"/>
                <w:szCs w:val="21"/>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pStyle w:val="147"/>
              <w:spacing w:line="400" w:lineRule="exact"/>
              <w:jc w:val="center"/>
              <w:rPr>
                <w:rFonts w:hAnsi="宋体"/>
                <w:color w:val="auto"/>
                <w:kern w:val="2"/>
                <w:sz w:val="21"/>
                <w:szCs w:val="21"/>
              </w:rPr>
            </w:pPr>
            <w:r>
              <w:rPr>
                <w:rFonts w:hint="eastAsia" w:hAnsi="宋体"/>
                <w:color w:val="auto"/>
                <w:kern w:val="2"/>
                <w:sz w:val="21"/>
                <w:szCs w:val="21"/>
              </w:rPr>
              <w:t>24</w:t>
            </w:r>
          </w:p>
        </w:tc>
        <w:tc>
          <w:tcPr>
            <w:tcW w:w="2106" w:type="dxa"/>
            <w:vAlign w:val="center"/>
          </w:tcPr>
          <w:p>
            <w:pPr>
              <w:pStyle w:val="147"/>
              <w:spacing w:line="400" w:lineRule="exact"/>
              <w:jc w:val="center"/>
              <w:rPr>
                <w:rFonts w:hAnsi="宋体"/>
                <w:color w:val="auto"/>
                <w:kern w:val="2"/>
                <w:sz w:val="21"/>
                <w:szCs w:val="21"/>
              </w:rPr>
            </w:pPr>
            <w:r>
              <w:rPr>
                <w:rFonts w:hint="eastAsia" w:hAnsi="宋体"/>
                <w:color w:val="auto"/>
                <w:kern w:val="2"/>
                <w:sz w:val="21"/>
                <w:szCs w:val="21"/>
              </w:rPr>
              <w:t>竞争性比选响应文件的递交</w:t>
            </w:r>
          </w:p>
        </w:tc>
        <w:tc>
          <w:tcPr>
            <w:tcW w:w="7104" w:type="dxa"/>
            <w:vAlign w:val="center"/>
          </w:tcPr>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1.报价截止时间和开标时间：202</w:t>
            </w:r>
            <w:r>
              <w:rPr>
                <w:rFonts w:hAnsi="宋体"/>
                <w:color w:val="auto"/>
                <w:kern w:val="2"/>
                <w:sz w:val="21"/>
                <w:szCs w:val="21"/>
              </w:rPr>
              <w:t>2</w:t>
            </w:r>
            <w:r>
              <w:rPr>
                <w:rFonts w:hint="eastAsia" w:hAnsi="宋体"/>
                <w:color w:val="auto"/>
                <w:kern w:val="2"/>
                <w:sz w:val="21"/>
                <w:szCs w:val="21"/>
              </w:rPr>
              <w:t>年</w:t>
            </w:r>
            <w:r>
              <w:rPr>
                <w:rFonts w:hAnsi="宋体"/>
                <w:color w:val="auto"/>
                <w:kern w:val="2"/>
                <w:sz w:val="21"/>
                <w:szCs w:val="21"/>
              </w:rPr>
              <w:t xml:space="preserve"> </w:t>
            </w:r>
            <w:r>
              <w:rPr>
                <w:rFonts w:hint="eastAsia" w:hAnsi="宋体"/>
                <w:color w:val="auto"/>
                <w:kern w:val="2"/>
                <w:sz w:val="21"/>
                <w:szCs w:val="21"/>
                <w:lang w:val="en-US" w:eastAsia="zh-CN"/>
              </w:rPr>
              <w:t>5</w:t>
            </w:r>
            <w:r>
              <w:rPr>
                <w:rFonts w:hAnsi="宋体"/>
                <w:color w:val="auto"/>
                <w:kern w:val="2"/>
                <w:sz w:val="21"/>
                <w:szCs w:val="21"/>
              </w:rPr>
              <w:t xml:space="preserve"> </w:t>
            </w:r>
            <w:r>
              <w:rPr>
                <w:rFonts w:hint="eastAsia" w:hAnsi="宋体"/>
                <w:color w:val="auto"/>
                <w:kern w:val="2"/>
                <w:sz w:val="21"/>
                <w:szCs w:val="21"/>
              </w:rPr>
              <w:t>月</w:t>
            </w:r>
            <w:r>
              <w:rPr>
                <w:rFonts w:hAnsi="宋体"/>
                <w:color w:val="auto"/>
                <w:kern w:val="2"/>
                <w:sz w:val="21"/>
                <w:szCs w:val="21"/>
              </w:rPr>
              <w:t xml:space="preserve"> </w:t>
            </w:r>
            <w:r>
              <w:rPr>
                <w:rFonts w:hint="eastAsia" w:hAnsi="宋体"/>
                <w:color w:val="auto"/>
                <w:kern w:val="2"/>
                <w:sz w:val="21"/>
                <w:szCs w:val="21"/>
                <w:lang w:val="en-US" w:eastAsia="zh-CN"/>
              </w:rPr>
              <w:t>6</w:t>
            </w:r>
            <w:r>
              <w:rPr>
                <w:rFonts w:hAnsi="宋体"/>
                <w:color w:val="auto"/>
                <w:kern w:val="2"/>
                <w:sz w:val="21"/>
                <w:szCs w:val="21"/>
              </w:rPr>
              <w:t xml:space="preserve"> </w:t>
            </w:r>
            <w:r>
              <w:rPr>
                <w:rFonts w:hint="eastAsia" w:hAnsi="宋体"/>
                <w:color w:val="auto"/>
                <w:kern w:val="2"/>
                <w:sz w:val="21"/>
                <w:szCs w:val="21"/>
              </w:rPr>
              <w:t>日下午15时 00分（北京时间）。</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int="eastAsia"/>
              </w:rPr>
              <w:t xml:space="preserve"> </w:t>
            </w:r>
            <w:r>
              <w:rPr>
                <w:rFonts w:hint="eastAsia" w:hAnsi="宋体"/>
                <w:color w:val="auto"/>
                <w:kern w:val="2"/>
                <w:sz w:val="21"/>
                <w:szCs w:val="21"/>
              </w:rPr>
              <w:t>报价的递交：重庆市南岸区四公里内环入口200米处重庆首讯科技大楼一楼。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7"/>
              <w:spacing w:line="400" w:lineRule="exact"/>
              <w:jc w:val="center"/>
              <w:rPr>
                <w:rFonts w:hAnsi="宋体"/>
                <w:color w:val="auto"/>
                <w:kern w:val="2"/>
                <w:sz w:val="21"/>
                <w:szCs w:val="21"/>
              </w:rPr>
            </w:pPr>
            <w:r>
              <w:rPr>
                <w:rFonts w:hint="eastAsia" w:hAnsi="宋体"/>
                <w:color w:val="auto"/>
                <w:kern w:val="2"/>
                <w:sz w:val="21"/>
                <w:szCs w:val="21"/>
              </w:rPr>
              <w:t>25</w:t>
            </w:r>
          </w:p>
        </w:tc>
        <w:tc>
          <w:tcPr>
            <w:tcW w:w="2106" w:type="dxa"/>
            <w:vAlign w:val="center"/>
          </w:tcPr>
          <w:p>
            <w:pPr>
              <w:pStyle w:val="147"/>
              <w:spacing w:line="400" w:lineRule="exact"/>
              <w:jc w:val="center"/>
              <w:rPr>
                <w:rFonts w:hAnsi="宋体"/>
                <w:color w:val="auto"/>
                <w:kern w:val="2"/>
                <w:sz w:val="21"/>
                <w:szCs w:val="21"/>
              </w:rPr>
            </w:pPr>
            <w:r>
              <w:rPr>
                <w:rFonts w:hint="eastAsia" w:hAnsi="宋体"/>
                <w:color w:val="auto"/>
                <w:kern w:val="2"/>
                <w:sz w:val="21"/>
                <w:szCs w:val="21"/>
              </w:rPr>
              <w:t>本次竞争性比选响应文件的组成</w:t>
            </w:r>
          </w:p>
        </w:tc>
        <w:tc>
          <w:tcPr>
            <w:tcW w:w="7104" w:type="dxa"/>
            <w:vAlign w:val="center"/>
          </w:tcPr>
          <w:p>
            <w:pPr>
              <w:pStyle w:val="147"/>
              <w:spacing w:line="400" w:lineRule="exact"/>
              <w:rPr>
                <w:rFonts w:hAnsi="宋体"/>
                <w:color w:val="auto"/>
                <w:kern w:val="2"/>
                <w:sz w:val="21"/>
                <w:szCs w:val="21"/>
              </w:rPr>
            </w:pPr>
            <w:r>
              <w:rPr>
                <w:rFonts w:hint="eastAsia" w:hAnsi="宋体"/>
                <w:color w:val="auto"/>
                <w:kern w:val="2"/>
                <w:sz w:val="21"/>
                <w:szCs w:val="21"/>
              </w:rPr>
              <w:t xml:space="preserve">    1.竞争性比选文件需加盖报价人的公章，竞争性比选响应文件提交正本1份，副本1份，副本可为正本的复印件，竞争性比选响应文件需装订成册；报价人应提供竞争性比选响应文件扫描版PDF电子文件1份（U盘1份，电子文件</w:t>
            </w:r>
            <w:r>
              <w:rPr>
                <w:rFonts w:hint="eastAsia" w:hAnsi="宋体"/>
                <w:color w:val="auto"/>
                <w:kern w:val="2"/>
                <w:sz w:val="21"/>
                <w:szCs w:val="21"/>
                <w:lang w:val="en-US" w:eastAsia="zh-CN"/>
              </w:rPr>
              <w:t>为正本响应</w:t>
            </w:r>
            <w:bookmarkStart w:id="262" w:name="_GoBack"/>
            <w:bookmarkEnd w:id="262"/>
            <w:r>
              <w:rPr>
                <w:rFonts w:hint="eastAsia" w:hAnsi="宋体"/>
                <w:color w:val="auto"/>
                <w:kern w:val="2"/>
                <w:sz w:val="21"/>
                <w:szCs w:val="21"/>
                <w:lang w:val="en-US" w:eastAsia="zh-CN"/>
              </w:rPr>
              <w:t>文件扫描件</w:t>
            </w:r>
            <w:r>
              <w:rPr>
                <w:rFonts w:hint="eastAsia" w:hAnsi="宋体"/>
                <w:color w:val="auto"/>
                <w:kern w:val="2"/>
                <w:sz w:val="21"/>
                <w:szCs w:val="21"/>
              </w:rPr>
              <w:t>内容须包括竞争性比选响应文件全部内容）。当电子文件与纸质版竞争性比选响应文件不一致时，以纸质版竞争性比选响应文件为准，当正本与副本不一致时，以正本为准。</w:t>
            </w:r>
          </w:p>
          <w:p>
            <w:pPr>
              <w:pStyle w:val="147"/>
              <w:spacing w:line="400" w:lineRule="exact"/>
              <w:rPr>
                <w:rFonts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7"/>
              <w:spacing w:line="400" w:lineRule="exact"/>
              <w:jc w:val="center"/>
              <w:rPr>
                <w:rFonts w:hAnsi="宋体"/>
                <w:color w:val="auto"/>
                <w:kern w:val="2"/>
                <w:sz w:val="21"/>
                <w:szCs w:val="21"/>
              </w:rPr>
            </w:pPr>
            <w:r>
              <w:rPr>
                <w:rFonts w:hint="eastAsia" w:hAnsi="宋体"/>
                <w:color w:val="auto"/>
                <w:kern w:val="2"/>
                <w:sz w:val="21"/>
                <w:szCs w:val="21"/>
              </w:rPr>
              <w:t>26</w:t>
            </w:r>
          </w:p>
        </w:tc>
        <w:tc>
          <w:tcPr>
            <w:tcW w:w="2106" w:type="dxa"/>
            <w:vAlign w:val="center"/>
          </w:tcPr>
          <w:p>
            <w:pPr>
              <w:pStyle w:val="147"/>
              <w:spacing w:line="400" w:lineRule="exact"/>
              <w:jc w:val="center"/>
              <w:rPr>
                <w:rFonts w:hAnsi="宋体"/>
                <w:color w:val="auto"/>
                <w:kern w:val="2"/>
                <w:sz w:val="21"/>
                <w:szCs w:val="21"/>
              </w:rPr>
            </w:pPr>
          </w:p>
        </w:tc>
        <w:tc>
          <w:tcPr>
            <w:tcW w:w="7104" w:type="dxa"/>
            <w:vAlign w:val="center"/>
          </w:tcPr>
          <w:p>
            <w:pPr>
              <w:pStyle w:val="147"/>
              <w:spacing w:line="400" w:lineRule="exact"/>
              <w:ind w:firstLine="420" w:firstLineChars="200"/>
              <w:rPr>
                <w:rFonts w:hAnsi="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Ansi="宋体"/>
                <w:color w:val="auto"/>
                <w:kern w:val="2"/>
                <w:sz w:val="21"/>
                <w:szCs w:val="21"/>
              </w:rPr>
            </w:pPr>
            <w:r>
              <w:rPr>
                <w:rFonts w:hint="eastAsia" w:hAnsi="宋体"/>
                <w:color w:val="auto"/>
                <w:kern w:val="2"/>
                <w:sz w:val="21"/>
                <w:szCs w:val="21"/>
              </w:rPr>
              <w:t>27</w:t>
            </w:r>
          </w:p>
        </w:tc>
        <w:tc>
          <w:tcPr>
            <w:tcW w:w="9210" w:type="dxa"/>
            <w:gridSpan w:val="2"/>
            <w:vAlign w:val="center"/>
          </w:tcPr>
          <w:p>
            <w:pPr>
              <w:pStyle w:val="147"/>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Ansi="宋体"/>
                <w:color w:val="auto"/>
                <w:kern w:val="2"/>
                <w:sz w:val="21"/>
                <w:szCs w:val="21"/>
              </w:rPr>
            </w:pPr>
            <w:r>
              <w:rPr>
                <w:rFonts w:hint="eastAsia" w:hAnsi="宋体"/>
                <w:color w:val="auto"/>
                <w:kern w:val="2"/>
                <w:sz w:val="21"/>
                <w:szCs w:val="21"/>
              </w:rPr>
              <w:t>27.1</w:t>
            </w:r>
          </w:p>
        </w:tc>
        <w:tc>
          <w:tcPr>
            <w:tcW w:w="9210" w:type="dxa"/>
            <w:gridSpan w:val="2"/>
            <w:vAlign w:val="center"/>
          </w:tcPr>
          <w:p>
            <w:pPr>
              <w:pStyle w:val="147"/>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Ansi="宋体"/>
                <w:color w:val="auto"/>
                <w:kern w:val="2"/>
                <w:sz w:val="21"/>
                <w:szCs w:val="21"/>
              </w:rPr>
            </w:pPr>
            <w:r>
              <w:rPr>
                <w:rFonts w:hint="eastAsia" w:hAnsi="宋体"/>
                <w:color w:val="auto"/>
                <w:kern w:val="2"/>
                <w:sz w:val="21"/>
                <w:szCs w:val="21"/>
              </w:rPr>
              <w:t>27.2</w:t>
            </w:r>
          </w:p>
        </w:tc>
        <w:tc>
          <w:tcPr>
            <w:tcW w:w="9210" w:type="dxa"/>
            <w:gridSpan w:val="2"/>
            <w:vAlign w:val="center"/>
          </w:tcPr>
          <w:p>
            <w:pPr>
              <w:pStyle w:val="147"/>
              <w:spacing w:line="400" w:lineRule="exact"/>
              <w:ind w:firstLine="422" w:firstLineChars="200"/>
              <w:rPr>
                <w:rFonts w:hAnsi="宋体"/>
                <w:sz w:val="21"/>
                <w:szCs w:val="21"/>
              </w:rPr>
            </w:pPr>
            <w:r>
              <w:rPr>
                <w:rFonts w:hint="eastAsia" w:hAnsi="宋体"/>
                <w:b/>
                <w:bCs/>
                <w:sz w:val="21"/>
                <w:szCs w:val="21"/>
              </w:rPr>
              <w:t>无效投标条款</w:t>
            </w:r>
          </w:p>
          <w:p>
            <w:pPr>
              <w:pStyle w:val="147"/>
              <w:spacing w:line="400" w:lineRule="exact"/>
              <w:ind w:firstLine="420" w:firstLineChars="200"/>
              <w:rPr>
                <w:rFonts w:hAnsi="宋体"/>
                <w:sz w:val="21"/>
                <w:szCs w:val="21"/>
              </w:rPr>
            </w:pPr>
            <w:r>
              <w:rPr>
                <w:rFonts w:hint="eastAsia" w:hAnsi="宋体"/>
                <w:sz w:val="21"/>
                <w:szCs w:val="21"/>
              </w:rPr>
              <w:t>报价人或其投标文件出现下列情况之一者，应为无效投标：</w:t>
            </w:r>
          </w:p>
          <w:p>
            <w:pPr>
              <w:pStyle w:val="147"/>
              <w:numPr>
                <w:ilvl w:val="0"/>
                <w:numId w:val="2"/>
              </w:numPr>
              <w:spacing w:line="400" w:lineRule="exact"/>
              <w:ind w:firstLine="420" w:firstLineChars="200"/>
              <w:rPr>
                <w:rFonts w:hAnsi="宋体"/>
                <w:sz w:val="21"/>
                <w:szCs w:val="21"/>
              </w:rPr>
            </w:pPr>
            <w:r>
              <w:rPr>
                <w:rFonts w:hint="eastAsia" w:hAnsi="宋体"/>
                <w:sz w:val="21"/>
                <w:szCs w:val="21"/>
              </w:rPr>
              <w:t>投标文件未按招标文件要求签署、盖章的；</w:t>
            </w:r>
          </w:p>
          <w:p>
            <w:pPr>
              <w:pStyle w:val="147"/>
              <w:numPr>
                <w:ilvl w:val="0"/>
                <w:numId w:val="2"/>
              </w:numPr>
              <w:spacing w:line="400" w:lineRule="exact"/>
              <w:ind w:firstLine="420" w:firstLineChars="200"/>
              <w:rPr>
                <w:rFonts w:hAnsi="宋体"/>
                <w:sz w:val="21"/>
                <w:szCs w:val="21"/>
              </w:rPr>
            </w:pPr>
            <w:r>
              <w:rPr>
                <w:rFonts w:hint="eastAsia" w:hAnsi="宋体"/>
                <w:sz w:val="21"/>
                <w:szCs w:val="21"/>
              </w:rPr>
              <w:t>不具备招标文件中规定的资格要求的；</w:t>
            </w:r>
          </w:p>
          <w:p>
            <w:pPr>
              <w:pStyle w:val="147"/>
              <w:numPr>
                <w:ilvl w:val="0"/>
                <w:numId w:val="2"/>
              </w:numPr>
              <w:spacing w:line="400" w:lineRule="exact"/>
              <w:ind w:firstLine="420" w:firstLineChars="200"/>
              <w:rPr>
                <w:rFonts w:hAnsi="宋体"/>
                <w:sz w:val="21"/>
                <w:szCs w:val="21"/>
              </w:rPr>
            </w:pPr>
            <w:r>
              <w:rPr>
                <w:rFonts w:hint="eastAsia" w:hAnsi="宋体"/>
                <w:sz w:val="21"/>
                <w:szCs w:val="21"/>
              </w:rPr>
              <w:t>报价超过招标文件中规定的预算金额或者最高限价的；</w:t>
            </w:r>
          </w:p>
          <w:p>
            <w:pPr>
              <w:pStyle w:val="147"/>
              <w:numPr>
                <w:ilvl w:val="0"/>
                <w:numId w:val="2"/>
              </w:numPr>
              <w:spacing w:line="400" w:lineRule="exact"/>
              <w:ind w:firstLine="420" w:firstLineChars="200"/>
              <w:rPr>
                <w:rFonts w:hAnsi="宋体"/>
                <w:sz w:val="21"/>
                <w:szCs w:val="21"/>
              </w:rPr>
            </w:pPr>
            <w:r>
              <w:rPr>
                <w:rFonts w:hint="eastAsia" w:hAnsi="宋体"/>
                <w:sz w:val="21"/>
                <w:szCs w:val="21"/>
              </w:rPr>
              <w:t>投标文件含有采购人不能接受的附加条件的；</w:t>
            </w:r>
          </w:p>
          <w:p>
            <w:pPr>
              <w:pStyle w:val="147"/>
              <w:numPr>
                <w:ilvl w:val="0"/>
                <w:numId w:val="2"/>
              </w:numPr>
              <w:spacing w:line="400" w:lineRule="exact"/>
              <w:ind w:firstLine="420" w:firstLineChars="200"/>
              <w:rPr>
                <w:rFonts w:hAnsi="宋体"/>
                <w:sz w:val="21"/>
                <w:szCs w:val="21"/>
              </w:rPr>
            </w:pPr>
            <w:r>
              <w:rPr>
                <w:rFonts w:hint="eastAsia" w:hAnsi="宋体"/>
                <w:sz w:val="21"/>
                <w:szCs w:val="21"/>
              </w:rPr>
              <w:t>报价人串通投标的；</w:t>
            </w:r>
          </w:p>
          <w:p>
            <w:pPr>
              <w:pStyle w:val="147"/>
              <w:numPr>
                <w:ilvl w:val="0"/>
                <w:numId w:val="2"/>
              </w:numPr>
              <w:spacing w:line="400" w:lineRule="exact"/>
              <w:ind w:firstLine="420" w:firstLineChars="200"/>
              <w:rPr>
                <w:rFonts w:hAnsi="宋体"/>
                <w:sz w:val="21"/>
                <w:szCs w:val="21"/>
              </w:rPr>
            </w:pPr>
            <w:r>
              <w:rPr>
                <w:rFonts w:hint="eastAsia" w:hAnsi="宋体"/>
                <w:sz w:val="21"/>
                <w:szCs w:val="21"/>
              </w:rPr>
              <w:t>报价人组成联合体投标的；</w:t>
            </w:r>
          </w:p>
          <w:p>
            <w:pPr>
              <w:pStyle w:val="147"/>
              <w:numPr>
                <w:ilvl w:val="0"/>
                <w:numId w:val="2"/>
              </w:numPr>
              <w:spacing w:line="400" w:lineRule="exact"/>
              <w:ind w:firstLine="420" w:firstLineChars="200"/>
              <w:rPr>
                <w:rFonts w:hAnsi="宋体"/>
                <w:sz w:val="21"/>
                <w:szCs w:val="21"/>
              </w:rPr>
            </w:pPr>
            <w:r>
              <w:rPr>
                <w:rFonts w:hint="eastAsia" w:hAnsi="宋体"/>
                <w:sz w:val="21"/>
                <w:szCs w:val="21"/>
              </w:rPr>
              <w:t>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Ansi="宋体"/>
                <w:color w:val="auto"/>
                <w:kern w:val="2"/>
                <w:sz w:val="21"/>
                <w:szCs w:val="21"/>
              </w:rPr>
            </w:pPr>
            <w:r>
              <w:rPr>
                <w:rFonts w:hint="eastAsia" w:hAnsi="宋体"/>
                <w:color w:val="auto"/>
                <w:kern w:val="2"/>
                <w:sz w:val="21"/>
                <w:szCs w:val="21"/>
              </w:rPr>
              <w:t>27.3</w:t>
            </w:r>
          </w:p>
        </w:tc>
        <w:tc>
          <w:tcPr>
            <w:tcW w:w="9210" w:type="dxa"/>
            <w:gridSpan w:val="2"/>
            <w:vAlign w:val="center"/>
          </w:tcPr>
          <w:p>
            <w:pPr>
              <w:pStyle w:val="147"/>
              <w:spacing w:line="400" w:lineRule="exact"/>
              <w:ind w:firstLine="422" w:firstLineChars="200"/>
              <w:rPr>
                <w:rFonts w:hAnsi="宋体"/>
                <w:sz w:val="21"/>
                <w:szCs w:val="21"/>
              </w:rPr>
            </w:pPr>
            <w:r>
              <w:rPr>
                <w:rFonts w:hint="eastAsia" w:hAnsi="宋体"/>
                <w:b/>
                <w:bCs/>
                <w:sz w:val="21"/>
                <w:szCs w:val="21"/>
              </w:rPr>
              <w:t>废标条款</w:t>
            </w:r>
          </w:p>
          <w:p>
            <w:pPr>
              <w:pStyle w:val="147"/>
              <w:spacing w:line="400" w:lineRule="exact"/>
              <w:ind w:firstLine="420" w:firstLineChars="200"/>
              <w:rPr>
                <w:rFonts w:hAnsi="宋体"/>
                <w:sz w:val="21"/>
                <w:szCs w:val="21"/>
              </w:rPr>
            </w:pPr>
            <w:r>
              <w:rPr>
                <w:rFonts w:hint="eastAsia" w:hAnsi="宋体"/>
                <w:sz w:val="21"/>
                <w:szCs w:val="21"/>
              </w:rPr>
              <w:t>出现以下情况之一的，应予废标：</w:t>
            </w:r>
          </w:p>
          <w:p>
            <w:pPr>
              <w:pStyle w:val="147"/>
              <w:numPr>
                <w:ilvl w:val="0"/>
                <w:numId w:val="3"/>
              </w:numPr>
              <w:spacing w:line="400" w:lineRule="exact"/>
              <w:ind w:firstLine="420" w:firstLineChars="200"/>
              <w:rPr>
                <w:rFonts w:hAnsi="宋体"/>
                <w:sz w:val="21"/>
                <w:szCs w:val="21"/>
              </w:rPr>
            </w:pPr>
            <w:r>
              <w:rPr>
                <w:rFonts w:hint="eastAsia" w:hAnsi="宋体"/>
                <w:sz w:val="21"/>
                <w:szCs w:val="21"/>
              </w:rPr>
              <w:t>符合专业条件的报价人或者对招标文件作实质响应的报价人不足三家的；</w:t>
            </w:r>
          </w:p>
          <w:p>
            <w:pPr>
              <w:pStyle w:val="147"/>
              <w:numPr>
                <w:ilvl w:val="0"/>
                <w:numId w:val="3"/>
              </w:numPr>
              <w:spacing w:line="400" w:lineRule="exact"/>
              <w:ind w:firstLine="420" w:firstLineChars="200"/>
              <w:rPr>
                <w:rFonts w:hAnsi="宋体"/>
                <w:sz w:val="21"/>
                <w:szCs w:val="21"/>
              </w:rPr>
            </w:pPr>
            <w:r>
              <w:rPr>
                <w:rFonts w:hint="eastAsia" w:hAnsi="宋体"/>
                <w:sz w:val="21"/>
                <w:szCs w:val="21"/>
              </w:rPr>
              <w:t>报价人的报价均超过了上限价，采购人不能支付的；</w:t>
            </w:r>
          </w:p>
          <w:p>
            <w:pPr>
              <w:pStyle w:val="147"/>
              <w:numPr>
                <w:ilvl w:val="0"/>
                <w:numId w:val="3"/>
              </w:numPr>
              <w:spacing w:line="400" w:lineRule="exact"/>
              <w:ind w:firstLine="420" w:firstLineChars="200"/>
              <w:rPr>
                <w:rFonts w:hAnsi="宋体"/>
                <w:sz w:val="21"/>
                <w:szCs w:val="21"/>
              </w:rPr>
            </w:pPr>
            <w:r>
              <w:rPr>
                <w:rFonts w:hint="eastAsia" w:hAnsi="宋体"/>
                <w:sz w:val="21"/>
                <w:szCs w:val="21"/>
              </w:rPr>
              <w:t>出现影响采购公正的违法、违规行为的；</w:t>
            </w:r>
          </w:p>
          <w:p>
            <w:pPr>
              <w:pStyle w:val="147"/>
              <w:numPr>
                <w:ilvl w:val="0"/>
                <w:numId w:val="3"/>
              </w:numPr>
              <w:spacing w:line="400" w:lineRule="exact"/>
              <w:ind w:firstLine="420" w:firstLineChars="200"/>
              <w:rPr>
                <w:rFonts w:hAnsi="宋体"/>
                <w:sz w:val="21"/>
                <w:szCs w:val="21"/>
              </w:rPr>
            </w:pPr>
            <w:r>
              <w:rPr>
                <w:rFonts w:hint="eastAsia" w:hAnsi="宋体"/>
                <w:sz w:val="21"/>
                <w:szCs w:val="21"/>
              </w:rPr>
              <w:t>因重大变故，采购任务取消的。</w:t>
            </w:r>
          </w:p>
        </w:tc>
      </w:tr>
      <w:bookmarkEnd w:id="110"/>
    </w:tbl>
    <w:p>
      <w:pPr>
        <w:spacing w:line="360" w:lineRule="auto"/>
        <w:jc w:val="center"/>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pPr>
        <w:pStyle w:val="4"/>
        <w:jc w:val="center"/>
        <w:rPr>
          <w:rFonts w:ascii="宋体" w:hAnsi="宋体" w:eastAsia="宋体" w:cs="宋体"/>
          <w:sz w:val="30"/>
          <w:szCs w:val="30"/>
        </w:rPr>
      </w:pPr>
      <w:bookmarkStart w:id="112" w:name="_Toc17532"/>
      <w:bookmarkStart w:id="113" w:name="_Toc11329222"/>
      <w:bookmarkStart w:id="114" w:name="_Toc17399"/>
      <w:bookmarkStart w:id="115" w:name="_Toc30198"/>
      <w:bookmarkStart w:id="116" w:name="_Toc11284"/>
      <w:r>
        <w:rPr>
          <w:rFonts w:hint="eastAsia" w:ascii="宋体" w:hAnsi="宋体" w:eastAsia="宋体" w:cs="宋体"/>
          <w:sz w:val="28"/>
          <w:szCs w:val="28"/>
        </w:rPr>
        <w:t>附录1  资格审查条件（资质最低要求）</w:t>
      </w:r>
      <w:bookmarkEnd w:id="112"/>
      <w:bookmarkEnd w:id="113"/>
      <w:bookmarkEnd w:id="114"/>
      <w:bookmarkEnd w:id="115"/>
      <w:bookmarkEnd w:id="116"/>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rPr>
            </w:pPr>
            <w:r>
              <w:rPr>
                <w:rFonts w:hint="eastAsia" w:ascii="宋体" w:hAnsi="宋体" w:cs="宋体"/>
                <w:szCs w:val="21"/>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108" w:type="dxa"/>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（1）有效的营业执照；</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（2）具备重庆市展览工程企业A级资质证书；</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（3）具备重庆展览展示设计甲级资；</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（4）投标人具备ISO质量管理体系认证证书（证书内容覆盖：展览展示服务、会议服务）；</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（5）投标人具备ISO环境管理体系认证证书（证书内容覆盖：展览展示服务、会议服务）。</w:t>
            </w:r>
          </w:p>
        </w:tc>
      </w:tr>
    </w:tbl>
    <w:p>
      <w:pPr>
        <w:spacing w:line="440" w:lineRule="exact"/>
        <w:ind w:firstLine="422" w:firstLineChars="200"/>
        <w:rPr>
          <w:rFonts w:ascii="宋体" w:hAnsi="宋体" w:cs="宋体"/>
        </w:rPr>
      </w:pPr>
      <w:r>
        <w:rPr>
          <w:rFonts w:hint="eastAsia" w:ascii="宋体" w:hAnsi="宋体" w:cs="宋体"/>
          <w:b/>
          <w:bCs/>
        </w:rPr>
        <w:t>注：须提供报价人营业执照、资质证书等复印件,并加盖单位鲜公章，资质证书需携带原件备查。</w:t>
      </w:r>
    </w:p>
    <w:p>
      <w:pPr>
        <w:pStyle w:val="4"/>
        <w:jc w:val="center"/>
        <w:rPr>
          <w:rFonts w:ascii="宋体" w:hAnsi="宋体" w:eastAsia="宋体" w:cs="宋体"/>
          <w:bCs w:val="0"/>
        </w:rPr>
      </w:pPr>
      <w:bookmarkStart w:id="117" w:name="_Toc30995"/>
      <w:bookmarkStart w:id="118" w:name="_Toc11329223"/>
      <w:bookmarkStart w:id="119" w:name="_Toc17235"/>
      <w:bookmarkStart w:id="120" w:name="_Toc30363"/>
      <w:bookmarkStart w:id="121" w:name="_Toc1778"/>
      <w:r>
        <w:rPr>
          <w:rFonts w:hint="eastAsia" w:ascii="宋体" w:hAnsi="宋体" w:eastAsia="宋体" w:cs="宋体"/>
          <w:bCs w:val="0"/>
          <w:sz w:val="28"/>
          <w:szCs w:val="28"/>
        </w:rPr>
        <w:t>附录2  资格审查条件（财务最低要求）</w:t>
      </w:r>
      <w:bookmarkEnd w:id="117"/>
      <w:bookmarkEnd w:id="118"/>
      <w:bookmarkEnd w:id="119"/>
      <w:bookmarkEnd w:id="120"/>
      <w:bookmarkEnd w:id="121"/>
    </w:p>
    <w:tbl>
      <w:tblPr>
        <w:tblStyle w:val="41"/>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484" w:type="dxa"/>
            <w:vAlign w:val="center"/>
          </w:tcPr>
          <w:p>
            <w:pPr>
              <w:spacing w:line="400" w:lineRule="exact"/>
              <w:jc w:val="center"/>
              <w:rPr>
                <w:rFonts w:ascii="宋体" w:hAnsi="宋体" w:cs="宋体"/>
                <w:szCs w:val="21"/>
              </w:rPr>
            </w:pPr>
            <w:r>
              <w:rPr>
                <w:rFonts w:hint="eastAsia" w:ascii="宋体" w:hAnsi="宋体" w:cs="宋体"/>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4" w:type="dxa"/>
          </w:tcPr>
          <w:p>
            <w:pPr>
              <w:spacing w:line="400" w:lineRule="exact"/>
              <w:ind w:firstLine="420" w:firstLineChars="200"/>
            </w:pPr>
            <w:r>
              <w:rPr>
                <w:rFonts w:hint="eastAsia"/>
              </w:rPr>
              <w:t>无要求。</w:t>
            </w:r>
          </w:p>
        </w:tc>
      </w:tr>
    </w:tbl>
    <w:p>
      <w:pPr>
        <w:pStyle w:val="4"/>
        <w:jc w:val="center"/>
        <w:rPr>
          <w:rFonts w:ascii="宋体" w:hAnsi="宋体" w:eastAsia="宋体" w:cs="宋体"/>
          <w:bCs w:val="0"/>
          <w:sz w:val="28"/>
          <w:szCs w:val="28"/>
        </w:rPr>
      </w:pPr>
      <w:bookmarkStart w:id="122" w:name="_Toc6263"/>
      <w:bookmarkStart w:id="123" w:name="_Toc11329224"/>
      <w:bookmarkStart w:id="124" w:name="_Toc19507"/>
      <w:bookmarkStart w:id="125" w:name="_Toc16638"/>
      <w:bookmarkStart w:id="126" w:name="_Toc28315"/>
      <w:r>
        <w:rPr>
          <w:rFonts w:hint="eastAsia" w:ascii="宋体" w:hAnsi="宋体" w:eastAsia="宋体" w:cs="宋体"/>
          <w:bCs w:val="0"/>
          <w:sz w:val="28"/>
          <w:szCs w:val="28"/>
        </w:rPr>
        <w:t>附录3  资格审查条件（业绩最低要求）</w:t>
      </w:r>
      <w:bookmarkEnd w:id="122"/>
      <w:bookmarkEnd w:id="123"/>
      <w:bookmarkEnd w:id="124"/>
      <w:bookmarkEnd w:id="125"/>
      <w:bookmarkEnd w:id="126"/>
    </w:p>
    <w:tbl>
      <w:tblPr>
        <w:tblStyle w:val="4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22" w:type="dxa"/>
            <w:vAlign w:val="center"/>
          </w:tcPr>
          <w:p>
            <w:pPr>
              <w:spacing w:line="400" w:lineRule="exact"/>
              <w:jc w:val="center"/>
              <w:rPr>
                <w:rFonts w:ascii="宋体" w:hAnsi="宋体" w:cs="宋体"/>
                <w:szCs w:val="21"/>
              </w:rPr>
            </w:pPr>
            <w:r>
              <w:rPr>
                <w:rFonts w:hint="eastAsia" w:ascii="宋体" w:hAnsi="宋体" w:cs="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322" w:type="dxa"/>
          </w:tcPr>
          <w:p>
            <w:pPr>
              <w:spacing w:line="400" w:lineRule="exact"/>
              <w:ind w:firstLine="420" w:firstLineChars="200"/>
              <w:jc w:val="left"/>
            </w:pPr>
            <w:r>
              <w:rPr>
                <w:rFonts w:hint="eastAsia"/>
              </w:rPr>
              <w:t>无要求</w:t>
            </w:r>
            <w:r>
              <w:rPr>
                <w:rFonts w:hint="eastAsia" w:ascii="宋体" w:hAnsi="宋体" w:cs="宋体"/>
                <w:szCs w:val="21"/>
                <w:shd w:val="clear" w:color="auto" w:fill="FFFFFF"/>
              </w:rPr>
              <w:t>。</w:t>
            </w:r>
          </w:p>
        </w:tc>
      </w:tr>
    </w:tbl>
    <w:p>
      <w:pPr>
        <w:pStyle w:val="4"/>
        <w:jc w:val="left"/>
        <w:rPr>
          <w:rFonts w:ascii="宋体" w:hAnsi="宋体" w:cs="宋体"/>
          <w:b w:val="0"/>
          <w:sz w:val="28"/>
          <w:szCs w:val="28"/>
        </w:rPr>
      </w:pPr>
      <w:bookmarkStart w:id="127" w:name="_Toc11329225"/>
      <w:r>
        <w:rPr>
          <w:rFonts w:hint="eastAsia" w:ascii="Times New Roman" w:hAnsi="宋体" w:eastAsia="宋体"/>
          <w:kern w:val="2"/>
          <w:sz w:val="21"/>
          <w:szCs w:val="21"/>
        </w:rPr>
        <w:t xml:space="preserve">   </w:t>
      </w:r>
      <w:bookmarkStart w:id="128" w:name="_Toc26749"/>
      <w:bookmarkStart w:id="129" w:name="_Toc12296"/>
      <w:bookmarkStart w:id="130" w:name="_Toc2830"/>
      <w:bookmarkStart w:id="131" w:name="_Toc10083"/>
      <w:r>
        <w:rPr>
          <w:rFonts w:hint="eastAsia" w:ascii="宋体" w:hAnsi="宋体" w:eastAsia="宋体" w:cs="宋体"/>
          <w:bCs w:val="0"/>
          <w:sz w:val="28"/>
          <w:szCs w:val="28"/>
        </w:rPr>
        <w:t>附录4 资格审查条件（信誉最低要求）</w:t>
      </w:r>
      <w:bookmarkEnd w:id="127"/>
      <w:bookmarkEnd w:id="128"/>
      <w:bookmarkEnd w:id="129"/>
      <w:bookmarkEnd w:id="130"/>
      <w:bookmarkEnd w:id="131"/>
    </w:p>
    <w:tbl>
      <w:tblPr>
        <w:tblStyle w:val="41"/>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rPr>
            </w:pPr>
            <w:r>
              <w:rPr>
                <w:rFonts w:hint="eastAsia" w:ascii="宋体" w:hAnsi="宋体" w:cs="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400" w:lineRule="exact"/>
              <w:ind w:firstLine="420" w:firstLineChars="200"/>
              <w:rPr>
                <w:rFonts w:ascii="宋体" w:hAnsi="宋体" w:cs="宋体"/>
                <w:szCs w:val="21"/>
                <w:shd w:val="clear" w:color="auto" w:fill="FFFFFF"/>
              </w:rPr>
            </w:pPr>
            <w:r>
              <w:rPr>
                <w:rFonts w:hint="eastAsia" w:ascii="宋体" w:hAnsi="宋体" w:cs="宋体"/>
                <w:szCs w:val="21"/>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02" w:firstLineChars="200"/>
        <w:rPr>
          <w:rFonts w:ascii="Times New Roman" w:hAnsi="宋体"/>
          <w:sz w:val="21"/>
          <w:szCs w:val="21"/>
        </w:rPr>
      </w:pPr>
      <w:r>
        <w:rPr>
          <w:rFonts w:hint="eastAsia"/>
        </w:rPr>
        <w:t>注：</w:t>
      </w:r>
      <w:r>
        <w:rPr>
          <w:rFonts w:hint="eastAsia" w:ascii="Times New Roman" w:hAnsi="宋体"/>
          <w:sz w:val="21"/>
          <w:szCs w:val="21"/>
        </w:rPr>
        <w:t>须提供上述两个网站查询结果截图,并加盖单位鲜公章。</w:t>
      </w:r>
    </w:p>
    <w:p>
      <w:pPr>
        <w:pStyle w:val="4"/>
        <w:jc w:val="center"/>
        <w:rPr>
          <w:rFonts w:ascii="宋体" w:hAnsi="宋体" w:eastAsia="宋体" w:cs="宋体"/>
          <w:bCs w:val="0"/>
          <w:sz w:val="28"/>
          <w:szCs w:val="28"/>
        </w:rPr>
      </w:pPr>
      <w:bookmarkStart w:id="132" w:name="_Toc14083"/>
      <w:bookmarkStart w:id="133" w:name="_Toc27096"/>
      <w:bookmarkStart w:id="134" w:name="_Toc25591"/>
      <w:bookmarkStart w:id="135" w:name="_Toc12773"/>
      <w:bookmarkStart w:id="136" w:name="_Toc11329226"/>
      <w:r>
        <w:rPr>
          <w:rFonts w:hint="eastAsia" w:ascii="宋体" w:hAnsi="宋体" w:eastAsia="宋体" w:cs="宋体"/>
          <w:bCs w:val="0"/>
          <w:sz w:val="28"/>
          <w:szCs w:val="28"/>
        </w:rPr>
        <w:t>附录5 资格审查文件（项目主要人员最低要求）</w:t>
      </w:r>
      <w:bookmarkEnd w:id="132"/>
      <w:bookmarkEnd w:id="133"/>
      <w:bookmarkEnd w:id="134"/>
      <w:bookmarkEnd w:id="135"/>
      <w:bookmarkEnd w:id="136"/>
    </w:p>
    <w:p>
      <w:pPr>
        <w:spacing w:line="400" w:lineRule="exact"/>
        <w:jc w:val="center"/>
      </w:pPr>
      <w:r>
        <w:rPr>
          <w:rFonts w:hint="eastAsia" w:ascii="宋体" w:hAnsi="宋体" w:cs="宋体"/>
          <w:b/>
          <w:szCs w:val="21"/>
        </w:rPr>
        <w:t>主要人员最低要求</w:t>
      </w:r>
    </w:p>
    <w:tbl>
      <w:tblPr>
        <w:tblStyle w:val="41"/>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137" w:name="_Toc388534043"/>
            <w:bookmarkStart w:id="138" w:name="_Toc387234996"/>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p>
        </w:tc>
      </w:tr>
    </w:tbl>
    <w:p>
      <w:pPr>
        <w:pStyle w:val="4"/>
        <w:jc w:val="center"/>
        <w:rPr>
          <w:rFonts w:hAnsi="宋体"/>
          <w:b w:val="0"/>
          <w:sz w:val="28"/>
          <w:szCs w:val="28"/>
        </w:rPr>
      </w:pPr>
      <w:bookmarkStart w:id="139" w:name="_Toc17384"/>
      <w:bookmarkStart w:id="140" w:name="_Toc17216"/>
      <w:bookmarkStart w:id="141" w:name="_Toc6096"/>
      <w:bookmarkStart w:id="142" w:name="_Toc4169"/>
      <w:r>
        <w:rPr>
          <w:rFonts w:hint="eastAsia" w:ascii="宋体" w:hAnsi="宋体" w:cs="宋体"/>
          <w:b w:val="0"/>
          <w:sz w:val="28"/>
          <w:szCs w:val="28"/>
        </w:rPr>
        <w:t>附录6 资格审查文件（主要机械设备和试验检测设备最低要求）</w:t>
      </w:r>
      <w:bookmarkEnd w:id="139"/>
      <w:bookmarkEnd w:id="140"/>
      <w:bookmarkEnd w:id="141"/>
      <w:bookmarkEnd w:id="142"/>
    </w:p>
    <w:tbl>
      <w:tblPr>
        <w:tblStyle w:val="41"/>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ascii="宋体" w:hAnsi="宋体" w:cs="宋体"/>
                <w:caps/>
                <w:szCs w:val="21"/>
              </w:rPr>
              <w:t xml:space="preserve">无要求。 </w:t>
            </w:r>
          </w:p>
        </w:tc>
      </w:tr>
    </w:tbl>
    <w:p>
      <w:pPr>
        <w:spacing w:line="400" w:lineRule="exact"/>
        <w:ind w:firstLine="420"/>
        <w:rPr>
          <w:rFonts w:ascii="宋体" w:hAnsi="宋体" w:cs="宋体"/>
          <w:kern w:val="0"/>
          <w:szCs w:val="21"/>
        </w:rPr>
      </w:pPr>
      <w:r>
        <w:rPr>
          <w:rFonts w:hint="eastAsia" w:ascii="宋体" w:hAnsi="宋体" w:cs="宋体"/>
          <w:bCs/>
          <w:kern w:val="0"/>
          <w:szCs w:val="21"/>
        </w:rPr>
        <w:t xml:space="preserve"> </w:t>
      </w:r>
    </w:p>
    <w:p>
      <w:pPr>
        <w:pStyle w:val="2"/>
        <w:ind w:firstLine="422" w:firstLineChars="200"/>
        <w:sectPr>
          <w:pgSz w:w="11906" w:h="16838"/>
          <w:pgMar w:top="1418" w:right="1134" w:bottom="1418" w:left="1134" w:header="851" w:footer="992" w:gutter="0"/>
          <w:cols w:space="720" w:num="1"/>
          <w:docGrid w:type="lines" w:linePitch="312" w:charSpace="0"/>
        </w:sectPr>
      </w:pPr>
      <w:r>
        <w:rPr>
          <w:rFonts w:hint="eastAsia" w:hAnsi="宋体"/>
          <w:sz w:val="21"/>
          <w:szCs w:val="21"/>
        </w:rPr>
        <w:t>以上（附录1-附录6中的资格审查）的要求均为强制性条件，其中任何一条不满足要求，则按否决报价处理。</w:t>
      </w:r>
    </w:p>
    <w:bookmarkEnd w:id="137"/>
    <w:bookmarkEnd w:id="138"/>
    <w:p>
      <w:pPr>
        <w:pStyle w:val="3"/>
        <w:spacing w:before="0" w:after="0" w:line="360" w:lineRule="auto"/>
        <w:jc w:val="center"/>
        <w:rPr>
          <w:rFonts w:ascii="宋体" w:hAnsi="宋体" w:cs="宋体"/>
        </w:rPr>
      </w:pPr>
      <w:bookmarkStart w:id="143" w:name="_Toc179632605"/>
      <w:bookmarkStart w:id="144" w:name="_Toc7682"/>
      <w:bookmarkStart w:id="145" w:name="_Toc246996973"/>
      <w:bookmarkStart w:id="146" w:name="_Toc246996230"/>
      <w:bookmarkStart w:id="147" w:name="_Toc247085745"/>
      <w:bookmarkStart w:id="148" w:name="_Toc507319957"/>
      <w:bookmarkStart w:id="149" w:name="_Toc152042364"/>
      <w:bookmarkStart w:id="150" w:name="_Toc152045587"/>
      <w:bookmarkStart w:id="151" w:name="_Toc144974554"/>
      <w:bookmarkStart w:id="152" w:name="_Toc20774"/>
      <w:bookmarkStart w:id="153" w:name="_Toc2000406"/>
      <w:r>
        <w:rPr>
          <w:rFonts w:hint="eastAsia" w:ascii="宋体" w:hAnsi="宋体" w:cs="宋体"/>
        </w:rPr>
        <w:t xml:space="preserve">第三章 </w:t>
      </w:r>
      <w:bookmarkEnd w:id="143"/>
      <w:bookmarkEnd w:id="144"/>
      <w:bookmarkEnd w:id="145"/>
      <w:bookmarkEnd w:id="146"/>
      <w:bookmarkEnd w:id="147"/>
      <w:bookmarkEnd w:id="148"/>
      <w:bookmarkEnd w:id="149"/>
      <w:bookmarkEnd w:id="150"/>
      <w:bookmarkEnd w:id="151"/>
      <w:bookmarkEnd w:id="152"/>
      <w:bookmarkEnd w:id="153"/>
      <w:r>
        <w:rPr>
          <w:rFonts w:hint="eastAsia" w:ascii="宋体" w:hAnsi="宋体" w:cs="宋体"/>
        </w:rPr>
        <w:t>评标办法（经评审的最低投标价法）</w:t>
      </w:r>
    </w:p>
    <w:tbl>
      <w:tblPr>
        <w:tblStyle w:val="41"/>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0" w:firstLineChars="100"/>
            </w:pPr>
            <w:r>
              <w:rPr>
                <w:rFonts w:hint="eastAsia"/>
              </w:rPr>
              <w:t>以最早提交报价文件的报价人为第一中标候选人</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符合第九章“</w:t>
            </w:r>
            <w:r>
              <w:rPr>
                <w:rFonts w:hint="eastAsia"/>
              </w:rPr>
              <w:t>竞争性</w:t>
            </w:r>
            <w:r>
              <w:t>比选响应文件格式”的要求，字迹清晰可辨。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与</w:t>
            </w:r>
            <w:r>
              <w:rPr>
                <w:rFonts w:hint="eastAsia"/>
              </w:rPr>
              <w:t>采购人</w:t>
            </w:r>
            <w:r>
              <w:t>存在利害关系可能影响</w:t>
            </w:r>
            <w:r>
              <w:rPr>
                <w:rFonts w:hint="eastAsia"/>
              </w:rPr>
              <w:t>比选</w:t>
            </w:r>
            <w:r>
              <w:t>公正性的法人、其他组织或者个人，不得参加</w:t>
            </w:r>
            <w:r>
              <w:rPr>
                <w:rFonts w:hint="eastAsia"/>
              </w:rPr>
              <w:t>报价</w:t>
            </w: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人须知”第11项规定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人须知”第11项规定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人须知”第11项规定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人须知”第11项规定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rPr>
            </w:pPr>
            <w:r>
              <w:rPr>
                <w:kern w:val="1"/>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人须知”第25项规定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人须知”第8项规定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人须知”第9项规定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人须知”第10项规定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w:t>
            </w:r>
            <w:r>
              <w:rPr>
                <w:rFonts w:hint="eastAsia"/>
              </w:rPr>
              <w:t>每个标段</w:t>
            </w:r>
            <w:r>
              <w:t>推荐</w:t>
            </w:r>
            <w:r>
              <w:rPr>
                <w:rFonts w:hint="eastAsia"/>
              </w:rPr>
              <w:t>2</w:t>
            </w:r>
            <w:r>
              <w:t>名中标候选人。</w:t>
            </w:r>
          </w:p>
        </w:tc>
      </w:tr>
    </w:tbl>
    <w:p>
      <w:pPr>
        <w:spacing w:line="360" w:lineRule="auto"/>
        <w:rPr>
          <w:b/>
          <w:bCs/>
          <w:color w:val="000000" w:themeColor="text1"/>
          <w:sz w:val="24"/>
          <w:szCs w:val="28"/>
          <w14:textFill>
            <w14:solidFill>
              <w14:schemeClr w14:val="tx1"/>
            </w14:solidFill>
          </w14:textFill>
        </w:rPr>
      </w:pPr>
    </w:p>
    <w:p>
      <w:pPr>
        <w:pStyle w:val="2"/>
        <w:jc w:val="center"/>
        <w:rPr>
          <w:rStyle w:val="80"/>
          <w:b/>
          <w:bCs/>
        </w:rPr>
      </w:pPr>
      <w:bookmarkStart w:id="154" w:name="_Toc13787"/>
      <w:bookmarkStart w:id="155" w:name="_Toc9938"/>
    </w:p>
    <w:p>
      <w:pPr>
        <w:pStyle w:val="2"/>
        <w:jc w:val="center"/>
        <w:rPr>
          <w:rStyle w:val="80"/>
          <w:b/>
          <w:bCs/>
        </w:rPr>
      </w:pPr>
    </w:p>
    <w:p>
      <w:pPr>
        <w:pStyle w:val="2"/>
        <w:jc w:val="center"/>
        <w:rPr>
          <w:rStyle w:val="80"/>
          <w:b/>
          <w:bCs/>
        </w:rPr>
      </w:pPr>
    </w:p>
    <w:p>
      <w:pPr>
        <w:pStyle w:val="2"/>
        <w:jc w:val="center"/>
        <w:rPr>
          <w:rStyle w:val="80"/>
          <w:b/>
          <w:bCs/>
        </w:rPr>
      </w:pPr>
    </w:p>
    <w:p>
      <w:pPr>
        <w:pStyle w:val="2"/>
        <w:jc w:val="center"/>
        <w:rPr>
          <w:rStyle w:val="80"/>
          <w:b/>
          <w:bCs/>
        </w:rPr>
      </w:pPr>
    </w:p>
    <w:p>
      <w:pPr>
        <w:pStyle w:val="2"/>
        <w:jc w:val="center"/>
        <w:rPr>
          <w:rStyle w:val="80"/>
          <w:b/>
          <w:bCs/>
        </w:rPr>
      </w:pPr>
    </w:p>
    <w:p>
      <w:pPr>
        <w:pStyle w:val="2"/>
        <w:jc w:val="center"/>
        <w:rPr>
          <w:rStyle w:val="80"/>
          <w:b/>
          <w:bCs/>
        </w:rPr>
      </w:pPr>
    </w:p>
    <w:p>
      <w:pPr>
        <w:pStyle w:val="2"/>
        <w:jc w:val="center"/>
        <w:rPr>
          <w:rStyle w:val="80"/>
          <w:b/>
          <w:bCs/>
        </w:rPr>
      </w:pPr>
    </w:p>
    <w:p>
      <w:pPr>
        <w:pStyle w:val="2"/>
        <w:jc w:val="center"/>
        <w:rPr>
          <w:rStyle w:val="80"/>
          <w:b/>
          <w:bCs/>
        </w:rPr>
      </w:pPr>
    </w:p>
    <w:p>
      <w:pPr>
        <w:pStyle w:val="2"/>
        <w:jc w:val="center"/>
        <w:rPr>
          <w:rStyle w:val="80"/>
          <w:b/>
          <w:bCs/>
        </w:rPr>
      </w:pPr>
    </w:p>
    <w:p>
      <w:pPr>
        <w:pStyle w:val="2"/>
        <w:jc w:val="center"/>
        <w:rPr>
          <w:rStyle w:val="80"/>
          <w:b/>
          <w:bCs/>
        </w:rPr>
      </w:pPr>
    </w:p>
    <w:p>
      <w:pPr>
        <w:pStyle w:val="2"/>
        <w:jc w:val="center"/>
        <w:rPr>
          <w:rStyle w:val="80"/>
          <w:b/>
          <w:bCs/>
        </w:rPr>
      </w:pPr>
    </w:p>
    <w:p>
      <w:pPr>
        <w:pStyle w:val="2"/>
        <w:jc w:val="center"/>
      </w:pPr>
      <w:r>
        <w:rPr>
          <w:rStyle w:val="80"/>
          <w:rFonts w:hint="eastAsia"/>
          <w:b/>
          <w:bCs/>
        </w:rPr>
        <w:t>第四章 报价说明</w:t>
      </w:r>
      <w:bookmarkEnd w:id="154"/>
      <w:bookmarkEnd w:id="155"/>
    </w:p>
    <w:p>
      <w:pPr>
        <w:pStyle w:val="2"/>
        <w:spacing w:line="360" w:lineRule="auto"/>
        <w:ind w:firstLine="480" w:firstLineChars="200"/>
        <w:rPr>
          <w:rFonts w:asciiTheme="minorEastAsia" w:hAnsiTheme="minorEastAsia" w:eastAsiaTheme="minorEastAsia" w:cstheme="minorEastAsia"/>
          <w:b w:val="0"/>
          <w:bCs w:val="0"/>
          <w:caps w:val="0"/>
          <w:sz w:val="24"/>
          <w:szCs w:val="24"/>
        </w:rPr>
      </w:pPr>
      <w:r>
        <w:rPr>
          <w:rFonts w:hint="eastAsia" w:asciiTheme="minorEastAsia" w:hAnsiTheme="minorEastAsia" w:eastAsiaTheme="minorEastAsia" w:cstheme="minorEastAsia"/>
          <w:b w:val="0"/>
          <w:bCs w:val="0"/>
          <w:caps w:val="0"/>
          <w:sz w:val="24"/>
          <w:szCs w:val="24"/>
        </w:rPr>
        <w:t>（1）本次报价须为人民币报价，包含但不限于为实施和完成本次采购服务工程量所需的劳务、设备材料、机械、质检（自检）、安装及调试、安全文明施工费、交通组织、运输、竣工资料费、过路过桥费、缺陷修复、维修材料、管理、保险、安全设施、税费、利润等全部费用，以及合同明示或暗示的所有责任、义务和一般风险。但人为损坏或不可抗力因素的损坏不在合同费用之列，服务另行收费。</w:t>
      </w:r>
    </w:p>
    <w:p>
      <w:pPr>
        <w:pStyle w:val="2"/>
        <w:spacing w:line="360" w:lineRule="auto"/>
        <w:ind w:firstLine="480" w:firstLineChars="200"/>
        <w:rPr>
          <w:rFonts w:asciiTheme="minorEastAsia" w:hAnsiTheme="minorEastAsia" w:eastAsiaTheme="minorEastAsia" w:cstheme="minorEastAsia"/>
          <w:b w:val="0"/>
          <w:bCs w:val="0"/>
          <w:caps w:val="0"/>
          <w:sz w:val="24"/>
          <w:szCs w:val="24"/>
        </w:rPr>
      </w:pPr>
      <w:r>
        <w:rPr>
          <w:rFonts w:hint="eastAsia" w:asciiTheme="minorEastAsia" w:hAnsiTheme="minorEastAsia" w:eastAsiaTheme="minorEastAsia" w:cstheme="minorEastAsia"/>
          <w:b w:val="0"/>
          <w:bCs w:val="0"/>
          <w:caps w:val="0"/>
          <w:sz w:val="24"/>
          <w:szCs w:val="24"/>
        </w:rPr>
        <w:t>（2）报价人在分项报价表中填报的综合单价包含到现场所产生的路费、差旅费等。</w:t>
      </w:r>
    </w:p>
    <w:p>
      <w:pPr>
        <w:pStyle w:val="2"/>
        <w:spacing w:line="360" w:lineRule="auto"/>
        <w:ind w:firstLine="480" w:firstLineChars="200"/>
        <w:rPr>
          <w:rFonts w:asciiTheme="minorEastAsia" w:hAnsiTheme="minorEastAsia" w:eastAsiaTheme="minorEastAsia" w:cstheme="minorEastAsia"/>
          <w:b w:val="0"/>
          <w:bCs w:val="0"/>
          <w:caps w:val="0"/>
          <w:sz w:val="24"/>
          <w:szCs w:val="24"/>
        </w:rPr>
      </w:pPr>
      <w:r>
        <w:rPr>
          <w:rFonts w:hint="eastAsia" w:asciiTheme="minorEastAsia" w:hAnsiTheme="minorEastAsia" w:eastAsiaTheme="minorEastAsia" w:cstheme="minorEastAsia"/>
          <w:b w:val="0"/>
          <w:bCs w:val="0"/>
          <w:caps w:val="0"/>
          <w:sz w:val="24"/>
          <w:szCs w:val="24"/>
        </w:rPr>
        <w:t>（3）报价有算术错误的，评审小组按以下原则对报价进行修正，修正的价格经报价人书面确认后具有约束力。报价人不接受修正价格的，其报价应当予以否决。</w:t>
      </w:r>
    </w:p>
    <w:p>
      <w:pPr>
        <w:pStyle w:val="2"/>
        <w:spacing w:line="360" w:lineRule="auto"/>
        <w:ind w:firstLine="480" w:firstLineChars="200"/>
        <w:rPr>
          <w:rFonts w:asciiTheme="minorEastAsia" w:hAnsiTheme="minorEastAsia" w:eastAsiaTheme="minorEastAsia" w:cstheme="minorEastAsia"/>
          <w:b w:val="0"/>
          <w:bCs w:val="0"/>
          <w:caps w:val="0"/>
          <w:sz w:val="24"/>
          <w:szCs w:val="24"/>
        </w:rPr>
      </w:pPr>
      <w:r>
        <w:rPr>
          <w:rFonts w:hint="eastAsia" w:asciiTheme="minorEastAsia" w:hAnsiTheme="minorEastAsia" w:eastAsiaTheme="minorEastAsia" w:cstheme="minorEastAsia"/>
          <w:b w:val="0"/>
          <w:bCs w:val="0"/>
          <w:caps w:val="0"/>
          <w:sz w:val="24"/>
          <w:szCs w:val="24"/>
        </w:rPr>
        <w:t>①竞争性比选响应文件中的大写金额与小写金额不一致的，以大写金额为准；</w:t>
      </w:r>
    </w:p>
    <w:p>
      <w:pPr>
        <w:pStyle w:val="2"/>
        <w:spacing w:line="360" w:lineRule="auto"/>
        <w:ind w:firstLine="480" w:firstLineChars="200"/>
        <w:rPr>
          <w:rFonts w:asciiTheme="minorEastAsia" w:hAnsiTheme="minorEastAsia" w:eastAsiaTheme="minorEastAsia" w:cstheme="minorEastAsia"/>
          <w:b w:val="0"/>
          <w:bCs w:val="0"/>
          <w:caps w:val="0"/>
          <w:sz w:val="24"/>
          <w:szCs w:val="24"/>
        </w:rPr>
      </w:pPr>
      <w:r>
        <w:rPr>
          <w:rFonts w:hint="eastAsia" w:asciiTheme="minorEastAsia" w:hAnsiTheme="minorEastAsia" w:eastAsiaTheme="minorEastAsia" w:cstheme="minorEastAsia"/>
          <w:b w:val="0"/>
          <w:bCs w:val="0"/>
          <w:caps w:val="0"/>
          <w:sz w:val="24"/>
          <w:szCs w:val="24"/>
        </w:rPr>
        <w:t>②总价金额与依据单价计算出的结果不一致的，以单价金额为准修正总价，但单价金额小数点有明显错误的除外。</w:t>
      </w:r>
    </w:p>
    <w:p>
      <w:pPr>
        <w:pStyle w:val="2"/>
        <w:spacing w:line="360" w:lineRule="auto"/>
        <w:ind w:firstLine="480" w:firstLineChars="200"/>
        <w:rPr>
          <w:rFonts w:asciiTheme="minorEastAsia" w:hAnsiTheme="minorEastAsia" w:eastAsiaTheme="minorEastAsia" w:cstheme="minorEastAsia"/>
          <w:b w:val="0"/>
          <w:bCs w:val="0"/>
          <w:caps w:val="0"/>
          <w:sz w:val="24"/>
          <w:szCs w:val="24"/>
        </w:rPr>
      </w:pPr>
      <w:r>
        <w:rPr>
          <w:rFonts w:hint="eastAsia" w:asciiTheme="minorEastAsia" w:hAnsiTheme="minorEastAsia" w:eastAsiaTheme="minorEastAsia" w:cstheme="minorEastAsia"/>
          <w:b w:val="0"/>
          <w:bCs w:val="0"/>
          <w:caps w:val="0"/>
          <w:sz w:val="24"/>
          <w:szCs w:val="24"/>
        </w:rPr>
        <w:t>（4）实际采购数量以采购人最终需求数量为准，报价清单中单价在合同执行过程中保持固定不变，报价人不得以实际采购数量的变化提出调整合同单价。</w:t>
      </w:r>
    </w:p>
    <w:p>
      <w:pPr>
        <w:pStyle w:val="2"/>
        <w:spacing w:line="360" w:lineRule="auto"/>
        <w:ind w:firstLine="480" w:firstLineChars="200"/>
        <w:rPr>
          <w:rFonts w:asciiTheme="minorEastAsia" w:hAnsiTheme="minorEastAsia" w:eastAsiaTheme="minorEastAsia" w:cstheme="minorEastAsia"/>
          <w:b w:val="0"/>
          <w:bCs w:val="0"/>
          <w:caps w:val="0"/>
          <w:sz w:val="24"/>
          <w:szCs w:val="24"/>
        </w:rPr>
      </w:pPr>
      <w:r>
        <w:rPr>
          <w:rFonts w:hint="eastAsia" w:asciiTheme="minorEastAsia" w:hAnsiTheme="minorEastAsia" w:eastAsiaTheme="minorEastAsia" w:cstheme="minorEastAsia"/>
          <w:b w:val="0"/>
          <w:bCs w:val="0"/>
          <w:caps w:val="0"/>
          <w:sz w:val="24"/>
          <w:szCs w:val="24"/>
        </w:rPr>
        <w:t>（5）报价清单中各项金额均以人民币（元）结算。</w:t>
      </w:r>
    </w:p>
    <w:p>
      <w:pPr>
        <w:pStyle w:val="2"/>
        <w:spacing w:line="360" w:lineRule="auto"/>
        <w:ind w:firstLine="480" w:firstLineChars="200"/>
        <w:rPr>
          <w:sz w:val="24"/>
          <w:szCs w:val="24"/>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Theme="minorEastAsia" w:hAnsiTheme="minorEastAsia" w:eastAsiaTheme="minorEastAsia" w:cstheme="minorEastAsia"/>
          <w:b w:val="0"/>
          <w:bCs w:val="0"/>
          <w:caps w:val="0"/>
          <w:sz w:val="24"/>
          <w:szCs w:val="24"/>
        </w:rPr>
        <w:t>（6）需缴纳的一切税费均由报价单位承担，所有税费均由服务单位自行缴纳。</w:t>
      </w:r>
    </w:p>
    <w:p>
      <w:pPr>
        <w:spacing w:line="400" w:lineRule="exact"/>
        <w:rPr>
          <w:rFonts w:ascii="宋体" w:hAnsi="宋体" w:cs="宋体"/>
          <w:szCs w:val="21"/>
        </w:rPr>
      </w:pPr>
      <w:bookmarkStart w:id="156" w:name="_Toc179632806"/>
      <w:bookmarkStart w:id="157" w:name="_Toc246996354"/>
      <w:bookmarkStart w:id="158" w:name="_Toc144974855"/>
      <w:bookmarkStart w:id="159" w:name="_Toc246997097"/>
      <w:bookmarkStart w:id="160" w:name="_Toc152045786"/>
      <w:bookmarkStart w:id="161" w:name="_Toc152042575"/>
      <w:bookmarkStart w:id="162" w:name="_Toc247085872"/>
    </w:p>
    <w:p>
      <w:pPr>
        <w:pStyle w:val="3"/>
        <w:spacing w:before="0" w:after="0" w:line="360" w:lineRule="auto"/>
        <w:jc w:val="center"/>
        <w:rPr>
          <w:rFonts w:ascii="宋体" w:hAnsi="宋体" w:cs="宋体"/>
        </w:rPr>
      </w:pPr>
      <w:bookmarkStart w:id="163" w:name="_Toc2000409"/>
      <w:bookmarkStart w:id="164" w:name="_Toc144974834"/>
      <w:bookmarkStart w:id="165" w:name="_Toc152045772"/>
      <w:bookmarkStart w:id="166" w:name="_Toc514858705"/>
      <w:bookmarkStart w:id="167" w:name="_Toc246996340"/>
      <w:bookmarkStart w:id="168" w:name="_Toc179632789"/>
      <w:bookmarkStart w:id="169" w:name="_Toc246997083"/>
      <w:bookmarkStart w:id="170" w:name="_Toc247085855"/>
      <w:bookmarkStart w:id="171" w:name="_Toc24503"/>
      <w:bookmarkStart w:id="172" w:name="_Toc152042554"/>
      <w:bookmarkStart w:id="173" w:name="_Toc8745"/>
      <w:r>
        <w:rPr>
          <w:rFonts w:hint="eastAsia" w:ascii="宋体" w:hAnsi="宋体" w:cs="宋体"/>
        </w:rPr>
        <w:t>第五章  工程量清单</w:t>
      </w:r>
      <w:bookmarkEnd w:id="163"/>
      <w:bookmarkEnd w:id="164"/>
      <w:bookmarkEnd w:id="165"/>
      <w:bookmarkEnd w:id="166"/>
      <w:bookmarkEnd w:id="167"/>
      <w:bookmarkEnd w:id="168"/>
      <w:bookmarkEnd w:id="169"/>
      <w:bookmarkEnd w:id="170"/>
      <w:bookmarkEnd w:id="171"/>
      <w:bookmarkEnd w:id="172"/>
      <w:bookmarkEnd w:id="173"/>
    </w:p>
    <w:p>
      <w:pPr>
        <w:ind w:firstLine="420"/>
        <w:jc w:val="left"/>
        <w:rPr>
          <w:rFonts w:ascii="宋体" w:hAnsi="宋体" w:cs="宋体"/>
          <w:b/>
        </w:rPr>
      </w:pPr>
      <w:bookmarkStart w:id="174" w:name="_Toc247096438"/>
      <w:bookmarkStart w:id="175" w:name="_Toc179632800"/>
      <w:bookmarkStart w:id="176" w:name="_Toc247085866"/>
      <w:bookmarkStart w:id="177" w:name="_Toc246996350"/>
      <w:bookmarkStart w:id="178" w:name="_Toc152042571"/>
      <w:bookmarkStart w:id="179" w:name="_Toc246997093"/>
      <w:bookmarkStart w:id="180" w:name="_Toc152045782"/>
      <w:bookmarkStart w:id="181" w:name="_Toc144974851"/>
    </w:p>
    <w:p>
      <w:pPr>
        <w:jc w:val="center"/>
        <w:rPr>
          <w:rFonts w:ascii="宋体" w:hAnsi="宋体" w:cs="宋体"/>
          <w:b/>
        </w:rPr>
      </w:pPr>
      <w:r>
        <w:rPr>
          <w:rFonts w:hint="eastAsia" w:ascii="宋体" w:hAnsi="宋体" w:cs="宋体"/>
          <w:b/>
          <w:kern w:val="0"/>
          <w:sz w:val="24"/>
        </w:rPr>
        <w:t>无。</w:t>
      </w: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rPr>
          <w:rFonts w:ascii="宋体" w:hAnsi="宋体" w:cs="宋体"/>
          <w:b/>
        </w:rPr>
      </w:pPr>
    </w:p>
    <w:p>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3"/>
        <w:spacing w:before="0" w:after="0" w:line="360" w:lineRule="auto"/>
        <w:jc w:val="center"/>
        <w:rPr>
          <w:rFonts w:ascii="宋体" w:hAnsi="宋体" w:cs="宋体"/>
        </w:rPr>
      </w:pPr>
      <w:bookmarkStart w:id="182" w:name="_Toc514858706"/>
      <w:bookmarkStart w:id="183" w:name="_Toc2000410"/>
      <w:bookmarkStart w:id="184" w:name="_Toc513633963"/>
      <w:bookmarkStart w:id="185" w:name="_Toc503951042"/>
      <w:bookmarkStart w:id="186" w:name="_Toc3008"/>
      <w:bookmarkStart w:id="187" w:name="_Toc447827048"/>
      <w:bookmarkStart w:id="188" w:name="_Toc12440"/>
      <w:r>
        <w:rPr>
          <w:rFonts w:hint="eastAsia" w:ascii="宋体" w:hAnsi="宋体" w:cs="宋体"/>
        </w:rPr>
        <w:t>第六章  图  纸</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189" w:name="_Toc152045785"/>
      <w:bookmarkStart w:id="190" w:name="_Toc152042574"/>
      <w:bookmarkStart w:id="191" w:name="_Toc144974854"/>
    </w:p>
    <w:p>
      <w:pPr>
        <w:pStyle w:val="3"/>
        <w:spacing w:before="0" w:after="0" w:line="360" w:lineRule="auto"/>
        <w:jc w:val="center"/>
        <w:rPr>
          <w:rFonts w:ascii="宋体" w:hAnsi="宋体" w:cs="宋体"/>
        </w:rPr>
      </w:pPr>
      <w:bookmarkStart w:id="192" w:name="_Toc513633964"/>
      <w:bookmarkStart w:id="193" w:name="_Toc2000411"/>
      <w:bookmarkStart w:id="194" w:name="_Toc503951043"/>
      <w:bookmarkStart w:id="195" w:name="_Toc10887"/>
      <w:bookmarkStart w:id="196" w:name="_Toc246997096"/>
      <w:bookmarkStart w:id="197" w:name="_Toc514858707"/>
      <w:bookmarkStart w:id="198" w:name="_Toc246996353"/>
      <w:bookmarkStart w:id="199" w:name="_Toc179632804"/>
      <w:bookmarkStart w:id="200" w:name="_Toc447827049"/>
      <w:bookmarkStart w:id="201" w:name="_Toc2585"/>
      <w:bookmarkStart w:id="202" w:name="_Toc247085870"/>
      <w:r>
        <w:rPr>
          <w:rFonts w:hint="eastAsia" w:ascii="宋体" w:hAnsi="宋体" w:cs="宋体"/>
        </w:rPr>
        <w:t>第七章  技术标准和工作要求</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bookmarkEnd w:id="156"/>
    <w:bookmarkEnd w:id="157"/>
    <w:bookmarkEnd w:id="158"/>
    <w:bookmarkEnd w:id="159"/>
    <w:bookmarkEnd w:id="160"/>
    <w:bookmarkEnd w:id="161"/>
    <w:bookmarkEnd w:id="162"/>
    <w:p>
      <w:pPr>
        <w:pStyle w:val="12"/>
        <w:adjustRightInd w:val="0"/>
        <w:spacing w:line="360" w:lineRule="auto"/>
        <w:ind w:firstLine="480"/>
        <w:jc w:val="center"/>
        <w:rPr>
          <w:rFonts w:ascii="宋体" w:hAnsi="宋体" w:cs="宋体"/>
          <w:sz w:val="24"/>
        </w:rPr>
      </w:pPr>
      <w:bookmarkStart w:id="203" w:name="_Toc2000412"/>
      <w:bookmarkStart w:id="204" w:name="_Toc514858708"/>
      <w:bookmarkStart w:id="205" w:name="_Toc514430114"/>
      <w:bookmarkStart w:id="206" w:name="_Toc13280"/>
      <w:bookmarkStart w:id="207" w:name="_Toc12089"/>
      <w:bookmarkStart w:id="208" w:name="_Toc246996355"/>
      <w:bookmarkStart w:id="209" w:name="_Toc507320039"/>
      <w:bookmarkStart w:id="210" w:name="_Toc179632807"/>
      <w:bookmarkStart w:id="211" w:name="_Toc152045787"/>
      <w:bookmarkStart w:id="212" w:name="_Toc144974856"/>
      <w:bookmarkStart w:id="213" w:name="_Toc247085873"/>
      <w:bookmarkStart w:id="214" w:name="_Toc152042576"/>
      <w:bookmarkStart w:id="215" w:name="_Toc246997098"/>
      <w:r>
        <w:rPr>
          <w:rFonts w:hint="eastAsia" w:ascii="宋体" w:hAnsi="宋体" w:cs="宋体"/>
          <w:sz w:val="24"/>
        </w:rPr>
        <w:t>无</w:t>
      </w:r>
    </w:p>
    <w:p>
      <w:pPr>
        <w:pStyle w:val="3"/>
        <w:spacing w:before="0" w:after="0" w:line="360" w:lineRule="auto"/>
        <w:ind w:firstLine="883" w:firstLineChars="200"/>
        <w:jc w:val="left"/>
        <w:rPr>
          <w:rFonts w:ascii="宋体" w:hAnsi="宋体" w:cs="宋体"/>
        </w:rPr>
      </w:pPr>
      <w:r>
        <w:rPr>
          <w:rFonts w:hint="eastAsia" w:ascii="宋体" w:hAnsi="宋体" w:cs="宋体"/>
        </w:rPr>
        <w:br w:type="page"/>
      </w:r>
      <w:bookmarkEnd w:id="203"/>
      <w:bookmarkEnd w:id="204"/>
      <w:bookmarkEnd w:id="205"/>
      <w:bookmarkEnd w:id="206"/>
      <w:bookmarkEnd w:id="207"/>
    </w:p>
    <w:p>
      <w:pPr>
        <w:pStyle w:val="3"/>
        <w:spacing w:before="0" w:after="0" w:line="360" w:lineRule="auto"/>
        <w:ind w:firstLine="883" w:firstLineChars="200"/>
        <w:jc w:val="left"/>
        <w:rPr>
          <w:rFonts w:ascii="宋体" w:hAnsi="宋体" w:cs="宋体"/>
        </w:rPr>
      </w:pPr>
      <w:r>
        <w:rPr>
          <w:rFonts w:hint="eastAsia" w:ascii="宋体" w:hAnsi="宋体" w:cs="宋体"/>
        </w:rPr>
        <w:t>第八章  工程量清单计量规则</w:t>
      </w:r>
    </w:p>
    <w:p>
      <w:pPr>
        <w:spacing w:line="360" w:lineRule="auto"/>
        <w:ind w:firstLine="420" w:firstLineChars="200"/>
        <w:rPr>
          <w:rFonts w:ascii="宋体" w:hAnsi="宋体" w:cs="宋体"/>
          <w:szCs w:val="21"/>
        </w:rPr>
      </w:pPr>
    </w:p>
    <w:p>
      <w:pPr>
        <w:pStyle w:val="3"/>
        <w:spacing w:before="0" w:after="0" w:line="360" w:lineRule="auto"/>
        <w:jc w:val="center"/>
        <w:rPr>
          <w:rFonts w:ascii="宋体" w:hAnsi="宋体" w:cs="宋体"/>
          <w:sz w:val="24"/>
          <w:szCs w:val="24"/>
        </w:rPr>
      </w:pPr>
      <w:r>
        <w:rPr>
          <w:rFonts w:hint="eastAsia" w:ascii="宋体" w:hAnsi="宋体" w:cs="宋体"/>
          <w:sz w:val="24"/>
          <w:szCs w:val="24"/>
        </w:rPr>
        <w:t>无。</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216" w:name="_Toc513633965"/>
    </w:p>
    <w:p>
      <w:pPr>
        <w:rPr>
          <w:rFonts w:ascii="宋体" w:hAnsi="宋体" w:cs="宋体"/>
        </w:rPr>
      </w:pPr>
    </w:p>
    <w:p>
      <w:pPr>
        <w:pStyle w:val="3"/>
        <w:spacing w:before="0" w:after="0" w:line="360" w:lineRule="auto"/>
        <w:jc w:val="center"/>
        <w:rPr>
          <w:rFonts w:ascii="宋体" w:hAnsi="宋体" w:cs="宋体"/>
        </w:rPr>
      </w:pPr>
      <w:bookmarkStart w:id="217" w:name="_Toc2000413"/>
      <w:bookmarkStart w:id="218" w:name="_Toc24853"/>
      <w:bookmarkStart w:id="219" w:name="_Toc1416"/>
      <w:bookmarkStart w:id="220" w:name="_Toc514858709"/>
      <w:r>
        <w:rPr>
          <w:rFonts w:hint="eastAsia" w:ascii="宋体" w:hAnsi="宋体" w:cs="宋体"/>
        </w:rPr>
        <w:t>第九章  竞争性比选响应文件格式</w:t>
      </w:r>
      <w:bookmarkEnd w:id="216"/>
      <w:bookmarkEnd w:id="217"/>
      <w:bookmarkEnd w:id="218"/>
      <w:bookmarkEnd w:id="219"/>
      <w:bookmarkEnd w:id="220"/>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221" w:name="_Toc513646738"/>
      <w:bookmarkStart w:id="222" w:name="_Toc514858710"/>
      <w:bookmarkStart w:id="223" w:name="_Toc513633967"/>
      <w:bookmarkStart w:id="224" w:name="_Toc503971829"/>
      <w:bookmarkStart w:id="225" w:name="_Toc503951046"/>
      <w:r>
        <w:rPr>
          <w:rFonts w:hint="eastAsia" w:ascii="宋体" w:hAnsi="宋体" w:cs="宋体"/>
          <w:u w:val="single"/>
        </w:rPr>
        <w:t xml:space="preserve">                           </w:t>
      </w:r>
      <w:r>
        <w:rPr>
          <w:rFonts w:hint="eastAsia" w:ascii="宋体" w:hAnsi="宋体" w:cs="宋体"/>
          <w:sz w:val="52"/>
          <w:szCs w:val="52"/>
          <w:u w:val="single"/>
        </w:rPr>
        <w:t>（项目名称）</w:t>
      </w:r>
      <w:bookmarkEnd w:id="221"/>
      <w:bookmarkEnd w:id="222"/>
      <w:bookmarkEnd w:id="223"/>
      <w:bookmarkEnd w:id="224"/>
      <w:bookmarkEnd w:id="225"/>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
      </w:pPr>
    </w:p>
    <w:p/>
    <w:p>
      <w:pPr>
        <w:pStyle w:val="2"/>
      </w:pPr>
    </w:p>
    <w:p/>
    <w:p>
      <w:pPr>
        <w:pStyle w:val="2"/>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226" w:name="_Toc11078"/>
      <w:bookmarkStart w:id="227" w:name="_Toc28780"/>
      <w:bookmarkStart w:id="228" w:name="_Toc1368"/>
      <w:bookmarkStart w:id="229" w:name="_Toc11329273"/>
      <w:bookmarkStart w:id="230" w:name="_Toc5459"/>
      <w:r>
        <w:rPr>
          <w:rFonts w:hint="eastAsia" w:ascii="宋体" w:hAnsi="宋体" w:eastAsia="宋体" w:cs="宋体"/>
        </w:rPr>
        <w:t>目    录</w:t>
      </w:r>
      <w:bookmarkEnd w:id="208"/>
      <w:bookmarkEnd w:id="209"/>
      <w:bookmarkEnd w:id="210"/>
      <w:bookmarkEnd w:id="211"/>
      <w:bookmarkEnd w:id="212"/>
      <w:bookmarkEnd w:id="213"/>
      <w:bookmarkEnd w:id="214"/>
      <w:bookmarkEnd w:id="215"/>
      <w:bookmarkEnd w:id="226"/>
      <w:bookmarkEnd w:id="227"/>
      <w:bookmarkEnd w:id="228"/>
      <w:bookmarkEnd w:id="229"/>
      <w:bookmarkEnd w:id="230"/>
    </w:p>
    <w:p>
      <w:pPr>
        <w:spacing w:line="400" w:lineRule="exact"/>
        <w:rPr>
          <w:rFonts w:ascii="宋体" w:hAnsi="宋体" w:cs="宋体"/>
          <w:szCs w:val="21"/>
        </w:rPr>
      </w:pPr>
      <w:r>
        <w:rPr>
          <w:rFonts w:hint="eastAsia" w:ascii="宋体" w:hAnsi="宋体" w:cs="宋体"/>
        </w:rPr>
        <w:t>报价人自行编制。</w:t>
      </w:r>
    </w:p>
    <w:p>
      <w:pPr>
        <w:spacing w:line="400" w:lineRule="exact"/>
        <w:rPr>
          <w:rFonts w:ascii="宋体" w:hAnsi="宋体" w:cs="宋体"/>
        </w:rPr>
      </w:pP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231" w:name="_Toc8870"/>
      <w:bookmarkStart w:id="232" w:name="_Toc11329274"/>
      <w:bookmarkStart w:id="233" w:name="_Toc25874"/>
      <w:bookmarkStart w:id="234" w:name="_Toc4828"/>
      <w:bookmarkStart w:id="235" w:name="_Toc29547"/>
      <w:bookmarkStart w:id="236" w:name="_Toc15863"/>
      <w:bookmarkStart w:id="237" w:name="_Toc503951048"/>
      <w:bookmarkStart w:id="238" w:name="_Toc447827053"/>
      <w:bookmarkStart w:id="239" w:name="_Toc513633969"/>
      <w:r>
        <w:rPr>
          <w:rFonts w:hint="eastAsia" w:ascii="宋体" w:hAnsi="宋体" w:eastAsia="宋体" w:cs="宋体"/>
          <w:sz w:val="28"/>
        </w:rPr>
        <w:t>一、</w:t>
      </w:r>
      <w:bookmarkEnd w:id="231"/>
      <w:bookmarkEnd w:id="232"/>
      <w:r>
        <w:rPr>
          <w:rFonts w:hint="eastAsia" w:ascii="宋体" w:hAnsi="宋体" w:eastAsia="宋体" w:cs="宋体"/>
          <w:sz w:val="28"/>
        </w:rPr>
        <w:t>竞争比选响应声明书</w:t>
      </w:r>
      <w:bookmarkEnd w:id="233"/>
      <w:bookmarkEnd w:id="234"/>
      <w:bookmarkEnd w:id="235"/>
      <w:bookmarkEnd w:id="236"/>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color w:val="000000"/>
          <w:sz w:val="24"/>
          <w:u w:val="single"/>
          <w:lang w:eastAsia="zh-CN"/>
        </w:rPr>
        <w:t>首讯公司户外展台设计搭建项目</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元）的报价总价，按照竞争比选文件的要求，承担本次竞争比选文件要求的服务。</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bookmarkStart w:id="240" w:name="_Toc318"/>
      <w:bookmarkStart w:id="241" w:name="_Toc27412"/>
      <w:bookmarkStart w:id="242" w:name="_Toc5852"/>
      <w:bookmarkStart w:id="243" w:name="_Toc15924"/>
      <w:r>
        <w:rPr>
          <w:rFonts w:hint="eastAsia"/>
          <w:b/>
          <w:sz w:val="24"/>
        </w:rPr>
        <w:t>附报价单位法定代表人或授权代表人身份证复印件（正、反面）</w:t>
      </w:r>
      <w:bookmarkEnd w:id="240"/>
      <w:bookmarkEnd w:id="241"/>
      <w:bookmarkEnd w:id="242"/>
      <w:bookmarkEnd w:id="243"/>
    </w:p>
    <w:p>
      <w:pPr>
        <w:outlineLvl w:val="0"/>
        <w:rPr>
          <w:b/>
          <w:sz w:val="24"/>
        </w:rPr>
      </w:pPr>
    </w:p>
    <w:p>
      <w:pPr>
        <w:rPr>
          <w:rFonts w:ascii="宋体" w:hAnsi="宋体" w:cs="宋体"/>
          <w:snapToGrid w:val="0"/>
          <w:kern w:val="0"/>
          <w:szCs w:val="21"/>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jc w:val="center"/>
        <w:rPr>
          <w:rFonts w:ascii="宋体" w:hAnsi="宋体" w:cs="宋体"/>
          <w:b/>
        </w:rPr>
      </w:pPr>
      <w:bookmarkStart w:id="244" w:name="_Toc11329275"/>
      <w:r>
        <w:rPr>
          <w:rFonts w:hint="eastAsia" w:ascii="宋体" w:hAnsi="宋体" w:cs="宋体"/>
          <w:b/>
          <w:bCs/>
          <w:kern w:val="0"/>
          <w:sz w:val="28"/>
          <w:szCs w:val="32"/>
        </w:rPr>
        <w:t>二、</w:t>
      </w:r>
      <w:bookmarkEnd w:id="237"/>
      <w:bookmarkEnd w:id="238"/>
      <w:bookmarkEnd w:id="239"/>
      <w:bookmarkEnd w:id="244"/>
      <w:r>
        <w:rPr>
          <w:rFonts w:hint="eastAsia" w:ascii="宋体" w:hAnsi="宋体" w:cs="宋体"/>
          <w:b/>
          <w:bCs/>
          <w:kern w:val="0"/>
          <w:sz w:val="28"/>
          <w:szCs w:val="32"/>
        </w:rPr>
        <w:t>报价一览表</w:t>
      </w:r>
    </w:p>
    <w:p>
      <w:pPr>
        <w:ind w:left="765"/>
        <w:jc w:val="center"/>
        <w:rPr>
          <w:rFonts w:ascii="宋体" w:hAnsi="宋体" w:cs="宋体"/>
          <w:szCs w:val="21"/>
        </w:rPr>
      </w:pPr>
    </w:p>
    <w:p>
      <w:pPr>
        <w:pStyle w:val="37"/>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lang w:eastAsia="zh-CN"/>
        </w:rPr>
        <w:t>首讯公司户外展台设计搭建项目</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tbl>
      <w:tblPr>
        <w:tblStyle w:val="42"/>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465"/>
        <w:gridCol w:w="1539"/>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序号</w:t>
            </w:r>
          </w:p>
        </w:tc>
        <w:tc>
          <w:tcPr>
            <w:tcW w:w="3465"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项目名称</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报价（元）</w:t>
            </w: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w:t>
            </w:r>
          </w:p>
        </w:tc>
        <w:tc>
          <w:tcPr>
            <w:tcW w:w="3465" w:type="dxa"/>
            <w:vAlign w:val="center"/>
          </w:tcPr>
          <w:p>
            <w:pPr>
              <w:spacing w:line="360" w:lineRule="auto"/>
              <w:jc w:val="cente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首讯公司户外展台设计搭建项目</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sz w:val="24"/>
                <w:szCs w:val="28"/>
              </w:rPr>
              <w:t>详见第二章报价人须知1.服务内容。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w:t>
            </w:r>
          </w:p>
        </w:tc>
        <w:tc>
          <w:tcPr>
            <w:tcW w:w="3465" w:type="dxa"/>
            <w:vAlign w:val="center"/>
          </w:tcPr>
          <w:p>
            <w:pPr>
              <w:spacing w:line="360" w:lineRule="auto"/>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合计（元）</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r>
    </w:tbl>
    <w:p>
      <w:pPr>
        <w:spacing w:line="360" w:lineRule="auto"/>
        <w:ind w:firstLine="480" w:firstLineChars="200"/>
        <w:jc w:val="left"/>
        <w:rPr>
          <w:rFonts w:ascii="宋体" w:hAnsi="宋体"/>
          <w:color w:val="000000"/>
          <w:sz w:val="24"/>
        </w:rPr>
      </w:pPr>
      <w:r>
        <w:rPr>
          <w:rFonts w:hint="eastAsia" w:ascii="宋体" w:hAnsi="宋体"/>
          <w:color w:val="000000"/>
          <w:sz w:val="24"/>
        </w:rPr>
        <w:t xml:space="preserve"> </w:t>
      </w:r>
    </w:p>
    <w:p>
      <w:pPr>
        <w:spacing w:line="400" w:lineRule="exact"/>
        <w:rPr>
          <w:rFonts w:ascii="宋体" w:hAnsi="宋体" w:cs="宋体"/>
          <w:kern w:val="0"/>
          <w:szCs w:val="21"/>
        </w:rPr>
      </w:pPr>
    </w:p>
    <w:p>
      <w:pPr>
        <w:pStyle w:val="4"/>
        <w:spacing w:before="0" w:after="0" w:line="360" w:lineRule="auto"/>
        <w:jc w:val="center"/>
        <w:rPr>
          <w:rFonts w:ascii="宋体" w:hAnsi="宋体" w:eastAsia="宋体" w:cs="宋体"/>
          <w:sz w:val="28"/>
        </w:rPr>
      </w:pPr>
      <w:bookmarkStart w:id="245" w:name="_Toc247085887"/>
      <w:bookmarkStart w:id="246" w:name="_Toc503951050"/>
      <w:bookmarkStart w:id="247" w:name="_Toc513633971"/>
      <w:bookmarkStart w:id="248" w:name="_Toc152042592"/>
      <w:bookmarkStart w:id="249" w:name="_Toc246996369"/>
      <w:bookmarkStart w:id="250" w:name="_Toc447827058"/>
      <w:bookmarkStart w:id="251" w:name="_Toc144974871"/>
      <w:bookmarkStart w:id="252" w:name="_Toc179632823"/>
      <w:bookmarkStart w:id="253" w:name="_Toc11329278"/>
      <w:bookmarkStart w:id="254" w:name="_Toc246997112"/>
      <w:bookmarkStart w:id="255" w:name="_Toc152045803"/>
      <w:r>
        <w:rPr>
          <w:rFonts w:hint="eastAsia" w:ascii="宋体" w:hAnsi="宋体" w:eastAsia="宋体" w:cs="宋体"/>
          <w:sz w:val="28"/>
        </w:rPr>
        <w:t>三、资格审查资料</w:t>
      </w:r>
    </w:p>
    <w:p/>
    <w:bookmarkEnd w:id="245"/>
    <w:bookmarkEnd w:id="246"/>
    <w:bookmarkEnd w:id="247"/>
    <w:bookmarkEnd w:id="248"/>
    <w:bookmarkEnd w:id="249"/>
    <w:bookmarkEnd w:id="250"/>
    <w:bookmarkEnd w:id="251"/>
    <w:bookmarkEnd w:id="252"/>
    <w:bookmarkEnd w:id="253"/>
    <w:bookmarkEnd w:id="254"/>
    <w:bookmarkEnd w:id="255"/>
    <w:p>
      <w:pPr>
        <w:pStyle w:val="4"/>
        <w:spacing w:before="0" w:after="0" w:line="360" w:lineRule="auto"/>
        <w:jc w:val="center"/>
        <w:rPr>
          <w:rFonts w:ascii="宋体" w:hAnsi="宋体" w:eastAsia="宋体" w:cs="宋体"/>
          <w:sz w:val="28"/>
        </w:rPr>
      </w:pPr>
      <w:r>
        <w:rPr>
          <w:rFonts w:hint="eastAsia" w:ascii="宋体" w:hAnsi="宋体" w:eastAsia="宋体" w:cs="宋体"/>
          <w:sz w:val="28"/>
        </w:rPr>
        <w:t>四、报价人须知前附表规定的其他材料</w:t>
      </w:r>
    </w:p>
    <w:p>
      <w:pPr>
        <w:pStyle w:val="5"/>
        <w:jc w:val="center"/>
        <w:rPr>
          <w:rFonts w:ascii="宋体" w:hAnsi="宋体" w:cs="宋体"/>
          <w:sz w:val="28"/>
        </w:rPr>
      </w:pPr>
      <w:bookmarkStart w:id="256" w:name="bookmark81"/>
      <w:bookmarkStart w:id="257" w:name="_Toc503951058"/>
      <w:bookmarkStart w:id="258" w:name="_Toc513633974"/>
      <w:r>
        <w:rPr>
          <w:rFonts w:hint="eastAsia" w:ascii="宋体" w:hAnsi="宋体" w:cs="宋体"/>
          <w:sz w:val="28"/>
        </w:rPr>
        <w:t>（一）</w:t>
      </w:r>
      <w:bookmarkEnd w:id="256"/>
      <w:bookmarkStart w:id="259" w:name="_Toc507681700"/>
      <w:bookmarkStart w:id="260" w:name="_Toc504639215"/>
      <w:bookmarkStart w:id="261" w:name="_Toc507681488"/>
      <w:r>
        <w:rPr>
          <w:rFonts w:hint="eastAsia" w:ascii="宋体" w:hAnsi="宋体" w:cs="宋体"/>
          <w:sz w:val="28"/>
        </w:rPr>
        <w:t>报价人自行承诺部分</w:t>
      </w:r>
      <w:bookmarkEnd w:id="259"/>
      <w:bookmarkEnd w:id="260"/>
      <w:bookmarkEnd w:id="261"/>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pStyle w:val="5"/>
        <w:jc w:val="center"/>
        <w:rPr>
          <w:rFonts w:ascii="宋体" w:hAnsi="宋体" w:cs="宋体"/>
          <w:sz w:val="28"/>
        </w:rPr>
      </w:pPr>
      <w:r>
        <w:rPr>
          <w:rFonts w:hint="eastAsia" w:ascii="宋体" w:hAnsi="宋体" w:cs="宋体"/>
          <w:sz w:val="28"/>
        </w:rPr>
        <w:t>（二）其他材料（如有）</w:t>
      </w:r>
    </w:p>
    <w:bookmarkEnd w:id="257"/>
    <w:bookmarkEnd w:id="258"/>
    <w:p>
      <w:pPr>
        <w:pStyle w:val="2"/>
      </w:pPr>
    </w:p>
    <w:sectPr>
      <w:footerReference r:id="rId10" w:type="first"/>
      <w:footerReference r:id="rId9"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EF0ECF44-9594-4917-8062-02B95F450419}"/>
  </w:font>
  <w:font w:name="Arial">
    <w:panose1 w:val="020B0604020202020204"/>
    <w:charset w:val="00"/>
    <w:family w:val="swiss"/>
    <w:pitch w:val="default"/>
    <w:sig w:usb0="E0002EFF" w:usb1="C0007843" w:usb2="00000009" w:usb3="00000000" w:csb0="400001FF" w:csb1="FFFF0000"/>
    <w:embedRegular r:id="rId2" w:fontKey="{3B6C135E-637A-4EFE-803E-7DC694A4FBF4}"/>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17</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619574"/>
      <w:docPartObj>
        <w:docPartGallery w:val="AutoText"/>
      </w:docPartObj>
    </w:sdtPr>
    <w:sdtContent>
      <w:p>
        <w:pPr>
          <w:pStyle w:val="26"/>
          <w:jc w:val="center"/>
        </w:pPr>
        <w:r>
          <w:fldChar w:fldCharType="begin"/>
        </w:r>
        <w:r>
          <w:instrText xml:space="preserve">PAGE   \* MERGEFORMAT</w:instrText>
        </w:r>
        <w:r>
          <w:fldChar w:fldCharType="separate"/>
        </w:r>
        <w:r>
          <w:rPr>
            <w:lang w:val="zh-CN"/>
          </w:rPr>
          <w:t>2</w:t>
        </w:r>
        <w:r>
          <w:fldChar w:fldCharType="end"/>
        </w:r>
      </w:p>
    </w:sdtContent>
  </w:sdt>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19</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6"/>
                            <w:rPr>
                              <w:rStyle w:val="45"/>
                            </w:rPr>
                          </w:pPr>
                          <w:r>
                            <w:fldChar w:fldCharType="begin"/>
                          </w:r>
                          <w:r>
                            <w:rPr>
                              <w:rStyle w:val="45"/>
                            </w:rPr>
                            <w:instrText xml:space="preserve">PAGE  </w:instrText>
                          </w:r>
                          <w:r>
                            <w:fldChar w:fldCharType="separate"/>
                          </w:r>
                          <w:r>
                            <w:rPr>
                              <w:rStyle w:val="45"/>
                            </w:rP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lSDNI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LdZIJMZmkxWH3TAx27n2hMR63ICG&#10;Wlx4SvRniwKnZZmNMBu72Tj4oPYd9rjM9cB/OETsJjeZKoywU2EcXaY5rVnajb/9nPX8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42VIM0gEAAKIDAAAOAAAAAAAAAAEAIAAAAB4BAABk&#10;cnMvZTJvRG9jLnhtbFBLBQYAAAAABgAGAFkBAABiBQAAAAA=&#10;">
              <v:fill on="f" focussize="0,0"/>
              <v:stroke on="f"/>
              <v:imagedata o:title=""/>
              <o:lock v:ext="edit" aspectratio="f"/>
              <v:textbox inset="0mm,0mm,0mm,0mm" style="mso-fit-shape-to-text:t;">
                <w:txbxContent>
                  <w:p>
                    <w:pPr>
                      <w:pStyle w:val="26"/>
                      <w:rPr>
                        <w:rStyle w:val="45"/>
                      </w:rPr>
                    </w:pPr>
                    <w:r>
                      <w:fldChar w:fldCharType="begin"/>
                    </w:r>
                    <w:r>
                      <w:rPr>
                        <w:rStyle w:val="45"/>
                      </w:rPr>
                      <w:instrText xml:space="preserve">PAGE  </w:instrText>
                    </w:r>
                    <w:r>
                      <w:fldChar w:fldCharType="separate"/>
                    </w:r>
                    <w:r>
                      <w:rPr>
                        <w:rStyle w:val="45"/>
                      </w:rP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wzidABAACi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tHPRKJcdhkxWE/TAz2vjkTsZ42oOaO&#10;Fp4z88GRwGlZZgNmYz8bxwD60NGMy9wPw9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6wzidABAACiAwAADgAAAAAAAAABACAAAAAeAQAAZHJz&#10;L2Uyb0RvYy54bWxQSwUGAAAAAAYABgBZAQAAYA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0A9E7"/>
    <w:multiLevelType w:val="singleLevel"/>
    <w:tmpl w:val="F390A9E7"/>
    <w:lvl w:ilvl="0" w:tentative="0">
      <w:start w:val="1"/>
      <w:numFmt w:val="decimal"/>
      <w:lvlText w:val="%1."/>
      <w:lvlJc w:val="left"/>
      <w:pPr>
        <w:tabs>
          <w:tab w:val="left" w:pos="312"/>
        </w:tabs>
      </w:pPr>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B7A13FC"/>
    <w:multiLevelType w:val="singleLevel"/>
    <w:tmpl w:val="2B7A13FC"/>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NotTrackMove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77B39"/>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2E82"/>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28A4"/>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1DB2"/>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6BAE"/>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3A52"/>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A1"/>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67A79"/>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1DED"/>
    <w:rsid w:val="006B2FA6"/>
    <w:rsid w:val="006B49C1"/>
    <w:rsid w:val="006B60A9"/>
    <w:rsid w:val="006C41F0"/>
    <w:rsid w:val="006C497C"/>
    <w:rsid w:val="006C75C9"/>
    <w:rsid w:val="006C7F0A"/>
    <w:rsid w:val="006D1032"/>
    <w:rsid w:val="006D48FF"/>
    <w:rsid w:val="006D4950"/>
    <w:rsid w:val="006E2BEB"/>
    <w:rsid w:val="006E2F3D"/>
    <w:rsid w:val="006E3F3F"/>
    <w:rsid w:val="006E44D5"/>
    <w:rsid w:val="006F08B7"/>
    <w:rsid w:val="006F6C24"/>
    <w:rsid w:val="006F6EA3"/>
    <w:rsid w:val="00702554"/>
    <w:rsid w:val="0070267A"/>
    <w:rsid w:val="00704E87"/>
    <w:rsid w:val="00705864"/>
    <w:rsid w:val="0071015C"/>
    <w:rsid w:val="0071261D"/>
    <w:rsid w:val="0071777A"/>
    <w:rsid w:val="00722FD3"/>
    <w:rsid w:val="00724D14"/>
    <w:rsid w:val="00727D4B"/>
    <w:rsid w:val="00730C40"/>
    <w:rsid w:val="00735361"/>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46B5"/>
    <w:rsid w:val="008D63E7"/>
    <w:rsid w:val="008D73C7"/>
    <w:rsid w:val="008E0572"/>
    <w:rsid w:val="008E1519"/>
    <w:rsid w:val="008E287D"/>
    <w:rsid w:val="008E45A7"/>
    <w:rsid w:val="008F291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094"/>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278C"/>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16ECC"/>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091"/>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1253"/>
    <w:rsid w:val="00D7284C"/>
    <w:rsid w:val="00D74280"/>
    <w:rsid w:val="00D765D5"/>
    <w:rsid w:val="00D772FF"/>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474"/>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2CB"/>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5ED0"/>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9334C4"/>
    <w:rsid w:val="01C15780"/>
    <w:rsid w:val="022C41E8"/>
    <w:rsid w:val="028F2262"/>
    <w:rsid w:val="029E0ABC"/>
    <w:rsid w:val="02A800C5"/>
    <w:rsid w:val="02C540E4"/>
    <w:rsid w:val="037D0CD2"/>
    <w:rsid w:val="038B3366"/>
    <w:rsid w:val="03981B5E"/>
    <w:rsid w:val="03996EAD"/>
    <w:rsid w:val="03A90BFB"/>
    <w:rsid w:val="03F60BFA"/>
    <w:rsid w:val="04023CC8"/>
    <w:rsid w:val="04245286"/>
    <w:rsid w:val="042674F4"/>
    <w:rsid w:val="043E0ED6"/>
    <w:rsid w:val="04453EF2"/>
    <w:rsid w:val="047B65AD"/>
    <w:rsid w:val="04B81939"/>
    <w:rsid w:val="04C12ED8"/>
    <w:rsid w:val="04DC5749"/>
    <w:rsid w:val="04E26FED"/>
    <w:rsid w:val="04FD6633"/>
    <w:rsid w:val="050D403F"/>
    <w:rsid w:val="05783096"/>
    <w:rsid w:val="05871A0A"/>
    <w:rsid w:val="05A70EA9"/>
    <w:rsid w:val="05AA6E8E"/>
    <w:rsid w:val="05D55D36"/>
    <w:rsid w:val="06084084"/>
    <w:rsid w:val="060C2525"/>
    <w:rsid w:val="062756FD"/>
    <w:rsid w:val="067C53E7"/>
    <w:rsid w:val="06820F5E"/>
    <w:rsid w:val="06AE2ABA"/>
    <w:rsid w:val="06C55208"/>
    <w:rsid w:val="06DD02BB"/>
    <w:rsid w:val="06E71F51"/>
    <w:rsid w:val="07050666"/>
    <w:rsid w:val="07362674"/>
    <w:rsid w:val="073B54B2"/>
    <w:rsid w:val="073F05C5"/>
    <w:rsid w:val="0754538B"/>
    <w:rsid w:val="076A4B08"/>
    <w:rsid w:val="077B3234"/>
    <w:rsid w:val="07CF51D4"/>
    <w:rsid w:val="081748AE"/>
    <w:rsid w:val="083234E8"/>
    <w:rsid w:val="0834530C"/>
    <w:rsid w:val="08635851"/>
    <w:rsid w:val="08C2359B"/>
    <w:rsid w:val="08F30693"/>
    <w:rsid w:val="09041814"/>
    <w:rsid w:val="092D7BDC"/>
    <w:rsid w:val="09332D2B"/>
    <w:rsid w:val="093E2D64"/>
    <w:rsid w:val="097C4257"/>
    <w:rsid w:val="098B1DA7"/>
    <w:rsid w:val="09A31A61"/>
    <w:rsid w:val="09B81915"/>
    <w:rsid w:val="09DE1094"/>
    <w:rsid w:val="09E2475B"/>
    <w:rsid w:val="09EB5BEE"/>
    <w:rsid w:val="0A3F34B7"/>
    <w:rsid w:val="0A4327EE"/>
    <w:rsid w:val="0A4B11BE"/>
    <w:rsid w:val="0A8E5B8D"/>
    <w:rsid w:val="0AA240FA"/>
    <w:rsid w:val="0AAC0CBB"/>
    <w:rsid w:val="0AD84BD3"/>
    <w:rsid w:val="0B1061C6"/>
    <w:rsid w:val="0B2B08D5"/>
    <w:rsid w:val="0B6B51E1"/>
    <w:rsid w:val="0BB825ED"/>
    <w:rsid w:val="0BC0647C"/>
    <w:rsid w:val="0BD255A4"/>
    <w:rsid w:val="0BF26817"/>
    <w:rsid w:val="0C011C9B"/>
    <w:rsid w:val="0C22464A"/>
    <w:rsid w:val="0C623EAC"/>
    <w:rsid w:val="0C7B57A1"/>
    <w:rsid w:val="0CAD24AF"/>
    <w:rsid w:val="0D364FF2"/>
    <w:rsid w:val="0D6603CE"/>
    <w:rsid w:val="0D662EE5"/>
    <w:rsid w:val="0D9339BE"/>
    <w:rsid w:val="0D9F0DC4"/>
    <w:rsid w:val="0DDE081D"/>
    <w:rsid w:val="0DDE695A"/>
    <w:rsid w:val="0E2D072E"/>
    <w:rsid w:val="0E3077D7"/>
    <w:rsid w:val="0E3B295D"/>
    <w:rsid w:val="0E47249B"/>
    <w:rsid w:val="0E551882"/>
    <w:rsid w:val="0EAC023F"/>
    <w:rsid w:val="0EDB5692"/>
    <w:rsid w:val="0EF701CD"/>
    <w:rsid w:val="0F1E6DF8"/>
    <w:rsid w:val="0F4C19DA"/>
    <w:rsid w:val="0F4C7D05"/>
    <w:rsid w:val="0F5F17BD"/>
    <w:rsid w:val="0F90531D"/>
    <w:rsid w:val="0FAD64B5"/>
    <w:rsid w:val="0FDD6770"/>
    <w:rsid w:val="0FEB1B4B"/>
    <w:rsid w:val="0FFF5930"/>
    <w:rsid w:val="101E1113"/>
    <w:rsid w:val="1066350B"/>
    <w:rsid w:val="10A265EF"/>
    <w:rsid w:val="11243C55"/>
    <w:rsid w:val="11485B0D"/>
    <w:rsid w:val="117076B2"/>
    <w:rsid w:val="11846C49"/>
    <w:rsid w:val="11D56D08"/>
    <w:rsid w:val="125E1A9C"/>
    <w:rsid w:val="1276289F"/>
    <w:rsid w:val="1288522D"/>
    <w:rsid w:val="129D6A95"/>
    <w:rsid w:val="12AF4046"/>
    <w:rsid w:val="12CE506D"/>
    <w:rsid w:val="12F65490"/>
    <w:rsid w:val="12F73D2A"/>
    <w:rsid w:val="130E585C"/>
    <w:rsid w:val="13112273"/>
    <w:rsid w:val="13253ECA"/>
    <w:rsid w:val="13511DF6"/>
    <w:rsid w:val="138B4634"/>
    <w:rsid w:val="138F1214"/>
    <w:rsid w:val="13BF3682"/>
    <w:rsid w:val="13D101C7"/>
    <w:rsid w:val="13D65F2A"/>
    <w:rsid w:val="13E85F18"/>
    <w:rsid w:val="1400440E"/>
    <w:rsid w:val="144729D8"/>
    <w:rsid w:val="14485853"/>
    <w:rsid w:val="14526272"/>
    <w:rsid w:val="14AB614D"/>
    <w:rsid w:val="14F75684"/>
    <w:rsid w:val="152327DB"/>
    <w:rsid w:val="15507C7E"/>
    <w:rsid w:val="15664AEF"/>
    <w:rsid w:val="158E23E1"/>
    <w:rsid w:val="159D7EA6"/>
    <w:rsid w:val="159F1BF9"/>
    <w:rsid w:val="15F870C5"/>
    <w:rsid w:val="160B0227"/>
    <w:rsid w:val="16413E61"/>
    <w:rsid w:val="16B24103"/>
    <w:rsid w:val="17081A7A"/>
    <w:rsid w:val="17292C0C"/>
    <w:rsid w:val="176F50FE"/>
    <w:rsid w:val="17BD7986"/>
    <w:rsid w:val="17C95F0F"/>
    <w:rsid w:val="17DD0B49"/>
    <w:rsid w:val="17E633AC"/>
    <w:rsid w:val="17E662DC"/>
    <w:rsid w:val="17F46F9A"/>
    <w:rsid w:val="17FC3993"/>
    <w:rsid w:val="181C1400"/>
    <w:rsid w:val="18223BBF"/>
    <w:rsid w:val="18D435BC"/>
    <w:rsid w:val="19216381"/>
    <w:rsid w:val="19A931F3"/>
    <w:rsid w:val="19B63689"/>
    <w:rsid w:val="19BA69A5"/>
    <w:rsid w:val="19DF6D3F"/>
    <w:rsid w:val="19E24459"/>
    <w:rsid w:val="19FB72C6"/>
    <w:rsid w:val="1A1E49AB"/>
    <w:rsid w:val="1A3D7EBE"/>
    <w:rsid w:val="1A411831"/>
    <w:rsid w:val="1A4353A0"/>
    <w:rsid w:val="1A4667CA"/>
    <w:rsid w:val="1B075A0C"/>
    <w:rsid w:val="1B67066F"/>
    <w:rsid w:val="1B7229E4"/>
    <w:rsid w:val="1B7A5EC7"/>
    <w:rsid w:val="1BA35EDC"/>
    <w:rsid w:val="1BCE401E"/>
    <w:rsid w:val="1C201AF7"/>
    <w:rsid w:val="1C8C4E0D"/>
    <w:rsid w:val="1CBE2C0C"/>
    <w:rsid w:val="1CF6260F"/>
    <w:rsid w:val="1CF83AEA"/>
    <w:rsid w:val="1D374163"/>
    <w:rsid w:val="1D6914D5"/>
    <w:rsid w:val="1D7E09CF"/>
    <w:rsid w:val="1D8408F0"/>
    <w:rsid w:val="1D9319E4"/>
    <w:rsid w:val="1E7F32B0"/>
    <w:rsid w:val="1EBB622E"/>
    <w:rsid w:val="1EEA13A6"/>
    <w:rsid w:val="1EFE64E9"/>
    <w:rsid w:val="1F03080D"/>
    <w:rsid w:val="1F3E1933"/>
    <w:rsid w:val="1F6207D0"/>
    <w:rsid w:val="1FC1272B"/>
    <w:rsid w:val="1FE1627D"/>
    <w:rsid w:val="1FEA603B"/>
    <w:rsid w:val="1FFB4693"/>
    <w:rsid w:val="20293E2F"/>
    <w:rsid w:val="20361EEB"/>
    <w:rsid w:val="20563B2B"/>
    <w:rsid w:val="206E3E8E"/>
    <w:rsid w:val="20725864"/>
    <w:rsid w:val="208247DE"/>
    <w:rsid w:val="2093114F"/>
    <w:rsid w:val="209B57AA"/>
    <w:rsid w:val="20A87B06"/>
    <w:rsid w:val="20D83D6E"/>
    <w:rsid w:val="20EA6084"/>
    <w:rsid w:val="20F01139"/>
    <w:rsid w:val="20F1461D"/>
    <w:rsid w:val="210B66B2"/>
    <w:rsid w:val="212B522B"/>
    <w:rsid w:val="21736537"/>
    <w:rsid w:val="217E02FE"/>
    <w:rsid w:val="21846ACB"/>
    <w:rsid w:val="21977807"/>
    <w:rsid w:val="219D77BC"/>
    <w:rsid w:val="21AB7629"/>
    <w:rsid w:val="226827C0"/>
    <w:rsid w:val="227A11F2"/>
    <w:rsid w:val="227C6EFF"/>
    <w:rsid w:val="22942795"/>
    <w:rsid w:val="22A10D06"/>
    <w:rsid w:val="22B95326"/>
    <w:rsid w:val="22BD34B1"/>
    <w:rsid w:val="22DA6544"/>
    <w:rsid w:val="22E46F4A"/>
    <w:rsid w:val="22F20159"/>
    <w:rsid w:val="230329AD"/>
    <w:rsid w:val="23486890"/>
    <w:rsid w:val="238070A4"/>
    <w:rsid w:val="23AB4CDF"/>
    <w:rsid w:val="23C37A75"/>
    <w:rsid w:val="23D964C1"/>
    <w:rsid w:val="23E9680E"/>
    <w:rsid w:val="23EB6BB8"/>
    <w:rsid w:val="24436391"/>
    <w:rsid w:val="246418F2"/>
    <w:rsid w:val="24AD6D9A"/>
    <w:rsid w:val="24BD0C25"/>
    <w:rsid w:val="24CA621A"/>
    <w:rsid w:val="24E80884"/>
    <w:rsid w:val="253A3F8F"/>
    <w:rsid w:val="254A136E"/>
    <w:rsid w:val="25B05E91"/>
    <w:rsid w:val="26035D6B"/>
    <w:rsid w:val="260D045A"/>
    <w:rsid w:val="26154215"/>
    <w:rsid w:val="26666FDC"/>
    <w:rsid w:val="26B267E7"/>
    <w:rsid w:val="26C80CCF"/>
    <w:rsid w:val="26F65310"/>
    <w:rsid w:val="26F739E9"/>
    <w:rsid w:val="27352534"/>
    <w:rsid w:val="27357F9F"/>
    <w:rsid w:val="27475D93"/>
    <w:rsid w:val="27EF1935"/>
    <w:rsid w:val="280A1B75"/>
    <w:rsid w:val="283962F8"/>
    <w:rsid w:val="28532268"/>
    <w:rsid w:val="2863498A"/>
    <w:rsid w:val="2864662B"/>
    <w:rsid w:val="28FE17BA"/>
    <w:rsid w:val="290212C1"/>
    <w:rsid w:val="29403128"/>
    <w:rsid w:val="29656DCE"/>
    <w:rsid w:val="29686D38"/>
    <w:rsid w:val="298B4B23"/>
    <w:rsid w:val="29D875FE"/>
    <w:rsid w:val="2A194E5D"/>
    <w:rsid w:val="2A501F4B"/>
    <w:rsid w:val="2A594BC2"/>
    <w:rsid w:val="2AA90FA0"/>
    <w:rsid w:val="2AB53836"/>
    <w:rsid w:val="2B0C4780"/>
    <w:rsid w:val="2B552F60"/>
    <w:rsid w:val="2B7E79F6"/>
    <w:rsid w:val="2B860FD2"/>
    <w:rsid w:val="2BB367B9"/>
    <w:rsid w:val="2C184D47"/>
    <w:rsid w:val="2C39227C"/>
    <w:rsid w:val="2C796A89"/>
    <w:rsid w:val="2CBD3A96"/>
    <w:rsid w:val="2CC74339"/>
    <w:rsid w:val="2CCE1414"/>
    <w:rsid w:val="2CD83790"/>
    <w:rsid w:val="2CDD55E0"/>
    <w:rsid w:val="2CF93ABF"/>
    <w:rsid w:val="2D1E27A3"/>
    <w:rsid w:val="2D766528"/>
    <w:rsid w:val="2DDD1DB8"/>
    <w:rsid w:val="2E332DA1"/>
    <w:rsid w:val="2E6A704D"/>
    <w:rsid w:val="2E8A6255"/>
    <w:rsid w:val="2EB236A9"/>
    <w:rsid w:val="2EED396E"/>
    <w:rsid w:val="2F016A39"/>
    <w:rsid w:val="2F0B1048"/>
    <w:rsid w:val="2F0C71D1"/>
    <w:rsid w:val="2F141AAA"/>
    <w:rsid w:val="2F29382C"/>
    <w:rsid w:val="2F670D4D"/>
    <w:rsid w:val="2F6A0551"/>
    <w:rsid w:val="2F7C4DF9"/>
    <w:rsid w:val="2F981235"/>
    <w:rsid w:val="2FEE7345"/>
    <w:rsid w:val="2FF23F99"/>
    <w:rsid w:val="30236367"/>
    <w:rsid w:val="302664D8"/>
    <w:rsid w:val="30331BC6"/>
    <w:rsid w:val="303E7E03"/>
    <w:rsid w:val="304A182B"/>
    <w:rsid w:val="30757C00"/>
    <w:rsid w:val="307D5D65"/>
    <w:rsid w:val="30B34CE3"/>
    <w:rsid w:val="30CB1C83"/>
    <w:rsid w:val="311A21AD"/>
    <w:rsid w:val="31660321"/>
    <w:rsid w:val="31832D29"/>
    <w:rsid w:val="31D20CDE"/>
    <w:rsid w:val="31F37E23"/>
    <w:rsid w:val="32223DC6"/>
    <w:rsid w:val="329032EF"/>
    <w:rsid w:val="329970EF"/>
    <w:rsid w:val="32AB70C2"/>
    <w:rsid w:val="32B35AAA"/>
    <w:rsid w:val="32C14335"/>
    <w:rsid w:val="334459AC"/>
    <w:rsid w:val="33705A64"/>
    <w:rsid w:val="338014C8"/>
    <w:rsid w:val="338A4F4A"/>
    <w:rsid w:val="33D61E89"/>
    <w:rsid w:val="342645AD"/>
    <w:rsid w:val="34335C8F"/>
    <w:rsid w:val="34617CD8"/>
    <w:rsid w:val="34731A2E"/>
    <w:rsid w:val="34A61339"/>
    <w:rsid w:val="34DE5D06"/>
    <w:rsid w:val="34F3793E"/>
    <w:rsid w:val="35185DCE"/>
    <w:rsid w:val="35574E9C"/>
    <w:rsid w:val="35712E34"/>
    <w:rsid w:val="357156D3"/>
    <w:rsid w:val="3574796F"/>
    <w:rsid w:val="357B7FE2"/>
    <w:rsid w:val="35E823DA"/>
    <w:rsid w:val="35ED793B"/>
    <w:rsid w:val="366C082D"/>
    <w:rsid w:val="36C90DD1"/>
    <w:rsid w:val="3703397C"/>
    <w:rsid w:val="37704489"/>
    <w:rsid w:val="37925427"/>
    <w:rsid w:val="37A55DCC"/>
    <w:rsid w:val="37B7521B"/>
    <w:rsid w:val="37B86AE0"/>
    <w:rsid w:val="37CA04FF"/>
    <w:rsid w:val="38005CE2"/>
    <w:rsid w:val="38A95BDE"/>
    <w:rsid w:val="390B391B"/>
    <w:rsid w:val="394C68A5"/>
    <w:rsid w:val="395E479A"/>
    <w:rsid w:val="39A36C2D"/>
    <w:rsid w:val="39AA29B9"/>
    <w:rsid w:val="39C9079C"/>
    <w:rsid w:val="39E71AEC"/>
    <w:rsid w:val="39F60058"/>
    <w:rsid w:val="3A104089"/>
    <w:rsid w:val="3A392A60"/>
    <w:rsid w:val="3AB8426E"/>
    <w:rsid w:val="3ACF765C"/>
    <w:rsid w:val="3AD278CD"/>
    <w:rsid w:val="3AD63B3D"/>
    <w:rsid w:val="3AFA4BE5"/>
    <w:rsid w:val="3B144639"/>
    <w:rsid w:val="3B2A44B8"/>
    <w:rsid w:val="3B2B6476"/>
    <w:rsid w:val="3B3240CB"/>
    <w:rsid w:val="3BBC038E"/>
    <w:rsid w:val="3C265339"/>
    <w:rsid w:val="3C852047"/>
    <w:rsid w:val="3C9772E2"/>
    <w:rsid w:val="3C9C2062"/>
    <w:rsid w:val="3CA13116"/>
    <w:rsid w:val="3CA925AE"/>
    <w:rsid w:val="3CEF044F"/>
    <w:rsid w:val="3CF877AB"/>
    <w:rsid w:val="3D244AAC"/>
    <w:rsid w:val="3D306CB2"/>
    <w:rsid w:val="3D667959"/>
    <w:rsid w:val="3D763755"/>
    <w:rsid w:val="3D8230F2"/>
    <w:rsid w:val="3D886E2C"/>
    <w:rsid w:val="3DD83D60"/>
    <w:rsid w:val="3E044CAE"/>
    <w:rsid w:val="3EAD4174"/>
    <w:rsid w:val="3EAD7F9C"/>
    <w:rsid w:val="3EB32892"/>
    <w:rsid w:val="3EBC3336"/>
    <w:rsid w:val="3EE04B9F"/>
    <w:rsid w:val="3F0518A1"/>
    <w:rsid w:val="3F064AE9"/>
    <w:rsid w:val="3F1729FC"/>
    <w:rsid w:val="3F3B0C43"/>
    <w:rsid w:val="3F4C62B0"/>
    <w:rsid w:val="3F5160C2"/>
    <w:rsid w:val="3F722D17"/>
    <w:rsid w:val="3FAA73F6"/>
    <w:rsid w:val="3FE84AC0"/>
    <w:rsid w:val="402A34B8"/>
    <w:rsid w:val="40360CD1"/>
    <w:rsid w:val="40613E30"/>
    <w:rsid w:val="40736573"/>
    <w:rsid w:val="409B4A07"/>
    <w:rsid w:val="40E371F6"/>
    <w:rsid w:val="40F66678"/>
    <w:rsid w:val="4120577A"/>
    <w:rsid w:val="415E198A"/>
    <w:rsid w:val="41667D42"/>
    <w:rsid w:val="4167053C"/>
    <w:rsid w:val="41843554"/>
    <w:rsid w:val="41D35A55"/>
    <w:rsid w:val="41F95F47"/>
    <w:rsid w:val="41FD121E"/>
    <w:rsid w:val="421A7627"/>
    <w:rsid w:val="4233112B"/>
    <w:rsid w:val="4317144C"/>
    <w:rsid w:val="435C5C84"/>
    <w:rsid w:val="43702851"/>
    <w:rsid w:val="43DF0B28"/>
    <w:rsid w:val="4424604A"/>
    <w:rsid w:val="445014AB"/>
    <w:rsid w:val="44C350AD"/>
    <w:rsid w:val="452416A4"/>
    <w:rsid w:val="454F0B76"/>
    <w:rsid w:val="456A38D2"/>
    <w:rsid w:val="457E2BBE"/>
    <w:rsid w:val="45E076C0"/>
    <w:rsid w:val="460C3624"/>
    <w:rsid w:val="4662498C"/>
    <w:rsid w:val="46A022D9"/>
    <w:rsid w:val="46A9554B"/>
    <w:rsid w:val="46BE1A6C"/>
    <w:rsid w:val="471B3499"/>
    <w:rsid w:val="478A0DF6"/>
    <w:rsid w:val="48037A8A"/>
    <w:rsid w:val="48377D23"/>
    <w:rsid w:val="486634EE"/>
    <w:rsid w:val="48807890"/>
    <w:rsid w:val="48A64B98"/>
    <w:rsid w:val="48BC156D"/>
    <w:rsid w:val="48C65587"/>
    <w:rsid w:val="48F765BE"/>
    <w:rsid w:val="48FF55BD"/>
    <w:rsid w:val="49174800"/>
    <w:rsid w:val="49320F23"/>
    <w:rsid w:val="49725A8E"/>
    <w:rsid w:val="49BA4546"/>
    <w:rsid w:val="49D3297A"/>
    <w:rsid w:val="49DD73AE"/>
    <w:rsid w:val="49EE508B"/>
    <w:rsid w:val="49F95BD6"/>
    <w:rsid w:val="4A103B19"/>
    <w:rsid w:val="4A17247D"/>
    <w:rsid w:val="4A2D058F"/>
    <w:rsid w:val="4AC849B2"/>
    <w:rsid w:val="4AD703A4"/>
    <w:rsid w:val="4B86504E"/>
    <w:rsid w:val="4BD07B58"/>
    <w:rsid w:val="4C3176AB"/>
    <w:rsid w:val="4C6E278E"/>
    <w:rsid w:val="4CE45D79"/>
    <w:rsid w:val="4CF73C3A"/>
    <w:rsid w:val="4D117EC3"/>
    <w:rsid w:val="4D2C6BF0"/>
    <w:rsid w:val="4D7251FF"/>
    <w:rsid w:val="4DC74A99"/>
    <w:rsid w:val="4E472C92"/>
    <w:rsid w:val="4E4F2D22"/>
    <w:rsid w:val="4E9D5C2D"/>
    <w:rsid w:val="4EBA57C1"/>
    <w:rsid w:val="4EEF6CFA"/>
    <w:rsid w:val="4FA91AAC"/>
    <w:rsid w:val="4FBD0FF5"/>
    <w:rsid w:val="4FBE60E5"/>
    <w:rsid w:val="4FC854D7"/>
    <w:rsid w:val="4FE705D9"/>
    <w:rsid w:val="50142DE1"/>
    <w:rsid w:val="5015687B"/>
    <w:rsid w:val="501926CA"/>
    <w:rsid w:val="503C4923"/>
    <w:rsid w:val="505E3D68"/>
    <w:rsid w:val="50742B20"/>
    <w:rsid w:val="5078713B"/>
    <w:rsid w:val="5094143C"/>
    <w:rsid w:val="509C7E88"/>
    <w:rsid w:val="516A440A"/>
    <w:rsid w:val="51791341"/>
    <w:rsid w:val="51C2653D"/>
    <w:rsid w:val="51C42E16"/>
    <w:rsid w:val="5238115B"/>
    <w:rsid w:val="525351F4"/>
    <w:rsid w:val="525A6FBC"/>
    <w:rsid w:val="526C0997"/>
    <w:rsid w:val="52901931"/>
    <w:rsid w:val="52C25FBC"/>
    <w:rsid w:val="533D33D1"/>
    <w:rsid w:val="53670B33"/>
    <w:rsid w:val="536915F0"/>
    <w:rsid w:val="53775B6A"/>
    <w:rsid w:val="53925932"/>
    <w:rsid w:val="53D43855"/>
    <w:rsid w:val="53EE1101"/>
    <w:rsid w:val="53FC4E8E"/>
    <w:rsid w:val="541717DC"/>
    <w:rsid w:val="545E046B"/>
    <w:rsid w:val="546A6D9B"/>
    <w:rsid w:val="549562E9"/>
    <w:rsid w:val="553C46BA"/>
    <w:rsid w:val="55494082"/>
    <w:rsid w:val="557D5B60"/>
    <w:rsid w:val="55834A19"/>
    <w:rsid w:val="55F526C6"/>
    <w:rsid w:val="56066DC9"/>
    <w:rsid w:val="560F1480"/>
    <w:rsid w:val="564E1228"/>
    <w:rsid w:val="56A6131D"/>
    <w:rsid w:val="56A82B00"/>
    <w:rsid w:val="56BC5AD0"/>
    <w:rsid w:val="56D00C68"/>
    <w:rsid w:val="57064E39"/>
    <w:rsid w:val="57895A45"/>
    <w:rsid w:val="57C5313B"/>
    <w:rsid w:val="57D807D4"/>
    <w:rsid w:val="57EA7969"/>
    <w:rsid w:val="58750691"/>
    <w:rsid w:val="58A825C6"/>
    <w:rsid w:val="58AB575D"/>
    <w:rsid w:val="58DF42DD"/>
    <w:rsid w:val="59445F91"/>
    <w:rsid w:val="59815208"/>
    <w:rsid w:val="59F001A4"/>
    <w:rsid w:val="5A085DDB"/>
    <w:rsid w:val="5A1028CD"/>
    <w:rsid w:val="5A1E2DE7"/>
    <w:rsid w:val="5A3C606A"/>
    <w:rsid w:val="5A79013F"/>
    <w:rsid w:val="5B123FA7"/>
    <w:rsid w:val="5B1F1F06"/>
    <w:rsid w:val="5B613C0E"/>
    <w:rsid w:val="5B752E38"/>
    <w:rsid w:val="5B7A3606"/>
    <w:rsid w:val="5BCA6564"/>
    <w:rsid w:val="5C1E3775"/>
    <w:rsid w:val="5C262612"/>
    <w:rsid w:val="5C381264"/>
    <w:rsid w:val="5C672644"/>
    <w:rsid w:val="5C8132C7"/>
    <w:rsid w:val="5CA23A25"/>
    <w:rsid w:val="5CC26330"/>
    <w:rsid w:val="5CD67F41"/>
    <w:rsid w:val="5D017C51"/>
    <w:rsid w:val="5D463591"/>
    <w:rsid w:val="5D4F2A78"/>
    <w:rsid w:val="5D792AE4"/>
    <w:rsid w:val="5E2F58D3"/>
    <w:rsid w:val="5E5A06FD"/>
    <w:rsid w:val="5E9342EC"/>
    <w:rsid w:val="5E985640"/>
    <w:rsid w:val="5EC777C7"/>
    <w:rsid w:val="5F1E4EC5"/>
    <w:rsid w:val="5F3815EE"/>
    <w:rsid w:val="5F5C32D6"/>
    <w:rsid w:val="5F8C120C"/>
    <w:rsid w:val="5FC924DC"/>
    <w:rsid w:val="600E0FAA"/>
    <w:rsid w:val="600E788A"/>
    <w:rsid w:val="604130CF"/>
    <w:rsid w:val="605A4311"/>
    <w:rsid w:val="60680114"/>
    <w:rsid w:val="60794FD4"/>
    <w:rsid w:val="607C30B7"/>
    <w:rsid w:val="60814FEF"/>
    <w:rsid w:val="60B862A8"/>
    <w:rsid w:val="60BD474D"/>
    <w:rsid w:val="60D32F5A"/>
    <w:rsid w:val="610E2B4C"/>
    <w:rsid w:val="61841D9D"/>
    <w:rsid w:val="61D0537E"/>
    <w:rsid w:val="61DE43D4"/>
    <w:rsid w:val="61E06967"/>
    <w:rsid w:val="624216A0"/>
    <w:rsid w:val="6252736F"/>
    <w:rsid w:val="626736F9"/>
    <w:rsid w:val="628E1BE9"/>
    <w:rsid w:val="62D06FF9"/>
    <w:rsid w:val="62D765EB"/>
    <w:rsid w:val="632D26DA"/>
    <w:rsid w:val="63385998"/>
    <w:rsid w:val="635E3D24"/>
    <w:rsid w:val="636B22CC"/>
    <w:rsid w:val="63B65AC7"/>
    <w:rsid w:val="63D7428B"/>
    <w:rsid w:val="640C4C0D"/>
    <w:rsid w:val="64364FD2"/>
    <w:rsid w:val="645830D7"/>
    <w:rsid w:val="647258C3"/>
    <w:rsid w:val="64AA2E73"/>
    <w:rsid w:val="64E8446E"/>
    <w:rsid w:val="64FB48F8"/>
    <w:rsid w:val="65376B47"/>
    <w:rsid w:val="654042F5"/>
    <w:rsid w:val="654F50D9"/>
    <w:rsid w:val="660447CA"/>
    <w:rsid w:val="665622BC"/>
    <w:rsid w:val="665E5759"/>
    <w:rsid w:val="666B3E12"/>
    <w:rsid w:val="666C4EE6"/>
    <w:rsid w:val="669966C2"/>
    <w:rsid w:val="66B05673"/>
    <w:rsid w:val="66FB0FDC"/>
    <w:rsid w:val="66FC5AFF"/>
    <w:rsid w:val="67BA7741"/>
    <w:rsid w:val="67CC44C9"/>
    <w:rsid w:val="680D0CA5"/>
    <w:rsid w:val="683155CA"/>
    <w:rsid w:val="68A45648"/>
    <w:rsid w:val="68A5668C"/>
    <w:rsid w:val="68C5150D"/>
    <w:rsid w:val="68D7141C"/>
    <w:rsid w:val="6911241F"/>
    <w:rsid w:val="69145B6D"/>
    <w:rsid w:val="698755B8"/>
    <w:rsid w:val="69AF4129"/>
    <w:rsid w:val="69B67115"/>
    <w:rsid w:val="69D346ED"/>
    <w:rsid w:val="69EF53B4"/>
    <w:rsid w:val="6A126DD2"/>
    <w:rsid w:val="6A1C320B"/>
    <w:rsid w:val="6A420E56"/>
    <w:rsid w:val="6A924E32"/>
    <w:rsid w:val="6A94008C"/>
    <w:rsid w:val="6AE60947"/>
    <w:rsid w:val="6B0B374F"/>
    <w:rsid w:val="6B10356A"/>
    <w:rsid w:val="6B111E31"/>
    <w:rsid w:val="6B1F0CCB"/>
    <w:rsid w:val="6B6234E5"/>
    <w:rsid w:val="6BBD11F5"/>
    <w:rsid w:val="6BD12800"/>
    <w:rsid w:val="6C5E02FC"/>
    <w:rsid w:val="6C721812"/>
    <w:rsid w:val="6C8B0F52"/>
    <w:rsid w:val="6C967106"/>
    <w:rsid w:val="6CDD0DD0"/>
    <w:rsid w:val="6D0127E4"/>
    <w:rsid w:val="6D19028F"/>
    <w:rsid w:val="6D1C168A"/>
    <w:rsid w:val="6D3668DD"/>
    <w:rsid w:val="6D560FF0"/>
    <w:rsid w:val="6D744558"/>
    <w:rsid w:val="6DA6206E"/>
    <w:rsid w:val="6DB941BD"/>
    <w:rsid w:val="6E5F1098"/>
    <w:rsid w:val="6E6364A6"/>
    <w:rsid w:val="6EA41FA2"/>
    <w:rsid w:val="6EF21ED4"/>
    <w:rsid w:val="6F381CAC"/>
    <w:rsid w:val="6F972194"/>
    <w:rsid w:val="6F9C6902"/>
    <w:rsid w:val="6FA0729C"/>
    <w:rsid w:val="70100CA2"/>
    <w:rsid w:val="70393572"/>
    <w:rsid w:val="70A24D48"/>
    <w:rsid w:val="70BA64EF"/>
    <w:rsid w:val="70C900DF"/>
    <w:rsid w:val="710A3B6B"/>
    <w:rsid w:val="7121653D"/>
    <w:rsid w:val="71241007"/>
    <w:rsid w:val="71326D32"/>
    <w:rsid w:val="713623DF"/>
    <w:rsid w:val="715A596A"/>
    <w:rsid w:val="717C247D"/>
    <w:rsid w:val="71816B8E"/>
    <w:rsid w:val="71832D29"/>
    <w:rsid w:val="71907818"/>
    <w:rsid w:val="71E95916"/>
    <w:rsid w:val="7229079E"/>
    <w:rsid w:val="7250588C"/>
    <w:rsid w:val="726F5278"/>
    <w:rsid w:val="727E786A"/>
    <w:rsid w:val="72BD0544"/>
    <w:rsid w:val="72C0472D"/>
    <w:rsid w:val="72D11D5C"/>
    <w:rsid w:val="72E85DAD"/>
    <w:rsid w:val="730B14BE"/>
    <w:rsid w:val="732303D9"/>
    <w:rsid w:val="73532CC9"/>
    <w:rsid w:val="738B2238"/>
    <w:rsid w:val="73E67C7A"/>
    <w:rsid w:val="744975DD"/>
    <w:rsid w:val="744F2B7A"/>
    <w:rsid w:val="746920A5"/>
    <w:rsid w:val="7473377A"/>
    <w:rsid w:val="748B7808"/>
    <w:rsid w:val="74C47EED"/>
    <w:rsid w:val="74DE73F5"/>
    <w:rsid w:val="74F42D1C"/>
    <w:rsid w:val="755169C7"/>
    <w:rsid w:val="75D07F8B"/>
    <w:rsid w:val="75EE5669"/>
    <w:rsid w:val="763B1B18"/>
    <w:rsid w:val="76615180"/>
    <w:rsid w:val="768027BD"/>
    <w:rsid w:val="76957051"/>
    <w:rsid w:val="76BE38E2"/>
    <w:rsid w:val="76E4531A"/>
    <w:rsid w:val="773E064E"/>
    <w:rsid w:val="774E1211"/>
    <w:rsid w:val="777B71D8"/>
    <w:rsid w:val="7789378A"/>
    <w:rsid w:val="77A54D53"/>
    <w:rsid w:val="77FC6767"/>
    <w:rsid w:val="781A0BEC"/>
    <w:rsid w:val="78202415"/>
    <w:rsid w:val="78213FC9"/>
    <w:rsid w:val="78701D9C"/>
    <w:rsid w:val="788641B5"/>
    <w:rsid w:val="7889434A"/>
    <w:rsid w:val="788D2DD7"/>
    <w:rsid w:val="78E9669A"/>
    <w:rsid w:val="793306C1"/>
    <w:rsid w:val="794844A0"/>
    <w:rsid w:val="799837D3"/>
    <w:rsid w:val="7A0C1011"/>
    <w:rsid w:val="7A0E7A81"/>
    <w:rsid w:val="7A321CDB"/>
    <w:rsid w:val="7A6E32C8"/>
    <w:rsid w:val="7AC900CF"/>
    <w:rsid w:val="7AD62293"/>
    <w:rsid w:val="7B052FBD"/>
    <w:rsid w:val="7B5A5A6C"/>
    <w:rsid w:val="7B5C250E"/>
    <w:rsid w:val="7B6D0F87"/>
    <w:rsid w:val="7B783FD8"/>
    <w:rsid w:val="7B9A3DB8"/>
    <w:rsid w:val="7BF20E1E"/>
    <w:rsid w:val="7C825046"/>
    <w:rsid w:val="7C9408F4"/>
    <w:rsid w:val="7CB90CC2"/>
    <w:rsid w:val="7CFB2CE9"/>
    <w:rsid w:val="7D212CA5"/>
    <w:rsid w:val="7D255EE2"/>
    <w:rsid w:val="7D293184"/>
    <w:rsid w:val="7D69777E"/>
    <w:rsid w:val="7DB34706"/>
    <w:rsid w:val="7DCD71AD"/>
    <w:rsid w:val="7E1A0A9F"/>
    <w:rsid w:val="7E297FCC"/>
    <w:rsid w:val="7E3C401A"/>
    <w:rsid w:val="7E641213"/>
    <w:rsid w:val="7EF34773"/>
    <w:rsid w:val="7EF77ED0"/>
    <w:rsid w:val="7EF92A8E"/>
    <w:rsid w:val="7F0D08DC"/>
    <w:rsid w:val="7F4029E3"/>
    <w:rsid w:val="7F714EE5"/>
    <w:rsid w:val="7F7864B1"/>
    <w:rsid w:val="7F7F2734"/>
    <w:rsid w:val="7FA63F96"/>
    <w:rsid w:val="7FB9287C"/>
    <w:rsid w:val="7FC8070F"/>
    <w:rsid w:val="7FCC47FD"/>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9"/>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6"/>
    <w:qFormat/>
    <w:uiPriority w:val="0"/>
    <w:pPr>
      <w:ind w:firstLine="420" w:firstLineChars="200"/>
    </w:pPr>
  </w:style>
  <w:style w:type="paragraph" w:styleId="13">
    <w:name w:val="Document Map"/>
    <w:basedOn w:val="1"/>
    <w:link w:val="73"/>
    <w:qFormat/>
    <w:uiPriority w:val="0"/>
    <w:pPr>
      <w:shd w:val="clear" w:color="auto" w:fill="000080"/>
    </w:pPr>
    <w:rPr>
      <w:kern w:val="0"/>
      <w:sz w:val="20"/>
    </w:rPr>
  </w:style>
  <w:style w:type="paragraph" w:styleId="14">
    <w:name w:val="annotation text"/>
    <w:basedOn w:val="1"/>
    <w:link w:val="55"/>
    <w:unhideWhenUsed/>
    <w:qFormat/>
    <w:uiPriority w:val="99"/>
    <w:pPr>
      <w:jc w:val="left"/>
    </w:pPr>
    <w:rPr>
      <w:kern w:val="0"/>
      <w:sz w:val="20"/>
    </w:rPr>
  </w:style>
  <w:style w:type="paragraph" w:styleId="15">
    <w:name w:val="Body Text 3"/>
    <w:basedOn w:val="1"/>
    <w:link w:val="59"/>
    <w:qFormat/>
    <w:uiPriority w:val="0"/>
    <w:rPr>
      <w:rFonts w:ascii="宋体"/>
      <w:kern w:val="0"/>
      <w:sz w:val="24"/>
      <w:szCs w:val="20"/>
    </w:rPr>
  </w:style>
  <w:style w:type="paragraph" w:styleId="16">
    <w:name w:val="Body Text"/>
    <w:basedOn w:val="1"/>
    <w:next w:val="1"/>
    <w:link w:val="62"/>
    <w:qFormat/>
    <w:uiPriority w:val="0"/>
    <w:pPr>
      <w:spacing w:after="120"/>
    </w:pPr>
    <w:rPr>
      <w:kern w:val="0"/>
      <w:sz w:val="20"/>
    </w:rPr>
  </w:style>
  <w:style w:type="paragraph" w:styleId="17">
    <w:name w:val="Body Text Indent"/>
    <w:basedOn w:val="1"/>
    <w:link w:val="72"/>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5"/>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79"/>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7"/>
    <w:qFormat/>
    <w:uiPriority w:val="0"/>
    <w:rPr>
      <w:kern w:val="0"/>
      <w:sz w:val="18"/>
      <w:szCs w:val="18"/>
    </w:rPr>
  </w:style>
  <w:style w:type="paragraph" w:styleId="26">
    <w:name w:val="footer"/>
    <w:basedOn w:val="1"/>
    <w:link w:val="91"/>
    <w:qFormat/>
    <w:uiPriority w:val="99"/>
    <w:pPr>
      <w:tabs>
        <w:tab w:val="center" w:pos="4153"/>
        <w:tab w:val="right" w:pos="8306"/>
      </w:tabs>
      <w:snapToGrid w:val="0"/>
      <w:jc w:val="left"/>
    </w:pPr>
    <w:rPr>
      <w:kern w:val="0"/>
      <w:sz w:val="18"/>
      <w:szCs w:val="18"/>
    </w:rPr>
  </w:style>
  <w:style w:type="paragraph" w:styleId="27">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3"/>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3"/>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65"/>
    <w:qFormat/>
    <w:uiPriority w:val="0"/>
    <w:rPr>
      <w:b/>
      <w:bCs/>
    </w:rPr>
  </w:style>
  <w:style w:type="paragraph" w:styleId="40">
    <w:name w:val="Body Text First Indent"/>
    <w:basedOn w:val="16"/>
    <w:qFormat/>
    <w:uiPriority w:val="0"/>
    <w:pPr>
      <w:adjustRightInd w:val="0"/>
      <w:spacing w:line="275" w:lineRule="atLeast"/>
      <w:ind w:firstLine="420"/>
      <w:textAlignment w:val="baseline"/>
    </w:pPr>
    <w:rPr>
      <w:rFonts w:ascii="宋体" w:eastAsia="楷体_GB2312"/>
      <w:sz w:val="24"/>
      <w:szCs w:val="20"/>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0"/>
    <w:rPr>
      <w:rFonts w:hint="default" w:ascii="Arial" w:hAnsi="Arial" w:eastAsia="Arial" w:cs="Arial"/>
      <w:color w:val="333333"/>
      <w:sz w:val="21"/>
      <w:szCs w:val="21"/>
      <w:u w:val="none"/>
    </w:rPr>
  </w:style>
  <w:style w:type="character" w:styleId="47">
    <w:name w:val="Hyperlink"/>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字符"/>
    <w:link w:val="5"/>
    <w:qFormat/>
    <w:uiPriority w:val="0"/>
    <w:rPr>
      <w:rFonts w:ascii="Times New Roman" w:hAnsi="Times New Roman" w:eastAsia="宋体" w:cs="Times New Roman"/>
      <w:b/>
      <w:bCs/>
      <w:sz w:val="32"/>
      <w:szCs w:val="32"/>
    </w:rPr>
  </w:style>
  <w:style w:type="character" w:customStyle="1" w:styleId="55">
    <w:name w:val="批注文字 字符"/>
    <w:link w:val="14"/>
    <w:semiHidden/>
    <w:qFormat/>
    <w:uiPriority w:val="99"/>
    <w:rPr>
      <w:rFonts w:ascii="Times New Roman" w:hAnsi="Times New Roman" w:eastAsia="宋体" w:cs="Times New Roman"/>
      <w:szCs w:val="24"/>
    </w:rPr>
  </w:style>
  <w:style w:type="character" w:customStyle="1" w:styleId="56">
    <w:name w:val="标题 6 字符"/>
    <w:link w:val="7"/>
    <w:qFormat/>
    <w:uiPriority w:val="0"/>
    <w:rPr>
      <w:rFonts w:ascii="Arial" w:hAnsi="Arial" w:eastAsia="黑体" w:cs="Times New Roman"/>
      <w:b/>
      <w:bCs/>
      <w:kern w:val="0"/>
      <w:sz w:val="24"/>
      <w:szCs w:val="24"/>
    </w:rPr>
  </w:style>
  <w:style w:type="character" w:customStyle="1" w:styleId="57">
    <w:name w:val="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字符"/>
    <w:link w:val="15"/>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字符"/>
    <w:link w:val="16"/>
    <w:qFormat/>
    <w:uiPriority w:val="0"/>
    <w:rPr>
      <w:rFonts w:eastAsia="宋体"/>
      <w:szCs w:val="24"/>
    </w:rPr>
  </w:style>
  <w:style w:type="character" w:customStyle="1" w:styleId="63">
    <w:name w:val="脚注文本 字符"/>
    <w:link w:val="29"/>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字符"/>
    <w:link w:val="39"/>
    <w:qFormat/>
    <w:uiPriority w:val="0"/>
    <w:rPr>
      <w:rFonts w:ascii="Times New Roman" w:hAnsi="Times New Roman" w:eastAsia="宋体" w:cs="Times New Roman"/>
      <w:b/>
      <w:bCs/>
      <w:szCs w:val="24"/>
    </w:rPr>
  </w:style>
  <w:style w:type="character" w:customStyle="1" w:styleId="66">
    <w:name w:val="正文缩进 字符"/>
    <w:link w:val="12"/>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字符"/>
    <w:link w:val="27"/>
    <w:qFormat/>
    <w:uiPriority w:val="0"/>
    <w:rPr>
      <w:rFonts w:ascii="Times New Roman" w:hAnsi="Times New Roman" w:eastAsia="宋体" w:cs="Times New Roman"/>
      <w:sz w:val="18"/>
      <w:szCs w:val="18"/>
    </w:rPr>
  </w:style>
  <w:style w:type="character" w:customStyle="1" w:styleId="70">
    <w:name w:val="标题 9 字符"/>
    <w:link w:val="10"/>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字符"/>
    <w:link w:val="17"/>
    <w:qFormat/>
    <w:uiPriority w:val="0"/>
    <w:rPr>
      <w:szCs w:val="24"/>
    </w:rPr>
  </w:style>
  <w:style w:type="character" w:customStyle="1" w:styleId="73">
    <w:name w:val="文档结构图 字符"/>
    <w:link w:val="13"/>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字符"/>
    <w:link w:val="4"/>
    <w:qFormat/>
    <w:uiPriority w:val="0"/>
    <w:rPr>
      <w:rFonts w:ascii="Arial" w:hAnsi="Arial" w:eastAsia="黑体" w:cs="Times New Roman"/>
      <w:b/>
      <w:bCs/>
      <w:sz w:val="32"/>
      <w:szCs w:val="32"/>
    </w:rPr>
  </w:style>
  <w:style w:type="character" w:customStyle="1" w:styleId="76">
    <w:name w:val="标题 字符"/>
    <w:link w:val="38"/>
    <w:qFormat/>
    <w:uiPriority w:val="0"/>
    <w:rPr>
      <w:rFonts w:ascii="Arial" w:hAnsi="Arial"/>
      <w:b/>
      <w:sz w:val="32"/>
    </w:rPr>
  </w:style>
  <w:style w:type="character" w:customStyle="1" w:styleId="77">
    <w:name w:val="批注框文本 字符"/>
    <w:link w:val="25"/>
    <w:qFormat/>
    <w:uiPriority w:val="0"/>
    <w:rPr>
      <w:rFonts w:ascii="Times New Roman" w:hAnsi="Times New Roman" w:eastAsia="宋体" w:cs="Times New Roman"/>
      <w:sz w:val="18"/>
      <w:szCs w:val="18"/>
    </w:rPr>
  </w:style>
  <w:style w:type="character" w:customStyle="1" w:styleId="78">
    <w:name w:val="标题 8 字符"/>
    <w:link w:val="9"/>
    <w:qFormat/>
    <w:uiPriority w:val="0"/>
    <w:rPr>
      <w:rFonts w:ascii="Arial" w:hAnsi="Arial" w:eastAsia="黑体" w:cs="Times New Roman"/>
      <w:kern w:val="0"/>
      <w:sz w:val="24"/>
      <w:szCs w:val="24"/>
    </w:rPr>
  </w:style>
  <w:style w:type="character" w:customStyle="1" w:styleId="79">
    <w:name w:val="日期 字符"/>
    <w:link w:val="23"/>
    <w:qFormat/>
    <w:uiPriority w:val="0"/>
    <w:rPr>
      <w:rFonts w:ascii="Times New Roman" w:hAnsi="Times New Roman" w:eastAsia="宋体" w:cs="Times New Roman"/>
      <w:sz w:val="24"/>
      <w:szCs w:val="20"/>
    </w:rPr>
  </w:style>
  <w:style w:type="character" w:customStyle="1" w:styleId="80">
    <w:name w:val="标题 1 字符"/>
    <w:link w:val="3"/>
    <w:qFormat/>
    <w:uiPriority w:val="0"/>
    <w:rPr>
      <w:rFonts w:ascii="Times New Roman" w:hAnsi="Times New Roman" w:eastAsia="宋体" w:cs="Times New Roman"/>
      <w:b/>
      <w:bCs/>
      <w:kern w:val="44"/>
      <w:sz w:val="44"/>
      <w:szCs w:val="44"/>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字符"/>
    <w:link w:val="31"/>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Char Char"/>
    <w:qFormat/>
    <w:uiPriority w:val="0"/>
    <w:rPr>
      <w:rFonts w:ascii="Arial" w:hAnsi="Arial" w:eastAsia="黑体"/>
      <w:b/>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字符"/>
    <w:link w:val="6"/>
    <w:qFormat/>
    <w:uiPriority w:val="0"/>
    <w:rPr>
      <w:rFonts w:ascii="Arial" w:hAnsi="Arial" w:eastAsia="黑体" w:cs="Times New Roman"/>
      <w:b/>
      <w:bCs/>
      <w:sz w:val="28"/>
      <w:szCs w:val="28"/>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字符"/>
    <w:link w:val="26"/>
    <w:qFormat/>
    <w:uiPriority w:val="99"/>
    <w:rPr>
      <w:sz w:val="18"/>
      <w:szCs w:val="18"/>
    </w:rPr>
  </w:style>
  <w:style w:type="character" w:customStyle="1" w:styleId="92">
    <w:name w:val="Char Char7"/>
    <w:qFormat/>
    <w:uiPriority w:val="0"/>
    <w:rPr>
      <w:rFonts w:ascii="Arial" w:hAnsi="Arial" w:eastAsia="黑体"/>
      <w:b/>
      <w:bCs/>
      <w:kern w:val="2"/>
      <w:sz w:val="32"/>
      <w:szCs w:val="32"/>
      <w:lang w:val="en-US" w:eastAsia="zh-CN" w:bidi="ar-SA"/>
    </w:rPr>
  </w:style>
  <w:style w:type="character" w:customStyle="1" w:styleId="93">
    <w:name w:val="HTML 预设格式 字符"/>
    <w:link w:val="35"/>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字符"/>
    <w:link w:val="21"/>
    <w:qFormat/>
    <w:uiPriority w:val="99"/>
    <w:rPr>
      <w:rFonts w:ascii="Courier New" w:hAnsi="Courier New"/>
    </w:rPr>
  </w:style>
  <w:style w:type="character" w:customStyle="1" w:styleId="96">
    <w:name w:val="标题 7 字符"/>
    <w:link w:val="8"/>
    <w:qFormat/>
    <w:uiPriority w:val="0"/>
    <w:rPr>
      <w:rFonts w:ascii="Times New Roman" w:hAnsi="Times New Roman" w:eastAsia="宋体" w:cs="Times New Roman"/>
      <w:b/>
      <w:bCs/>
      <w:kern w:val="0"/>
      <w:sz w:val="24"/>
      <w:szCs w:val="24"/>
    </w:rPr>
  </w:style>
  <w:style w:type="paragraph" w:customStyle="1" w:styleId="97">
    <w:name w:val="样式4"/>
    <w:basedOn w:val="5"/>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5"/>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列出段落1"/>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1"/>
    <w:basedOn w:val="1"/>
    <w:next w:val="1"/>
    <w:qFormat/>
    <w:uiPriority w:val="0"/>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5"/>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qFormat/>
    <w:uiPriority w:val="0"/>
    <w:rPr>
      <w:bdr w:val="dashed" w:color="auto" w:sz="48" w:space="0"/>
    </w:rPr>
  </w:style>
  <w:style w:type="character" w:customStyle="1" w:styleId="158">
    <w:name w:val="before"/>
    <w:qFormat/>
    <w:uiPriority w:val="0"/>
    <w:rPr>
      <w:bdr w:val="single" w:color="auto" w:sz="48" w:space="0"/>
    </w:rPr>
  </w:style>
  <w:style w:type="character" w:customStyle="1" w:styleId="159">
    <w:name w:val="hover48"/>
    <w:qFormat/>
    <w:uiPriority w:val="0"/>
    <w:rPr>
      <w:shd w:val="clear" w:color="auto" w:fill="346AC3"/>
    </w:rPr>
  </w:style>
  <w:style w:type="character" w:customStyle="1" w:styleId="160">
    <w:name w:val="hover49"/>
    <w:basedOn w:val="43"/>
    <w:qFormat/>
    <w:uiPriority w:val="0"/>
  </w:style>
  <w:style w:type="character" w:customStyle="1" w:styleId="161">
    <w:name w:val="hover50"/>
    <w:qFormat/>
    <w:uiPriority w:val="0"/>
    <w:rPr>
      <w:color w:val="4285F4"/>
      <w:u w:val="none"/>
    </w:rPr>
  </w:style>
  <w:style w:type="character" w:customStyle="1" w:styleId="162">
    <w:name w:val="hover51"/>
    <w:qFormat/>
    <w:uiPriority w:val="0"/>
    <w:rPr>
      <w:color w:val="4285F4"/>
    </w:rPr>
  </w:style>
  <w:style w:type="character" w:customStyle="1" w:styleId="163">
    <w:name w:val="hover52"/>
    <w:qFormat/>
    <w:uiPriority w:val="0"/>
    <w:rPr>
      <w:color w:val="1A85D7"/>
    </w:rPr>
  </w:style>
  <w:style w:type="character" w:customStyle="1" w:styleId="164">
    <w:name w:val="credit"/>
    <w:qFormat/>
    <w:uiPriority w:val="0"/>
    <w:rPr>
      <w:sz w:val="18"/>
      <w:szCs w:val="18"/>
    </w:rPr>
  </w:style>
  <w:style w:type="character" w:customStyle="1" w:styleId="165">
    <w:name w:val="first-child"/>
    <w:basedOn w:val="43"/>
    <w:qFormat/>
    <w:uiPriority w:val="0"/>
  </w:style>
  <w:style w:type="paragraph" w:customStyle="1" w:styleId="166">
    <w:name w:val="表格内正文，无编号"/>
    <w:basedOn w:val="1"/>
    <w:qFormat/>
    <w:uiPriority w:val="0"/>
    <w:pPr>
      <w:spacing w:line="400" w:lineRule="exact"/>
      <w:ind w:firstLine="643" w:firstLineChars="200"/>
    </w:pPr>
  </w:style>
  <w:style w:type="paragraph" w:customStyle="1" w:styleId="167">
    <w:name w:val="符号列表"/>
    <w:basedOn w:val="1"/>
    <w:next w:val="118"/>
    <w:qFormat/>
    <w:uiPriority w:val="34"/>
    <w:pPr>
      <w:spacing w:beforeLines="50"/>
      <w:ind w:firstLine="420" w:firstLineChars="200"/>
    </w:pPr>
    <w:rPr>
      <w:rFonts w:ascii="Calibri" w:hAnsi="Calibri"/>
      <w:sz w:val="24"/>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5745</Words>
  <Characters>6020</Characters>
  <Lines>53</Lines>
  <Paragraphs>14</Paragraphs>
  <TotalTime>203</TotalTime>
  <ScaleCrop>false</ScaleCrop>
  <LinksUpToDate>false</LinksUpToDate>
  <CharactersWithSpaces>6463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♂杰♂</cp:lastModifiedBy>
  <cp:lastPrinted>2021-07-23T02:23:00Z</cp:lastPrinted>
  <dcterms:modified xsi:type="dcterms:W3CDTF">2022-04-27T09:33:08Z</dcterms:modified>
  <dc:title>项目名称：2019年重庆市取消高速公路省界收费站项目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9AA232BBC7F94BBAA841210958F5E029</vt:lpwstr>
  </property>
</Properties>
</file>