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6"/>
        </w:tabs>
        <w:kinsoku/>
        <w:wordWrap/>
        <w:overflowPunct/>
        <w:topLinePunct w:val="0"/>
        <w:autoSpaceDE/>
        <w:autoSpaceDN/>
        <w:bidi w:val="0"/>
        <w:adjustRightInd/>
        <w:snapToGrid w:val="0"/>
        <w:spacing w:line="580" w:lineRule="exact"/>
        <w:jc w:val="center"/>
        <w:textAlignment w:val="auto"/>
        <w:rPr>
          <w:rFonts w:hint="eastAsia" w:ascii="方正小标宋_GBK" w:hAnsi="方正小标宋_GBK" w:eastAsia="方正小标宋_GBK" w:cs="方正小标宋_GBK"/>
          <w:color w:val="000000"/>
          <w:spacing w:val="-20"/>
          <w:kern w:val="2"/>
          <w:sz w:val="44"/>
          <w:szCs w:val="44"/>
          <w:highlight w:val="none"/>
          <w:lang w:val="en-US" w:eastAsia="zh-CN" w:bidi="ar-SA"/>
        </w:rPr>
      </w:pPr>
      <w:r>
        <w:rPr>
          <w:rFonts w:hint="eastAsia" w:ascii="方正小标宋_GBK" w:hAnsi="方正小标宋_GBK" w:eastAsia="方正小标宋_GBK" w:cs="方正小标宋_GBK"/>
          <w:color w:val="000000"/>
          <w:spacing w:val="-20"/>
          <w:kern w:val="2"/>
          <w:sz w:val="44"/>
          <w:szCs w:val="44"/>
          <w:highlight w:val="none"/>
          <w:lang w:val="en-US" w:eastAsia="zh-CN" w:bidi="ar-SA"/>
        </w:rPr>
        <w:t>重庆高速公路集团有限公司东北营运分公司</w:t>
      </w:r>
    </w:p>
    <w:p>
      <w:pPr>
        <w:keepNext w:val="0"/>
        <w:keepLines w:val="0"/>
        <w:pageBreakBefore w:val="0"/>
        <w:widowControl w:val="0"/>
        <w:tabs>
          <w:tab w:val="left" w:pos="426"/>
        </w:tabs>
        <w:kinsoku/>
        <w:wordWrap/>
        <w:overflowPunct/>
        <w:topLinePunct w:val="0"/>
        <w:autoSpaceDE/>
        <w:autoSpaceDN/>
        <w:bidi w:val="0"/>
        <w:adjustRightInd/>
        <w:snapToGrid w:val="0"/>
        <w:spacing w:line="580" w:lineRule="exact"/>
        <w:jc w:val="center"/>
        <w:textAlignment w:val="auto"/>
        <w:rPr>
          <w:rFonts w:hint="eastAsia" w:ascii="方正小标宋_GBK" w:hAnsi="方正小标宋_GBK" w:eastAsia="方正小标宋_GBK" w:cs="方正小标宋_GBK"/>
          <w:color w:val="000000"/>
          <w:spacing w:val="-20"/>
          <w:kern w:val="2"/>
          <w:sz w:val="44"/>
          <w:szCs w:val="44"/>
          <w:highlight w:val="none"/>
          <w:lang w:val="en-US" w:eastAsia="zh-CN" w:bidi="ar-SA"/>
        </w:rPr>
      </w:pPr>
      <w:r>
        <w:rPr>
          <w:rFonts w:hint="eastAsia" w:ascii="方正小标宋_GBK" w:hAnsi="方正小标宋_GBK" w:eastAsia="方正小标宋_GBK" w:cs="方正小标宋_GBK"/>
          <w:color w:val="000000"/>
          <w:spacing w:val="-20"/>
          <w:kern w:val="2"/>
          <w:sz w:val="44"/>
          <w:szCs w:val="44"/>
          <w:highlight w:val="none"/>
          <w:lang w:val="en-US" w:eastAsia="zh-CN" w:bidi="ar-SA"/>
        </w:rPr>
        <w:t>城开路土地房产税应税范围清理项目</w:t>
      </w:r>
    </w:p>
    <w:p>
      <w:pPr>
        <w:keepNext w:val="0"/>
        <w:keepLines w:val="0"/>
        <w:pageBreakBefore w:val="0"/>
        <w:widowControl w:val="0"/>
        <w:tabs>
          <w:tab w:val="left" w:pos="426"/>
        </w:tabs>
        <w:kinsoku/>
        <w:wordWrap/>
        <w:overflowPunct/>
        <w:topLinePunct w:val="0"/>
        <w:autoSpaceDE/>
        <w:autoSpaceDN/>
        <w:bidi w:val="0"/>
        <w:adjustRightInd/>
        <w:snapToGrid w:val="0"/>
        <w:spacing w:line="580" w:lineRule="exact"/>
        <w:jc w:val="center"/>
        <w:textAlignment w:val="auto"/>
        <w:rPr>
          <w:rFonts w:hint="eastAsia" w:ascii="方正小标宋_GBK" w:hAnsi="方正小标宋_GBK" w:eastAsia="方正小标宋_GBK" w:cs="方正小标宋_GBK"/>
          <w:color w:val="000000"/>
          <w:spacing w:val="-20"/>
          <w:kern w:val="2"/>
          <w:sz w:val="44"/>
          <w:szCs w:val="44"/>
          <w:highlight w:val="none"/>
          <w:lang w:val="en-US" w:eastAsia="zh-CN" w:bidi="ar-SA"/>
        </w:rPr>
      </w:pPr>
      <w:r>
        <w:rPr>
          <w:rFonts w:hint="eastAsia" w:ascii="方正小标宋_GBK" w:hAnsi="方正小标宋_GBK" w:eastAsia="方正小标宋_GBK" w:cs="方正小标宋_GBK"/>
          <w:color w:val="000000"/>
          <w:spacing w:val="-20"/>
          <w:kern w:val="2"/>
          <w:sz w:val="44"/>
          <w:szCs w:val="44"/>
          <w:highlight w:val="none"/>
          <w:lang w:val="en-US" w:eastAsia="zh-CN" w:bidi="ar-SA"/>
        </w:rPr>
        <w:t>竞争性比选询价函</w:t>
      </w:r>
    </w:p>
    <w:p>
      <w:pPr>
        <w:spacing w:line="360" w:lineRule="auto"/>
        <w:rPr>
          <w:rFonts w:ascii="微软雅黑" w:hAnsi="微软雅黑" w:eastAsia="微软雅黑"/>
          <w:sz w:val="28"/>
          <w:szCs w:val="28"/>
        </w:rPr>
      </w:pPr>
    </w:p>
    <w:p>
      <w:pPr>
        <w:keepNext w:val="0"/>
        <w:keepLines w:val="0"/>
        <w:pageBreakBefore w:val="0"/>
        <w:widowControl w:val="0"/>
        <w:tabs>
          <w:tab w:val="left" w:pos="426"/>
        </w:tabs>
        <w:kinsoku/>
        <w:wordWrap/>
        <w:overflowPunct/>
        <w:topLinePunct w:val="0"/>
        <w:bidi w:val="0"/>
        <w:snapToGrid w:val="0"/>
        <w:spacing w:line="560" w:lineRule="exact"/>
        <w:ind w:firstLine="616" w:firstLineChars="200"/>
        <w:textAlignment w:val="auto"/>
        <w:rPr>
          <w:rFonts w:hint="default" w:ascii="方正仿宋_GBK" w:hAnsi="方正仿宋_GBK" w:eastAsia="方正仿宋_GBK" w:cs="方正仿宋_GBK"/>
          <w:color w:val="000000"/>
          <w:spacing w:val="-6"/>
          <w:kern w:val="2"/>
          <w:sz w:val="32"/>
          <w:szCs w:val="32"/>
          <w:highlight w:val="none"/>
          <w:lang w:val="en-US" w:eastAsia="zh-CN" w:bidi="ar-SA"/>
        </w:rPr>
      </w:pPr>
      <w:r>
        <w:rPr>
          <w:rFonts w:hint="default" w:ascii="方正仿宋_GBK" w:hAnsi="方正仿宋_GBK" w:eastAsia="方正仿宋_GBK" w:cs="方正仿宋_GBK"/>
          <w:color w:val="000000"/>
          <w:spacing w:val="-6"/>
          <w:kern w:val="2"/>
          <w:sz w:val="32"/>
          <w:szCs w:val="32"/>
          <w:highlight w:val="none"/>
          <w:lang w:val="en-US" w:eastAsia="zh-CN" w:bidi="ar-SA"/>
        </w:rPr>
        <w:t>根据《中华人民共和国房产税暂行条例》、《中华人民共和国城镇土地使用税暂行条例》等相关税法的规定，我司管辖路段中城开路正式运行收费后</w:t>
      </w:r>
      <w:r>
        <w:rPr>
          <w:rFonts w:hint="eastAsia" w:ascii="方正仿宋_GBK" w:hAnsi="方正仿宋_GBK" w:eastAsia="方正仿宋_GBK" w:cs="方正仿宋_GBK"/>
          <w:color w:val="000000"/>
          <w:spacing w:val="-6"/>
          <w:kern w:val="2"/>
          <w:sz w:val="32"/>
          <w:szCs w:val="32"/>
          <w:highlight w:val="none"/>
          <w:lang w:val="en-US" w:eastAsia="zh-CN" w:bidi="ar-SA"/>
        </w:rPr>
        <w:t>（2022年12月30日顺利通车运营）</w:t>
      </w:r>
      <w:r>
        <w:rPr>
          <w:rFonts w:hint="default" w:ascii="方正仿宋_GBK" w:hAnsi="方正仿宋_GBK" w:eastAsia="方正仿宋_GBK" w:cs="方正仿宋_GBK"/>
          <w:color w:val="000000"/>
          <w:spacing w:val="-6"/>
          <w:kern w:val="2"/>
          <w:sz w:val="32"/>
          <w:szCs w:val="32"/>
          <w:highlight w:val="none"/>
          <w:lang w:val="en-US" w:eastAsia="zh-CN" w:bidi="ar-SA"/>
        </w:rPr>
        <w:t>应缴纳相应的土地使用税、房产税</w:t>
      </w:r>
      <w:r>
        <w:rPr>
          <w:rFonts w:hint="eastAsia" w:ascii="方正仿宋_GBK" w:hAnsi="方正仿宋_GBK" w:eastAsia="方正仿宋_GBK" w:cs="方正仿宋_GBK"/>
          <w:color w:val="000000"/>
          <w:spacing w:val="-6"/>
          <w:kern w:val="2"/>
          <w:sz w:val="32"/>
          <w:szCs w:val="32"/>
          <w:highlight w:val="none"/>
          <w:lang w:val="en-US" w:eastAsia="zh-CN" w:bidi="ar-SA"/>
        </w:rPr>
        <w:t>。</w:t>
      </w:r>
      <w:r>
        <w:rPr>
          <w:rFonts w:hint="default" w:ascii="方正仿宋_GBK" w:hAnsi="方正仿宋_GBK" w:eastAsia="方正仿宋_GBK" w:cs="方正仿宋_GBK"/>
          <w:color w:val="000000"/>
          <w:spacing w:val="-6"/>
          <w:kern w:val="2"/>
          <w:sz w:val="32"/>
          <w:szCs w:val="32"/>
          <w:highlight w:val="none"/>
          <w:lang w:val="en-US" w:eastAsia="zh-CN" w:bidi="ar-SA"/>
        </w:rPr>
        <w:t>为提前做好城开路土地使用税及房产税的申报工作，</w:t>
      </w:r>
      <w:r>
        <w:rPr>
          <w:rFonts w:hint="eastAsia" w:ascii="方正仿宋_GBK" w:hAnsi="方正仿宋_GBK" w:eastAsia="方正仿宋_GBK" w:cs="方正仿宋_GBK"/>
          <w:color w:val="000000"/>
          <w:spacing w:val="-6"/>
          <w:kern w:val="2"/>
          <w:sz w:val="32"/>
          <w:szCs w:val="32"/>
          <w:highlight w:val="none"/>
          <w:lang w:val="en-US" w:eastAsia="zh-CN" w:bidi="ar-SA"/>
        </w:rPr>
        <w:t>开展此次竞争性比选活动</w:t>
      </w:r>
      <w:r>
        <w:rPr>
          <w:rFonts w:hint="default" w:ascii="方正仿宋_GBK" w:hAnsi="方正仿宋_GBK" w:eastAsia="方正仿宋_GBK" w:cs="方正仿宋_GBK"/>
          <w:color w:val="000000"/>
          <w:spacing w:val="-6"/>
          <w:kern w:val="2"/>
          <w:sz w:val="32"/>
          <w:szCs w:val="32"/>
          <w:highlight w:val="none"/>
          <w:lang w:val="en-US" w:eastAsia="zh-CN" w:bidi="ar-SA"/>
        </w:rPr>
        <w:t>，</w:t>
      </w:r>
      <w:r>
        <w:rPr>
          <w:rFonts w:hint="default" w:ascii="方正仿宋_GBK" w:hAnsi="方正仿宋_GBK" w:eastAsia="方正仿宋_GBK" w:cs="方正仿宋_GBK"/>
          <w:color w:val="000000"/>
          <w:kern w:val="0"/>
          <w:sz w:val="32"/>
          <w:szCs w:val="32"/>
          <w:lang w:eastAsia="zh-CN"/>
        </w:rPr>
        <w:t>现拟在集团的</w:t>
      </w:r>
      <w:r>
        <w:rPr>
          <w:rFonts w:hint="eastAsia" w:ascii="方正仿宋_GBK" w:hAnsi="方正仿宋_GBK" w:eastAsia="方正仿宋_GBK" w:cs="方正仿宋_GBK"/>
          <w:color w:val="000000"/>
          <w:kern w:val="0"/>
          <w:sz w:val="32"/>
          <w:szCs w:val="32"/>
          <w:lang w:val="en-US" w:eastAsia="zh-CN"/>
        </w:rPr>
        <w:t>招投标平台发布询价函</w:t>
      </w:r>
      <w:r>
        <w:rPr>
          <w:rFonts w:hint="default" w:ascii="方正仿宋_GBK" w:hAnsi="方正仿宋_GBK" w:eastAsia="方正仿宋_GBK" w:cs="方正仿宋_GBK"/>
          <w:color w:val="000000"/>
          <w:kern w:val="0"/>
          <w:sz w:val="32"/>
          <w:szCs w:val="32"/>
          <w:lang w:eastAsia="zh-CN"/>
        </w:rPr>
        <w:t>，采取竞争性比选的方式，</w:t>
      </w:r>
      <w:r>
        <w:rPr>
          <w:rFonts w:hint="eastAsia" w:ascii="方正仿宋_GBK" w:hAnsi="方正仿宋_GBK" w:eastAsia="方正仿宋_GBK" w:cs="方正仿宋_GBK"/>
          <w:color w:val="000000"/>
          <w:spacing w:val="-6"/>
          <w:kern w:val="2"/>
          <w:sz w:val="32"/>
          <w:szCs w:val="32"/>
          <w:highlight w:val="none"/>
          <w:lang w:val="en-US" w:eastAsia="zh-CN" w:bidi="ar-SA"/>
        </w:rPr>
        <w:t>经评审的最低投标价法</w:t>
      </w:r>
      <w:r>
        <w:rPr>
          <w:rFonts w:hint="default" w:ascii="方正仿宋_GBK" w:hAnsi="方正仿宋_GBK" w:eastAsia="方正仿宋_GBK" w:cs="方正仿宋_GBK"/>
          <w:color w:val="000000"/>
          <w:spacing w:val="-6"/>
          <w:kern w:val="2"/>
          <w:sz w:val="32"/>
          <w:szCs w:val="32"/>
          <w:highlight w:val="none"/>
          <w:lang w:val="en-US" w:eastAsia="zh-CN" w:bidi="ar-SA"/>
        </w:rPr>
        <w:t>聘请一家税务咨询机构提供专业服务。</w:t>
      </w:r>
    </w:p>
    <w:p>
      <w:pPr>
        <w:keepNext w:val="0"/>
        <w:keepLines w:val="0"/>
        <w:pageBreakBefore w:val="0"/>
        <w:widowControl w:val="0"/>
        <w:numPr>
          <w:ilvl w:val="0"/>
          <w:numId w:val="1"/>
        </w:numPr>
        <w:kinsoku/>
        <w:wordWrap/>
        <w:overflowPunct/>
        <w:topLinePunct w:val="0"/>
        <w:bidi w:val="0"/>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项目内容</w:t>
      </w:r>
    </w:p>
    <w:p>
      <w:pPr>
        <w:pStyle w:val="2"/>
        <w:keepNext w:val="0"/>
        <w:keepLines w:val="0"/>
        <w:pageBreakBefore w:val="0"/>
        <w:widowControl w:val="0"/>
        <w:numPr>
          <w:ilvl w:val="0"/>
          <w:numId w:val="0"/>
        </w:numPr>
        <w:kinsoku/>
        <w:wordWrap/>
        <w:overflowPunct/>
        <w:topLinePunct w:val="0"/>
        <w:bidi w:val="0"/>
        <w:spacing w:line="560" w:lineRule="exact"/>
        <w:ind w:firstLine="616" w:firstLineChars="200"/>
        <w:textAlignment w:val="auto"/>
        <w:rPr>
          <w:rFonts w:hint="eastAsia" w:ascii="方正仿宋_GBK" w:hAnsi="方正仿宋_GBK" w:eastAsia="方正仿宋_GBK" w:cs="方正仿宋_GBK"/>
          <w:color w:val="000000"/>
          <w:spacing w:val="-6"/>
          <w:kern w:val="2"/>
          <w:sz w:val="32"/>
          <w:szCs w:val="32"/>
          <w:highlight w:val="none"/>
          <w:lang w:val="en-US" w:eastAsia="zh-CN" w:bidi="ar-SA"/>
        </w:rPr>
      </w:pPr>
      <w:r>
        <w:rPr>
          <w:rFonts w:hint="eastAsia" w:ascii="方正仿宋_GBK" w:hAnsi="方正仿宋_GBK" w:eastAsia="方正仿宋_GBK" w:cs="方正仿宋_GBK"/>
          <w:color w:val="000000"/>
          <w:spacing w:val="-6"/>
          <w:kern w:val="2"/>
          <w:sz w:val="32"/>
          <w:szCs w:val="32"/>
          <w:highlight w:val="none"/>
          <w:lang w:val="en-US" w:eastAsia="zh-CN" w:bidi="ar-SA"/>
        </w:rPr>
        <w:t>根据建设资料清理城开路土地使用税及房产税应税范围、计税基础等信息及数据，并完成相应税收的申报指导工作。清理的具体范围包括：</w:t>
      </w:r>
    </w:p>
    <w:p>
      <w:pPr>
        <w:pStyle w:val="2"/>
        <w:keepNext w:val="0"/>
        <w:keepLines w:val="0"/>
        <w:pageBreakBefore w:val="0"/>
        <w:widowControl w:val="0"/>
        <w:numPr>
          <w:ilvl w:val="0"/>
          <w:numId w:val="0"/>
        </w:numPr>
        <w:kinsoku/>
        <w:wordWrap/>
        <w:overflowPunct/>
        <w:topLinePunct w:val="0"/>
        <w:bidi w:val="0"/>
        <w:spacing w:line="560" w:lineRule="exact"/>
        <w:ind w:firstLine="616" w:firstLineChars="200"/>
        <w:textAlignment w:val="auto"/>
        <w:rPr>
          <w:rFonts w:hint="eastAsia" w:ascii="方正仿宋_GBK" w:hAnsi="方正仿宋_GBK" w:eastAsia="方正仿宋_GBK" w:cs="方正仿宋_GBK"/>
          <w:color w:val="000000"/>
          <w:spacing w:val="-6"/>
          <w:kern w:val="2"/>
          <w:sz w:val="32"/>
          <w:szCs w:val="32"/>
          <w:highlight w:val="none"/>
          <w:lang w:val="en-US" w:eastAsia="zh-CN" w:bidi="ar-SA"/>
        </w:rPr>
      </w:pPr>
      <w:r>
        <w:rPr>
          <w:rFonts w:hint="eastAsia" w:ascii="方正仿宋_GBK" w:hAnsi="方正仿宋_GBK" w:eastAsia="方正仿宋_GBK" w:cs="方正仿宋_GBK"/>
          <w:color w:val="000000"/>
          <w:spacing w:val="-6"/>
          <w:kern w:val="2"/>
          <w:sz w:val="32"/>
          <w:szCs w:val="32"/>
          <w:highlight w:val="none"/>
          <w:lang w:val="en-US" w:eastAsia="zh-CN" w:bidi="ar-SA"/>
        </w:rPr>
        <w:t>（一）城开路收费站（十个）：谭家收费站、温泉收费站、白鹤收费站、开州东收费站、开州港收费站、雪宝山收费站、雪宝山北收费站、蓼子收费站、城口收费站、北屏收费站。</w:t>
      </w:r>
    </w:p>
    <w:p>
      <w:pPr>
        <w:pStyle w:val="14"/>
        <w:keepNext w:val="0"/>
        <w:keepLines w:val="0"/>
        <w:pageBreakBefore w:val="0"/>
        <w:widowControl w:val="0"/>
        <w:numPr>
          <w:ilvl w:val="0"/>
          <w:numId w:val="0"/>
        </w:numPr>
        <w:kinsoku/>
        <w:wordWrap/>
        <w:overflowPunct/>
        <w:topLinePunct w:val="0"/>
        <w:bidi w:val="0"/>
        <w:snapToGrid/>
        <w:spacing w:line="560" w:lineRule="exact"/>
        <w:ind w:firstLine="616"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pacing w:val="-6"/>
          <w:kern w:val="2"/>
          <w:sz w:val="32"/>
          <w:szCs w:val="32"/>
          <w:highlight w:val="none"/>
          <w:lang w:val="en-US" w:eastAsia="zh-CN" w:bidi="ar-SA"/>
        </w:rPr>
        <w:t>（二）城开路服务区（三对）：谭家服务区、开州北服务区、鸡鸣服务区。</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、投标人资格</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16" w:firstLineChars="200"/>
        <w:jc w:val="both"/>
        <w:textAlignment w:val="auto"/>
        <w:rPr>
          <w:rFonts w:hint="eastAsia" w:ascii="方正仿宋_GBK" w:hAnsi="方正仿宋_GBK" w:eastAsia="方正仿宋_GBK" w:cs="方正仿宋_GBK"/>
          <w:color w:val="000000"/>
          <w:spacing w:val="-6"/>
          <w:kern w:val="2"/>
          <w:sz w:val="32"/>
          <w:szCs w:val="32"/>
          <w:highlight w:val="none"/>
          <w:lang w:val="en-US" w:eastAsia="zh-CN" w:bidi="ar-SA"/>
        </w:rPr>
      </w:pPr>
      <w:r>
        <w:rPr>
          <w:rFonts w:hint="eastAsia" w:ascii="方正仿宋_GBK" w:hAnsi="方正仿宋_GBK" w:eastAsia="方正仿宋_GBK" w:cs="方正仿宋_GBK"/>
          <w:color w:val="000000"/>
          <w:spacing w:val="-6"/>
          <w:kern w:val="2"/>
          <w:sz w:val="32"/>
          <w:szCs w:val="32"/>
          <w:highlight w:val="none"/>
          <w:lang w:val="en-US" w:eastAsia="zh-CN" w:bidi="ar-SA"/>
        </w:rPr>
        <w:t>（一）要求投标人为在中华人民共和国境内依法注册， 具有独立法人资格，注册时间须 3 年及以上，营业执照载明的经营范围需包含：税务咨询服务等税务相关服务内容。</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16" w:firstLineChars="200"/>
        <w:jc w:val="both"/>
        <w:textAlignment w:val="auto"/>
        <w:rPr>
          <w:rFonts w:hint="eastAsia" w:ascii="方正仿宋_GBK" w:hAnsi="方正仿宋_GBK" w:eastAsia="方正仿宋_GBK" w:cs="方正仿宋_GBK"/>
          <w:color w:val="000000"/>
          <w:spacing w:val="-6"/>
          <w:kern w:val="2"/>
          <w:sz w:val="32"/>
          <w:szCs w:val="32"/>
          <w:highlight w:val="none"/>
          <w:lang w:val="en-US" w:eastAsia="zh-CN" w:bidi="ar-SA"/>
        </w:rPr>
      </w:pPr>
      <w:r>
        <w:rPr>
          <w:rFonts w:hint="eastAsia" w:ascii="方正仿宋_GBK" w:hAnsi="方正仿宋_GBK" w:eastAsia="方正仿宋_GBK" w:cs="方正仿宋_GBK"/>
          <w:color w:val="000000"/>
          <w:spacing w:val="-6"/>
          <w:kern w:val="2"/>
          <w:sz w:val="32"/>
          <w:szCs w:val="32"/>
          <w:highlight w:val="none"/>
          <w:lang w:val="en-US" w:eastAsia="zh-CN" w:bidi="ar-SA"/>
        </w:rPr>
        <w:t>（二）投标人近3年内承揽过重庆市高速公路土地使用税及房产税应税范围清理、申报的税务咨询服务项目，并提供合同、不违反保密义务的项目资料等相关业务证明。</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、投标文件</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1、封面；</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2、目录；</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3、投标函；</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4、法定代表人身份证明或授权委托书；</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5、单位营业执照复印件；</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6、单位的信誉情况</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7、签订</w:t>
      </w:r>
      <w:r>
        <w:rPr>
          <w:rFonts w:ascii="方正仿宋_GBK" w:hAnsi="方正仿宋_GBK" w:eastAsia="方正仿宋_GBK" w:cs="方正仿宋_GBK"/>
          <w:sz w:val="32"/>
          <w:szCs w:val="32"/>
        </w:rPr>
        <w:t>的类似项目</w:t>
      </w:r>
      <w:r>
        <w:rPr>
          <w:rFonts w:hint="eastAsia" w:ascii="方正仿宋_GBK" w:hAnsi="方正仿宋_GBK" w:eastAsia="方正仿宋_GBK" w:cs="方正仿宋_GBK"/>
          <w:sz w:val="32"/>
          <w:szCs w:val="32"/>
        </w:rPr>
        <w:t>合同</w:t>
      </w:r>
      <w:r>
        <w:rPr>
          <w:rFonts w:ascii="方正仿宋_GBK" w:hAnsi="方正仿宋_GBK" w:eastAsia="方正仿宋_GBK" w:cs="方正仿宋_GBK"/>
          <w:sz w:val="32"/>
          <w:szCs w:val="32"/>
        </w:rPr>
        <w:t>情况表</w:t>
      </w:r>
      <w:r>
        <w:rPr>
          <w:rFonts w:hint="eastAsia" w:ascii="方正仿宋_GBK" w:hAnsi="方正仿宋_GBK" w:eastAsia="方正仿宋_GBK" w:cs="方正仿宋_GBK"/>
          <w:sz w:val="32"/>
          <w:szCs w:val="32"/>
          <w:lang w:val="en-US" w:eastAsia="zh-CN"/>
        </w:rPr>
        <w:t>和合同证明</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、报价函</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eastAsia="方正仿宋_GBK"/>
          <w:lang w:val="en-US" w:eastAsia="zh-CN"/>
        </w:rPr>
      </w:pPr>
      <w:r>
        <w:rPr>
          <w:rFonts w:hint="eastAsia" w:ascii="方正仿宋_GBK" w:hAnsi="方正仿宋_GBK" w:eastAsia="方正仿宋_GBK" w:cs="方正仿宋_GBK"/>
          <w:sz w:val="32"/>
          <w:szCs w:val="32"/>
        </w:rPr>
        <w:t>以上资料均需加盖单位公章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装订成一册，密封装袋。 </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、投标报价</w:t>
      </w:r>
    </w:p>
    <w:p>
      <w:pPr>
        <w:keepNext w:val="0"/>
        <w:keepLines w:val="0"/>
        <w:pageBreakBefore w:val="0"/>
        <w:widowControl w:val="0"/>
        <w:kinsoku/>
        <w:wordWrap/>
        <w:overflowPunct/>
        <w:topLinePunct w:val="0"/>
        <w:bidi w:val="0"/>
        <w:adjustRightIn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该项目比选</w:t>
      </w:r>
      <w:r>
        <w:rPr>
          <w:rFonts w:hint="eastAsia" w:ascii="方正仿宋_GBK" w:hAnsi="方正仿宋_GBK" w:eastAsia="方正仿宋_GBK" w:cs="方正仿宋_GBK"/>
          <w:sz w:val="32"/>
          <w:szCs w:val="32"/>
          <w:lang w:val="en-US" w:eastAsia="zh-CN"/>
        </w:rPr>
        <w:t>综合</w:t>
      </w:r>
      <w:r>
        <w:rPr>
          <w:rFonts w:hint="eastAsia" w:ascii="方正仿宋_GBK" w:hAnsi="方正仿宋_GBK" w:eastAsia="方正仿宋_GBK" w:cs="方正仿宋_GBK"/>
          <w:sz w:val="32"/>
          <w:szCs w:val="32"/>
        </w:rPr>
        <w:t>限价为</w:t>
      </w:r>
      <w:r>
        <w:rPr>
          <w:rFonts w:hint="eastAsia" w:ascii="方正仿宋_GBK" w:hAnsi="方正仿宋_GBK" w:eastAsia="方正仿宋_GBK" w:cs="方正仿宋_GBK"/>
          <w:sz w:val="32"/>
          <w:szCs w:val="32"/>
          <w:lang w:val="en-US" w:eastAsia="zh-CN"/>
        </w:rPr>
        <w:t>40000元（大写：肆万元整）</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bidi w:val="0"/>
        <w:adjustRightIn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投标报价包括为实施和完成本合同所需的劳务、管理、税费、利润等所有费用，以及该项任务明示或暗示的所有责任、义务和风险。</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ascii="方正黑体_GBK" w:hAnsi="方正黑体_GBK" w:eastAsia="方正黑体_GBK" w:cs="方正黑体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、评选办法</w:t>
      </w:r>
    </w:p>
    <w:p>
      <w:pPr>
        <w:keepNext w:val="0"/>
        <w:keepLines w:val="0"/>
        <w:pageBreakBefore w:val="0"/>
        <w:widowControl w:val="0"/>
        <w:kinsoku/>
        <w:wordWrap/>
        <w:overflowPunct/>
        <w:topLinePunct w:val="0"/>
        <w:bidi w:val="0"/>
        <w:adjustRightIn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本项目</w:t>
      </w:r>
      <w:r>
        <w:rPr>
          <w:rFonts w:hint="eastAsia" w:ascii="方正楷体_GBK" w:hAnsi="方正楷体_GBK" w:eastAsia="方正楷体_GBK" w:cs="方正楷体_GBK"/>
          <w:sz w:val="32"/>
          <w:szCs w:val="32"/>
          <w:lang w:val="en-US" w:eastAsia="zh-CN"/>
        </w:rPr>
        <w:t>按经评审的最低投标价法</w:t>
      </w:r>
      <w:r>
        <w:rPr>
          <w:rFonts w:hint="eastAsia" w:ascii="方正楷体_GBK" w:hAnsi="方正楷体_GBK" w:eastAsia="方正楷体_GBK" w:cs="方正楷体_GBK"/>
          <w:sz w:val="32"/>
          <w:szCs w:val="32"/>
        </w:rPr>
        <w:t>进行评标</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bidi w:val="0"/>
        <w:adjustRightInd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投标报价单位经资格审查通过后，以经评审的最低价中标法确定中标单位。</w:t>
      </w:r>
      <w:bookmarkStart w:id="0" w:name="_GoBack"/>
      <w:bookmarkEnd w:id="0"/>
    </w:p>
    <w:p>
      <w:pPr>
        <w:keepNext w:val="0"/>
        <w:keepLines w:val="0"/>
        <w:pageBreakBefore w:val="0"/>
        <w:widowControl w:val="0"/>
        <w:kinsoku/>
        <w:wordWrap/>
        <w:overflowPunct/>
        <w:topLinePunct w:val="0"/>
        <w:bidi w:val="0"/>
        <w:adjustRightInd w:val="0"/>
        <w:spacing w:line="560" w:lineRule="exact"/>
        <w:ind w:firstLine="640" w:firstLineChars="200"/>
        <w:textAlignment w:val="auto"/>
        <w:rPr>
          <w:rFonts w:hint="default"/>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kern w:val="2"/>
          <w:sz w:val="32"/>
          <w:szCs w:val="32"/>
          <w:lang w:val="en-US" w:eastAsia="zh-CN" w:bidi="ar-SA"/>
        </w:rPr>
        <w:t xml:space="preserve">废标条款 </w:t>
      </w:r>
    </w:p>
    <w:p>
      <w:pPr>
        <w:pStyle w:val="2"/>
        <w:ind w:left="0" w:leftChars="0" w:firstLine="640" w:firstLineChars="200"/>
        <w:rPr>
          <w:rFonts w:hint="default"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val="en-US" w:eastAsia="zh-CN" w:bidi="ar-SA"/>
        </w:rPr>
        <w:t>1.严格按照投标人资格审核营业执照和业绩</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val="en-US" w:eastAsia="zh-CN" w:bidi="ar-SA"/>
        </w:rPr>
        <w:t xml:space="preserve">否则按废标处理。 </w:t>
      </w:r>
    </w:p>
    <w:p>
      <w:pPr>
        <w:pStyle w:val="2"/>
        <w:ind w:left="0" w:leftChars="0" w:firstLine="640" w:firstLineChars="200"/>
        <w:rPr>
          <w:rFonts w:hint="default"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val="en-US" w:eastAsia="zh-CN" w:bidi="ar-SA"/>
        </w:rPr>
        <w:t>2. 投标书不符合基本的形式要求</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val="en-US" w:eastAsia="zh-CN" w:bidi="ar-SA"/>
        </w:rPr>
        <w:t>包括投标书未加盖公 章</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val="en-US" w:eastAsia="zh-CN" w:bidi="ar-SA"/>
        </w:rPr>
        <w:t>内容不全</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val="en-US" w:eastAsia="zh-CN" w:bidi="ar-SA"/>
        </w:rPr>
        <w:t>逾期送达</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val="en-US" w:eastAsia="zh-CN" w:bidi="ar-SA"/>
        </w:rPr>
        <w:t>未按顺序装订和</w:t>
      </w:r>
      <w:r>
        <w:rPr>
          <w:rFonts w:hint="eastAsia" w:ascii="方正仿宋_GBK" w:hAnsi="方正仿宋_GBK" w:eastAsia="方正仿宋_GBK" w:cs="方正仿宋_GBK"/>
          <w:kern w:val="2"/>
          <w:sz w:val="32"/>
          <w:szCs w:val="32"/>
          <w:lang w:val="en-US" w:eastAsia="zh-CN" w:bidi="ar-SA"/>
        </w:rPr>
        <w:t>密封</w:t>
      </w:r>
      <w:r>
        <w:rPr>
          <w:rFonts w:hint="default" w:ascii="方正仿宋_GBK" w:hAnsi="方正仿宋_GBK" w:eastAsia="方正仿宋_GBK" w:cs="方正仿宋_GBK"/>
          <w:kern w:val="2"/>
          <w:sz w:val="32"/>
          <w:szCs w:val="32"/>
          <w:lang w:val="en-US" w:eastAsia="zh-CN" w:bidi="ar-SA"/>
        </w:rPr>
        <w:t xml:space="preserve">不符合“投标文件”规定等等，按废标处理。 </w:t>
      </w:r>
    </w:p>
    <w:p>
      <w:pPr>
        <w:pStyle w:val="2"/>
        <w:ind w:left="0" w:leftChars="0" w:firstLine="640" w:firstLineChars="200"/>
        <w:rPr>
          <w:rFonts w:hint="default"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val="en-US" w:eastAsia="zh-CN" w:bidi="ar-SA"/>
        </w:rPr>
        <w:t>3.投标的总价不能超过限价</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val="en-US" w:eastAsia="zh-CN" w:bidi="ar-SA"/>
        </w:rPr>
        <w:t>否则按废标处理。</w:t>
      </w:r>
    </w:p>
    <w:p>
      <w:pPr>
        <w:pStyle w:val="2"/>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其它事项</w:t>
      </w:r>
    </w:p>
    <w:p>
      <w:pPr>
        <w:pStyle w:val="2"/>
        <w:ind w:left="0" w:leftChars="0" w:firstLine="640" w:firstLineChars="200"/>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en-US" w:eastAsia="zh-CN"/>
        </w:rPr>
        <w:t>若符合资格的报价单位或报价单位不足3家，</w:t>
      </w:r>
      <w:r>
        <w:rPr>
          <w:rFonts w:hint="eastAsia" w:ascii="方正仿宋_GBK" w:hAnsi="方正仿宋_GBK" w:eastAsia="方正仿宋_GBK" w:cs="方正仿宋_GBK"/>
          <w:color w:val="000000"/>
          <w:kern w:val="0"/>
          <w:sz w:val="32"/>
          <w:szCs w:val="32"/>
          <w:lang w:val="en-US" w:eastAsia="zh-CN" w:bidi="ar"/>
        </w:rPr>
        <w:t>邀请报价较低的申请人进行谈判确定中标单位。</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rPr>
        <w:t>比选须知</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1、竞争比选询价函获取方式：凡愿意参加的潜在竞标人，从本文件挂网起至竞争性比选报名截止时间前，在重庆高速集团官网（</w:t>
      </w:r>
      <w:r>
        <w:rPr>
          <w:rFonts w:ascii="方正仿宋_GBK" w:hAnsi="方正仿宋_GBK" w:eastAsia="方正仿宋_GBK" w:cs="方正仿宋_GBK"/>
          <w:sz w:val="32"/>
          <w:szCs w:val="32"/>
        </w:rPr>
        <w:t>http://www.cegc.com.cn/gw</w:t>
      </w:r>
      <w:r>
        <w:rPr>
          <w:rFonts w:hint="eastAsia" w:ascii="方正仿宋_GBK" w:hAnsi="方正仿宋_GBK" w:eastAsia="方正仿宋_GBK" w:cs="方正仿宋_GBK"/>
          <w:sz w:val="32"/>
          <w:szCs w:val="32"/>
        </w:rPr>
        <w:t>）上发布的本项目竞争性比选公告中自行下载。不管竞标人是否下载，均视为已知晓竞争比选询价函的全部内容和有关事宜。</w:t>
      </w:r>
    </w:p>
    <w:p>
      <w:pPr>
        <w:keepNext w:val="0"/>
        <w:keepLines w:val="0"/>
        <w:pageBreakBefore w:val="0"/>
        <w:widowControl w:val="0"/>
        <w:kinsoku/>
        <w:wordWrap/>
        <w:overflowPunct/>
        <w:topLinePunct w:val="0"/>
        <w:bidi w:val="0"/>
        <w:adjustRightIn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2、竞争性比选公告及结果公示将在重庆高速集团官网（</w:t>
      </w:r>
      <w:r>
        <w:rPr>
          <w:rFonts w:ascii="方正仿宋_GBK" w:hAnsi="方正仿宋_GBK" w:eastAsia="方正仿宋_GBK" w:cs="方正仿宋_GBK"/>
          <w:sz w:val="32"/>
          <w:szCs w:val="32"/>
        </w:rPr>
        <w:t>http://www.cegc.com.cn/gw</w:t>
      </w:r>
      <w:r>
        <w:rPr>
          <w:rFonts w:hint="eastAsia" w:ascii="方正仿宋_GBK" w:hAnsi="方正仿宋_GBK" w:eastAsia="方正仿宋_GBK" w:cs="方正仿宋_GBK"/>
          <w:sz w:val="32"/>
          <w:szCs w:val="32"/>
        </w:rPr>
        <w:t>）上发布。</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、投标文件递交截止时间：202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上</w:t>
      </w:r>
      <w:r>
        <w:rPr>
          <w:rFonts w:hint="eastAsia" w:ascii="方正仿宋_GBK" w:hAnsi="方正仿宋_GBK" w:eastAsia="方正仿宋_GBK" w:cs="方正仿宋_GBK"/>
          <w:sz w:val="32"/>
          <w:szCs w:val="32"/>
        </w:rPr>
        <w:t>午</w:t>
      </w:r>
      <w:r>
        <w:rPr>
          <w:rFonts w:hint="eastAsia" w:ascii="方正仿宋_GBK" w:hAnsi="方正仿宋_GBK" w:eastAsia="方正仿宋_GBK" w:cs="方正仿宋_GBK"/>
          <w:sz w:val="32"/>
          <w:szCs w:val="32"/>
          <w:lang w:val="en-US" w:eastAsia="zh-CN"/>
        </w:rPr>
        <w:t>10:00</w:t>
      </w:r>
      <w:r>
        <w:rPr>
          <w:rFonts w:hint="eastAsia" w:ascii="方正仿宋_GBK" w:hAnsi="方正仿宋_GBK" w:eastAsia="方正仿宋_GBK" w:cs="方正仿宋_GBK"/>
          <w:sz w:val="32"/>
          <w:szCs w:val="32"/>
        </w:rPr>
        <w:t>（北京时间）。</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、投标文件递交地点：重庆高速集团</w:t>
      </w:r>
      <w:r>
        <w:rPr>
          <w:rFonts w:hint="eastAsia" w:ascii="方正仿宋_GBK" w:hAnsi="方正仿宋_GBK" w:eastAsia="方正仿宋_GBK" w:cs="方正仿宋_GBK"/>
          <w:sz w:val="32"/>
          <w:szCs w:val="32"/>
          <w:lang w:val="en-US" w:eastAsia="zh-CN"/>
        </w:rPr>
        <w:t>1401</w:t>
      </w:r>
      <w:r>
        <w:rPr>
          <w:rFonts w:hint="eastAsia" w:ascii="方正仿宋_GBK" w:hAnsi="方正仿宋_GBK" w:eastAsia="方正仿宋_GBK" w:cs="方正仿宋_GBK"/>
          <w:sz w:val="32"/>
          <w:szCs w:val="32"/>
        </w:rPr>
        <w:t>会议室（渝北区银杉路66号）。</w:t>
      </w:r>
    </w:p>
    <w:p>
      <w:pPr>
        <w:keepNext w:val="0"/>
        <w:keepLines w:val="0"/>
        <w:pageBreakBefore w:val="0"/>
        <w:widowControl w:val="0"/>
        <w:kinsoku/>
        <w:wordWrap/>
        <w:overflowPunct/>
        <w:topLinePunct w:val="0"/>
        <w:bidi w:val="0"/>
        <w:adjustRightInd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、各竞标人应根据本次竞争性比选的具体要求，编制规范的竞争性比选投标文件（竞争性比选投标文件，要求密封完好并在封口处加盖公章，所有竞争性比选投标文件均只能作一次性提交，提交后不得更改）。</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七、联系人及联系方式</w:t>
      </w:r>
    </w:p>
    <w:p>
      <w:pPr>
        <w:pStyle w:val="4"/>
        <w:keepNext w:val="0"/>
        <w:keepLines w:val="0"/>
        <w:pageBreakBefore w:val="0"/>
        <w:widowControl w:val="0"/>
        <w:kinsoku/>
        <w:wordWrap/>
        <w:overflowPunct/>
        <w:topLinePunct w:val="0"/>
        <w:bidi w:val="0"/>
        <w:spacing w:line="560" w:lineRule="exact"/>
        <w:ind w:firstLine="640" w:firstLineChars="200"/>
        <w:textAlignment w:val="auto"/>
        <w:rPr>
          <w:rFonts w:hint="default"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rPr>
        <w:t>重庆高速公路集团有限公司</w:t>
      </w:r>
      <w:r>
        <w:rPr>
          <w:rFonts w:hint="eastAsia" w:ascii="方正仿宋_GBK" w:hAnsi="方正仿宋_GBK" w:eastAsia="方正仿宋_GBK" w:cs="方正仿宋_GBK"/>
          <w:kern w:val="2"/>
          <w:sz w:val="32"/>
          <w:szCs w:val="32"/>
          <w:lang w:val="en-US" w:eastAsia="zh-CN"/>
        </w:rPr>
        <w:t>东北营运分公司</w:t>
      </w:r>
    </w:p>
    <w:p>
      <w:pPr>
        <w:pStyle w:val="4"/>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地址：重庆市渝北区银杉路66号</w:t>
      </w:r>
      <w:r>
        <w:rPr>
          <w:rFonts w:hint="eastAsia" w:ascii="方正仿宋_GBK" w:hAnsi="方正仿宋_GBK" w:eastAsia="方正仿宋_GBK" w:cs="方正仿宋_GBK"/>
          <w:kern w:val="2"/>
          <w:sz w:val="32"/>
          <w:szCs w:val="32"/>
          <w:lang w:val="en-US" w:eastAsia="zh-CN"/>
        </w:rPr>
        <w:t>计划财务</w:t>
      </w:r>
      <w:r>
        <w:rPr>
          <w:rFonts w:hint="eastAsia" w:ascii="方正仿宋_GBK" w:hAnsi="方正仿宋_GBK" w:eastAsia="方正仿宋_GBK" w:cs="方正仿宋_GBK"/>
          <w:kern w:val="2"/>
          <w:sz w:val="32"/>
          <w:szCs w:val="32"/>
        </w:rPr>
        <w:t>室</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岳</w:t>
      </w:r>
      <w:r>
        <w:rPr>
          <w:rFonts w:hint="eastAsia" w:ascii="方正仿宋_GBK" w:hAnsi="方正仿宋_GBK" w:eastAsia="方正仿宋_GBK" w:cs="方正仿宋_GBK"/>
          <w:sz w:val="32"/>
          <w:szCs w:val="32"/>
        </w:rPr>
        <w:t>老师   电话：（023）8913</w:t>
      </w:r>
      <w:r>
        <w:rPr>
          <w:rFonts w:hint="eastAsia" w:ascii="方正仿宋_GBK" w:hAnsi="方正仿宋_GBK" w:eastAsia="方正仿宋_GBK" w:cs="方正仿宋_GBK"/>
          <w:sz w:val="32"/>
          <w:szCs w:val="32"/>
          <w:lang w:val="en-US" w:eastAsia="zh-CN"/>
        </w:rPr>
        <w:t>8483</w:t>
      </w:r>
    </w:p>
    <w:p>
      <w:pPr>
        <w:tabs>
          <w:tab w:val="left" w:pos="1507"/>
        </w:tabs>
        <w:spacing w:line="360" w:lineRule="exact"/>
        <w:ind w:right="480" w:firstLine="4096" w:firstLineChars="1700"/>
        <w:rPr>
          <w:rFonts w:hint="eastAsia"/>
          <w:b/>
          <w:sz w:val="24"/>
          <w:szCs w:val="24"/>
        </w:rPr>
      </w:pPr>
    </w:p>
    <w:p>
      <w:pPr>
        <w:tabs>
          <w:tab w:val="left" w:pos="1507"/>
        </w:tabs>
        <w:spacing w:line="360" w:lineRule="exact"/>
        <w:ind w:right="480"/>
        <w:rPr>
          <w:rFonts w:hint="eastAsia"/>
          <w:b/>
          <w:sz w:val="24"/>
          <w:szCs w:val="24"/>
          <w:lang w:val="en-US" w:eastAsia="zh-CN"/>
        </w:rPr>
      </w:pPr>
    </w:p>
    <w:p>
      <w:pPr>
        <w:pStyle w:val="2"/>
        <w:rPr>
          <w:rFonts w:hint="eastAsia"/>
          <w:lang w:val="en-US" w:eastAsia="zh-CN"/>
        </w:rPr>
      </w:pPr>
    </w:p>
    <w:p>
      <w:pPr>
        <w:keepNext w:val="0"/>
        <w:keepLines w:val="0"/>
        <w:pageBreakBefore w:val="0"/>
        <w:widowControl w:val="0"/>
        <w:tabs>
          <w:tab w:val="left" w:pos="426"/>
        </w:tabs>
        <w:kinsoku/>
        <w:wordWrap/>
        <w:overflowPunct/>
        <w:topLinePunct w:val="0"/>
        <w:bidi w:val="0"/>
        <w:snapToGrid w:val="0"/>
        <w:spacing w:line="560" w:lineRule="exact"/>
        <w:textAlignment w:val="auto"/>
        <w:rPr>
          <w:rFonts w:hint="eastAsia" w:ascii="方正黑体_GBK" w:hAnsi="方正黑体_GBK" w:eastAsia="方正黑体_GBK" w:cs="方正黑体_GBK"/>
          <w:color w:val="000000"/>
          <w:spacing w:val="-6"/>
          <w:kern w:val="2"/>
          <w:sz w:val="32"/>
          <w:szCs w:val="32"/>
          <w:highlight w:val="none"/>
          <w:lang w:val="en-US" w:eastAsia="zh-CN" w:bidi="ar-SA"/>
        </w:rPr>
      </w:pPr>
    </w:p>
    <w:p>
      <w:pPr>
        <w:keepNext w:val="0"/>
        <w:keepLines w:val="0"/>
        <w:pageBreakBefore w:val="0"/>
        <w:widowControl w:val="0"/>
        <w:tabs>
          <w:tab w:val="left" w:pos="426"/>
        </w:tabs>
        <w:kinsoku/>
        <w:wordWrap/>
        <w:overflowPunct/>
        <w:topLinePunct w:val="0"/>
        <w:bidi w:val="0"/>
        <w:snapToGrid w:val="0"/>
        <w:spacing w:line="560" w:lineRule="exact"/>
        <w:textAlignment w:val="auto"/>
        <w:rPr>
          <w:rFonts w:hint="eastAsia" w:ascii="方正黑体_GBK" w:hAnsi="方正黑体_GBK" w:eastAsia="方正黑体_GBK" w:cs="方正黑体_GBK"/>
          <w:color w:val="000000"/>
          <w:spacing w:val="-6"/>
          <w:kern w:val="2"/>
          <w:sz w:val="32"/>
          <w:szCs w:val="32"/>
          <w:highlight w:val="none"/>
          <w:lang w:val="en-US" w:eastAsia="zh-CN" w:bidi="ar-SA"/>
        </w:rPr>
      </w:pPr>
    </w:p>
    <w:p>
      <w:pPr>
        <w:keepNext w:val="0"/>
        <w:keepLines w:val="0"/>
        <w:pageBreakBefore w:val="0"/>
        <w:widowControl w:val="0"/>
        <w:tabs>
          <w:tab w:val="left" w:pos="426"/>
        </w:tabs>
        <w:kinsoku/>
        <w:wordWrap/>
        <w:overflowPunct/>
        <w:topLinePunct w:val="0"/>
        <w:bidi w:val="0"/>
        <w:snapToGrid w:val="0"/>
        <w:spacing w:line="560" w:lineRule="exact"/>
        <w:textAlignment w:val="auto"/>
        <w:rPr>
          <w:rFonts w:hint="eastAsia" w:ascii="方正黑体_GBK" w:hAnsi="方正黑体_GBK" w:eastAsia="方正黑体_GBK" w:cs="方正黑体_GBK"/>
          <w:color w:val="000000"/>
          <w:spacing w:val="-6"/>
          <w:kern w:val="2"/>
          <w:sz w:val="32"/>
          <w:szCs w:val="32"/>
          <w:highlight w:val="none"/>
          <w:lang w:val="en-US" w:eastAsia="zh-CN" w:bidi="ar-SA"/>
        </w:rPr>
      </w:pPr>
    </w:p>
    <w:p>
      <w:pPr>
        <w:keepNext w:val="0"/>
        <w:keepLines w:val="0"/>
        <w:pageBreakBefore w:val="0"/>
        <w:widowControl w:val="0"/>
        <w:tabs>
          <w:tab w:val="left" w:pos="426"/>
        </w:tabs>
        <w:kinsoku/>
        <w:wordWrap/>
        <w:overflowPunct/>
        <w:topLinePunct w:val="0"/>
        <w:bidi w:val="0"/>
        <w:snapToGrid w:val="0"/>
        <w:spacing w:line="560" w:lineRule="exact"/>
        <w:textAlignment w:val="auto"/>
        <w:rPr>
          <w:rFonts w:hint="eastAsia" w:ascii="方正黑体_GBK" w:hAnsi="方正黑体_GBK" w:eastAsia="方正黑体_GBK" w:cs="方正黑体_GBK"/>
          <w:color w:val="000000"/>
          <w:spacing w:val="-6"/>
          <w:kern w:val="2"/>
          <w:sz w:val="32"/>
          <w:szCs w:val="32"/>
          <w:highlight w:val="none"/>
          <w:lang w:val="en-US" w:eastAsia="zh-CN" w:bidi="ar-SA"/>
        </w:rPr>
      </w:pPr>
    </w:p>
    <w:p>
      <w:pPr>
        <w:keepNext w:val="0"/>
        <w:keepLines w:val="0"/>
        <w:pageBreakBefore w:val="0"/>
        <w:widowControl w:val="0"/>
        <w:tabs>
          <w:tab w:val="left" w:pos="426"/>
        </w:tabs>
        <w:kinsoku/>
        <w:wordWrap/>
        <w:overflowPunct/>
        <w:topLinePunct w:val="0"/>
        <w:bidi w:val="0"/>
        <w:snapToGrid w:val="0"/>
        <w:spacing w:line="560" w:lineRule="exact"/>
        <w:textAlignment w:val="auto"/>
        <w:rPr>
          <w:rFonts w:hint="eastAsia" w:ascii="方正黑体_GBK" w:hAnsi="方正黑体_GBK" w:eastAsia="方正黑体_GBK" w:cs="方正黑体_GBK"/>
          <w:color w:val="000000"/>
          <w:spacing w:val="-6"/>
          <w:kern w:val="2"/>
          <w:sz w:val="32"/>
          <w:szCs w:val="32"/>
          <w:highlight w:val="none"/>
          <w:lang w:val="en-US" w:eastAsia="zh-CN" w:bidi="ar-SA"/>
        </w:rPr>
      </w:pPr>
    </w:p>
    <w:p>
      <w:pPr>
        <w:keepNext w:val="0"/>
        <w:keepLines w:val="0"/>
        <w:pageBreakBefore w:val="0"/>
        <w:widowControl w:val="0"/>
        <w:tabs>
          <w:tab w:val="left" w:pos="426"/>
        </w:tabs>
        <w:kinsoku/>
        <w:wordWrap/>
        <w:overflowPunct/>
        <w:topLinePunct w:val="0"/>
        <w:bidi w:val="0"/>
        <w:snapToGrid w:val="0"/>
        <w:spacing w:line="560" w:lineRule="exact"/>
        <w:textAlignment w:val="auto"/>
        <w:rPr>
          <w:rFonts w:hint="eastAsia" w:ascii="方正黑体_GBK" w:hAnsi="方正黑体_GBK" w:eastAsia="方正黑体_GBK" w:cs="方正黑体_GBK"/>
          <w:color w:val="000000"/>
          <w:spacing w:val="-6"/>
          <w:kern w:val="2"/>
          <w:sz w:val="32"/>
          <w:szCs w:val="32"/>
          <w:highlight w:val="none"/>
          <w:lang w:val="en-US" w:eastAsia="zh-CN" w:bidi="ar-SA"/>
        </w:rPr>
      </w:pPr>
    </w:p>
    <w:p>
      <w:pPr>
        <w:keepNext w:val="0"/>
        <w:keepLines w:val="0"/>
        <w:pageBreakBefore w:val="0"/>
        <w:widowControl w:val="0"/>
        <w:tabs>
          <w:tab w:val="left" w:pos="426"/>
        </w:tabs>
        <w:kinsoku/>
        <w:wordWrap/>
        <w:overflowPunct/>
        <w:topLinePunct w:val="0"/>
        <w:bidi w:val="0"/>
        <w:snapToGrid w:val="0"/>
        <w:spacing w:line="560" w:lineRule="exact"/>
        <w:textAlignment w:val="auto"/>
        <w:rPr>
          <w:rFonts w:hint="eastAsia" w:ascii="方正黑体_GBK" w:hAnsi="方正黑体_GBK" w:eastAsia="方正黑体_GBK" w:cs="方正黑体_GBK"/>
          <w:color w:val="000000"/>
          <w:spacing w:val="-6"/>
          <w:kern w:val="2"/>
          <w:sz w:val="32"/>
          <w:szCs w:val="32"/>
          <w:highlight w:val="none"/>
          <w:lang w:val="en-US" w:eastAsia="zh-CN" w:bidi="ar-SA"/>
        </w:rPr>
      </w:pPr>
    </w:p>
    <w:p>
      <w:pPr>
        <w:keepNext w:val="0"/>
        <w:keepLines w:val="0"/>
        <w:pageBreakBefore w:val="0"/>
        <w:widowControl w:val="0"/>
        <w:tabs>
          <w:tab w:val="left" w:pos="426"/>
        </w:tabs>
        <w:kinsoku/>
        <w:wordWrap/>
        <w:overflowPunct/>
        <w:topLinePunct w:val="0"/>
        <w:bidi w:val="0"/>
        <w:snapToGrid w:val="0"/>
        <w:spacing w:line="560" w:lineRule="exact"/>
        <w:textAlignment w:val="auto"/>
        <w:rPr>
          <w:rFonts w:hint="eastAsia" w:ascii="方正黑体_GBK" w:hAnsi="方正黑体_GBK" w:eastAsia="方正黑体_GBK" w:cs="方正黑体_GBK"/>
          <w:color w:val="000000"/>
          <w:spacing w:val="-6"/>
          <w:kern w:val="2"/>
          <w:sz w:val="32"/>
          <w:szCs w:val="32"/>
          <w:highlight w:val="none"/>
          <w:lang w:val="en-US" w:eastAsia="zh-CN" w:bidi="ar-SA"/>
        </w:rPr>
      </w:pPr>
    </w:p>
    <w:p>
      <w:pPr>
        <w:keepNext w:val="0"/>
        <w:keepLines w:val="0"/>
        <w:pageBreakBefore w:val="0"/>
        <w:widowControl w:val="0"/>
        <w:tabs>
          <w:tab w:val="left" w:pos="426"/>
        </w:tabs>
        <w:kinsoku/>
        <w:wordWrap/>
        <w:overflowPunct/>
        <w:topLinePunct w:val="0"/>
        <w:bidi w:val="0"/>
        <w:snapToGrid w:val="0"/>
        <w:spacing w:line="560" w:lineRule="exact"/>
        <w:textAlignment w:val="auto"/>
        <w:rPr>
          <w:rFonts w:hint="eastAsia" w:ascii="方正黑体_GBK" w:hAnsi="方正黑体_GBK" w:eastAsia="方正黑体_GBK" w:cs="方正黑体_GBK"/>
          <w:color w:val="000000"/>
          <w:spacing w:val="-6"/>
          <w:kern w:val="2"/>
          <w:sz w:val="32"/>
          <w:szCs w:val="32"/>
          <w:highlight w:val="none"/>
          <w:lang w:val="en-US" w:eastAsia="zh-CN" w:bidi="ar-SA"/>
        </w:rPr>
      </w:pPr>
    </w:p>
    <w:p>
      <w:pPr>
        <w:keepNext w:val="0"/>
        <w:keepLines w:val="0"/>
        <w:pageBreakBefore w:val="0"/>
        <w:widowControl w:val="0"/>
        <w:tabs>
          <w:tab w:val="left" w:pos="426"/>
        </w:tabs>
        <w:kinsoku/>
        <w:wordWrap/>
        <w:overflowPunct/>
        <w:topLinePunct w:val="0"/>
        <w:bidi w:val="0"/>
        <w:snapToGrid w:val="0"/>
        <w:spacing w:line="560" w:lineRule="exact"/>
        <w:textAlignment w:val="auto"/>
        <w:rPr>
          <w:rFonts w:hint="eastAsia" w:ascii="方正黑体_GBK" w:hAnsi="方正黑体_GBK" w:eastAsia="方正黑体_GBK" w:cs="方正黑体_GBK"/>
          <w:color w:val="000000"/>
          <w:spacing w:val="-6"/>
          <w:kern w:val="2"/>
          <w:sz w:val="32"/>
          <w:szCs w:val="32"/>
          <w:highlight w:val="none"/>
          <w:lang w:val="en-US" w:eastAsia="zh-CN" w:bidi="ar-SA"/>
        </w:rPr>
      </w:pPr>
    </w:p>
    <w:p>
      <w:pPr>
        <w:keepNext w:val="0"/>
        <w:keepLines w:val="0"/>
        <w:pageBreakBefore w:val="0"/>
        <w:widowControl w:val="0"/>
        <w:tabs>
          <w:tab w:val="left" w:pos="426"/>
        </w:tabs>
        <w:kinsoku/>
        <w:wordWrap/>
        <w:overflowPunct/>
        <w:topLinePunct w:val="0"/>
        <w:bidi w:val="0"/>
        <w:snapToGrid w:val="0"/>
        <w:spacing w:line="560" w:lineRule="exact"/>
        <w:textAlignment w:val="auto"/>
        <w:rPr>
          <w:rFonts w:hint="eastAsia" w:ascii="方正黑体_GBK" w:hAnsi="方正黑体_GBK" w:eastAsia="方正黑体_GBK" w:cs="方正黑体_GBK"/>
          <w:color w:val="000000"/>
          <w:spacing w:val="-6"/>
          <w:kern w:val="2"/>
          <w:sz w:val="32"/>
          <w:szCs w:val="32"/>
          <w:highlight w:val="none"/>
          <w:lang w:val="en-US" w:eastAsia="zh-CN" w:bidi="ar-SA"/>
        </w:rPr>
      </w:pPr>
    </w:p>
    <w:p>
      <w:pPr>
        <w:keepNext w:val="0"/>
        <w:keepLines w:val="0"/>
        <w:pageBreakBefore w:val="0"/>
        <w:widowControl w:val="0"/>
        <w:tabs>
          <w:tab w:val="left" w:pos="426"/>
        </w:tabs>
        <w:kinsoku/>
        <w:wordWrap/>
        <w:overflowPunct/>
        <w:topLinePunct w:val="0"/>
        <w:bidi w:val="0"/>
        <w:snapToGrid w:val="0"/>
        <w:spacing w:line="560" w:lineRule="exact"/>
        <w:textAlignment w:val="auto"/>
        <w:rPr>
          <w:rFonts w:hint="eastAsia" w:ascii="方正黑体_GBK" w:hAnsi="方正黑体_GBK" w:eastAsia="方正黑体_GBK" w:cs="方正黑体_GBK"/>
          <w:color w:val="000000"/>
          <w:spacing w:val="-6"/>
          <w:kern w:val="2"/>
          <w:sz w:val="32"/>
          <w:szCs w:val="32"/>
          <w:highlight w:val="none"/>
          <w:lang w:val="en-US" w:eastAsia="zh-CN" w:bidi="ar-SA"/>
        </w:rPr>
      </w:pPr>
    </w:p>
    <w:p>
      <w:pPr>
        <w:keepNext w:val="0"/>
        <w:keepLines w:val="0"/>
        <w:pageBreakBefore w:val="0"/>
        <w:widowControl w:val="0"/>
        <w:tabs>
          <w:tab w:val="left" w:pos="426"/>
        </w:tabs>
        <w:kinsoku/>
        <w:wordWrap/>
        <w:overflowPunct/>
        <w:topLinePunct w:val="0"/>
        <w:bidi w:val="0"/>
        <w:snapToGrid w:val="0"/>
        <w:spacing w:line="560" w:lineRule="exact"/>
        <w:textAlignment w:val="auto"/>
        <w:rPr>
          <w:rFonts w:hint="eastAsia" w:ascii="方正黑体_GBK" w:hAnsi="方正黑体_GBK" w:eastAsia="方正黑体_GBK" w:cs="方正黑体_GBK"/>
          <w:color w:val="000000"/>
          <w:spacing w:val="-6"/>
          <w:kern w:val="2"/>
          <w:sz w:val="32"/>
          <w:szCs w:val="32"/>
          <w:highlight w:val="none"/>
          <w:lang w:val="en-US" w:eastAsia="zh-CN" w:bidi="ar-SA"/>
        </w:rPr>
      </w:pPr>
    </w:p>
    <w:p>
      <w:pPr>
        <w:keepNext w:val="0"/>
        <w:keepLines w:val="0"/>
        <w:pageBreakBefore w:val="0"/>
        <w:widowControl w:val="0"/>
        <w:tabs>
          <w:tab w:val="left" w:pos="426"/>
        </w:tabs>
        <w:kinsoku/>
        <w:wordWrap/>
        <w:overflowPunct/>
        <w:topLinePunct w:val="0"/>
        <w:bidi w:val="0"/>
        <w:snapToGrid w:val="0"/>
        <w:spacing w:line="560" w:lineRule="exact"/>
        <w:textAlignment w:val="auto"/>
        <w:rPr>
          <w:rFonts w:hint="eastAsia" w:ascii="方正黑体_GBK" w:hAnsi="方正黑体_GBK" w:eastAsia="方正黑体_GBK" w:cs="方正黑体_GBK"/>
          <w:color w:val="000000"/>
          <w:spacing w:val="-6"/>
          <w:kern w:val="2"/>
          <w:sz w:val="32"/>
          <w:szCs w:val="32"/>
          <w:highlight w:val="none"/>
          <w:lang w:val="en-US" w:eastAsia="zh-CN" w:bidi="ar-SA"/>
        </w:rPr>
      </w:pPr>
    </w:p>
    <w:p>
      <w:pPr>
        <w:keepNext w:val="0"/>
        <w:keepLines w:val="0"/>
        <w:pageBreakBefore w:val="0"/>
        <w:widowControl w:val="0"/>
        <w:tabs>
          <w:tab w:val="left" w:pos="426"/>
        </w:tabs>
        <w:kinsoku/>
        <w:wordWrap/>
        <w:overflowPunct/>
        <w:topLinePunct w:val="0"/>
        <w:bidi w:val="0"/>
        <w:snapToGrid w:val="0"/>
        <w:spacing w:line="560" w:lineRule="exact"/>
        <w:textAlignment w:val="auto"/>
        <w:rPr>
          <w:rFonts w:hint="eastAsia" w:ascii="方正黑体_GBK" w:hAnsi="方正黑体_GBK" w:eastAsia="方正黑体_GBK" w:cs="方正黑体_GBK"/>
          <w:color w:val="000000"/>
          <w:spacing w:val="-6"/>
          <w:kern w:val="2"/>
          <w:sz w:val="32"/>
          <w:szCs w:val="32"/>
          <w:highlight w:val="none"/>
          <w:lang w:val="en-US" w:eastAsia="zh-CN" w:bidi="ar-SA"/>
        </w:rPr>
      </w:pPr>
    </w:p>
    <w:p>
      <w:pPr>
        <w:keepNext w:val="0"/>
        <w:keepLines w:val="0"/>
        <w:pageBreakBefore w:val="0"/>
        <w:widowControl w:val="0"/>
        <w:tabs>
          <w:tab w:val="left" w:pos="426"/>
        </w:tabs>
        <w:kinsoku/>
        <w:wordWrap/>
        <w:overflowPunct/>
        <w:topLinePunct w:val="0"/>
        <w:bidi w:val="0"/>
        <w:snapToGrid w:val="0"/>
        <w:spacing w:line="560" w:lineRule="exact"/>
        <w:textAlignment w:val="auto"/>
        <w:rPr>
          <w:rFonts w:hint="eastAsia" w:ascii="方正黑体_GBK" w:hAnsi="方正黑体_GBK" w:eastAsia="方正黑体_GBK" w:cs="方正黑体_GBK"/>
          <w:color w:val="000000"/>
          <w:spacing w:val="-6"/>
          <w:kern w:val="2"/>
          <w:sz w:val="32"/>
          <w:szCs w:val="32"/>
          <w:highlight w:val="none"/>
          <w:lang w:val="en-US" w:eastAsia="zh-CN" w:bidi="ar-SA"/>
        </w:rPr>
      </w:pPr>
    </w:p>
    <w:p>
      <w:pPr>
        <w:keepNext w:val="0"/>
        <w:keepLines w:val="0"/>
        <w:pageBreakBefore w:val="0"/>
        <w:widowControl w:val="0"/>
        <w:tabs>
          <w:tab w:val="left" w:pos="426"/>
        </w:tabs>
        <w:kinsoku/>
        <w:wordWrap/>
        <w:overflowPunct/>
        <w:topLinePunct w:val="0"/>
        <w:bidi w:val="0"/>
        <w:snapToGrid w:val="0"/>
        <w:spacing w:line="560" w:lineRule="exact"/>
        <w:textAlignment w:val="auto"/>
        <w:rPr>
          <w:rFonts w:hint="eastAsia" w:ascii="方正黑体_GBK" w:hAnsi="方正黑体_GBK" w:eastAsia="方正黑体_GBK" w:cs="方正黑体_GBK"/>
          <w:color w:val="000000"/>
          <w:spacing w:val="-6"/>
          <w:kern w:val="2"/>
          <w:sz w:val="32"/>
          <w:szCs w:val="32"/>
          <w:highlight w:val="none"/>
          <w:lang w:val="en-US" w:eastAsia="zh-CN" w:bidi="ar-SA"/>
        </w:rPr>
      </w:pPr>
      <w:r>
        <w:rPr>
          <w:rFonts w:hint="eastAsia" w:ascii="方正黑体_GBK" w:hAnsi="方正黑体_GBK" w:eastAsia="方正黑体_GBK" w:cs="方正黑体_GBK"/>
          <w:color w:val="000000"/>
          <w:spacing w:val="-6"/>
          <w:kern w:val="2"/>
          <w:sz w:val="32"/>
          <w:szCs w:val="32"/>
          <w:highlight w:val="none"/>
          <w:lang w:val="en-US" w:eastAsia="zh-CN" w:bidi="ar-SA"/>
        </w:rPr>
        <w:t>附件1</w:t>
      </w:r>
    </w:p>
    <w:p>
      <w:pPr>
        <w:keepNext w:val="0"/>
        <w:keepLines w:val="0"/>
        <w:pageBreakBefore w:val="0"/>
        <w:widowControl w:val="0"/>
        <w:tabs>
          <w:tab w:val="left" w:pos="1507"/>
        </w:tabs>
        <w:kinsoku/>
        <w:wordWrap/>
        <w:overflowPunct/>
        <w:topLinePunct w:val="0"/>
        <w:autoSpaceDE/>
        <w:autoSpaceDN/>
        <w:bidi w:val="0"/>
        <w:adjustRightInd/>
        <w:snapToGrid/>
        <w:spacing w:line="560" w:lineRule="exact"/>
        <w:ind w:left="0" w:leftChars="0" w:right="480" w:rightChars="0" w:firstLine="4096" w:firstLineChars="1700"/>
        <w:jc w:val="both"/>
        <w:textAlignment w:val="auto"/>
        <w:outlineLvl w:val="9"/>
        <w:rPr>
          <w:rFonts w:hint="eastAsia"/>
          <w:b/>
          <w:sz w:val="24"/>
          <w:szCs w:val="24"/>
        </w:rPr>
      </w:pPr>
    </w:p>
    <w:p>
      <w:pPr>
        <w:keepNext w:val="0"/>
        <w:keepLines w:val="0"/>
        <w:pageBreakBefore w:val="0"/>
        <w:widowControl w:val="0"/>
        <w:tabs>
          <w:tab w:val="left" w:pos="1507"/>
        </w:tabs>
        <w:kinsoku/>
        <w:wordWrap/>
        <w:overflowPunct/>
        <w:topLinePunct w:val="0"/>
        <w:autoSpaceDE/>
        <w:autoSpaceDN/>
        <w:bidi w:val="0"/>
        <w:adjustRightInd/>
        <w:snapToGrid/>
        <w:spacing w:line="560" w:lineRule="exact"/>
        <w:ind w:right="480" w:rightChars="0"/>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报价函</w:t>
      </w:r>
    </w:p>
    <w:p>
      <w:pPr>
        <w:pStyle w:val="2"/>
        <w:rPr>
          <w:rFonts w:hint="eastAsia"/>
        </w:rPr>
      </w:pPr>
    </w:p>
    <w:p>
      <w:pPr>
        <w:spacing w:line="440" w:lineRule="exact"/>
        <w:rPr>
          <w:szCs w:val="21"/>
        </w:rPr>
      </w:pPr>
      <w:r>
        <w:rPr>
          <w:rFonts w:hint="eastAsia"/>
          <w:szCs w:val="21"/>
        </w:rPr>
        <w:t>重庆高速公路集团有限公司东北营运分公司：</w:t>
      </w:r>
    </w:p>
    <w:p>
      <w:pPr>
        <w:keepNext w:val="0"/>
        <w:keepLines w:val="0"/>
        <w:pageBreakBefore w:val="0"/>
        <w:widowControl w:val="0"/>
        <w:tabs>
          <w:tab w:val="left" w:pos="426"/>
        </w:tabs>
        <w:kinsoku/>
        <w:wordWrap/>
        <w:overflowPunct/>
        <w:topLinePunct w:val="0"/>
        <w:autoSpaceDE/>
        <w:autoSpaceDN/>
        <w:bidi w:val="0"/>
        <w:adjustRightInd/>
        <w:snapToGrid w:val="0"/>
        <w:spacing w:line="580" w:lineRule="exact"/>
        <w:jc w:val="center"/>
        <w:textAlignment w:val="auto"/>
        <w:rPr>
          <w:szCs w:val="21"/>
        </w:rPr>
      </w:pPr>
      <w:r>
        <w:rPr>
          <w:rFonts w:hint="eastAsia" w:cs="Times New Roman"/>
          <w:szCs w:val="21"/>
          <w:lang w:val="en-US" w:eastAsia="zh-CN"/>
        </w:rPr>
        <w:t xml:space="preserve">    </w:t>
      </w:r>
      <w:r>
        <w:rPr>
          <w:rFonts w:ascii="Times New Roman" w:hAnsi="Times New Roman" w:eastAsia="宋体" w:cs="Times New Roman"/>
          <w:szCs w:val="21"/>
        </w:rPr>
        <w:t>1．我方已仔细研究了</w:t>
      </w:r>
      <w:r>
        <w:rPr>
          <w:rFonts w:hint="eastAsia" w:ascii="Times New Roman" w:hAnsi="Times New Roman" w:eastAsia="宋体" w:cs="Times New Roman"/>
          <w:szCs w:val="21"/>
          <w:lang w:val="en-US" w:eastAsia="zh-CN"/>
        </w:rPr>
        <w:t>城开路土地房产税应税范围清理项目询价</w:t>
      </w:r>
      <w:r>
        <w:rPr>
          <w:rFonts w:ascii="Times New Roman" w:hAnsi="Times New Roman" w:eastAsia="宋体" w:cs="Times New Roman"/>
          <w:szCs w:val="21"/>
        </w:rPr>
        <w:t>文件的全部内容，</w:t>
      </w:r>
      <w:r>
        <w:rPr>
          <w:rFonts w:hint="eastAsia" w:cs="Times New Roman"/>
          <w:szCs w:val="21"/>
          <w:lang w:val="en-US" w:eastAsia="zh-CN"/>
        </w:rPr>
        <w:t>组织设计、测算后</w:t>
      </w:r>
      <w:r>
        <w:rPr>
          <w:rFonts w:hint="eastAsia"/>
          <w:szCs w:val="21"/>
        </w:rPr>
        <w:t>，</w:t>
      </w:r>
      <w:r>
        <w:rPr>
          <w:szCs w:val="21"/>
        </w:rPr>
        <w:t>愿意以人民币（大写）</w:t>
      </w:r>
      <w:r>
        <w:rPr>
          <w:szCs w:val="21"/>
          <w:u w:val="single"/>
        </w:rPr>
        <w:t xml:space="preserve">         </w:t>
      </w:r>
      <w:r>
        <w:rPr>
          <w:szCs w:val="21"/>
        </w:rPr>
        <w:t>元（¥</w:t>
      </w:r>
      <w:r>
        <w:rPr>
          <w:szCs w:val="21"/>
          <w:u w:val="single"/>
        </w:rPr>
        <w:t xml:space="preserve">           </w:t>
      </w:r>
      <w:r>
        <w:rPr>
          <w:szCs w:val="21"/>
        </w:rPr>
        <w:t>）的总报价，</w:t>
      </w:r>
      <w:r>
        <w:rPr>
          <w:rFonts w:hint="eastAsia"/>
          <w:szCs w:val="21"/>
          <w:lang w:val="en-US" w:eastAsia="zh-CN"/>
        </w:rPr>
        <w:t>在2023年4月20日之前</w:t>
      </w:r>
      <w:r>
        <w:rPr>
          <w:rFonts w:hint="eastAsia"/>
          <w:szCs w:val="21"/>
        </w:rPr>
        <w:t>，</w:t>
      </w:r>
      <w:r>
        <w:rPr>
          <w:szCs w:val="21"/>
        </w:rPr>
        <w:t>按合同约定实施和完成</w:t>
      </w:r>
      <w:r>
        <w:rPr>
          <w:rFonts w:hint="eastAsia"/>
          <w:szCs w:val="21"/>
        </w:rPr>
        <w:t>________</w:t>
      </w:r>
      <w:r>
        <w:rPr>
          <w:rFonts w:hint="eastAsia"/>
          <w:szCs w:val="21"/>
          <w:lang w:val="en-US" w:eastAsia="zh-CN"/>
        </w:rPr>
        <w:t>项目</w:t>
      </w:r>
      <w:r>
        <w:rPr>
          <w:szCs w:val="21"/>
        </w:rPr>
        <w:t>，</w:t>
      </w:r>
      <w:r>
        <w:rPr>
          <w:rFonts w:hint="eastAsia"/>
          <w:szCs w:val="21"/>
          <w:lang w:val="en-US" w:eastAsia="zh-CN"/>
        </w:rPr>
        <w:t>项目</w:t>
      </w:r>
      <w:r>
        <w:rPr>
          <w:szCs w:val="21"/>
        </w:rPr>
        <w:t>质量达到</w:t>
      </w:r>
      <w:r>
        <w:rPr>
          <w:szCs w:val="21"/>
          <w:u w:val="single"/>
        </w:rPr>
        <w:t xml:space="preserve">           </w:t>
      </w:r>
      <w:r>
        <w:rPr>
          <w:szCs w:val="21"/>
        </w:rPr>
        <w:t xml:space="preserve"> 。</w:t>
      </w:r>
    </w:p>
    <w:p>
      <w:pPr>
        <w:spacing w:line="440" w:lineRule="exact"/>
        <w:ind w:firstLine="420" w:firstLineChars="200"/>
        <w:rPr>
          <w:szCs w:val="21"/>
        </w:rPr>
      </w:pPr>
      <w:r>
        <w:rPr>
          <w:szCs w:val="21"/>
        </w:rPr>
        <w:t>2．我方承诺在</w:t>
      </w:r>
      <w:r>
        <w:rPr>
          <w:rFonts w:hint="eastAsia"/>
          <w:szCs w:val="21"/>
        </w:rPr>
        <w:t>报价</w:t>
      </w:r>
      <w:r>
        <w:rPr>
          <w:szCs w:val="21"/>
        </w:rPr>
        <w:t>有效期内不修改、撤销</w:t>
      </w:r>
      <w:r>
        <w:rPr>
          <w:rFonts w:hint="eastAsia"/>
          <w:szCs w:val="21"/>
        </w:rPr>
        <w:t>报价</w:t>
      </w:r>
      <w:r>
        <w:rPr>
          <w:szCs w:val="21"/>
        </w:rPr>
        <w:t>文件。</w:t>
      </w:r>
    </w:p>
    <w:p>
      <w:pPr>
        <w:spacing w:line="440" w:lineRule="exact"/>
        <w:ind w:firstLine="420" w:firstLineChars="200"/>
        <w:rPr>
          <w:rFonts w:hint="default"/>
          <w:szCs w:val="21"/>
          <w:lang w:val="en-US"/>
        </w:rPr>
      </w:pPr>
      <w:r>
        <w:rPr>
          <w:rFonts w:hint="eastAsia"/>
          <w:szCs w:val="21"/>
        </w:rPr>
        <w:t>3</w:t>
      </w:r>
      <w:r>
        <w:rPr>
          <w:szCs w:val="21"/>
        </w:rPr>
        <w:t>．如我方中标：我方承诺在收到中标通知书后，</w:t>
      </w:r>
      <w:r>
        <w:rPr>
          <w:rFonts w:hint="eastAsia"/>
          <w:szCs w:val="21"/>
          <w:lang w:val="en-US" w:eastAsia="zh-CN"/>
        </w:rPr>
        <w:t>根据你方要求，全力配合你方工作。</w:t>
      </w:r>
    </w:p>
    <w:p>
      <w:pPr>
        <w:spacing w:line="440" w:lineRule="exact"/>
        <w:ind w:firstLine="420" w:firstLineChars="200"/>
        <w:rPr>
          <w:rFonts w:hint="eastAsia"/>
          <w:szCs w:val="21"/>
        </w:rPr>
      </w:pPr>
      <w:r>
        <w:rPr>
          <w:rFonts w:hint="eastAsia"/>
          <w:szCs w:val="21"/>
        </w:rPr>
        <w:t>4</w:t>
      </w:r>
      <w:r>
        <w:rPr>
          <w:szCs w:val="21"/>
        </w:rPr>
        <w:t>．</w:t>
      </w:r>
      <w:r>
        <w:rPr>
          <w:rFonts w:hint="eastAsia"/>
        </w:rPr>
        <w:t>我方在此声明，所递交的报价文件及有关资料内容完整、真实和准确。</w:t>
      </w:r>
    </w:p>
    <w:p>
      <w:pPr>
        <w:spacing w:line="440" w:lineRule="exact"/>
        <w:ind w:firstLine="420" w:firstLineChars="200"/>
        <w:rPr>
          <w:szCs w:val="21"/>
        </w:rPr>
      </w:pPr>
      <w:r>
        <w:rPr>
          <w:rFonts w:hint="eastAsia"/>
          <w:szCs w:val="21"/>
        </w:rPr>
        <w:t>5．在合同协议书正式签署生效之前，本报价函连同你方的中标通知书将构成我们双方之间共同遵守的文件。对双方具有约束力。</w:t>
      </w:r>
    </w:p>
    <w:p>
      <w:pPr>
        <w:spacing w:line="440" w:lineRule="exact"/>
        <w:rPr>
          <w:szCs w:val="21"/>
        </w:rPr>
      </w:pPr>
    </w:p>
    <w:p>
      <w:pPr>
        <w:spacing w:line="440" w:lineRule="exact"/>
        <w:ind w:firstLine="3675" w:firstLineChars="1750"/>
        <w:rPr>
          <w:szCs w:val="21"/>
        </w:rPr>
      </w:pPr>
      <w:r>
        <w:rPr>
          <w:rFonts w:hint="eastAsia"/>
          <w:szCs w:val="21"/>
        </w:rPr>
        <w:t>报</w:t>
      </w:r>
      <w:r>
        <w:rPr>
          <w:szCs w:val="21"/>
        </w:rPr>
        <w:t xml:space="preserve"> </w:t>
      </w:r>
      <w:r>
        <w:rPr>
          <w:rFonts w:hint="eastAsia"/>
          <w:szCs w:val="21"/>
        </w:rPr>
        <w:t>价</w:t>
      </w:r>
      <w:r>
        <w:rPr>
          <w:szCs w:val="21"/>
        </w:rPr>
        <w:t xml:space="preserve">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rFonts w:hint="eastAsia"/>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rFonts w:hint="eastAsia"/>
          <w:szCs w:val="21"/>
        </w:rPr>
      </w:pPr>
      <w:r>
        <w:rPr>
          <w:szCs w:val="21"/>
        </w:rPr>
        <w:t>电话：</w:t>
      </w:r>
      <w:r>
        <w:rPr>
          <w:szCs w:val="21"/>
          <w:u w:val="single"/>
        </w:rPr>
        <w:t xml:space="preserve">                                     </w:t>
      </w:r>
    </w:p>
    <w:p>
      <w:pPr>
        <w:spacing w:line="440" w:lineRule="exact"/>
        <w:ind w:firstLine="3675" w:firstLineChars="1750"/>
        <w:rPr>
          <w:rFonts w:hint="eastAsia"/>
          <w:szCs w:val="21"/>
        </w:rPr>
      </w:pPr>
      <w:r>
        <w:rPr>
          <w:szCs w:val="21"/>
        </w:rPr>
        <w:t>传真：</w:t>
      </w:r>
      <w:r>
        <w:rPr>
          <w:szCs w:val="21"/>
          <w:u w:val="single"/>
        </w:rPr>
        <w:t xml:space="preserve">                                     </w:t>
      </w:r>
    </w:p>
    <w:p>
      <w:pPr>
        <w:spacing w:line="440" w:lineRule="exact"/>
        <w:ind w:firstLine="3675" w:firstLineChars="1750"/>
        <w:rPr>
          <w:rFonts w:hint="eastAsia"/>
          <w:szCs w:val="21"/>
        </w:rPr>
      </w:pPr>
      <w:r>
        <w:rPr>
          <w:szCs w:val="21"/>
        </w:rPr>
        <w:t>邮政编码：</w:t>
      </w:r>
      <w:r>
        <w:rPr>
          <w:szCs w:val="21"/>
          <w:u w:val="single"/>
        </w:rPr>
        <w:t xml:space="preserve">                                 </w:t>
      </w:r>
    </w:p>
    <w:p>
      <w:pPr>
        <w:autoSpaceDE w:val="0"/>
        <w:autoSpaceDN w:val="0"/>
        <w:adjustRightInd w:val="0"/>
        <w:snapToGrid w:val="0"/>
        <w:spacing w:line="360" w:lineRule="auto"/>
        <w:jc w:val="left"/>
        <w:rPr>
          <w:rFonts w:hint="eastAsia" w:ascii="宋体" w:hAnsi="宋体"/>
          <w:kern w:val="0"/>
        </w:rPr>
      </w:pPr>
    </w:p>
    <w:p>
      <w:pPr>
        <w:spacing w:line="440" w:lineRule="exact"/>
        <w:rPr>
          <w:rFonts w:hint="default"/>
          <w:lang w:val="en-US" w:eastAsia="zh-CN"/>
        </w:rPr>
      </w:pPr>
      <w:r>
        <w:rPr>
          <w:rFonts w:hint="eastAsia"/>
          <w:szCs w:val="21"/>
        </w:rPr>
        <w:t>注：如无单位盖章及</w:t>
      </w:r>
      <w:r>
        <w:rPr>
          <w:szCs w:val="21"/>
        </w:rPr>
        <w:t>法定代表人或其委托代理人</w:t>
      </w:r>
      <w:r>
        <w:rPr>
          <w:rFonts w:hint="eastAsia"/>
          <w:szCs w:val="21"/>
        </w:rPr>
        <w:t>签名，报价文件作废处理</w:t>
      </w:r>
      <w:r>
        <w:rPr>
          <w:rFonts w:hint="eastAsia"/>
          <w:szCs w:val="21"/>
          <w:lang w:eastAsia="zh-CN"/>
        </w:rPr>
        <w:t>。</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D13212"/>
    <w:multiLevelType w:val="singleLevel"/>
    <w:tmpl w:val="C3D132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7CA35B70"/>
    <w:rsid w:val="000077B6"/>
    <w:rsid w:val="00056B4F"/>
    <w:rsid w:val="0013282D"/>
    <w:rsid w:val="001D02A9"/>
    <w:rsid w:val="002060F9"/>
    <w:rsid w:val="00343A5D"/>
    <w:rsid w:val="0039633B"/>
    <w:rsid w:val="003D7477"/>
    <w:rsid w:val="003F6267"/>
    <w:rsid w:val="00462115"/>
    <w:rsid w:val="00492B4A"/>
    <w:rsid w:val="004C5E08"/>
    <w:rsid w:val="00522552"/>
    <w:rsid w:val="00670C65"/>
    <w:rsid w:val="00673F3E"/>
    <w:rsid w:val="00721729"/>
    <w:rsid w:val="007805AF"/>
    <w:rsid w:val="008739D2"/>
    <w:rsid w:val="008917A2"/>
    <w:rsid w:val="00964B27"/>
    <w:rsid w:val="00967A77"/>
    <w:rsid w:val="009A26FD"/>
    <w:rsid w:val="009C0090"/>
    <w:rsid w:val="009F2B03"/>
    <w:rsid w:val="00A06097"/>
    <w:rsid w:val="00AB3F55"/>
    <w:rsid w:val="00B1158C"/>
    <w:rsid w:val="00B64F14"/>
    <w:rsid w:val="00B66A75"/>
    <w:rsid w:val="00BF0566"/>
    <w:rsid w:val="00C45278"/>
    <w:rsid w:val="00C767A0"/>
    <w:rsid w:val="00CC5745"/>
    <w:rsid w:val="00D5267A"/>
    <w:rsid w:val="00E75830"/>
    <w:rsid w:val="00EF53D8"/>
    <w:rsid w:val="00F65597"/>
    <w:rsid w:val="00FF761D"/>
    <w:rsid w:val="02A21148"/>
    <w:rsid w:val="05E42CE0"/>
    <w:rsid w:val="079C07D6"/>
    <w:rsid w:val="08DF29C5"/>
    <w:rsid w:val="0AFD2F51"/>
    <w:rsid w:val="0C430B50"/>
    <w:rsid w:val="0D3B7DA0"/>
    <w:rsid w:val="0DCE1A87"/>
    <w:rsid w:val="0E467EF7"/>
    <w:rsid w:val="10E617CF"/>
    <w:rsid w:val="127707CE"/>
    <w:rsid w:val="1371631D"/>
    <w:rsid w:val="162E5DFF"/>
    <w:rsid w:val="16A20BDC"/>
    <w:rsid w:val="16D75027"/>
    <w:rsid w:val="183D1319"/>
    <w:rsid w:val="189865EC"/>
    <w:rsid w:val="189F2CB1"/>
    <w:rsid w:val="19004393"/>
    <w:rsid w:val="19826A09"/>
    <w:rsid w:val="1A320FC9"/>
    <w:rsid w:val="1B200850"/>
    <w:rsid w:val="1B45420A"/>
    <w:rsid w:val="1BE908AE"/>
    <w:rsid w:val="1C321999"/>
    <w:rsid w:val="1D894629"/>
    <w:rsid w:val="24195CB5"/>
    <w:rsid w:val="246776F8"/>
    <w:rsid w:val="25605D0B"/>
    <w:rsid w:val="26CF391C"/>
    <w:rsid w:val="286F3922"/>
    <w:rsid w:val="28754511"/>
    <w:rsid w:val="28786366"/>
    <w:rsid w:val="297F7545"/>
    <w:rsid w:val="2AB901AD"/>
    <w:rsid w:val="2B7B7EAF"/>
    <w:rsid w:val="2E226BAF"/>
    <w:rsid w:val="30793F89"/>
    <w:rsid w:val="319950ED"/>
    <w:rsid w:val="31B529D7"/>
    <w:rsid w:val="34A208E8"/>
    <w:rsid w:val="36017A90"/>
    <w:rsid w:val="36902F82"/>
    <w:rsid w:val="37A442EA"/>
    <w:rsid w:val="37F357B0"/>
    <w:rsid w:val="39730AA4"/>
    <w:rsid w:val="3AD30694"/>
    <w:rsid w:val="3BDF30E8"/>
    <w:rsid w:val="3C6348C7"/>
    <w:rsid w:val="3DB47F5D"/>
    <w:rsid w:val="3EAD1D12"/>
    <w:rsid w:val="3F7724F0"/>
    <w:rsid w:val="3FE302AC"/>
    <w:rsid w:val="4154017D"/>
    <w:rsid w:val="4166688C"/>
    <w:rsid w:val="41896EA0"/>
    <w:rsid w:val="42D44BBD"/>
    <w:rsid w:val="432822B2"/>
    <w:rsid w:val="438C0A13"/>
    <w:rsid w:val="44501024"/>
    <w:rsid w:val="460A4090"/>
    <w:rsid w:val="46747472"/>
    <w:rsid w:val="471F4018"/>
    <w:rsid w:val="48FD373F"/>
    <w:rsid w:val="4AF40FA1"/>
    <w:rsid w:val="4BA45417"/>
    <w:rsid w:val="4BDE62A3"/>
    <w:rsid w:val="4C9B2968"/>
    <w:rsid w:val="4D3D39E3"/>
    <w:rsid w:val="4D43293A"/>
    <w:rsid w:val="4E22278C"/>
    <w:rsid w:val="526D6AE4"/>
    <w:rsid w:val="551B7588"/>
    <w:rsid w:val="562403AC"/>
    <w:rsid w:val="56A00CA5"/>
    <w:rsid w:val="56FB53C3"/>
    <w:rsid w:val="58096B7C"/>
    <w:rsid w:val="5BBD61BE"/>
    <w:rsid w:val="5E9D3C4C"/>
    <w:rsid w:val="5F3E2039"/>
    <w:rsid w:val="5FDD761C"/>
    <w:rsid w:val="60165550"/>
    <w:rsid w:val="604F6A8D"/>
    <w:rsid w:val="61D14789"/>
    <w:rsid w:val="625F735B"/>
    <w:rsid w:val="629523FD"/>
    <w:rsid w:val="63C141E4"/>
    <w:rsid w:val="667825F8"/>
    <w:rsid w:val="67356164"/>
    <w:rsid w:val="67837E29"/>
    <w:rsid w:val="69B65300"/>
    <w:rsid w:val="6A4C5560"/>
    <w:rsid w:val="6BF31049"/>
    <w:rsid w:val="6C53001E"/>
    <w:rsid w:val="6C5A5133"/>
    <w:rsid w:val="6CB343C0"/>
    <w:rsid w:val="6DC64C3A"/>
    <w:rsid w:val="6F796141"/>
    <w:rsid w:val="70D35CA6"/>
    <w:rsid w:val="71260CBE"/>
    <w:rsid w:val="7247433D"/>
    <w:rsid w:val="728124EA"/>
    <w:rsid w:val="72C625AB"/>
    <w:rsid w:val="72D466F0"/>
    <w:rsid w:val="75483C08"/>
    <w:rsid w:val="7558725C"/>
    <w:rsid w:val="77BB4A46"/>
    <w:rsid w:val="786D6BDD"/>
    <w:rsid w:val="79685F6E"/>
    <w:rsid w:val="7B492952"/>
    <w:rsid w:val="7CA35B70"/>
    <w:rsid w:val="7CEF4308"/>
    <w:rsid w:val="7D2D56C8"/>
    <w:rsid w:val="7D7760A8"/>
    <w:rsid w:val="7E4F59E4"/>
    <w:rsid w:val="7E8442C1"/>
    <w:rsid w:val="7EB121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0"/>
    <w:pPr>
      <w:autoSpaceDE w:val="0"/>
      <w:autoSpaceDN w:val="0"/>
      <w:adjustRightInd w:val="0"/>
      <w:spacing w:before="16"/>
      <w:jc w:val="left"/>
      <w:outlineLvl w:val="2"/>
    </w:pPr>
    <w:rPr>
      <w:rFonts w:ascii="仿宋_GB2312" w:hAnsi="Calibri" w:eastAsia="仿宋_GB2312" w:cs="MingLiU"/>
      <w:b/>
      <w:bCs/>
      <w:kern w:val="0"/>
      <w:sz w:val="24"/>
      <w:szCs w:val="2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sz w:val="24"/>
    </w:rPr>
  </w:style>
  <w:style w:type="paragraph" w:styleId="4">
    <w:name w:val="Body Text"/>
    <w:basedOn w:val="1"/>
    <w:qFormat/>
    <w:uiPriority w:val="0"/>
    <w:rPr>
      <w:kern w:val="0"/>
      <w:sz w:val="24"/>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9">
    <w:name w:val="FollowedHyperlink"/>
    <w:basedOn w:val="8"/>
    <w:qFormat/>
    <w:uiPriority w:val="0"/>
    <w:rPr>
      <w:rFonts w:ascii="Arial" w:hAnsi="Arial" w:eastAsia="Arial" w:cs="Arial"/>
      <w:color w:val="333333"/>
      <w:sz w:val="21"/>
      <w:szCs w:val="21"/>
      <w:u w:val="none"/>
    </w:rPr>
  </w:style>
  <w:style w:type="character" w:styleId="10">
    <w:name w:val="Hyperlink"/>
    <w:basedOn w:val="8"/>
    <w:qFormat/>
    <w:uiPriority w:val="0"/>
    <w:rPr>
      <w:rFonts w:hint="default" w:ascii="Arial" w:hAnsi="Arial" w:eastAsia="Arial" w:cs="Arial"/>
      <w:color w:val="333333"/>
      <w:sz w:val="21"/>
      <w:szCs w:val="21"/>
      <w:u w:val="none"/>
    </w:rPr>
  </w:style>
  <w:style w:type="paragraph" w:customStyle="1" w:styleId="11">
    <w:name w:val="列出段落1"/>
    <w:basedOn w:val="1"/>
    <w:qFormat/>
    <w:uiPriority w:val="0"/>
    <w:pPr>
      <w:ind w:firstLine="420" w:firstLineChars="200"/>
    </w:pPr>
  </w:style>
  <w:style w:type="character" w:customStyle="1" w:styleId="12">
    <w:name w:val="页眉 Char"/>
    <w:basedOn w:val="8"/>
    <w:link w:val="6"/>
    <w:qFormat/>
    <w:uiPriority w:val="0"/>
    <w:rPr>
      <w:kern w:val="2"/>
      <w:sz w:val="18"/>
      <w:szCs w:val="18"/>
    </w:rPr>
  </w:style>
  <w:style w:type="character" w:customStyle="1" w:styleId="13">
    <w:name w:val="页脚 Char"/>
    <w:basedOn w:val="8"/>
    <w:link w:val="5"/>
    <w:qFormat/>
    <w:uiPriority w:val="0"/>
    <w:rPr>
      <w:kern w:val="2"/>
      <w:sz w:val="18"/>
      <w:szCs w:val="18"/>
    </w:r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5">
    <w:name w:val="List Paragraph"/>
    <w:basedOn w:val="1"/>
    <w:qFormat/>
    <w:uiPriority w:val="1"/>
    <w:pPr>
      <w:ind w:left="108" w:firstLine="638"/>
    </w:pPr>
    <w:rPr>
      <w:rFonts w:ascii="宋体" w:hAnsi="宋体" w:eastAsia="宋体" w:cs="宋体"/>
      <w:lang w:val="zh-CN" w:eastAsia="zh-CN" w:bidi="zh-CN"/>
    </w:rPr>
  </w:style>
  <w:style w:type="character" w:customStyle="1" w:styleId="16">
    <w:name w:val="credit"/>
    <w:basedOn w:val="8"/>
    <w:qFormat/>
    <w:uiPriority w:val="0"/>
    <w:rPr>
      <w:sz w:val="18"/>
      <w:szCs w:val="18"/>
    </w:rPr>
  </w:style>
  <w:style w:type="character" w:customStyle="1" w:styleId="17">
    <w:name w:val="after"/>
    <w:basedOn w:val="8"/>
    <w:qFormat/>
    <w:uiPriority w:val="0"/>
    <w:rPr>
      <w:bdr w:val="dashed" w:color="auto" w:sz="48" w:space="0"/>
    </w:rPr>
  </w:style>
  <w:style w:type="character" w:customStyle="1" w:styleId="18">
    <w:name w:val="before"/>
    <w:basedOn w:val="8"/>
    <w:qFormat/>
    <w:uiPriority w:val="0"/>
    <w:rPr>
      <w:bdr w:val="single" w:color="auto" w:sz="48" w:space="0"/>
    </w:rPr>
  </w:style>
  <w:style w:type="character" w:customStyle="1" w:styleId="19">
    <w:name w:val="hover48"/>
    <w:basedOn w:val="8"/>
    <w:qFormat/>
    <w:uiPriority w:val="0"/>
    <w:rPr>
      <w:shd w:val="clear" w:fill="346AC3"/>
    </w:rPr>
  </w:style>
  <w:style w:type="character" w:customStyle="1" w:styleId="20">
    <w:name w:val="hover49"/>
    <w:basedOn w:val="8"/>
    <w:qFormat/>
    <w:uiPriority w:val="0"/>
    <w:rPr>
      <w:color w:val="4285F4"/>
    </w:rPr>
  </w:style>
  <w:style w:type="character" w:customStyle="1" w:styleId="21">
    <w:name w:val="hover50"/>
    <w:basedOn w:val="8"/>
    <w:qFormat/>
    <w:uiPriority w:val="0"/>
  </w:style>
  <w:style w:type="character" w:customStyle="1" w:styleId="22">
    <w:name w:val="hover51"/>
    <w:basedOn w:val="8"/>
    <w:qFormat/>
    <w:uiPriority w:val="0"/>
    <w:rPr>
      <w:color w:val="4285F4"/>
      <w:u w:val="none"/>
    </w:rPr>
  </w:style>
  <w:style w:type="character" w:customStyle="1" w:styleId="23">
    <w:name w:val="hover52"/>
    <w:basedOn w:val="8"/>
    <w:qFormat/>
    <w:uiPriority w:val="0"/>
    <w:rPr>
      <w:color w:val="1A85D7"/>
    </w:rPr>
  </w:style>
  <w:style w:type="character" w:customStyle="1" w:styleId="24">
    <w:name w:val="first-child"/>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4</Pages>
  <Words>321</Words>
  <Characters>1834</Characters>
  <Lines>15</Lines>
  <Paragraphs>4</Paragraphs>
  <TotalTime>46</TotalTime>
  <ScaleCrop>false</ScaleCrop>
  <LinksUpToDate>false</LinksUpToDate>
  <CharactersWithSpaces>2151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2019-04-26T00:19:00Z</dcterms:created>
  <dc:creator>HP</dc:creator>
  <cp:lastModifiedBy>杨羽</cp:lastModifiedBy>
  <cp:lastPrinted>2023-03-20T02:05:15Z</cp:lastPrinted>
  <dcterms:modified xsi:type="dcterms:W3CDTF">2023-03-20T02:38:05Z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FD03ADB12DBB4B109F82022CEA67581E</vt:lpwstr>
  </property>
</Properties>
</file>