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0" w:rsidRDefault="000F3728">
      <w:pPr>
        <w:jc w:val="center"/>
        <w:rPr>
          <w:rFonts w:asciiTheme="minorEastAsia" w:hAnsiTheme="minorEastAsia" w:cstheme="minorEastAsia"/>
          <w:sz w:val="24"/>
        </w:rPr>
      </w:pPr>
      <w:r>
        <w:rPr>
          <w:rFonts w:asciiTheme="minorEastAsia" w:hAnsiTheme="minorEastAsia" w:cstheme="minorEastAsia" w:hint="eastAsia"/>
          <w:sz w:val="24"/>
        </w:rPr>
        <w:t>冷水自驾营地无人综合售卖机询价结果公示</w:t>
      </w:r>
    </w:p>
    <w:p w:rsidR="00E51910" w:rsidRDefault="00E51910">
      <w:pPr>
        <w:jc w:val="center"/>
        <w:rPr>
          <w:rFonts w:asciiTheme="minorEastAsia" w:hAnsiTheme="minorEastAsia" w:cstheme="minorEastAsia"/>
          <w:sz w:val="24"/>
        </w:rPr>
      </w:pPr>
    </w:p>
    <w:p w:rsidR="00E51910" w:rsidRDefault="000F3728" w:rsidP="000F3728">
      <w:pPr>
        <w:spacing w:beforeLines="150" w:afterLines="100" w:line="360" w:lineRule="auto"/>
        <w:ind w:firstLine="561"/>
        <w:rPr>
          <w:rFonts w:asciiTheme="minorEastAsia" w:hAnsiTheme="minorEastAsia" w:cstheme="minorEastAsia"/>
          <w:color w:val="000000"/>
          <w:sz w:val="24"/>
          <w:lang/>
        </w:rPr>
      </w:pP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color w:val="000000" w:themeColor="text1"/>
          <w:sz w:val="24"/>
        </w:rPr>
        <w:t>根据土地公司</w:t>
      </w:r>
      <w:r>
        <w:rPr>
          <w:rFonts w:asciiTheme="minorEastAsia" w:hAnsiTheme="minorEastAsia" w:cstheme="minorEastAsia" w:hint="eastAsia"/>
          <w:color w:val="000000" w:themeColor="text1"/>
          <w:sz w:val="24"/>
        </w:rPr>
        <w:t>2020</w:t>
      </w:r>
      <w:r>
        <w:rPr>
          <w:rFonts w:asciiTheme="minorEastAsia" w:hAnsiTheme="minorEastAsia" w:cstheme="minorEastAsia" w:hint="eastAsia"/>
          <w:color w:val="000000" w:themeColor="text1"/>
          <w:sz w:val="24"/>
        </w:rPr>
        <w:t>年第</w:t>
      </w:r>
      <w:r>
        <w:rPr>
          <w:rFonts w:asciiTheme="minorEastAsia" w:hAnsiTheme="minorEastAsia" w:cstheme="minorEastAsia" w:hint="eastAsia"/>
          <w:color w:val="000000" w:themeColor="text1"/>
          <w:sz w:val="24"/>
        </w:rPr>
        <w:t>5</w:t>
      </w:r>
      <w:r>
        <w:rPr>
          <w:rFonts w:asciiTheme="minorEastAsia" w:hAnsiTheme="minorEastAsia" w:cstheme="minorEastAsia" w:hint="eastAsia"/>
          <w:color w:val="000000" w:themeColor="text1"/>
          <w:sz w:val="24"/>
        </w:rPr>
        <w:t>次总经理办公会纪要和</w:t>
      </w:r>
      <w:r>
        <w:rPr>
          <w:rFonts w:asciiTheme="minorEastAsia" w:hAnsiTheme="minorEastAsia" w:cstheme="minorEastAsia" w:hint="eastAsia"/>
          <w:color w:val="000000" w:themeColor="text1"/>
          <w:sz w:val="24"/>
        </w:rPr>
        <w:t>会议决策通过了《关于冷水营地无人综合售卖机设备采购事项的议题》。会议同意，采购</w:t>
      </w:r>
      <w:r>
        <w:rPr>
          <w:rFonts w:asciiTheme="minorEastAsia" w:hAnsiTheme="minorEastAsia" w:cstheme="minorEastAsia" w:hint="eastAsia"/>
          <w:color w:val="000000" w:themeColor="text1"/>
          <w:sz w:val="24"/>
        </w:rPr>
        <w:t>3</w:t>
      </w:r>
      <w:r>
        <w:rPr>
          <w:rFonts w:asciiTheme="minorEastAsia" w:hAnsiTheme="minorEastAsia" w:cstheme="minorEastAsia" w:hint="eastAsia"/>
          <w:color w:val="000000" w:themeColor="text1"/>
          <w:sz w:val="24"/>
        </w:rPr>
        <w:t>台无人售卖机并采取最低投标价法开展比选工作，最高限价为</w:t>
      </w:r>
      <w:r>
        <w:rPr>
          <w:rFonts w:asciiTheme="minorEastAsia" w:hAnsiTheme="minorEastAsia" w:cstheme="minorEastAsia" w:hint="eastAsia"/>
          <w:color w:val="000000" w:themeColor="text1"/>
          <w:sz w:val="24"/>
        </w:rPr>
        <w:t>99000</w:t>
      </w:r>
      <w:r>
        <w:rPr>
          <w:rFonts w:asciiTheme="minorEastAsia" w:hAnsiTheme="minorEastAsia" w:cstheme="minorEastAsia" w:hint="eastAsia"/>
          <w:color w:val="000000" w:themeColor="text1"/>
          <w:sz w:val="24"/>
        </w:rPr>
        <w:t>元。</w:t>
      </w:r>
      <w:r>
        <w:rPr>
          <w:rFonts w:asciiTheme="minorEastAsia" w:hAnsiTheme="minorEastAsia" w:cstheme="minorEastAsia" w:hint="eastAsia"/>
          <w:color w:val="000000" w:themeColor="text1"/>
          <w:sz w:val="24"/>
        </w:rPr>
        <w:t>营地公司于</w:t>
      </w:r>
      <w:r>
        <w:rPr>
          <w:rFonts w:asciiTheme="minorEastAsia" w:hAnsiTheme="minorEastAsia" w:cstheme="minorEastAsia" w:hint="eastAsia"/>
          <w:color w:val="000000" w:themeColor="text1"/>
          <w:sz w:val="24"/>
        </w:rPr>
        <w:t>2020</w:t>
      </w:r>
      <w:r>
        <w:rPr>
          <w:rFonts w:asciiTheme="minorEastAsia" w:hAnsiTheme="minorEastAsia" w:cstheme="minorEastAsia" w:hint="eastAsia"/>
          <w:color w:val="000000" w:themeColor="text1"/>
          <w:sz w:val="24"/>
        </w:rPr>
        <w:t>年</w:t>
      </w:r>
      <w:r>
        <w:rPr>
          <w:rFonts w:asciiTheme="minorEastAsia" w:hAnsiTheme="minorEastAsia" w:cstheme="minorEastAsia" w:hint="eastAsia"/>
          <w:color w:val="000000" w:themeColor="text1"/>
          <w:sz w:val="24"/>
        </w:rPr>
        <w:t>8</w:t>
      </w:r>
      <w:r>
        <w:rPr>
          <w:rFonts w:asciiTheme="minorEastAsia" w:hAnsiTheme="minorEastAsia" w:cstheme="minorEastAsia" w:hint="eastAsia"/>
          <w:color w:val="000000" w:themeColor="text1"/>
          <w:sz w:val="24"/>
        </w:rPr>
        <w:t>月启动询价工作，</w:t>
      </w:r>
      <w:r>
        <w:rPr>
          <w:rFonts w:asciiTheme="minorEastAsia" w:hAnsiTheme="minorEastAsia" w:cstheme="minorEastAsia" w:hint="eastAsia"/>
          <w:color w:val="000000" w:themeColor="text1"/>
          <w:sz w:val="24"/>
          <w:lang/>
        </w:rPr>
        <w:t>截止</w:t>
      </w:r>
      <w:r>
        <w:rPr>
          <w:rFonts w:asciiTheme="minorEastAsia" w:hAnsiTheme="minorEastAsia" w:cstheme="minorEastAsia" w:hint="eastAsia"/>
          <w:color w:val="000000" w:themeColor="text1"/>
          <w:sz w:val="24"/>
          <w:lang/>
        </w:rPr>
        <w:t>2020</w:t>
      </w:r>
      <w:r>
        <w:rPr>
          <w:rFonts w:asciiTheme="minorEastAsia" w:hAnsiTheme="minorEastAsia" w:cstheme="minorEastAsia" w:hint="eastAsia"/>
          <w:color w:val="000000" w:themeColor="text1"/>
          <w:sz w:val="24"/>
          <w:lang/>
        </w:rPr>
        <w:t>年</w:t>
      </w:r>
      <w:r>
        <w:rPr>
          <w:rFonts w:asciiTheme="minorEastAsia" w:hAnsiTheme="minorEastAsia" w:cstheme="minorEastAsia" w:hint="eastAsia"/>
          <w:color w:val="000000" w:themeColor="text1"/>
          <w:sz w:val="24"/>
          <w:lang/>
        </w:rPr>
        <w:t>9</w:t>
      </w:r>
      <w:r>
        <w:rPr>
          <w:rFonts w:asciiTheme="minorEastAsia" w:hAnsiTheme="minorEastAsia" w:cstheme="minorEastAsia" w:hint="eastAsia"/>
          <w:color w:val="000000" w:themeColor="text1"/>
          <w:sz w:val="24"/>
          <w:lang/>
        </w:rPr>
        <w:t>月</w:t>
      </w:r>
      <w:r>
        <w:rPr>
          <w:rFonts w:asciiTheme="minorEastAsia" w:hAnsiTheme="minorEastAsia" w:cstheme="minorEastAsia" w:hint="eastAsia"/>
          <w:color w:val="000000" w:themeColor="text1"/>
          <w:sz w:val="24"/>
          <w:lang/>
        </w:rPr>
        <w:t>3</w:t>
      </w:r>
      <w:r>
        <w:rPr>
          <w:rFonts w:asciiTheme="minorEastAsia" w:hAnsiTheme="minorEastAsia" w:cstheme="minorEastAsia" w:hint="eastAsia"/>
          <w:color w:val="000000" w:themeColor="text1"/>
          <w:sz w:val="24"/>
          <w:lang/>
        </w:rPr>
        <w:t>日下午</w:t>
      </w:r>
      <w:r>
        <w:rPr>
          <w:rFonts w:asciiTheme="minorEastAsia" w:hAnsiTheme="minorEastAsia" w:cstheme="minorEastAsia" w:hint="eastAsia"/>
          <w:color w:val="000000" w:themeColor="text1"/>
          <w:sz w:val="24"/>
          <w:lang/>
        </w:rPr>
        <w:t>2:30</w:t>
      </w:r>
      <w:r>
        <w:rPr>
          <w:rFonts w:asciiTheme="minorEastAsia" w:hAnsiTheme="minorEastAsia" w:cstheme="minorEastAsia" w:hint="eastAsia"/>
          <w:color w:val="000000" w:themeColor="text1"/>
          <w:sz w:val="24"/>
          <w:lang/>
        </w:rPr>
        <w:t>分</w:t>
      </w:r>
      <w:r>
        <w:rPr>
          <w:rFonts w:asciiTheme="minorEastAsia" w:hAnsiTheme="minorEastAsia" w:cstheme="minorEastAsia" w:hint="eastAsia"/>
          <w:color w:val="000000"/>
          <w:sz w:val="24"/>
          <w:lang/>
        </w:rPr>
        <w:t>收到邀请对象</w:t>
      </w:r>
      <w:r>
        <w:rPr>
          <w:rFonts w:asciiTheme="minorEastAsia" w:hAnsiTheme="minorEastAsia" w:cstheme="minorEastAsia" w:hint="eastAsia"/>
          <w:sz w:val="24"/>
          <w:lang/>
        </w:rPr>
        <w:t>重庆易信金诺信息技术有限公司</w:t>
      </w:r>
      <w:r>
        <w:rPr>
          <w:rFonts w:asciiTheme="minorEastAsia" w:hAnsiTheme="minorEastAsia" w:cstheme="minorEastAsia" w:hint="eastAsia"/>
          <w:color w:val="000000"/>
          <w:sz w:val="24"/>
          <w:lang/>
        </w:rPr>
        <w:t>、</w:t>
      </w:r>
      <w:r>
        <w:rPr>
          <w:rFonts w:asciiTheme="minorEastAsia" w:hAnsiTheme="minorEastAsia" w:cstheme="minorEastAsia" w:hint="eastAsia"/>
          <w:sz w:val="24"/>
          <w:lang/>
        </w:rPr>
        <w:t>重庆傲鲨科技有限公司</w:t>
      </w:r>
      <w:r>
        <w:rPr>
          <w:rFonts w:asciiTheme="minorEastAsia" w:hAnsiTheme="minorEastAsia" w:cstheme="minorEastAsia" w:hint="eastAsia"/>
          <w:color w:val="000000"/>
          <w:sz w:val="24"/>
          <w:lang/>
        </w:rPr>
        <w:t>、</w:t>
      </w:r>
      <w:r>
        <w:rPr>
          <w:rFonts w:asciiTheme="minorEastAsia" w:hAnsiTheme="minorEastAsia" w:cstheme="minorEastAsia" w:hint="eastAsia"/>
          <w:sz w:val="24"/>
          <w:lang/>
        </w:rPr>
        <w:t>重庆瑞言科技发展有限公司</w:t>
      </w:r>
      <w:r>
        <w:rPr>
          <w:rFonts w:asciiTheme="minorEastAsia" w:hAnsiTheme="minorEastAsia" w:cstheme="minorEastAsia" w:hint="eastAsia"/>
          <w:color w:val="000000"/>
          <w:sz w:val="24"/>
          <w:lang/>
        </w:rPr>
        <w:t>、</w:t>
      </w:r>
      <w:r>
        <w:rPr>
          <w:rFonts w:asciiTheme="minorEastAsia" w:hAnsiTheme="minorEastAsia" w:cstheme="minorEastAsia" w:hint="eastAsia"/>
          <w:sz w:val="24"/>
          <w:lang/>
        </w:rPr>
        <w:t>重庆乐吧便捷科技有限公司</w:t>
      </w:r>
      <w:r>
        <w:rPr>
          <w:rFonts w:asciiTheme="minorEastAsia" w:hAnsiTheme="minorEastAsia" w:cstheme="minorEastAsia" w:hint="eastAsia"/>
          <w:color w:val="000000"/>
          <w:sz w:val="24"/>
          <w:lang/>
        </w:rPr>
        <w:t>四份</w:t>
      </w:r>
      <w:r>
        <w:rPr>
          <w:rFonts w:asciiTheme="minorEastAsia" w:hAnsiTheme="minorEastAsia" w:cstheme="minorEastAsia" w:hint="eastAsia"/>
          <w:color w:val="000000"/>
          <w:sz w:val="24"/>
        </w:rPr>
        <w:t>报价文件</w:t>
      </w:r>
      <w:r>
        <w:rPr>
          <w:rFonts w:asciiTheme="minorEastAsia" w:hAnsiTheme="minorEastAsia" w:cstheme="minorEastAsia" w:hint="eastAsia"/>
          <w:color w:val="000000"/>
          <w:sz w:val="24"/>
          <w:lang/>
        </w:rPr>
        <w:t>。评标小组组长瞿能伸总经理召集相关人员组成了开标小组对四份报价文件进行审查打分，四份文件均符合询价函要求，按照询价文件规定对各投标单位得分汇总并排名。根据询价函的评标办法和招标相关管理办法，由得分排名第一的</w:t>
      </w:r>
      <w:r>
        <w:rPr>
          <w:rFonts w:asciiTheme="minorEastAsia" w:hAnsiTheme="minorEastAsia" w:cstheme="minorEastAsia" w:hint="eastAsia"/>
          <w:sz w:val="24"/>
          <w:lang/>
        </w:rPr>
        <w:t>重庆乐吧便捷科技有限公司</w:t>
      </w:r>
      <w:r>
        <w:rPr>
          <w:rFonts w:asciiTheme="minorEastAsia" w:hAnsiTheme="minorEastAsia" w:cstheme="minorEastAsia" w:hint="eastAsia"/>
          <w:color w:val="000000"/>
          <w:sz w:val="24"/>
          <w:lang/>
        </w:rPr>
        <w:t>为中标候选人，经过磋商谈判，中标价格为</w:t>
      </w:r>
      <w:r>
        <w:rPr>
          <w:rFonts w:asciiTheme="minorEastAsia" w:hAnsiTheme="minorEastAsia" w:cstheme="minorEastAsia" w:hint="eastAsia"/>
          <w:color w:val="000000"/>
          <w:sz w:val="24"/>
          <w:lang/>
        </w:rPr>
        <w:t>8.64</w:t>
      </w:r>
      <w:r>
        <w:rPr>
          <w:rFonts w:asciiTheme="minorEastAsia" w:hAnsiTheme="minorEastAsia" w:cstheme="minorEastAsia" w:hint="eastAsia"/>
          <w:color w:val="000000"/>
          <w:sz w:val="24"/>
          <w:lang/>
        </w:rPr>
        <w:t>万元，报土地公司支委会和总经理办公会审核。</w:t>
      </w:r>
      <w:r>
        <w:rPr>
          <w:rFonts w:asciiTheme="minorEastAsia" w:hAnsiTheme="minorEastAsia" w:cstheme="minorEastAsia" w:hint="eastAsia"/>
          <w:color w:val="000000"/>
          <w:sz w:val="24"/>
          <w:lang/>
        </w:rPr>
        <w:t>现将四家报价公司报价及得分排名公示如下：</w:t>
      </w:r>
    </w:p>
    <w:tbl>
      <w:tblPr>
        <w:tblStyle w:val="a3"/>
        <w:tblpPr w:leftFromText="180" w:rightFromText="180" w:vertAnchor="text" w:horzAnchor="page" w:tblpX="1695" w:tblpY="417"/>
        <w:tblOverlap w:val="never"/>
        <w:tblW w:w="0" w:type="auto"/>
        <w:tblLayout w:type="fixed"/>
        <w:tblLook w:val="04A0"/>
      </w:tblPr>
      <w:tblGrid>
        <w:gridCol w:w="3643"/>
        <w:gridCol w:w="1525"/>
        <w:gridCol w:w="1233"/>
        <w:gridCol w:w="1200"/>
        <w:gridCol w:w="1000"/>
        <w:gridCol w:w="840"/>
      </w:tblGrid>
      <w:tr w:rsidR="00E51910">
        <w:tc>
          <w:tcPr>
            <w:tcW w:w="3643"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单位名称</w:t>
            </w:r>
          </w:p>
        </w:tc>
        <w:tc>
          <w:tcPr>
            <w:tcW w:w="1525"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报价金额</w:t>
            </w:r>
          </w:p>
        </w:tc>
        <w:tc>
          <w:tcPr>
            <w:tcW w:w="1233"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报价部分得分</w:t>
            </w:r>
          </w:p>
        </w:tc>
        <w:tc>
          <w:tcPr>
            <w:tcW w:w="1200"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商务部分得分</w:t>
            </w:r>
          </w:p>
        </w:tc>
        <w:tc>
          <w:tcPr>
            <w:tcW w:w="1000"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总得分</w:t>
            </w:r>
          </w:p>
        </w:tc>
        <w:tc>
          <w:tcPr>
            <w:tcW w:w="840"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排名</w:t>
            </w:r>
          </w:p>
        </w:tc>
      </w:tr>
      <w:tr w:rsidR="00E51910">
        <w:tc>
          <w:tcPr>
            <w:tcW w:w="3643"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重庆易信金诺信息技术有限公司</w:t>
            </w:r>
          </w:p>
        </w:tc>
        <w:tc>
          <w:tcPr>
            <w:tcW w:w="1525"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10.4340</w:t>
            </w:r>
            <w:r>
              <w:rPr>
                <w:rFonts w:ascii="宋体" w:hAnsi="宋体" w:cs="宋体" w:hint="eastAsia"/>
                <w:sz w:val="24"/>
                <w:lang/>
              </w:rPr>
              <w:t>万元</w:t>
            </w:r>
          </w:p>
        </w:tc>
        <w:tc>
          <w:tcPr>
            <w:tcW w:w="1233"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64</w:t>
            </w:r>
          </w:p>
        </w:tc>
        <w:tc>
          <w:tcPr>
            <w:tcW w:w="120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10</w:t>
            </w:r>
          </w:p>
        </w:tc>
        <w:tc>
          <w:tcPr>
            <w:tcW w:w="100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74</w:t>
            </w:r>
          </w:p>
        </w:tc>
        <w:tc>
          <w:tcPr>
            <w:tcW w:w="84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3</w:t>
            </w:r>
          </w:p>
        </w:tc>
      </w:tr>
      <w:tr w:rsidR="00E51910">
        <w:tc>
          <w:tcPr>
            <w:tcW w:w="3643"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重庆傲鲨科技有限公司</w:t>
            </w:r>
          </w:p>
        </w:tc>
        <w:tc>
          <w:tcPr>
            <w:tcW w:w="1525"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9.54</w:t>
            </w:r>
            <w:r>
              <w:rPr>
                <w:rFonts w:ascii="宋体" w:hAnsi="宋体" w:cs="宋体" w:hint="eastAsia"/>
                <w:sz w:val="24"/>
                <w:lang/>
              </w:rPr>
              <w:t>万元</w:t>
            </w:r>
          </w:p>
        </w:tc>
        <w:tc>
          <w:tcPr>
            <w:tcW w:w="1233"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72.5</w:t>
            </w:r>
          </w:p>
        </w:tc>
        <w:tc>
          <w:tcPr>
            <w:tcW w:w="120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10</w:t>
            </w:r>
          </w:p>
        </w:tc>
        <w:tc>
          <w:tcPr>
            <w:tcW w:w="100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82.5</w:t>
            </w:r>
          </w:p>
        </w:tc>
        <w:tc>
          <w:tcPr>
            <w:tcW w:w="84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2</w:t>
            </w:r>
          </w:p>
        </w:tc>
      </w:tr>
      <w:tr w:rsidR="00E51910">
        <w:tc>
          <w:tcPr>
            <w:tcW w:w="3643"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重庆瑞言科技发展有限公司</w:t>
            </w:r>
          </w:p>
        </w:tc>
        <w:tc>
          <w:tcPr>
            <w:tcW w:w="1525"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10.4940</w:t>
            </w:r>
            <w:r>
              <w:rPr>
                <w:rFonts w:ascii="宋体" w:hAnsi="宋体" w:cs="宋体" w:hint="eastAsia"/>
                <w:sz w:val="24"/>
                <w:lang/>
              </w:rPr>
              <w:t>万元</w:t>
            </w:r>
          </w:p>
        </w:tc>
        <w:tc>
          <w:tcPr>
            <w:tcW w:w="1233"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65.5</w:t>
            </w:r>
          </w:p>
        </w:tc>
        <w:tc>
          <w:tcPr>
            <w:tcW w:w="120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0</w:t>
            </w:r>
          </w:p>
        </w:tc>
        <w:tc>
          <w:tcPr>
            <w:tcW w:w="100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65.5</w:t>
            </w:r>
          </w:p>
        </w:tc>
        <w:tc>
          <w:tcPr>
            <w:tcW w:w="84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4</w:t>
            </w:r>
          </w:p>
        </w:tc>
      </w:tr>
      <w:tr w:rsidR="00E51910">
        <w:tc>
          <w:tcPr>
            <w:tcW w:w="3643"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重庆乐吧便捷科技有限公司</w:t>
            </w:r>
          </w:p>
        </w:tc>
        <w:tc>
          <w:tcPr>
            <w:tcW w:w="1525" w:type="dxa"/>
          </w:tcPr>
          <w:p w:rsidR="00E51910" w:rsidRDefault="000F3728" w:rsidP="000F3728">
            <w:pPr>
              <w:spacing w:beforeLines="50" w:afterLines="50" w:line="440" w:lineRule="exact"/>
              <w:rPr>
                <w:rFonts w:ascii="宋体" w:hAnsi="宋体" w:cs="宋体"/>
                <w:sz w:val="24"/>
                <w:lang/>
              </w:rPr>
            </w:pPr>
            <w:r>
              <w:rPr>
                <w:rFonts w:ascii="宋体" w:hAnsi="宋体" w:cs="宋体" w:hint="eastAsia"/>
                <w:sz w:val="24"/>
                <w:lang/>
              </w:rPr>
              <w:t>8.64</w:t>
            </w:r>
            <w:r>
              <w:rPr>
                <w:rFonts w:ascii="宋体" w:hAnsi="宋体" w:cs="宋体" w:hint="eastAsia"/>
                <w:sz w:val="24"/>
                <w:lang/>
              </w:rPr>
              <w:t>万元</w:t>
            </w:r>
          </w:p>
        </w:tc>
        <w:tc>
          <w:tcPr>
            <w:tcW w:w="1233"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73.5</w:t>
            </w:r>
          </w:p>
        </w:tc>
        <w:tc>
          <w:tcPr>
            <w:tcW w:w="120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20</w:t>
            </w:r>
          </w:p>
        </w:tc>
        <w:tc>
          <w:tcPr>
            <w:tcW w:w="100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93.5</w:t>
            </w:r>
          </w:p>
        </w:tc>
        <w:tc>
          <w:tcPr>
            <w:tcW w:w="840" w:type="dxa"/>
            <w:vAlign w:val="center"/>
          </w:tcPr>
          <w:p w:rsidR="00E51910" w:rsidRDefault="000F3728" w:rsidP="000F3728">
            <w:pPr>
              <w:spacing w:beforeLines="50" w:afterLines="50" w:line="440" w:lineRule="exact"/>
              <w:jc w:val="center"/>
              <w:rPr>
                <w:rFonts w:ascii="宋体" w:hAnsi="宋体" w:cs="宋体"/>
                <w:sz w:val="24"/>
                <w:lang/>
              </w:rPr>
            </w:pPr>
            <w:r>
              <w:rPr>
                <w:rFonts w:ascii="宋体" w:hAnsi="宋体" w:cs="宋体" w:hint="eastAsia"/>
                <w:sz w:val="24"/>
                <w:lang/>
              </w:rPr>
              <w:t>1</w:t>
            </w:r>
          </w:p>
        </w:tc>
      </w:tr>
    </w:tbl>
    <w:p w:rsidR="00E51910" w:rsidRDefault="00E51910" w:rsidP="000F3728">
      <w:pPr>
        <w:spacing w:beforeLines="50" w:afterLines="50" w:line="440" w:lineRule="exact"/>
        <w:rPr>
          <w:rFonts w:asciiTheme="minorEastAsia" w:hAnsiTheme="minorEastAsia" w:cstheme="minorEastAsia"/>
          <w:b/>
          <w:bCs/>
          <w:color w:val="000000"/>
          <w:sz w:val="24"/>
        </w:rPr>
      </w:pP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0F3728">
      <w:pPr>
        <w:widowControl/>
        <w:shd w:val="clear" w:color="auto" w:fill="FFFFFF"/>
        <w:jc w:val="left"/>
        <w:rPr>
          <w:rFonts w:ascii="宋体" w:eastAsia="宋体" w:hAnsi="宋体" w:cs="宋体"/>
          <w:sz w:val="24"/>
        </w:rPr>
      </w:pPr>
      <w:bookmarkStart w:id="0" w:name="_GoBack"/>
      <w:bookmarkEnd w:id="0"/>
      <w:r>
        <w:rPr>
          <w:rFonts w:ascii="宋体" w:eastAsia="宋体" w:hAnsi="宋体" w:cs="宋体" w:hint="eastAsia"/>
          <w:kern w:val="0"/>
          <w:sz w:val="24"/>
          <w:shd w:val="clear" w:color="auto" w:fill="FFFFFF"/>
          <w:lang/>
        </w:rPr>
        <w:t>二、公示时间</w:t>
      </w:r>
      <w:r>
        <w:rPr>
          <w:rFonts w:ascii="宋体" w:eastAsia="宋体" w:hAnsi="宋体" w:cs="宋体" w:hint="eastAsia"/>
          <w:kern w:val="0"/>
          <w:sz w:val="24"/>
          <w:shd w:val="clear" w:color="auto" w:fill="FFFFFF"/>
          <w:lang/>
        </w:rPr>
        <w:t xml:space="preserve"> </w:t>
      </w:r>
    </w:p>
    <w:p w:rsidR="00E51910" w:rsidRDefault="000F3728">
      <w:pPr>
        <w:widowControl/>
        <w:shd w:val="clear" w:color="auto" w:fill="FFFFFF"/>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2020</w:t>
      </w:r>
      <w:r>
        <w:rPr>
          <w:rFonts w:ascii="宋体" w:eastAsia="宋体" w:hAnsi="宋体" w:cs="宋体" w:hint="eastAsia"/>
          <w:kern w:val="0"/>
          <w:sz w:val="24"/>
          <w:shd w:val="clear" w:color="auto" w:fill="FFFFFF"/>
          <w:lang/>
        </w:rPr>
        <w:t>年</w:t>
      </w:r>
      <w:r>
        <w:rPr>
          <w:rFonts w:ascii="宋体" w:eastAsia="宋体" w:hAnsi="宋体" w:cs="宋体" w:hint="eastAsia"/>
          <w:kern w:val="0"/>
          <w:sz w:val="24"/>
          <w:shd w:val="clear" w:color="auto" w:fill="FFFFFF"/>
          <w:lang/>
        </w:rPr>
        <w:t>9</w:t>
      </w:r>
      <w:r>
        <w:rPr>
          <w:rFonts w:ascii="宋体" w:eastAsia="宋体" w:hAnsi="宋体" w:cs="宋体" w:hint="eastAsia"/>
          <w:kern w:val="0"/>
          <w:sz w:val="24"/>
          <w:shd w:val="clear" w:color="auto" w:fill="FFFFFF"/>
          <w:lang/>
        </w:rPr>
        <w:t>月14</w:t>
      </w:r>
      <w:r>
        <w:rPr>
          <w:rFonts w:ascii="宋体" w:eastAsia="宋体" w:hAnsi="宋体" w:cs="宋体" w:hint="eastAsia"/>
          <w:kern w:val="0"/>
          <w:sz w:val="24"/>
          <w:shd w:val="clear" w:color="auto" w:fill="FFFFFF"/>
          <w:lang/>
        </w:rPr>
        <w:t>日——</w:t>
      </w:r>
      <w:r>
        <w:rPr>
          <w:rFonts w:ascii="宋体" w:eastAsia="宋体" w:hAnsi="宋体" w:cs="宋体" w:hint="eastAsia"/>
          <w:kern w:val="0"/>
          <w:sz w:val="24"/>
          <w:shd w:val="clear" w:color="auto" w:fill="FFFFFF"/>
          <w:lang/>
        </w:rPr>
        <w:t>2020</w:t>
      </w:r>
      <w:r>
        <w:rPr>
          <w:rFonts w:ascii="宋体" w:eastAsia="宋体" w:hAnsi="宋体" w:cs="宋体" w:hint="eastAsia"/>
          <w:kern w:val="0"/>
          <w:sz w:val="24"/>
          <w:shd w:val="clear" w:color="auto" w:fill="FFFFFF"/>
          <w:lang/>
        </w:rPr>
        <w:t>年</w:t>
      </w:r>
      <w:r>
        <w:rPr>
          <w:rFonts w:ascii="宋体" w:eastAsia="宋体" w:hAnsi="宋体" w:cs="宋体" w:hint="eastAsia"/>
          <w:kern w:val="0"/>
          <w:sz w:val="24"/>
          <w:shd w:val="clear" w:color="auto" w:fill="FFFFFF"/>
          <w:lang/>
        </w:rPr>
        <w:t>9</w:t>
      </w:r>
      <w:r>
        <w:rPr>
          <w:rFonts w:ascii="宋体" w:eastAsia="宋体" w:hAnsi="宋体" w:cs="宋体" w:hint="eastAsia"/>
          <w:kern w:val="0"/>
          <w:sz w:val="24"/>
          <w:shd w:val="clear" w:color="auto" w:fill="FFFFFF"/>
          <w:lang/>
        </w:rPr>
        <w:t>月18</w:t>
      </w:r>
      <w:r>
        <w:rPr>
          <w:rFonts w:ascii="宋体" w:eastAsia="宋体" w:hAnsi="宋体" w:cs="宋体" w:hint="eastAsia"/>
          <w:kern w:val="0"/>
          <w:sz w:val="24"/>
          <w:shd w:val="clear" w:color="auto" w:fill="FFFFFF"/>
          <w:lang/>
        </w:rPr>
        <w:t>日</w:t>
      </w:r>
      <w:r>
        <w:rPr>
          <w:rFonts w:ascii="宋体" w:eastAsia="宋体" w:hAnsi="宋体" w:cs="宋体" w:hint="eastAsia"/>
          <w:kern w:val="0"/>
          <w:sz w:val="24"/>
          <w:shd w:val="clear" w:color="auto" w:fill="FFFFFF"/>
          <w:lang/>
        </w:rPr>
        <w:t xml:space="preserve"> </w:t>
      </w: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0F3728">
      <w:pPr>
        <w:widowControl/>
        <w:numPr>
          <w:ilvl w:val="0"/>
          <w:numId w:val="1"/>
        </w:numPr>
        <w:shd w:val="clear" w:color="auto" w:fill="FFFFFF"/>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受理意见部门及联系人</w:t>
      </w:r>
      <w:r>
        <w:rPr>
          <w:rFonts w:ascii="宋体" w:eastAsia="宋体" w:hAnsi="宋体" w:cs="宋体" w:hint="eastAsia"/>
          <w:kern w:val="0"/>
          <w:sz w:val="24"/>
          <w:shd w:val="clear" w:color="auto" w:fill="FFFFFF"/>
          <w:lang/>
        </w:rPr>
        <w:t xml:space="preserve"> </w:t>
      </w: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0F3728">
      <w:pPr>
        <w:widowControl/>
        <w:shd w:val="clear" w:color="auto" w:fill="FFFFFF"/>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综合办公室：乐小红</w:t>
      </w:r>
      <w:r>
        <w:rPr>
          <w:rFonts w:ascii="宋体" w:eastAsia="宋体" w:hAnsi="宋体" w:cs="宋体" w:hint="eastAsia"/>
          <w:kern w:val="0"/>
          <w:sz w:val="24"/>
          <w:shd w:val="clear" w:color="auto" w:fill="FFFFFF"/>
          <w:lang/>
        </w:rPr>
        <w:t xml:space="preserve"> 13594911108</w:t>
      </w: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0F3728">
      <w:pPr>
        <w:widowControl/>
        <w:numPr>
          <w:ilvl w:val="0"/>
          <w:numId w:val="2"/>
        </w:numPr>
        <w:shd w:val="clear" w:color="auto" w:fill="FFFFFF"/>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反映情况基本要求</w:t>
      </w:r>
      <w:r>
        <w:rPr>
          <w:rFonts w:ascii="宋体" w:eastAsia="宋体" w:hAnsi="宋体" w:cs="宋体" w:hint="eastAsia"/>
          <w:kern w:val="0"/>
          <w:sz w:val="24"/>
          <w:shd w:val="clear" w:color="auto" w:fill="FFFFFF"/>
          <w:lang/>
        </w:rPr>
        <w:t xml:space="preserve"> </w:t>
      </w: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0F3728">
      <w:pPr>
        <w:widowControl/>
        <w:numPr>
          <w:ilvl w:val="0"/>
          <w:numId w:val="3"/>
        </w:numPr>
        <w:shd w:val="clear" w:color="auto" w:fill="FFFFFF"/>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如认为公示对象不符合比选条件和廉洁自律规定的，请以书面或电话等实名方式向受理部门反映。</w:t>
      </w:r>
      <w:r>
        <w:rPr>
          <w:rFonts w:ascii="宋体" w:eastAsia="宋体" w:hAnsi="宋体" w:cs="宋体" w:hint="eastAsia"/>
          <w:kern w:val="0"/>
          <w:sz w:val="24"/>
          <w:shd w:val="clear" w:color="auto" w:fill="FFFFFF"/>
          <w:lang/>
        </w:rPr>
        <w:t xml:space="preserve"> </w:t>
      </w: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0F3728">
      <w:pPr>
        <w:widowControl/>
        <w:numPr>
          <w:ilvl w:val="0"/>
          <w:numId w:val="3"/>
        </w:numPr>
        <w:shd w:val="clear" w:color="auto" w:fill="FFFFFF"/>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反映情况须实事求是，真实具体。</w:t>
      </w:r>
      <w:r>
        <w:rPr>
          <w:rFonts w:ascii="宋体" w:eastAsia="宋体" w:hAnsi="宋体" w:cs="宋体" w:hint="eastAsia"/>
          <w:kern w:val="0"/>
          <w:sz w:val="24"/>
          <w:shd w:val="clear" w:color="auto" w:fill="FFFFFF"/>
          <w:lang/>
        </w:rPr>
        <w:t xml:space="preserve"> </w:t>
      </w: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0F3728">
      <w:pPr>
        <w:widowControl/>
        <w:numPr>
          <w:ilvl w:val="0"/>
          <w:numId w:val="3"/>
        </w:numPr>
        <w:shd w:val="clear" w:color="auto" w:fill="FFFFFF"/>
        <w:jc w:val="left"/>
        <w:rPr>
          <w:rFonts w:ascii="宋体" w:eastAsia="宋体" w:hAnsi="宋体" w:cs="宋体"/>
          <w:kern w:val="0"/>
          <w:sz w:val="24"/>
          <w:shd w:val="clear" w:color="auto" w:fill="FFFFFF"/>
          <w:lang/>
        </w:rPr>
      </w:pPr>
      <w:r>
        <w:rPr>
          <w:rFonts w:ascii="宋体" w:eastAsia="宋体" w:hAnsi="宋体" w:cs="宋体" w:hint="eastAsia"/>
          <w:kern w:val="0"/>
          <w:sz w:val="24"/>
          <w:shd w:val="clear" w:color="auto" w:fill="FFFFFF"/>
          <w:lang/>
        </w:rPr>
        <w:t>受理人员将对反映人和反映的情况严格保密。</w:t>
      </w:r>
    </w:p>
    <w:p w:rsidR="00E51910" w:rsidRDefault="00E51910">
      <w:pPr>
        <w:widowControl/>
        <w:shd w:val="clear" w:color="auto" w:fill="FFFFFF"/>
        <w:jc w:val="left"/>
        <w:rPr>
          <w:rFonts w:ascii="宋体" w:eastAsia="宋体" w:hAnsi="宋体" w:cs="宋体"/>
          <w:kern w:val="0"/>
          <w:sz w:val="24"/>
          <w:shd w:val="clear" w:color="auto" w:fill="FFFFFF"/>
          <w:lang/>
        </w:rPr>
      </w:pPr>
    </w:p>
    <w:p w:rsidR="00E51910" w:rsidRDefault="00E51910">
      <w:pPr>
        <w:widowControl/>
        <w:shd w:val="clear" w:color="auto" w:fill="FFFFFF"/>
        <w:jc w:val="left"/>
        <w:rPr>
          <w:rFonts w:ascii="宋体" w:eastAsia="宋体" w:hAnsi="宋体" w:cs="宋体"/>
          <w:sz w:val="24"/>
        </w:rPr>
      </w:pPr>
    </w:p>
    <w:p w:rsidR="00E51910" w:rsidRDefault="000F3728">
      <w:pPr>
        <w:widowControl/>
        <w:shd w:val="clear" w:color="auto" w:fill="FFFFFF"/>
        <w:jc w:val="right"/>
        <w:rPr>
          <w:rFonts w:ascii="宋体" w:eastAsia="宋体" w:hAnsi="宋体" w:cs="宋体"/>
          <w:sz w:val="24"/>
        </w:rPr>
      </w:pPr>
      <w:r>
        <w:rPr>
          <w:rFonts w:ascii="宋体" w:eastAsia="宋体" w:hAnsi="宋体" w:cs="宋体" w:hint="eastAsia"/>
          <w:sz w:val="24"/>
        </w:rPr>
        <w:t>重庆高速冷水自驾营地管理有限公司</w:t>
      </w:r>
    </w:p>
    <w:p w:rsidR="00E51910" w:rsidRDefault="000F3728">
      <w:pPr>
        <w:widowControl/>
        <w:shd w:val="clear" w:color="auto" w:fill="FFFFFF"/>
        <w:jc w:val="right"/>
        <w:rPr>
          <w:rFonts w:ascii="方正小标宋_GBK" w:eastAsia="方正小标宋_GBK" w:hAnsi="方正小标宋_GBK" w:cs="方正小标宋_GBK"/>
          <w:sz w:val="24"/>
        </w:rPr>
      </w:pPr>
      <w:r>
        <w:rPr>
          <w:rFonts w:ascii="宋体" w:eastAsia="宋体" w:hAnsi="宋体" w:cs="宋体" w:hint="eastAsia"/>
          <w:sz w:val="24"/>
        </w:rPr>
        <w:t>2020</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4</w:t>
      </w:r>
      <w:r>
        <w:rPr>
          <w:rFonts w:ascii="宋体" w:eastAsia="宋体" w:hAnsi="宋体" w:cs="宋体" w:hint="eastAsia"/>
          <w:sz w:val="24"/>
        </w:rPr>
        <w:t>日</w:t>
      </w:r>
    </w:p>
    <w:p w:rsidR="00E51910" w:rsidRDefault="00E51910">
      <w:pPr>
        <w:jc w:val="left"/>
        <w:rPr>
          <w:color w:val="000000" w:themeColor="text1"/>
        </w:rPr>
      </w:pPr>
    </w:p>
    <w:sectPr w:rsidR="00E51910" w:rsidSect="00E519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674DC"/>
    <w:multiLevelType w:val="singleLevel"/>
    <w:tmpl w:val="8D7674DC"/>
    <w:lvl w:ilvl="0">
      <w:start w:val="4"/>
      <w:numFmt w:val="chineseCounting"/>
      <w:suff w:val="nothing"/>
      <w:lvlText w:val="%1、"/>
      <w:lvlJc w:val="left"/>
      <w:rPr>
        <w:rFonts w:hint="eastAsia"/>
      </w:rPr>
    </w:lvl>
  </w:abstractNum>
  <w:abstractNum w:abstractNumId="1">
    <w:nsid w:val="DF456965"/>
    <w:multiLevelType w:val="singleLevel"/>
    <w:tmpl w:val="DF456965"/>
    <w:lvl w:ilvl="0">
      <w:start w:val="1"/>
      <w:numFmt w:val="chineseCounting"/>
      <w:suff w:val="space"/>
      <w:lvlText w:val="（%1）"/>
      <w:lvlJc w:val="left"/>
      <w:rPr>
        <w:rFonts w:hint="eastAsia"/>
      </w:rPr>
    </w:lvl>
  </w:abstractNum>
  <w:abstractNum w:abstractNumId="2">
    <w:nsid w:val="2FC92397"/>
    <w:multiLevelType w:val="singleLevel"/>
    <w:tmpl w:val="2FC92397"/>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46C3EAF"/>
    <w:rsid w:val="000F3728"/>
    <w:rsid w:val="00E51910"/>
    <w:rsid w:val="0B043D85"/>
    <w:rsid w:val="346C3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91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19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E51910"/>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我去.....</dc:creator>
  <cp:lastModifiedBy>申健</cp:lastModifiedBy>
  <cp:revision>2</cp:revision>
  <dcterms:created xsi:type="dcterms:W3CDTF">2020-09-06T02:17:00Z</dcterms:created>
  <dcterms:modified xsi:type="dcterms:W3CDTF">2020-09-09T01:21:00Z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