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2023年南部片区所辖路段日常绿化工程</w:t>
      </w:r>
    </w:p>
    <w:p>
      <w:pPr>
        <w:jc w:val="center"/>
        <w:rPr>
          <w:rFonts w:ascii="宋体" w:hAnsi="宋体" w:cs="宋体"/>
          <w:b/>
          <w:spacing w:val="20"/>
          <w:sz w:val="72"/>
          <w:szCs w:val="72"/>
          <w:highlight w:val="none"/>
        </w:rPr>
      </w:pPr>
    </w:p>
    <w:p>
      <w:pPr>
        <w:pStyle w:val="2"/>
        <w:rPr>
          <w:highlight w:val="none"/>
        </w:rPr>
      </w:pPr>
    </w:p>
    <w:p>
      <w:pPr>
        <w:pStyle w:val="4"/>
        <w:rPr>
          <w:rFonts w:ascii="宋体" w:hAnsi="宋体" w:cs="宋体"/>
          <w:b/>
          <w:spacing w:val="20"/>
          <w:sz w:val="72"/>
          <w:szCs w:val="72"/>
          <w:highlight w:val="none"/>
        </w:rPr>
      </w:pPr>
    </w:p>
    <w:p>
      <w:pPr>
        <w:rPr>
          <w:rFonts w:ascii="宋体" w:hAnsi="宋体" w:cs="宋体"/>
          <w:b/>
          <w:spacing w:val="20"/>
          <w:sz w:val="72"/>
          <w:szCs w:val="72"/>
          <w:highlight w:val="none"/>
        </w:rPr>
      </w:pPr>
    </w:p>
    <w:p>
      <w:pPr>
        <w:pStyle w:val="2"/>
        <w:rPr>
          <w:highlight w:val="none"/>
        </w:rPr>
      </w:pPr>
    </w:p>
    <w:p>
      <w:pPr>
        <w:rPr>
          <w:highlight w:val="none"/>
        </w:rPr>
      </w:pPr>
    </w:p>
    <w:p>
      <w:pPr>
        <w:jc w:val="center"/>
        <w:rPr>
          <w:rFonts w:ascii="宋体" w:hAnsi="宋体" w:cs="宋体"/>
          <w:b/>
          <w:spacing w:val="20"/>
          <w:sz w:val="84"/>
          <w:szCs w:val="84"/>
          <w:highlight w:val="none"/>
        </w:rPr>
      </w:pPr>
      <w:r>
        <w:rPr>
          <w:rFonts w:hint="eastAsia" w:ascii="宋体" w:hAnsi="宋体" w:cs="宋体"/>
          <w:b/>
          <w:spacing w:val="20"/>
          <w:sz w:val="84"/>
          <w:szCs w:val="84"/>
          <w:highlight w:val="none"/>
        </w:rPr>
        <w:t>竞争性比选文件</w:t>
      </w: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pStyle w:val="12"/>
        <w:rPr>
          <w:color w:val="auto"/>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pStyle w:val="2"/>
        <w:rPr>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pacing w:val="100"/>
          <w:szCs w:val="21"/>
          <w:highlight w:val="none"/>
        </w:rPr>
      </w:pPr>
    </w:p>
    <w:p>
      <w:pPr>
        <w:pStyle w:val="5"/>
        <w:spacing w:line="360" w:lineRule="auto"/>
        <w:ind w:left="99" w:leftChars="47"/>
        <w:jc w:val="center"/>
        <w:rPr>
          <w:rFonts w:ascii="宋体" w:hAnsi="宋体" w:cs="宋体"/>
          <w:b/>
          <w:sz w:val="32"/>
          <w:szCs w:val="32"/>
          <w:highlight w:val="none"/>
        </w:rPr>
      </w:pPr>
      <w:r>
        <w:rPr>
          <w:rFonts w:hint="eastAsia" w:ascii="宋体" w:hAnsi="宋体" w:cs="宋体"/>
          <w:b/>
          <w:sz w:val="32"/>
          <w:szCs w:val="32"/>
          <w:highlight w:val="none"/>
        </w:rPr>
        <w:t>重庆通力高速公路养护工程有限公司</w:t>
      </w:r>
    </w:p>
    <w:p>
      <w:pPr>
        <w:pStyle w:val="5"/>
        <w:spacing w:line="360" w:lineRule="auto"/>
        <w:ind w:left="99" w:leftChars="47"/>
        <w:jc w:val="center"/>
        <w:rPr>
          <w:rFonts w:ascii="宋体" w:hAnsi="宋体" w:cs="宋体"/>
          <w:b/>
          <w:sz w:val="32"/>
          <w:szCs w:val="32"/>
          <w:highlight w:val="none"/>
        </w:rPr>
      </w:pPr>
      <w:r>
        <w:rPr>
          <w:rFonts w:hint="eastAsia" w:ascii="宋体" w:hAnsi="宋体" w:cs="宋体"/>
          <w:b/>
          <w:sz w:val="32"/>
          <w:szCs w:val="32"/>
          <w:highlight w:val="none"/>
        </w:rPr>
        <w:t>2023年</w:t>
      </w:r>
      <w:r>
        <w:rPr>
          <w:rFonts w:hint="eastAsia" w:ascii="宋体" w:hAnsi="宋体" w:cs="宋体"/>
          <w:b/>
          <w:sz w:val="32"/>
          <w:szCs w:val="32"/>
          <w:highlight w:val="none"/>
          <w:lang w:val="en-US" w:eastAsia="zh-CN"/>
        </w:rPr>
        <w:t>3</w:t>
      </w:r>
      <w:r>
        <w:rPr>
          <w:rFonts w:hint="eastAsia" w:ascii="宋体" w:hAnsi="宋体" w:cs="宋体"/>
          <w:b/>
          <w:sz w:val="32"/>
          <w:szCs w:val="32"/>
          <w:highlight w:val="none"/>
        </w:rPr>
        <w:t>月</w:t>
      </w:r>
    </w:p>
    <w:p>
      <w:pPr>
        <w:pStyle w:val="12"/>
        <w:rPr>
          <w:color w:val="auto"/>
          <w:highlight w:val="none"/>
        </w:rPr>
      </w:pPr>
    </w:p>
    <w:p>
      <w:pPr>
        <w:pStyle w:val="12"/>
        <w:rPr>
          <w:color w:val="auto"/>
          <w:highlight w:val="none"/>
        </w:rPr>
      </w:pPr>
    </w:p>
    <w:p>
      <w:pPr>
        <w:pStyle w:val="12"/>
        <w:rPr>
          <w:color w:val="auto"/>
          <w:highlight w:val="none"/>
        </w:rPr>
      </w:pPr>
    </w:p>
    <w:p>
      <w:pPr>
        <w:spacing w:line="400" w:lineRule="exact"/>
        <w:jc w:val="center"/>
        <w:rPr>
          <w:rFonts w:ascii="宋体" w:hAnsi="宋体" w:cs="宋体"/>
          <w:b/>
          <w:sz w:val="30"/>
          <w:szCs w:val="30"/>
          <w:highlight w:val="none"/>
        </w:rPr>
      </w:pPr>
    </w:p>
    <w:p>
      <w:pPr>
        <w:spacing w:line="400" w:lineRule="exact"/>
        <w:jc w:val="center"/>
        <w:rPr>
          <w:rFonts w:ascii="宋体" w:hAnsi="宋体" w:cs="宋体"/>
          <w:b/>
          <w:sz w:val="30"/>
          <w:szCs w:val="30"/>
          <w:highlight w:val="none"/>
        </w:rPr>
      </w:pPr>
      <w:r>
        <w:rPr>
          <w:rFonts w:hint="eastAsia" w:ascii="宋体" w:hAnsi="宋体" w:cs="宋体"/>
          <w:b/>
          <w:sz w:val="30"/>
          <w:szCs w:val="30"/>
          <w:highlight w:val="none"/>
        </w:rPr>
        <w:t>2023年南部片区所辖路段日常绿化工程</w:t>
      </w:r>
    </w:p>
    <w:p>
      <w:pPr>
        <w:spacing w:line="400" w:lineRule="exact"/>
        <w:jc w:val="center"/>
        <w:rPr>
          <w:rFonts w:ascii="宋体" w:hAnsi="宋体" w:cs="宋体"/>
          <w:b/>
          <w:sz w:val="30"/>
          <w:szCs w:val="30"/>
          <w:highlight w:val="none"/>
        </w:rPr>
      </w:pPr>
      <w:r>
        <w:rPr>
          <w:rFonts w:hint="eastAsia" w:ascii="宋体" w:hAnsi="宋体" w:cs="宋体"/>
          <w:b/>
          <w:sz w:val="30"/>
          <w:szCs w:val="30"/>
          <w:highlight w:val="none"/>
        </w:rPr>
        <w:t>竞争性比选公告</w:t>
      </w:r>
    </w:p>
    <w:p>
      <w:pPr>
        <w:spacing w:line="400" w:lineRule="exact"/>
        <w:ind w:firstLine="120" w:firstLineChars="50"/>
        <w:rPr>
          <w:rFonts w:ascii="宋体" w:hAnsi="宋体" w:cs="宋体"/>
          <w:sz w:val="24"/>
          <w:szCs w:val="24"/>
          <w:highlight w:val="none"/>
          <w:u w:val="single"/>
        </w:rPr>
      </w:pPr>
      <w:bookmarkStart w:id="0" w:name="_Toc246996166"/>
      <w:bookmarkStart w:id="1" w:name="_Toc144974487"/>
      <w:bookmarkStart w:id="2" w:name="_Toc152045519"/>
      <w:bookmarkStart w:id="3" w:name="_Toc179632536"/>
      <w:bookmarkStart w:id="4" w:name="_Toc152042295"/>
      <w:bookmarkStart w:id="5" w:name="_Toc247085680"/>
      <w:bookmarkStart w:id="6" w:name="_Toc296602410"/>
      <w:bookmarkStart w:id="7" w:name="_Toc246996909"/>
    </w:p>
    <w:bookmarkEnd w:id="0"/>
    <w:bookmarkEnd w:id="1"/>
    <w:bookmarkEnd w:id="2"/>
    <w:bookmarkEnd w:id="3"/>
    <w:bookmarkEnd w:id="4"/>
    <w:bookmarkEnd w:id="5"/>
    <w:bookmarkEnd w:id="6"/>
    <w:bookmarkEnd w:id="7"/>
    <w:p>
      <w:pPr>
        <w:ind w:firstLine="420"/>
        <w:rPr>
          <w:szCs w:val="21"/>
          <w:highlight w:val="none"/>
        </w:rPr>
      </w:pPr>
      <w:bookmarkStart w:id="8" w:name="_Toc179632538"/>
      <w:bookmarkStart w:id="9" w:name="_Toc152045521"/>
      <w:bookmarkStart w:id="10" w:name="_Toc144974489"/>
      <w:bookmarkStart w:id="11" w:name="_Toc246996168"/>
      <w:bookmarkStart w:id="12" w:name="_Toc246996911"/>
      <w:bookmarkStart w:id="13" w:name="_Toc152042297"/>
      <w:bookmarkStart w:id="14" w:name="_Toc296602412"/>
      <w:bookmarkStart w:id="15" w:name="_Toc247085682"/>
      <w:r>
        <w:rPr>
          <w:szCs w:val="21"/>
          <w:highlight w:val="none"/>
        </w:rPr>
        <w:t>本项目</w:t>
      </w:r>
      <w:r>
        <w:rPr>
          <w:rFonts w:hint="eastAsia"/>
          <w:szCs w:val="21"/>
          <w:highlight w:val="none"/>
        </w:rPr>
        <w:t>2023年南部片区所辖路段日常绿化工程</w:t>
      </w:r>
      <w:r>
        <w:rPr>
          <w:szCs w:val="21"/>
          <w:highlight w:val="none"/>
        </w:rPr>
        <w:t>准备组织实施，重庆通力高速公路养护工程有限公司计划以</w:t>
      </w:r>
      <w:r>
        <w:rPr>
          <w:rFonts w:hint="eastAsia"/>
          <w:szCs w:val="21"/>
          <w:highlight w:val="none"/>
        </w:rPr>
        <w:t>竞争性比选</w:t>
      </w:r>
      <w:r>
        <w:rPr>
          <w:szCs w:val="21"/>
          <w:highlight w:val="none"/>
        </w:rPr>
        <w:t>方式确定成交单位，具体情况如下：</w:t>
      </w:r>
    </w:p>
    <w:p>
      <w:pPr>
        <w:spacing w:line="400" w:lineRule="exact"/>
        <w:ind w:firstLine="422" w:firstLineChars="200"/>
        <w:rPr>
          <w:b/>
          <w:szCs w:val="21"/>
          <w:highlight w:val="none"/>
        </w:rPr>
      </w:pPr>
      <w:bookmarkStart w:id="16" w:name="_Toc247085681"/>
      <w:bookmarkStart w:id="17" w:name="_Toc179632537"/>
      <w:bookmarkStart w:id="18" w:name="_Toc246996910"/>
      <w:bookmarkStart w:id="19" w:name="_Toc296602411"/>
      <w:bookmarkStart w:id="20" w:name="_Toc152045520"/>
      <w:bookmarkStart w:id="21" w:name="_Toc152042296"/>
      <w:bookmarkStart w:id="22" w:name="_Toc144974488"/>
      <w:bookmarkStart w:id="23" w:name="_Toc246996167"/>
      <w:r>
        <w:rPr>
          <w:b/>
          <w:szCs w:val="21"/>
          <w:highlight w:val="none"/>
        </w:rPr>
        <w:t>一、项目概况与</w:t>
      </w:r>
      <w:r>
        <w:rPr>
          <w:rFonts w:hint="eastAsia"/>
          <w:b/>
          <w:szCs w:val="21"/>
          <w:highlight w:val="none"/>
        </w:rPr>
        <w:t>竞争性比选</w:t>
      </w:r>
      <w:r>
        <w:rPr>
          <w:b/>
          <w:szCs w:val="21"/>
          <w:highlight w:val="none"/>
        </w:rPr>
        <w:t>范围</w:t>
      </w:r>
      <w:bookmarkEnd w:id="16"/>
      <w:bookmarkEnd w:id="17"/>
      <w:bookmarkEnd w:id="18"/>
      <w:bookmarkEnd w:id="19"/>
      <w:bookmarkEnd w:id="20"/>
      <w:bookmarkEnd w:id="21"/>
      <w:bookmarkEnd w:id="22"/>
      <w:bookmarkEnd w:id="23"/>
    </w:p>
    <w:p>
      <w:pPr>
        <w:ind w:firstLine="420" w:firstLineChars="200"/>
        <w:rPr>
          <w:szCs w:val="21"/>
          <w:highlight w:val="none"/>
        </w:rPr>
      </w:pPr>
      <w:r>
        <w:rPr>
          <w:rFonts w:hint="eastAsia"/>
          <w:szCs w:val="21"/>
          <w:highlight w:val="none"/>
        </w:rPr>
        <w:t>本项目为重庆通力高速公路养护工程有限公司2023年南部片区所辖路段日常绿化工程分包。现对以上工作内容进行公开竞争性比选选择合作单位。</w:t>
      </w:r>
    </w:p>
    <w:p>
      <w:pPr>
        <w:ind w:firstLine="420" w:firstLineChars="200"/>
        <w:jc w:val="left"/>
        <w:rPr>
          <w:szCs w:val="21"/>
          <w:highlight w:val="none"/>
        </w:rPr>
      </w:pPr>
      <w:r>
        <w:rPr>
          <w:rFonts w:hint="eastAsia"/>
          <w:szCs w:val="21"/>
          <w:highlight w:val="none"/>
        </w:rPr>
        <w:t>1.1工程范围：通力公司南部片区所辖路段，含渝湘路、渝黔射线、綦万路、南涪路、南道路等路段杂草杂树清理外运、原有灌木挖除清运、整理绿化用地、回填种植土及绿化乔木、灌木、藤本、地被栽植等新建或改造绿化工程施工内容，以及绿化养护工程中的除草、浇水、绿地保洁等日常性维护工作和苗木整形、病虫害防治、施肥等季节性养护工作、零星补栽及盆花养护和移植工作。</w:t>
      </w:r>
    </w:p>
    <w:p>
      <w:pPr>
        <w:ind w:firstLine="420" w:firstLineChars="200"/>
        <w:jc w:val="left"/>
        <w:rPr>
          <w:szCs w:val="21"/>
          <w:highlight w:val="none"/>
        </w:rPr>
      </w:pPr>
      <w:r>
        <w:rPr>
          <w:rFonts w:hint="eastAsia"/>
          <w:szCs w:val="21"/>
          <w:highlight w:val="none"/>
        </w:rPr>
        <w:t>1.2工程地点：通力公司南部片区所辖路段，含渝湘路、渝黔射线、綦万路、南涪路、南道路等路段中分带、路侧绿化带、边坡、站房、服务区、收费广场、立交匝道及隧道进出口绿化地。</w:t>
      </w:r>
    </w:p>
    <w:p>
      <w:pPr>
        <w:ind w:firstLine="420" w:firstLineChars="200"/>
        <w:rPr>
          <w:szCs w:val="21"/>
          <w:highlight w:val="none"/>
        </w:rPr>
      </w:pPr>
      <w:r>
        <w:rPr>
          <w:rFonts w:hint="eastAsia"/>
          <w:szCs w:val="21"/>
          <w:highlight w:val="none"/>
        </w:rPr>
        <w:t>1.3工期：实际工期以项目需要为准</w:t>
      </w:r>
    </w:p>
    <w:p>
      <w:pPr>
        <w:spacing w:line="360" w:lineRule="exact"/>
        <w:ind w:firstLine="422" w:firstLineChars="200"/>
        <w:rPr>
          <w:b/>
          <w:szCs w:val="21"/>
          <w:highlight w:val="none"/>
        </w:rPr>
      </w:pPr>
      <w:r>
        <w:rPr>
          <w:b/>
          <w:szCs w:val="21"/>
          <w:highlight w:val="none"/>
        </w:rPr>
        <w:t>二、投标（报价）人要求</w:t>
      </w:r>
      <w:r>
        <w:rPr>
          <w:rFonts w:hint="eastAsia"/>
          <w:b/>
          <w:szCs w:val="21"/>
          <w:highlight w:val="none"/>
        </w:rPr>
        <w:t>：</w:t>
      </w:r>
    </w:p>
    <w:bookmarkEnd w:id="8"/>
    <w:bookmarkEnd w:id="9"/>
    <w:bookmarkEnd w:id="10"/>
    <w:bookmarkEnd w:id="11"/>
    <w:bookmarkEnd w:id="12"/>
    <w:bookmarkEnd w:id="13"/>
    <w:bookmarkEnd w:id="14"/>
    <w:bookmarkEnd w:id="15"/>
    <w:p>
      <w:pPr>
        <w:ind w:firstLine="420" w:firstLineChars="200"/>
        <w:rPr>
          <w:szCs w:val="21"/>
          <w:highlight w:val="none"/>
        </w:rPr>
      </w:pPr>
      <w:bookmarkStart w:id="24" w:name="_Toc152042298"/>
      <w:bookmarkStart w:id="25" w:name="_Toc246996169"/>
      <w:bookmarkStart w:id="26" w:name="_Toc144974490"/>
      <w:bookmarkStart w:id="27" w:name="_Toc296602413"/>
      <w:bookmarkStart w:id="28" w:name="_Toc152045522"/>
      <w:bookmarkStart w:id="29" w:name="_Toc246996912"/>
      <w:bookmarkStart w:id="30" w:name="_Toc247085683"/>
      <w:bookmarkStart w:id="31" w:name="_Toc179632539"/>
      <w:r>
        <w:rPr>
          <w:rFonts w:hint="eastAsia"/>
          <w:szCs w:val="21"/>
          <w:highlight w:val="none"/>
        </w:rPr>
        <w:t>具备独立法人资格，经营范围含绿化的高速集团下属的分公司、全资和控股子公司等二级公司，以及上述二级公司下属的分公司、全资或控股子企业等三级公司。</w:t>
      </w:r>
    </w:p>
    <w:p>
      <w:pPr>
        <w:spacing w:line="360" w:lineRule="exact"/>
        <w:ind w:firstLine="422" w:firstLineChars="200"/>
        <w:rPr>
          <w:b/>
          <w:szCs w:val="21"/>
          <w:highlight w:val="none"/>
        </w:rPr>
      </w:pPr>
      <w:r>
        <w:rPr>
          <w:b/>
          <w:szCs w:val="21"/>
          <w:highlight w:val="none"/>
        </w:rPr>
        <w:t>三、</w:t>
      </w:r>
      <w:r>
        <w:rPr>
          <w:rFonts w:hint="eastAsia"/>
          <w:b/>
          <w:szCs w:val="21"/>
          <w:highlight w:val="none"/>
        </w:rPr>
        <w:t>比选申请</w:t>
      </w:r>
      <w:r>
        <w:rPr>
          <w:b/>
          <w:szCs w:val="21"/>
          <w:highlight w:val="none"/>
        </w:rPr>
        <w:t>文件的相关要求：</w:t>
      </w:r>
    </w:p>
    <w:bookmarkEnd w:id="24"/>
    <w:bookmarkEnd w:id="25"/>
    <w:bookmarkEnd w:id="26"/>
    <w:bookmarkEnd w:id="27"/>
    <w:bookmarkEnd w:id="28"/>
    <w:bookmarkEnd w:id="29"/>
    <w:bookmarkEnd w:id="30"/>
    <w:bookmarkEnd w:id="31"/>
    <w:p>
      <w:pPr>
        <w:ind w:firstLine="420" w:firstLineChars="200"/>
        <w:rPr>
          <w:szCs w:val="21"/>
          <w:highlight w:val="none"/>
        </w:rPr>
      </w:pPr>
      <w:r>
        <w:rPr>
          <w:rFonts w:hint="eastAsia"/>
          <w:szCs w:val="21"/>
          <w:highlight w:val="none"/>
        </w:rPr>
        <w:t>1、竞标报价说明：比选申请人应提供合法有效且符合比选人报价清单要求的增值税专用发票（其中绿化养护劳务分包税率为3%，绿化工程专业分包税率为9%）。因比选申请人开具的发票不规范、不合法或涉嫌虚开发票引起税务问题的，比选申请人需依法向比选人重新开具发票，并向比选人承担赔偿责任，包括但不限于税款、滞纳金、罚款及相关损失等。</w:t>
      </w:r>
    </w:p>
    <w:p>
      <w:pPr>
        <w:ind w:firstLine="420" w:firstLineChars="200"/>
        <w:rPr>
          <w:szCs w:val="21"/>
          <w:highlight w:val="none"/>
        </w:rPr>
      </w:pPr>
      <w:r>
        <w:rPr>
          <w:rFonts w:hint="eastAsia"/>
          <w:szCs w:val="21"/>
          <w:highlight w:val="none"/>
        </w:rPr>
        <w:t>2、质量要求：满足高速公路绿化养护标准要求并经验收合格。</w:t>
      </w:r>
    </w:p>
    <w:p>
      <w:pPr>
        <w:ind w:firstLine="420" w:firstLineChars="200"/>
        <w:rPr>
          <w:szCs w:val="21"/>
          <w:highlight w:val="none"/>
        </w:rPr>
      </w:pPr>
      <w:r>
        <w:rPr>
          <w:rFonts w:hint="eastAsia"/>
          <w:szCs w:val="21"/>
          <w:highlight w:val="none"/>
        </w:rPr>
        <w:t>3、施工安全要求：承包人应严格执行《公路工程施工安全技术规范》（JTG F90）、《公路养护安全作业规程》（JTG H30）、《营运高速公路施工管理规范》（DB50/T 959）、《公路筑养路机械操作规程》、《重庆市高速公路养护施工作业安全管理规定》等有关规定。</w:t>
      </w:r>
    </w:p>
    <w:p>
      <w:pPr>
        <w:ind w:firstLine="420" w:firstLineChars="200"/>
        <w:rPr>
          <w:szCs w:val="21"/>
          <w:highlight w:val="none"/>
        </w:rPr>
      </w:pPr>
      <w:r>
        <w:rPr>
          <w:rFonts w:hint="eastAsia"/>
          <w:szCs w:val="21"/>
          <w:highlight w:val="none"/>
        </w:rPr>
        <w:t>4、设备要求：无</w:t>
      </w:r>
    </w:p>
    <w:p>
      <w:pPr>
        <w:ind w:firstLine="420" w:firstLineChars="200"/>
        <w:rPr>
          <w:szCs w:val="21"/>
          <w:highlight w:val="none"/>
        </w:rPr>
      </w:pPr>
      <w:r>
        <w:rPr>
          <w:rFonts w:hint="eastAsia"/>
          <w:szCs w:val="21"/>
          <w:highlight w:val="none"/>
        </w:rPr>
        <w:t>5、本次比选申请文件的组成：</w:t>
      </w:r>
    </w:p>
    <w:p>
      <w:pPr>
        <w:spacing w:line="360" w:lineRule="exact"/>
        <w:ind w:firstLine="422" w:firstLineChars="200"/>
        <w:rPr>
          <w:b/>
          <w:bCs/>
          <w:szCs w:val="21"/>
          <w:highlight w:val="none"/>
        </w:rPr>
      </w:pPr>
      <w:r>
        <w:rPr>
          <w:rFonts w:hint="eastAsia"/>
          <w:b/>
          <w:bCs/>
          <w:szCs w:val="21"/>
          <w:highlight w:val="none"/>
        </w:rPr>
        <w:t>按比选文件格式编制。</w:t>
      </w:r>
    </w:p>
    <w:p>
      <w:pPr>
        <w:spacing w:line="360" w:lineRule="exact"/>
        <w:ind w:firstLine="422" w:firstLineChars="200"/>
        <w:rPr>
          <w:b/>
          <w:bCs/>
          <w:szCs w:val="21"/>
          <w:highlight w:val="none"/>
        </w:rPr>
      </w:pPr>
      <w:r>
        <w:rPr>
          <w:rFonts w:hint="eastAsia"/>
          <w:b/>
          <w:bCs/>
          <w:szCs w:val="21"/>
          <w:highlight w:val="none"/>
        </w:rPr>
        <w:t>（注：以上所有文件均须比选申请单位法定代表人或其授权代理人签署并加盖单位公章）</w:t>
      </w:r>
    </w:p>
    <w:p>
      <w:pPr>
        <w:spacing w:line="360" w:lineRule="exact"/>
        <w:ind w:firstLine="420" w:firstLineChars="200"/>
        <w:rPr>
          <w:szCs w:val="21"/>
          <w:highlight w:val="none"/>
        </w:rPr>
      </w:pPr>
      <w:r>
        <w:rPr>
          <w:rFonts w:hint="eastAsia"/>
          <w:szCs w:val="21"/>
          <w:highlight w:val="none"/>
        </w:rPr>
        <w:t>6、比选申请</w:t>
      </w:r>
      <w:r>
        <w:rPr>
          <w:szCs w:val="21"/>
          <w:highlight w:val="none"/>
        </w:rPr>
        <w:t>文件的份数及编制要求</w:t>
      </w:r>
      <w:r>
        <w:rPr>
          <w:rFonts w:hint="eastAsia"/>
          <w:szCs w:val="21"/>
          <w:highlight w:val="none"/>
        </w:rPr>
        <w:t>：</w:t>
      </w:r>
    </w:p>
    <w:p>
      <w:pPr>
        <w:spacing w:line="360" w:lineRule="exact"/>
        <w:ind w:firstLine="420" w:firstLineChars="200"/>
        <w:rPr>
          <w:szCs w:val="21"/>
          <w:highlight w:val="none"/>
        </w:rPr>
      </w:pPr>
      <w:r>
        <w:rPr>
          <w:rFonts w:hint="eastAsia"/>
          <w:szCs w:val="21"/>
          <w:highlight w:val="none"/>
        </w:rPr>
        <w:t>比选申请文件</w:t>
      </w:r>
      <w:r>
        <w:rPr>
          <w:rFonts w:hint="eastAsia"/>
          <w:b/>
          <w:bCs/>
          <w:szCs w:val="21"/>
          <w:highlight w:val="none"/>
        </w:rPr>
        <w:t>1份</w:t>
      </w:r>
      <w:r>
        <w:rPr>
          <w:rFonts w:hint="eastAsia"/>
          <w:szCs w:val="21"/>
          <w:highlight w:val="none"/>
        </w:rPr>
        <w:t>，比选申请文件按竞争性比选文件中规定格式排版。</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四、评标办法</w:t>
      </w:r>
      <w:r>
        <w:rPr>
          <w:rFonts w:hint="eastAsia" w:ascii="宋体" w:hAnsi="宋体" w:cs="宋体"/>
          <w:bCs/>
          <w:szCs w:val="21"/>
          <w:highlight w:val="none"/>
        </w:rPr>
        <w:t>（</w:t>
      </w:r>
      <w:r>
        <w:rPr>
          <w:rFonts w:hint="eastAsia" w:ascii="宋体" w:hAnsi="宋体"/>
          <w:bCs/>
          <w:szCs w:val="21"/>
          <w:highlight w:val="none"/>
        </w:rPr>
        <w:t>本项目采用经评审的</w:t>
      </w:r>
      <w:r>
        <w:rPr>
          <w:rFonts w:hint="eastAsia"/>
          <w:szCs w:val="21"/>
          <w:highlight w:val="none"/>
        </w:rPr>
        <w:t>最低</w:t>
      </w:r>
      <w:r>
        <w:rPr>
          <w:rFonts w:hint="eastAsia" w:ascii="宋体" w:hAnsi="宋体"/>
          <w:bCs/>
          <w:szCs w:val="21"/>
          <w:highlight w:val="none"/>
        </w:rPr>
        <w:t>投标价法</w:t>
      </w:r>
      <w:r>
        <w:rPr>
          <w:rFonts w:hint="eastAsia" w:ascii="宋体" w:hAnsi="宋体" w:cs="宋体"/>
          <w:bCs/>
          <w:szCs w:val="21"/>
          <w:highlight w:val="none"/>
        </w:rPr>
        <w:t>）：</w:t>
      </w:r>
      <w:r>
        <w:rPr>
          <w:rFonts w:hint="eastAsia" w:ascii="宋体" w:hAnsi="宋体"/>
          <w:bCs/>
          <w:szCs w:val="21"/>
          <w:highlight w:val="none"/>
        </w:rPr>
        <w:t>本项目采用经评审的最低投标价法</w:t>
      </w:r>
      <w:r>
        <w:rPr>
          <w:rFonts w:hint="eastAsia"/>
          <w:szCs w:val="21"/>
          <w:highlight w:val="none"/>
        </w:rPr>
        <w:t>，在满足比选文件要求的前提下，评标委员会下浮值</w:t>
      </w:r>
      <w:r>
        <w:rPr>
          <w:highlight w:val="none"/>
        </w:rPr>
        <w:t>从</w:t>
      </w:r>
      <w:r>
        <w:rPr>
          <w:rFonts w:hint="eastAsia"/>
          <w:highlight w:val="none"/>
        </w:rPr>
        <w:t>高</w:t>
      </w:r>
      <w:r>
        <w:rPr>
          <w:highlight w:val="none"/>
        </w:rPr>
        <w:t>到</w:t>
      </w:r>
      <w:r>
        <w:rPr>
          <w:rFonts w:hint="eastAsia"/>
          <w:highlight w:val="none"/>
        </w:rPr>
        <w:t>低</w:t>
      </w:r>
      <w:r>
        <w:rPr>
          <w:highlight w:val="none"/>
        </w:rPr>
        <w:t>的先后顺序</w:t>
      </w:r>
      <w:r>
        <w:rPr>
          <w:rFonts w:hint="eastAsia"/>
          <w:szCs w:val="21"/>
          <w:highlight w:val="none"/>
        </w:rPr>
        <w:t>推荐中标候选人。若在满足比选文件所有要求前提下，最高报价相同时，</w:t>
      </w:r>
      <w:r>
        <w:rPr>
          <w:rFonts w:hint="eastAsia" w:ascii="宋体" w:hAnsi="宋体" w:cs="宋体"/>
          <w:b/>
          <w:bCs/>
          <w:snapToGrid w:val="0"/>
          <w:kern w:val="0"/>
          <w:highlight w:val="none"/>
        </w:rPr>
        <w:t>进行第二轮报价</w:t>
      </w:r>
      <w:r>
        <w:rPr>
          <w:highlight w:val="none"/>
        </w:rPr>
        <w:t>。</w:t>
      </w:r>
      <w:r>
        <w:rPr>
          <w:rFonts w:hint="eastAsia"/>
          <w:highlight w:val="none"/>
        </w:rPr>
        <w:t>请各报价单位结合自身情况及市场行情进行报价。</w:t>
      </w:r>
      <w:r>
        <w:rPr>
          <w:rFonts w:hint="eastAsia"/>
          <w:b/>
          <w:bCs/>
          <w:highlight w:val="none"/>
        </w:rPr>
        <w:t>具体评审标准详见下表。</w:t>
      </w:r>
    </w:p>
    <w:tbl>
      <w:tblPr>
        <w:tblStyle w:val="9"/>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vAlign w:val="center"/>
          </w:tcPr>
          <w:p>
            <w:pPr>
              <w:spacing w:line="340" w:lineRule="exact"/>
              <w:ind w:firstLine="420" w:firstLineChars="200"/>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vAlign w:val="center"/>
          </w:tcPr>
          <w:p>
            <w:pPr>
              <w:spacing w:line="340" w:lineRule="exact"/>
              <w:ind w:firstLine="29" w:firstLineChars="14"/>
              <w:rPr>
                <w:rFonts w:ascii="宋体" w:hAnsi="宋体" w:cs="宋体"/>
                <w:szCs w:val="21"/>
                <w:highlight w:val="none"/>
                <w:shd w:val="clear" w:color="auto" w:fill="FFFFFF"/>
              </w:rPr>
            </w:pPr>
            <w:r>
              <w:rPr>
                <w:rFonts w:hint="eastAsia" w:ascii="宋体" w:hAnsi="宋体" w:cs="宋体"/>
                <w:szCs w:val="21"/>
                <w:highlight w:val="none"/>
                <w:shd w:val="clear" w:color="auto" w:fill="FFFFFF"/>
              </w:rPr>
              <w:t>1.1.1</w:t>
            </w:r>
          </w:p>
        </w:tc>
        <w:tc>
          <w:tcPr>
            <w:tcW w:w="1182" w:type="dxa"/>
            <w:vMerge w:val="restart"/>
            <w:tcBorders>
              <w:top w:val="single" w:color="auto" w:sz="4" w:space="0"/>
              <w:right w:val="single" w:color="auto" w:sz="4" w:space="0"/>
            </w:tcBorders>
            <w:vAlign w:val="center"/>
          </w:tcPr>
          <w:p>
            <w:pPr>
              <w:spacing w:line="340" w:lineRule="exact"/>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比选申请人名称</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highlight w:val="none"/>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highlight w:val="none"/>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highlight w:val="none"/>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highlight w:val="none"/>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vAlign w:val="center"/>
          </w:tcPr>
          <w:p>
            <w:pPr>
              <w:spacing w:line="340" w:lineRule="exact"/>
              <w:ind w:firstLine="29" w:firstLineChars="14"/>
              <w:rPr>
                <w:rFonts w:ascii="宋体" w:hAnsi="宋体" w:cs="宋体"/>
                <w:szCs w:val="21"/>
                <w:highlight w:val="none"/>
                <w:shd w:val="clear" w:color="auto" w:fill="FFFFFF"/>
              </w:rPr>
            </w:pPr>
            <w:r>
              <w:rPr>
                <w:rFonts w:hint="eastAsia" w:ascii="宋体" w:hAnsi="宋体" w:cs="宋体"/>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vAlign w:val="center"/>
          </w:tcPr>
          <w:p>
            <w:pPr>
              <w:spacing w:line="340" w:lineRule="exact"/>
              <w:ind w:firstLine="29" w:firstLineChars="14"/>
              <w:rPr>
                <w:rFonts w:ascii="宋体" w:hAnsi="宋体" w:cs="宋体"/>
                <w:szCs w:val="21"/>
                <w:highlight w:val="none"/>
                <w:shd w:val="clear" w:color="auto" w:fill="FFFFFF"/>
              </w:rPr>
            </w:pPr>
          </w:p>
        </w:tc>
        <w:tc>
          <w:tcPr>
            <w:tcW w:w="1182" w:type="dxa"/>
            <w:vMerge w:val="continue"/>
            <w:tcBorders>
              <w:top w:val="nil"/>
              <w:bottom w:val="single" w:color="auto" w:sz="4" w:space="0"/>
              <w:right w:val="single" w:color="auto" w:sz="4" w:space="0"/>
            </w:tcBorders>
            <w:vAlign w:val="center"/>
          </w:tcPr>
          <w:p>
            <w:pPr>
              <w:spacing w:line="340" w:lineRule="exact"/>
              <w:rPr>
                <w:rFonts w:ascii="宋体" w:hAnsi="宋体" w:cs="宋体"/>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竞标报价</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vAlign w:val="center"/>
          </w:tcPr>
          <w:p>
            <w:pPr>
              <w:spacing w:line="340" w:lineRule="exact"/>
              <w:ind w:firstLine="29" w:firstLineChars="14"/>
              <w:rPr>
                <w:rFonts w:ascii="宋体" w:hAnsi="宋体" w:cs="宋体"/>
                <w:szCs w:val="21"/>
                <w:highlight w:val="none"/>
                <w:shd w:val="clear" w:color="auto" w:fill="FFFFFF"/>
              </w:rPr>
            </w:pPr>
            <w:r>
              <w:rPr>
                <w:rFonts w:hint="eastAsia" w:ascii="宋体" w:hAnsi="宋体" w:cs="宋体"/>
                <w:szCs w:val="21"/>
                <w:highlight w:val="none"/>
                <w:shd w:val="clear" w:color="auto" w:fill="FFFFFF"/>
              </w:rPr>
              <w:t>1.1.3</w:t>
            </w:r>
          </w:p>
        </w:tc>
        <w:tc>
          <w:tcPr>
            <w:tcW w:w="1182" w:type="dxa"/>
            <w:tcBorders>
              <w:top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工期</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vAlign w:val="center"/>
          </w:tcPr>
          <w:p>
            <w:pPr>
              <w:spacing w:line="34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注：条款1.1.1、1.1.2、1.1.3均为强制性要求，比选申请人如不满足，按否决投标处理。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vAlign w:val="center"/>
          </w:tcPr>
          <w:p>
            <w:pPr>
              <w:spacing w:line="400" w:lineRule="exact"/>
              <w:rPr>
                <w:b/>
                <w:szCs w:val="21"/>
                <w:highlight w:val="none"/>
              </w:rPr>
            </w:pPr>
            <w:r>
              <w:rPr>
                <w:b/>
                <w:szCs w:val="21"/>
                <w:highlight w:val="none"/>
              </w:rPr>
              <w:t>有下列情况之一的，做否决</w:t>
            </w:r>
            <w:r>
              <w:rPr>
                <w:rFonts w:hint="eastAsia"/>
                <w:b/>
                <w:szCs w:val="21"/>
                <w:highlight w:val="none"/>
              </w:rPr>
              <w:t>竞标</w:t>
            </w:r>
            <w:r>
              <w:rPr>
                <w:b/>
                <w:szCs w:val="21"/>
                <w:highlight w:val="none"/>
              </w:rPr>
              <w:t>处理。</w:t>
            </w:r>
          </w:p>
          <w:p>
            <w:pPr>
              <w:numPr>
                <w:ilvl w:val="0"/>
                <w:numId w:val="1"/>
              </w:numPr>
              <w:spacing w:line="400" w:lineRule="exact"/>
              <w:ind w:left="0"/>
              <w:rPr>
                <w:szCs w:val="21"/>
                <w:highlight w:val="none"/>
              </w:rPr>
            </w:pPr>
            <w:r>
              <w:rPr>
                <w:szCs w:val="21"/>
                <w:highlight w:val="none"/>
              </w:rPr>
              <w:t>不同</w:t>
            </w:r>
            <w:r>
              <w:rPr>
                <w:rFonts w:hint="eastAsia"/>
                <w:szCs w:val="21"/>
                <w:highlight w:val="none"/>
              </w:rPr>
              <w:t>比选申请人</w:t>
            </w:r>
            <w:r>
              <w:rPr>
                <w:szCs w:val="21"/>
                <w:highlight w:val="none"/>
              </w:rPr>
              <w:t>的</w:t>
            </w:r>
            <w:r>
              <w:rPr>
                <w:rFonts w:hint="eastAsia"/>
                <w:szCs w:val="21"/>
                <w:highlight w:val="none"/>
              </w:rPr>
              <w:t>比选申请文件</w:t>
            </w:r>
            <w:r>
              <w:rPr>
                <w:szCs w:val="21"/>
                <w:highlight w:val="none"/>
              </w:rPr>
              <w:t>载明的项目管理成员为同一人；</w:t>
            </w:r>
          </w:p>
          <w:p>
            <w:pPr>
              <w:spacing w:line="34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填报下浮比例值低于限价比例值；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vAlign w:val="center"/>
          </w:tcPr>
          <w:p>
            <w:pPr>
              <w:spacing w:line="400" w:lineRule="exact"/>
              <w:rPr>
                <w:kern w:val="0"/>
                <w:szCs w:val="21"/>
                <w:highlight w:val="none"/>
              </w:rPr>
            </w:pPr>
            <w:r>
              <w:rPr>
                <w:rFonts w:hint="eastAsia"/>
                <w:szCs w:val="21"/>
                <w:highlight w:val="none"/>
              </w:rPr>
              <w:t>成交候</w:t>
            </w:r>
            <w:r>
              <w:rPr>
                <w:szCs w:val="21"/>
                <w:highlight w:val="none"/>
              </w:rPr>
              <w:t>选人</w:t>
            </w:r>
            <w:r>
              <w:rPr>
                <w:rFonts w:hint="eastAsia"/>
                <w:szCs w:val="21"/>
                <w:highlight w:val="none"/>
              </w:rPr>
              <w:t>推荐</w:t>
            </w:r>
          </w:p>
        </w:tc>
        <w:tc>
          <w:tcPr>
            <w:tcW w:w="7398" w:type="dxa"/>
            <w:gridSpan w:val="2"/>
            <w:vAlign w:val="center"/>
          </w:tcPr>
          <w:p>
            <w:pPr>
              <w:spacing w:line="400" w:lineRule="exact"/>
              <w:rPr>
                <w:szCs w:val="21"/>
                <w:highlight w:val="none"/>
              </w:rPr>
            </w:pPr>
            <w:r>
              <w:rPr>
                <w:rFonts w:hint="eastAsia"/>
                <w:highlight w:val="none"/>
              </w:rPr>
              <w:t xml:space="preserve">    若各标段报名家数大于等于三家，则</w:t>
            </w:r>
            <w:r>
              <w:rPr>
                <w:rFonts w:hint="eastAsia"/>
                <w:szCs w:val="21"/>
                <w:highlight w:val="none"/>
              </w:rPr>
              <w:t>经评审合格的候选人按下浮值由高到低的先后顺序推荐3名中标候选人；若评审合格的候选人不足3名（</w:t>
            </w:r>
            <w:r>
              <w:rPr>
                <w:highlight w:val="none"/>
              </w:rPr>
              <w:t>有效</w:t>
            </w:r>
            <w:r>
              <w:rPr>
                <w:rFonts w:hint="eastAsia"/>
                <w:szCs w:val="21"/>
                <w:highlight w:val="none"/>
              </w:rPr>
              <w:t>候选人</w:t>
            </w:r>
            <w:r>
              <w:rPr>
                <w:highlight w:val="none"/>
              </w:rPr>
              <w:t>的经济、技术等指标仍然具有市场竞争力，能够满足</w:t>
            </w:r>
            <w:r>
              <w:rPr>
                <w:rFonts w:hint="eastAsia"/>
                <w:highlight w:val="none"/>
              </w:rPr>
              <w:t>比选</w:t>
            </w:r>
            <w:r>
              <w:rPr>
                <w:highlight w:val="none"/>
              </w:rPr>
              <w:t>文件要求的</w:t>
            </w:r>
            <w:r>
              <w:rPr>
                <w:rFonts w:hint="eastAsia"/>
                <w:szCs w:val="21"/>
                <w:highlight w:val="none"/>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vAlign w:val="center"/>
          </w:tcPr>
          <w:p>
            <w:pPr>
              <w:spacing w:line="400" w:lineRule="exact"/>
              <w:rPr>
                <w:szCs w:val="21"/>
                <w:highlight w:val="none"/>
              </w:rPr>
            </w:pPr>
            <w:r>
              <w:rPr>
                <w:rFonts w:hint="eastAsia" w:ascii="宋体" w:hAnsi="宋体"/>
                <w:szCs w:val="21"/>
                <w:highlight w:val="none"/>
              </w:rPr>
              <w:t>报价算术错误修正</w:t>
            </w:r>
          </w:p>
        </w:tc>
        <w:tc>
          <w:tcPr>
            <w:tcW w:w="7398" w:type="dxa"/>
            <w:gridSpan w:val="2"/>
            <w:vAlign w:val="center"/>
          </w:tcPr>
          <w:p>
            <w:pPr>
              <w:spacing w:line="400" w:lineRule="exact"/>
              <w:rPr>
                <w:highlight w:val="none"/>
              </w:rPr>
            </w:pPr>
            <w:r>
              <w:rPr>
                <w:rFonts w:hint="eastAsia"/>
                <w:highlight w:val="none"/>
              </w:rPr>
              <w:t xml:space="preserve">    若在评标过程中发现报价存在计算错误，则按以下规则进行算术修正：投标报价为各分项报价金额之和，投标报价与分项报价的合价不一致的，应以各分项合价累计数为准，修正投标报价；如分项报价中存在缺漏项，则视为缺漏项价格已包含在其他分项报价之中。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71" w:type="dxa"/>
            <w:gridSpan w:val="2"/>
            <w:vAlign w:val="center"/>
          </w:tcPr>
          <w:p>
            <w:pPr>
              <w:spacing w:line="400" w:lineRule="exact"/>
              <w:rPr>
                <w:rFonts w:ascii="宋体" w:hAnsi="宋体"/>
                <w:szCs w:val="21"/>
                <w:highlight w:val="none"/>
              </w:rPr>
            </w:pPr>
            <w:r>
              <w:rPr>
                <w:rFonts w:hint="eastAsia" w:ascii="宋体" w:hAnsi="宋体"/>
                <w:szCs w:val="21"/>
                <w:highlight w:val="none"/>
              </w:rPr>
              <w:t>澄清</w:t>
            </w:r>
          </w:p>
        </w:tc>
        <w:tc>
          <w:tcPr>
            <w:tcW w:w="7398" w:type="dxa"/>
            <w:gridSpan w:val="2"/>
            <w:vAlign w:val="center"/>
          </w:tcPr>
          <w:p>
            <w:pPr>
              <w:spacing w:line="400" w:lineRule="exact"/>
              <w:rPr>
                <w:highlight w:val="none"/>
              </w:rPr>
            </w:pPr>
            <w:r>
              <w:rPr>
                <w:rFonts w:hint="eastAsia"/>
                <w:highlight w:val="none"/>
              </w:rPr>
              <w:t xml:space="preserve">    在评标过程中，评审小组可以要求投标人对所提交投标文件中不明确的内容进行书面澄清或说明，或者对细微偏差进行补正。评标委员会不接受投标人主动提出的澄清、说明或补正。</w:t>
            </w:r>
          </w:p>
        </w:tc>
      </w:tr>
    </w:tbl>
    <w:p>
      <w:pPr>
        <w:spacing w:line="360" w:lineRule="auto"/>
        <w:rPr>
          <w:highlight w:val="none"/>
        </w:rPr>
      </w:pPr>
      <w:r>
        <w:rPr>
          <w:rFonts w:hint="eastAsia"/>
          <w:b/>
          <w:bCs/>
          <w:szCs w:val="21"/>
          <w:highlight w:val="none"/>
        </w:rPr>
        <w:t>五、低价风险担保</w:t>
      </w:r>
    </w:p>
    <w:p>
      <w:pPr>
        <w:spacing w:line="360" w:lineRule="auto"/>
        <w:ind w:firstLine="420" w:firstLineChars="200"/>
        <w:outlineLvl w:val="0"/>
        <w:rPr>
          <w:szCs w:val="21"/>
          <w:highlight w:val="none"/>
        </w:rPr>
      </w:pPr>
      <w:r>
        <w:rPr>
          <w:rFonts w:hint="eastAsia"/>
          <w:szCs w:val="21"/>
          <w:highlight w:val="none"/>
        </w:rPr>
        <w:t>无。</w:t>
      </w:r>
    </w:p>
    <w:p>
      <w:pPr>
        <w:spacing w:line="360" w:lineRule="exact"/>
        <w:rPr>
          <w:b/>
          <w:szCs w:val="21"/>
          <w:highlight w:val="none"/>
        </w:rPr>
      </w:pPr>
      <w:r>
        <w:rPr>
          <w:rFonts w:hint="eastAsia"/>
          <w:b/>
          <w:szCs w:val="21"/>
          <w:highlight w:val="none"/>
        </w:rPr>
        <w:t>六</w:t>
      </w:r>
      <w:r>
        <w:rPr>
          <w:b/>
          <w:szCs w:val="21"/>
          <w:highlight w:val="none"/>
        </w:rPr>
        <w:t>、</w:t>
      </w:r>
      <w:r>
        <w:rPr>
          <w:rFonts w:hint="eastAsia"/>
          <w:b/>
          <w:szCs w:val="21"/>
          <w:highlight w:val="none"/>
        </w:rPr>
        <w:t>竞争性比选</w:t>
      </w:r>
      <w:r>
        <w:rPr>
          <w:b/>
          <w:szCs w:val="21"/>
          <w:highlight w:val="none"/>
        </w:rPr>
        <w:t>须知</w:t>
      </w:r>
    </w:p>
    <w:p>
      <w:pPr>
        <w:spacing w:line="360" w:lineRule="auto"/>
        <w:ind w:firstLine="420" w:firstLineChars="200"/>
        <w:outlineLvl w:val="0"/>
        <w:rPr>
          <w:szCs w:val="21"/>
          <w:highlight w:val="none"/>
        </w:rPr>
      </w:pPr>
      <w:r>
        <w:rPr>
          <w:rFonts w:hint="eastAsia"/>
          <w:szCs w:val="21"/>
          <w:highlight w:val="none"/>
        </w:rPr>
        <w:t>（一）竞争性比选文件获取方式：凡愿意参加的潜在竞标人，从挂网日起至竞争性比选响应文件递交截止时间前，在重庆高速集团官网（</w:t>
      </w:r>
      <w:r>
        <w:rPr>
          <w:rFonts w:hint="eastAsia"/>
          <w:szCs w:val="21"/>
          <w:highlight w:val="none"/>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szCs w:val="21"/>
          <w:highlight w:val="none"/>
        </w:rPr>
        <w:t>http://www.cegc.com.cn/gw/newsInfoMenu.html?id=42&amp;key=2）、重庆高速公路集团有限公司招投标管理平台（</w:t>
      </w:r>
      <w:r>
        <w:rPr>
          <w:rFonts w:hint="eastAsia"/>
          <w:szCs w:val="21"/>
          <w:highlight w:val="none"/>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szCs w:val="21"/>
          <w:highlight w:val="none"/>
        </w:rPr>
        <w:t>http://43.240.249.108:8088/PMS/）上发布的本项目竞争性比选公告中的获取方式自行下载。不管竞标人是否下载，均视为已知晓竞争性比选文件的全部内容和有关事宜。本项目不需要报名，直接投标 。</w:t>
      </w:r>
      <w:r>
        <w:rPr>
          <w:rFonts w:hint="eastAsia"/>
          <w:szCs w:val="21"/>
          <w:highlight w:val="none"/>
        </w:rPr>
        <w:commentReference w:id="0"/>
      </w:r>
    </w:p>
    <w:p>
      <w:pPr>
        <w:spacing w:line="360" w:lineRule="auto"/>
        <w:ind w:firstLine="420" w:firstLineChars="200"/>
        <w:outlineLvl w:val="0"/>
        <w:rPr>
          <w:szCs w:val="21"/>
          <w:highlight w:val="none"/>
        </w:rPr>
      </w:pPr>
      <w:r>
        <w:rPr>
          <w:rFonts w:hint="eastAsia"/>
          <w:szCs w:val="21"/>
          <w:highlight w:val="none"/>
        </w:rPr>
        <w:t>（二）竞争性比选公告及结果公示将在重庆高速集团官网（</w:t>
      </w:r>
      <w:r>
        <w:rPr>
          <w:rFonts w:hint="eastAsia"/>
          <w:szCs w:val="21"/>
          <w:highlight w:val="none"/>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szCs w:val="21"/>
          <w:highlight w:val="none"/>
        </w:rPr>
        <w:t>http://www.cegc.com.cn/gw/newsInfoMenu.html?id=42&amp;key=2）、重庆高速公路集团有限公司招投标管理平台（</w:t>
      </w:r>
      <w:r>
        <w:rPr>
          <w:rFonts w:hint="eastAsia"/>
          <w:szCs w:val="21"/>
          <w:highlight w:val="none"/>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szCs w:val="21"/>
          <w:highlight w:val="none"/>
        </w:rPr>
        <w:t>http://43.240.249.108:8088/PMS/）上发布。</w:t>
      </w:r>
      <w:r>
        <w:rPr>
          <w:rFonts w:hint="eastAsia"/>
          <w:szCs w:val="21"/>
          <w:highlight w:val="none"/>
        </w:rPr>
        <w:commentReference w:id="1"/>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（三）比选申请文件递交截止地点：重庆通力高速公路养护工程有限公司306室（重庆市沙坪坝区梨高路4号三楼）。</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（四）比选申请文件递交截止时间：2023年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6</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lang w:val="en-US" w:eastAsia="zh-CN"/>
        </w:rPr>
        <w:t>上</w:t>
      </w:r>
      <w:r>
        <w:rPr>
          <w:rFonts w:hint="eastAsia" w:ascii="宋体" w:hAnsi="宋体" w:cs="宋体"/>
          <w:szCs w:val="21"/>
          <w:highlight w:val="none"/>
        </w:rPr>
        <w:t>午</w:t>
      </w:r>
      <w:r>
        <w:rPr>
          <w:rFonts w:hint="eastAsia" w:ascii="宋体" w:hAnsi="宋体" w:cs="宋体"/>
          <w:szCs w:val="21"/>
          <w:highlight w:val="none"/>
          <w:u w:val="single"/>
        </w:rPr>
        <w:t xml:space="preserve"> 1</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 xml:space="preserve">0 </w:t>
      </w:r>
      <w:r>
        <w:rPr>
          <w:rFonts w:hint="eastAsia" w:ascii="宋体" w:hAnsi="宋体" w:cs="宋体"/>
          <w:szCs w:val="21"/>
          <w:highlight w:val="none"/>
        </w:rPr>
        <w:t>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五）比选申请人应根据本次竞争性比选的具体要求，编制规范的比选申请文件（比选申请文件，要求填写规范，密封完好并在封口处加盖公章，所有比选申请文件均只能作一次性提交，提交后不得更改）。当第一次不足三家报名时，不予开标，标书当场退回；第二次不足三家报名时，可按比选文                                                                                                                                                                                                                                                                                                                                                                                                                                                                                                                                                                                                                                                                                                                                                                                                                                                                                                                                                                                                                                                                                                                                                                                                                                                                                                                                                                                                                                                                                                                                                                                                                                                                                                                                                                                                                                                                                                                                                                                                                                                                                                                                                                                                                                                                                                                                                                                                                                                                                                                                                                                                                                                                                                                                                                                                                                                                                                                                                                                                                                                                                                                                                                                                                                                                                                                                                                                                                                    件要求进行开标。</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（六）密封要求：</w:t>
      </w:r>
    </w:p>
    <w:p>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按第五条要求制作的比选申请文件，将比选申请文件密封到一个封套中，再在封套上写明：</w:t>
      </w:r>
    </w:p>
    <w:p>
      <w:pPr>
        <w:spacing w:line="360" w:lineRule="exact"/>
        <w:ind w:firstLine="420" w:firstLineChars="200"/>
        <w:jc w:val="center"/>
        <w:rPr>
          <w:rFonts w:ascii="宋体" w:hAnsi="宋体" w:cs="宋体"/>
          <w:szCs w:val="21"/>
          <w:highlight w:val="none"/>
          <w:u w:val="single"/>
        </w:rPr>
      </w:pPr>
      <w:r>
        <w:rPr>
          <w:rFonts w:hint="eastAsia" w:ascii="宋体" w:hAnsi="宋体" w:cs="宋体"/>
          <w:szCs w:val="21"/>
          <w:highlight w:val="none"/>
          <w:u w:val="single"/>
        </w:rPr>
        <w:t>2023年南部片区所辖路段日常绿化工程比选申请文件</w:t>
      </w:r>
    </w:p>
    <w:p>
      <w:pPr>
        <w:spacing w:line="360" w:lineRule="exact"/>
        <w:ind w:firstLine="420" w:firstLineChars="200"/>
        <w:jc w:val="center"/>
        <w:rPr>
          <w:rFonts w:ascii="宋体" w:hAnsi="宋体" w:cs="宋体"/>
          <w:szCs w:val="21"/>
          <w:highlight w:val="none"/>
          <w:u w:val="single"/>
        </w:rPr>
      </w:pPr>
      <w:r>
        <w:rPr>
          <w:rFonts w:hint="eastAsia" w:ascii="宋体" w:hAnsi="宋体" w:cs="宋体"/>
          <w:szCs w:val="21"/>
          <w:highlight w:val="none"/>
          <w:u w:val="single"/>
        </w:rPr>
        <w:t>在2023年</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6</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上</w:t>
      </w:r>
      <w:r>
        <w:rPr>
          <w:rFonts w:hint="eastAsia" w:ascii="宋体" w:hAnsi="宋体" w:cs="宋体"/>
          <w:szCs w:val="21"/>
          <w:highlight w:val="none"/>
          <w:u w:val="single"/>
        </w:rPr>
        <w:t>午1</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时</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0分前不得开启</w:t>
      </w:r>
    </w:p>
    <w:p>
      <w:pPr>
        <w:spacing w:line="360" w:lineRule="exact"/>
        <w:ind w:firstLine="422" w:firstLineChars="200"/>
        <w:rPr>
          <w:rFonts w:ascii="宋体" w:hAnsi="宋体" w:cs="宋体"/>
          <w:szCs w:val="21"/>
          <w:highlight w:val="none"/>
        </w:rPr>
      </w:pPr>
      <w:r>
        <w:rPr>
          <w:rFonts w:hint="eastAsia"/>
          <w:b/>
          <w:bCs/>
          <w:szCs w:val="21"/>
          <w:highlight w:val="none"/>
        </w:rPr>
        <w:t>（七）特别提醒：若比选申请人恶意竞标后不与按比选要求与比选人签订合同或履约，比选人将直接将比选申请人及其关联单位（含法人代表与委托代理人）一并拉入黑名单，不得参与通力公司所有比选项目报价。</w:t>
      </w:r>
    </w:p>
    <w:p>
      <w:pPr>
        <w:spacing w:line="360" w:lineRule="exact"/>
        <w:ind w:firstLine="420" w:firstLineChars="200"/>
        <w:rPr>
          <w:szCs w:val="21"/>
          <w:highlight w:val="none"/>
        </w:rPr>
      </w:pPr>
      <w:r>
        <w:rPr>
          <w:rFonts w:hint="eastAsia"/>
          <w:szCs w:val="21"/>
          <w:highlight w:val="none"/>
        </w:rPr>
        <w:t>（八）廉政约定：</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举报联系人：崔老师   举报电话：</w:t>
      </w:r>
      <w:r>
        <w:rPr>
          <w:rFonts w:ascii="宋体" w:hAnsi="宋体" w:cs="宋体"/>
          <w:szCs w:val="21"/>
          <w:highlight w:val="none"/>
        </w:rPr>
        <w:t>023-89187977</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highlight w:val="none"/>
        </w:rPr>
      </w:pPr>
      <w:r>
        <w:rPr>
          <w:rFonts w:hint="eastAsia"/>
          <w:szCs w:val="21"/>
          <w:highlight w:val="none"/>
        </w:rPr>
        <w:t>（九）合同（附后）。</w:t>
      </w:r>
      <w:bookmarkStart w:id="35" w:name="_GoBack"/>
      <w:bookmarkEnd w:id="35"/>
    </w:p>
    <w:p>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（十）比选人联系方式</w:t>
      </w:r>
    </w:p>
    <w:p>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比选人：重庆通力高速公路养护工程有限公司</w:t>
      </w:r>
    </w:p>
    <w:p>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地址：重庆通力高速公路养护工程有限公司306室（重庆市沙坪坝区梨高路4号三楼）</w:t>
      </w:r>
    </w:p>
    <w:p>
      <w:pPr>
        <w:spacing w:line="360" w:lineRule="exact"/>
        <w:ind w:firstLine="420" w:firstLineChars="200"/>
        <w:jc w:val="left"/>
        <w:rPr>
          <w:rFonts w:ascii="宋体" w:hAnsi="宋体"/>
          <w:szCs w:val="21"/>
          <w:highlight w:val="none"/>
        </w:rPr>
      </w:pPr>
      <w:r>
        <w:rPr>
          <w:rFonts w:hint="eastAsia" w:ascii="宋体" w:hAnsi="宋体" w:cs="宋体"/>
          <w:szCs w:val="21"/>
          <w:highlight w:val="none"/>
        </w:rPr>
        <w:t>联系人：刘老师      电话：023-88563373</w:t>
      </w:r>
      <w:r>
        <w:rPr>
          <w:rFonts w:hint="eastAsia" w:ascii="宋体" w:hAnsi="宋体"/>
          <w:snapToGrid w:val="0"/>
          <w:kern w:val="0"/>
          <w:szCs w:val="21"/>
          <w:highlight w:val="none"/>
        </w:rPr>
        <w:t xml:space="preserve">            官老师      电话：18323248277</w:t>
      </w:r>
    </w:p>
    <w:p>
      <w:pPr>
        <w:pStyle w:val="2"/>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rPr>
          <w:rFonts w:ascii="宋体" w:hAnsi="宋体"/>
          <w:szCs w:val="21"/>
          <w:highlight w:val="none"/>
        </w:rPr>
      </w:pPr>
    </w:p>
    <w:p>
      <w:pPr>
        <w:rPr>
          <w:rFonts w:hint="eastAsia" w:ascii="宋体" w:hAnsi="宋体"/>
          <w:szCs w:val="21"/>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highlight w:val="none"/>
        </w:rPr>
      </w:pPr>
    </w:p>
    <w:p>
      <w:pPr>
        <w:rPr>
          <w:rFonts w:ascii="宋体" w:hAnsi="宋体"/>
          <w:szCs w:val="21"/>
          <w:highlight w:val="none"/>
        </w:rPr>
      </w:pPr>
    </w:p>
    <w:p>
      <w:pPr>
        <w:spacing w:line="360" w:lineRule="auto"/>
        <w:rPr>
          <w:b/>
          <w:sz w:val="24"/>
          <w:szCs w:val="21"/>
          <w:highlight w:val="none"/>
        </w:rPr>
      </w:pPr>
      <w:r>
        <w:rPr>
          <w:rFonts w:hint="eastAsia"/>
          <w:b/>
          <w:sz w:val="24"/>
          <w:szCs w:val="21"/>
          <w:highlight w:val="none"/>
        </w:rPr>
        <w:t>附件一：</w:t>
      </w:r>
    </w:p>
    <w:p>
      <w:pPr>
        <w:jc w:val="center"/>
        <w:rPr>
          <w:rFonts w:ascii="宋体" w:hAnsi="宋体" w:cs="宋体"/>
          <w:b/>
          <w:bCs/>
          <w:sz w:val="36"/>
          <w:szCs w:val="36"/>
          <w:highlight w:val="none"/>
        </w:rPr>
      </w:pPr>
      <w:r>
        <w:rPr>
          <w:rFonts w:hint="eastAsia" w:ascii="宋体" w:hAnsi="宋体" w:cs="宋体"/>
          <w:b/>
          <w:bCs/>
          <w:sz w:val="36"/>
          <w:szCs w:val="36"/>
          <w:highlight w:val="none"/>
        </w:rPr>
        <w:t>2023年南部片区所辖路段日常绿化工程</w:t>
      </w:r>
    </w:p>
    <w:p>
      <w:pPr>
        <w:jc w:val="center"/>
        <w:rPr>
          <w:rFonts w:ascii="宋体" w:hAnsi="宋体"/>
          <w:b/>
          <w:bCs/>
          <w:sz w:val="36"/>
          <w:szCs w:val="36"/>
          <w:highlight w:val="none"/>
        </w:rPr>
      </w:pPr>
      <w:r>
        <w:rPr>
          <w:rFonts w:hint="eastAsia" w:ascii="宋体" w:hAnsi="宋体" w:cs="宋体"/>
          <w:b/>
          <w:bCs/>
          <w:sz w:val="36"/>
          <w:szCs w:val="36"/>
          <w:highlight w:val="none"/>
        </w:rPr>
        <w:t>限价清单</w:t>
      </w:r>
    </w:p>
    <w:p>
      <w:pPr>
        <w:pStyle w:val="2"/>
        <w:rPr>
          <w:rFonts w:ascii="宋体" w:hAnsi="宋体"/>
          <w:szCs w:val="21"/>
          <w:highlight w:val="none"/>
        </w:rPr>
      </w:pPr>
    </w:p>
    <w:p>
      <w:pPr>
        <w:rPr>
          <w:rFonts w:ascii="宋体" w:hAnsi="宋体"/>
          <w:szCs w:val="21"/>
          <w:highlight w:val="none"/>
        </w:rPr>
      </w:pPr>
    </w:p>
    <w:tbl>
      <w:tblPr>
        <w:tblStyle w:val="9"/>
        <w:tblpPr w:leftFromText="180" w:rightFromText="180" w:vertAnchor="text" w:horzAnchor="page" w:tblpX="1105" w:tblpY="77"/>
        <w:tblOverlap w:val="never"/>
        <w:tblW w:w="0" w:type="auto"/>
        <w:tblInd w:w="0" w:type="dxa"/>
        <w:tblLayout w:type="autofit"/>
        <w:tblCellMar>
          <w:top w:w="0" w:type="dxa"/>
          <w:left w:w="108" w:type="dxa"/>
          <w:bottom w:w="0" w:type="dxa"/>
          <w:right w:w="108" w:type="dxa"/>
        </w:tblCellMar>
      </w:tblPr>
      <w:tblGrid>
        <w:gridCol w:w="441"/>
        <w:gridCol w:w="1388"/>
        <w:gridCol w:w="3494"/>
        <w:gridCol w:w="441"/>
        <w:gridCol w:w="845"/>
        <w:gridCol w:w="3388"/>
      </w:tblGrid>
      <w:tr>
        <w:tblPrEx>
          <w:tblCellMar>
            <w:top w:w="0" w:type="dxa"/>
            <w:left w:w="108" w:type="dxa"/>
            <w:bottom w:w="0" w:type="dxa"/>
            <w:right w:w="108" w:type="dxa"/>
          </w:tblCellMar>
        </w:tblPrEx>
        <w:trPr>
          <w:trHeight w:val="8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项目类别</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工程内容</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单位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最低下浮值</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备注</w:t>
            </w:r>
          </w:p>
        </w:tc>
      </w:tr>
      <w:tr>
        <w:tblPrEx>
          <w:tblCellMar>
            <w:top w:w="0" w:type="dxa"/>
            <w:left w:w="108" w:type="dxa"/>
            <w:bottom w:w="0" w:type="dxa"/>
            <w:right w:w="108" w:type="dxa"/>
          </w:tblCellMar>
        </w:tblPrEx>
        <w:trPr>
          <w:trHeight w:val="25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绿化养护劳务分包</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szCs w:val="21"/>
                <w:highlight w:val="none"/>
              </w:rPr>
              <w:t>路段绿化地除草、浇水、绿地保洁等日常性维护工作和苗木修剪整形、草坪修剪、病虫害防治、施肥等季节性养护工作、零星补栽及盆花养护和移植工作等</w:t>
            </w:r>
            <w:r>
              <w:rPr>
                <w:rFonts w:hint="eastAsia" w:ascii="宋体" w:hAnsi="宋体" w:cs="宋体"/>
                <w:color w:val="000000"/>
                <w:kern w:val="0"/>
                <w:sz w:val="20"/>
                <w:highlight w:val="none"/>
                <w:lang w:bidi="ar"/>
              </w:rPr>
              <w:t xml:space="preserve">。                                                                                                 </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项</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5%</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1、结算时，乙方根据我司与业主最终签订的合同价或变更审定价为基础，按下浮比例值作为项目的结算价。                                                        2、该单价包含人工、小型养护机具和</w:t>
            </w:r>
            <w:r>
              <w:rPr>
                <w:rFonts w:hint="eastAsia" w:ascii="宋体" w:hAnsi="宋体" w:cs="宋体"/>
                <w:color w:val="000000"/>
                <w:kern w:val="0"/>
                <w:sz w:val="20"/>
                <w:highlight w:val="none"/>
                <w:lang w:val="en-US" w:eastAsia="zh-CN" w:bidi="ar"/>
              </w:rPr>
              <w:t>材料</w:t>
            </w:r>
            <w:r>
              <w:rPr>
                <w:rFonts w:hint="eastAsia" w:ascii="宋体" w:hAnsi="宋体" w:cs="宋体"/>
                <w:color w:val="000000"/>
                <w:kern w:val="0"/>
                <w:sz w:val="20"/>
                <w:highlight w:val="none"/>
                <w:lang w:bidi="ar"/>
              </w:rPr>
              <w:t>、管理费、利润、税金等费用。报价方需开具增值税专用发票，且税率为3%。</w:t>
            </w:r>
          </w:p>
        </w:tc>
      </w:tr>
      <w:tr>
        <w:tblPrEx>
          <w:tblCellMar>
            <w:top w:w="0" w:type="dxa"/>
            <w:left w:w="108" w:type="dxa"/>
            <w:bottom w:w="0" w:type="dxa"/>
            <w:right w:w="108" w:type="dxa"/>
          </w:tblCellMar>
        </w:tblPrEx>
        <w:trPr>
          <w:trHeight w:val="25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绿化工程专业分包</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szCs w:val="21"/>
                <w:highlight w:val="none"/>
              </w:rPr>
              <w:t>新建或改造绿化项目杂草杂树清理外运、原有灌木挖除清运、整理绿化用地、回填种植土及绿化乔木、灌木、藤本、地被栽植、养护等绿化专项工程施工内容。</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项</w:t>
            </w: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highlight w:val="none"/>
              </w:rPr>
            </w:pP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1、结算时，乙方根据我司与业主最终签订的合同价或变更审定价为基础，按下浮比例值作为项目的结算价。                                                              2、该单价为综合单价，其中包含人工、材料、运输、机械、管理费、利润、税金等一切综合费用，报价方需开具增值税专用发票，且税率为9%。</w:t>
            </w:r>
          </w:p>
        </w:tc>
      </w:tr>
    </w:tbl>
    <w:p>
      <w:pPr>
        <w:rPr>
          <w:rFonts w:ascii="宋体" w:hAnsi="宋体"/>
          <w:szCs w:val="21"/>
          <w:highlight w:val="none"/>
        </w:rPr>
      </w:pPr>
    </w:p>
    <w:p>
      <w:pPr>
        <w:pStyle w:val="2"/>
        <w:rPr>
          <w:rFonts w:ascii="宋体" w:hAnsi="宋体"/>
          <w:szCs w:val="21"/>
          <w:highlight w:val="none"/>
        </w:rPr>
      </w:pPr>
    </w:p>
    <w:p>
      <w:pPr>
        <w:spacing w:line="360" w:lineRule="exact"/>
        <w:ind w:firstLine="420" w:firstLineChars="200"/>
        <w:outlineLvl w:val="0"/>
        <w:rPr>
          <w:szCs w:val="21"/>
          <w:highlight w:val="none"/>
        </w:rPr>
      </w:pPr>
      <w:r>
        <w:rPr>
          <w:rFonts w:hint="eastAsia"/>
          <w:szCs w:val="21"/>
          <w:highlight w:val="none"/>
        </w:rPr>
        <w:t>注：1、比选申请人的竞标下浮比例值均不得低于比选人公布的最低下浮值，否则均为无效竞标（如有单价限价，比选申请人所报的单价不能超过单价限价）。</w:t>
      </w:r>
    </w:p>
    <w:p>
      <w:pPr>
        <w:ind w:firstLine="840" w:firstLineChars="400"/>
        <w:rPr>
          <w:rFonts w:ascii="宋体" w:hAnsi="宋体"/>
          <w:szCs w:val="21"/>
          <w:highlight w:val="none"/>
        </w:rPr>
      </w:pPr>
      <w:r>
        <w:rPr>
          <w:rFonts w:hint="eastAsia" w:ascii="宋体" w:hAnsi="宋体"/>
          <w:szCs w:val="21"/>
          <w:highlight w:val="none"/>
        </w:rPr>
        <w:t>2、该清单为下浮比例值合同清单，工程量及单价以业主结算收方计量为准。</w:t>
      </w: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rFonts w:hint="eastAsia"/>
          <w:highlight w:val="none"/>
        </w:rPr>
      </w:pPr>
    </w:p>
    <w:p>
      <w:pPr>
        <w:pStyle w:val="2"/>
        <w:rPr>
          <w:highlight w:val="none"/>
        </w:rPr>
      </w:pPr>
    </w:p>
    <w:p>
      <w:pPr>
        <w:spacing w:line="360" w:lineRule="auto"/>
        <w:rPr>
          <w:b/>
          <w:sz w:val="24"/>
          <w:szCs w:val="21"/>
          <w:highlight w:val="none"/>
        </w:rPr>
      </w:pPr>
      <w:r>
        <w:rPr>
          <w:rFonts w:hint="eastAsia"/>
          <w:b/>
          <w:sz w:val="24"/>
          <w:szCs w:val="21"/>
          <w:highlight w:val="none"/>
        </w:rPr>
        <w:t>附件二：合同格式</w:t>
      </w:r>
    </w:p>
    <w:p>
      <w:pPr>
        <w:spacing w:line="360" w:lineRule="auto"/>
        <w:jc w:val="center"/>
        <w:rPr>
          <w:rFonts w:ascii="宋体" w:hAnsi="宋体"/>
          <w:b/>
          <w:sz w:val="44"/>
          <w:szCs w:val="44"/>
          <w:highlight w:val="none"/>
        </w:rPr>
      </w:pPr>
      <w:r>
        <w:rPr>
          <w:rFonts w:hint="eastAsia" w:ascii="宋体" w:hAnsi="宋体"/>
          <w:b/>
          <w:sz w:val="44"/>
          <w:szCs w:val="44"/>
          <w:highlight w:val="none"/>
        </w:rPr>
        <w:t>重庆通力高速公路养护工程有限公司</w:t>
      </w:r>
    </w:p>
    <w:p>
      <w:pPr>
        <w:spacing w:line="360" w:lineRule="auto"/>
        <w:jc w:val="center"/>
        <w:rPr>
          <w:rFonts w:ascii="宋体" w:hAnsi="宋体"/>
          <w:b/>
          <w:sz w:val="44"/>
          <w:szCs w:val="44"/>
          <w:highlight w:val="none"/>
        </w:rPr>
      </w:pPr>
      <w:r>
        <w:rPr>
          <w:rFonts w:hint="eastAsia" w:ascii="宋体" w:hAnsi="宋体"/>
          <w:b/>
          <w:sz w:val="44"/>
          <w:szCs w:val="44"/>
          <w:highlight w:val="none"/>
        </w:rPr>
        <w:t>2023年南部片区所辖路段日常绿化工程</w:t>
      </w:r>
    </w:p>
    <w:p>
      <w:pPr>
        <w:spacing w:line="360" w:lineRule="auto"/>
        <w:rPr>
          <w:rFonts w:ascii="宋体" w:hAnsi="宋体"/>
          <w:b/>
          <w:sz w:val="52"/>
          <w:szCs w:val="52"/>
          <w:highlight w:val="none"/>
        </w:rPr>
      </w:pPr>
    </w:p>
    <w:p>
      <w:pPr>
        <w:spacing w:line="360" w:lineRule="auto"/>
        <w:jc w:val="center"/>
        <w:rPr>
          <w:rFonts w:ascii="宋体" w:hAnsi="宋体"/>
          <w:b/>
          <w:sz w:val="52"/>
          <w:szCs w:val="52"/>
          <w:highlight w:val="none"/>
        </w:rPr>
      </w:pPr>
    </w:p>
    <w:p>
      <w:pPr>
        <w:spacing w:line="360" w:lineRule="auto"/>
        <w:jc w:val="center"/>
        <w:rPr>
          <w:rFonts w:ascii="宋体" w:hAnsi="宋体"/>
          <w:b/>
          <w:sz w:val="52"/>
          <w:szCs w:val="52"/>
          <w:highlight w:val="none"/>
        </w:rPr>
      </w:pPr>
      <w:r>
        <w:rPr>
          <w:rFonts w:hint="eastAsia" w:ascii="宋体" w:hAnsi="宋体"/>
          <w:b/>
          <w:sz w:val="52"/>
          <w:szCs w:val="52"/>
          <w:highlight w:val="none"/>
        </w:rPr>
        <w:t>施</w:t>
      </w:r>
    </w:p>
    <w:p>
      <w:pPr>
        <w:spacing w:line="360" w:lineRule="auto"/>
        <w:jc w:val="center"/>
        <w:rPr>
          <w:rFonts w:ascii="宋体" w:hAnsi="宋体"/>
          <w:b/>
          <w:sz w:val="52"/>
          <w:szCs w:val="52"/>
          <w:highlight w:val="none"/>
        </w:rPr>
      </w:pPr>
      <w:r>
        <w:rPr>
          <w:rFonts w:hint="eastAsia" w:ascii="宋体" w:hAnsi="宋体"/>
          <w:b/>
          <w:sz w:val="52"/>
          <w:szCs w:val="52"/>
          <w:highlight w:val="none"/>
        </w:rPr>
        <w:t>工</w:t>
      </w:r>
    </w:p>
    <w:p>
      <w:pPr>
        <w:spacing w:line="360" w:lineRule="auto"/>
        <w:jc w:val="center"/>
        <w:rPr>
          <w:rFonts w:ascii="宋体" w:hAnsi="宋体"/>
          <w:b/>
          <w:sz w:val="52"/>
          <w:szCs w:val="52"/>
          <w:highlight w:val="none"/>
        </w:rPr>
      </w:pPr>
      <w:r>
        <w:rPr>
          <w:rFonts w:hint="eastAsia" w:ascii="宋体" w:hAnsi="宋体"/>
          <w:b/>
          <w:sz w:val="52"/>
          <w:szCs w:val="52"/>
          <w:highlight w:val="none"/>
        </w:rPr>
        <w:t>合</w:t>
      </w:r>
    </w:p>
    <w:p>
      <w:pPr>
        <w:spacing w:line="360" w:lineRule="auto"/>
        <w:jc w:val="center"/>
        <w:rPr>
          <w:rFonts w:ascii="宋体" w:hAnsi="宋体"/>
          <w:b/>
          <w:sz w:val="52"/>
          <w:szCs w:val="52"/>
          <w:highlight w:val="none"/>
        </w:rPr>
      </w:pPr>
      <w:r>
        <w:rPr>
          <w:rFonts w:hint="eastAsia" w:ascii="宋体" w:hAnsi="宋体"/>
          <w:b/>
          <w:sz w:val="52"/>
          <w:szCs w:val="52"/>
          <w:highlight w:val="none"/>
        </w:rPr>
        <w:t>同</w:t>
      </w:r>
    </w:p>
    <w:p>
      <w:pPr>
        <w:spacing w:line="360" w:lineRule="auto"/>
        <w:jc w:val="center"/>
        <w:rPr>
          <w:b/>
          <w:sz w:val="44"/>
          <w:szCs w:val="44"/>
          <w:highlight w:val="none"/>
        </w:rPr>
      </w:pPr>
    </w:p>
    <w:p>
      <w:pPr>
        <w:pStyle w:val="12"/>
        <w:rPr>
          <w:b/>
          <w:sz w:val="44"/>
          <w:szCs w:val="44"/>
          <w:highlight w:val="none"/>
        </w:rPr>
      </w:pPr>
    </w:p>
    <w:p>
      <w:pPr>
        <w:pStyle w:val="12"/>
        <w:rPr>
          <w:b/>
          <w:sz w:val="44"/>
          <w:szCs w:val="44"/>
          <w:highlight w:val="none"/>
        </w:rPr>
      </w:pPr>
    </w:p>
    <w:p>
      <w:pPr>
        <w:spacing w:line="360" w:lineRule="auto"/>
        <w:jc w:val="center"/>
        <w:rPr>
          <w:b/>
          <w:color w:val="FF0000"/>
          <w:sz w:val="44"/>
          <w:szCs w:val="44"/>
          <w:highlight w:val="none"/>
        </w:rPr>
      </w:pPr>
      <w:r>
        <w:rPr>
          <w:rFonts w:hint="eastAsia"/>
          <w:b/>
          <w:color w:val="FF0000"/>
          <w:sz w:val="44"/>
          <w:szCs w:val="44"/>
          <w:highlight w:val="none"/>
        </w:rPr>
        <w:t>2023 年XX月XX日</w:t>
      </w:r>
    </w:p>
    <w:p>
      <w:pPr>
        <w:spacing w:line="500" w:lineRule="exact"/>
        <w:jc w:val="center"/>
        <w:rPr>
          <w:rFonts w:ascii="宋体" w:hAnsi="宋体" w:cs="宋体"/>
          <w:b/>
          <w:sz w:val="32"/>
          <w:szCs w:val="32"/>
          <w:highlight w:val="none"/>
        </w:rPr>
      </w:pPr>
      <w:r>
        <w:rPr>
          <w:b/>
          <w:sz w:val="36"/>
          <w:szCs w:val="36"/>
          <w:highlight w:val="none"/>
        </w:rPr>
        <w:br w:type="page"/>
      </w:r>
      <w:r>
        <w:rPr>
          <w:rFonts w:hint="eastAsia" w:ascii="宋体" w:hAnsi="宋体" w:cs="宋体"/>
          <w:b/>
          <w:sz w:val="32"/>
          <w:szCs w:val="32"/>
          <w:highlight w:val="none"/>
        </w:rPr>
        <w:t>重庆通力高速公路养护工程有限公司</w:t>
      </w:r>
    </w:p>
    <w:p>
      <w:pPr>
        <w:spacing w:line="500" w:lineRule="exact"/>
        <w:jc w:val="center"/>
        <w:rPr>
          <w:rFonts w:ascii="宋体" w:hAnsi="宋体" w:cs="宋体"/>
          <w:b/>
          <w:sz w:val="32"/>
          <w:szCs w:val="32"/>
          <w:highlight w:val="none"/>
        </w:rPr>
      </w:pPr>
      <w:r>
        <w:rPr>
          <w:rFonts w:hint="eastAsia" w:ascii="宋体" w:hAnsi="宋体" w:cs="宋体"/>
          <w:b/>
          <w:sz w:val="32"/>
          <w:szCs w:val="32"/>
          <w:highlight w:val="none"/>
        </w:rPr>
        <w:t>2023年</w:t>
      </w:r>
      <w:r>
        <w:rPr>
          <w:rFonts w:hint="eastAsia" w:ascii="宋体" w:hAnsi="宋体" w:cs="宋体"/>
          <w:b/>
          <w:sz w:val="32"/>
          <w:szCs w:val="32"/>
          <w:highlight w:val="none"/>
          <w:lang w:val="en-US" w:eastAsia="zh-CN"/>
        </w:rPr>
        <w:t>南部片区</w:t>
      </w:r>
      <w:r>
        <w:rPr>
          <w:rFonts w:hint="eastAsia" w:ascii="宋体" w:hAnsi="宋体" w:cs="宋体"/>
          <w:b/>
          <w:sz w:val="32"/>
          <w:szCs w:val="32"/>
          <w:highlight w:val="none"/>
        </w:rPr>
        <w:t>所辖路段日常绿化工程施工合同</w:t>
      </w: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甲方（发包方）：</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地址：                                      邮编：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负责人：                                    职务：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乙方（承包方）：</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地址：                                      邮编：</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负责人:                                     职务：</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依照《中华人民共和国民法典》，甲乙双方本着公平、公正原则，签订本施工合同。乙方作为施工协作工作实施主体及安全主体，应组织好养护劳务协作施工及管理工作，并承担协作施工的安全监管责任。经双方协商达成如下协议：</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第1条 项目范围</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通力公司南部片区所辖路段，含渝湘路、渝黔射线、綦万路、南涪路、南道路等路段中分带、路侧绿化带、边坡、站房、服务区、收费广场、立交匝道及隧道进出口绿化地。</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 第2条 工作内容</w:t>
      </w:r>
    </w:p>
    <w:p>
      <w:pPr>
        <w:spacing w:line="400" w:lineRule="exact"/>
        <w:ind w:firstLine="420" w:firstLineChars="200"/>
        <w:rPr>
          <w:rFonts w:hint="eastAsia"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2.1通力公司南部片区所辖路段，含渝湘路、渝黔射线、綦万路、南涪路、南道路等路段杂草杂树清理外运、原有灌木挖除清运、整理绿化用地、回填种植土及绿化乔木、灌木、藤本、地被栽植等新建或改造绿化工程施工内容。</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2.2绿化养护工程中的除草、浇水、绿地保洁等日常性维护工作和苗木整形、病虫害防治、施肥等季节性养护工作、零星补栽及盆花养护和移植工作。</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2.3具体项目以甲方下达任务为准。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第3条 甲方权责</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3.1对管辖路段出现的病害及时派发工单，督促乙方限时处治恢复，并审核乙方上报的日常养护施工组织计划。</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3.2负责明确乙方分包作业质量标准，制定相应的质量考核、奖惩办法。</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3.3 依据合同服务周期与施工组织设计，及时支付进度款。</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3.4 协调各方工作。</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3.5 按有关规定组织和参加现场收方、计量、验收工作。</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3.6根据上级有关部门指示或要求，对乙方作业内容计划、标准提出调整要求。</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3.7有权要求乙方及时进行本路段范围内的应急、抢险、抢修等工作。</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3.8有权要求乙方撤换不能胜任工作的养护管理人员。</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3.9有权对机械保洁任务进行合理安排，并督促乙方对养护工程驾驶员进行管理和考核。</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3.10负责缴纳资产属甲方的养护设备的保险费、年审费用。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3.11有权督促乙方是否对其养护工等按时缴纳了养老、医疗、失业、生育、工伤保险。</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3.12甲方根据《养护工程考核办法》对乙方进行履约评价考核和月度考核，若未达到《养护工程考核办法》相关要求，甲方有权利终止或解除合同。</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3.13由于国家政策改变、甲方股权形式改变以及甲方上级单位关于日常养护工作的管理发生变化，甲方有权单方终止或解除合同，乙方不得要求进行相关违约补偿。</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第4条 乙方权责</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4.1  根据甲方派工单要求按时保质的完成各项养护任务。</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4.2 及时向甲方提供施工组织和交通组织计划并经甲方认可后实施，在施工过程中乙方不得擅自改变现场管理机构、人员、机械设备和安全措施等。乙方保证按批准的计划进度进行施工，若甲方发现实际进度与计划进度不符，无法确保工程在协议规定的时期内完成时，可要求乙方增加人员和机械设备，乙方不得拒绝。</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4.3乙方的用工必须严格执行国家相关法律规定，并高度重视安全生产，负责对施工作业人员进行安全教育和指导，并做好相应的安全记录。乙方设备和乙方职工的人身意外险，均由乙方自行投保，保险费由乙方承担，并已包含在施工合同总价中，不单独计量。如乙方未履行上述义务造成工程、财产和人身伤害，由乙方承担全部责任及所发生的费用。乙方未做好安全记录、或未足额全面购买保险、或未能履行上述义务的，甲方有权要求乙方限期整改。</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4.4必须遵守本工程沿线有关部门对施工现场交通、施工噪音和环境保护等管理规定，经甲方同意后办理有关手续，乙方承担由此发生的费用。乙方有责任做好与施工有关的环境保护工作，妥善处理弃土弃渣等的施工垃圾，如因此引起的全部责任均由乙方自行承担。乙方未进行有效交通噪音和环境管理、未取得相关审批、未做好环保工作、未妥善处理施工垃圾、或未能履行上述义务的，甲方有权要求乙方限期整改。</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4.5乙方在养护施工作业过程中应正确使用和维护高速公路设施，严禁违章作业，若由于乙方原因造成高速公路及其设施受到损害的，乙方应及时修复并赔偿损失。乙方未进行设施保护、未正确适当使用和维护设施、或未能履行上述义务的，甲方有权要求乙方限期整改。</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4.6乙方应按照相关规范和要求严格施工，确保工程质量，按施工协议要求时间完工和交付使用。在缺陷责任期内，因乙方原因引起的质量问题由乙方完成缺陷修复，直至工程合格，并由乙方承担修复费用。如乙方拒绝在要求时间内履行缺陷修复责任，或多次整改仍然不合格，则甲方有权委托另外有相应资质的单位完成，修复费用从乙方工程款中支付，且乙方承担相应的违约责任。若因返工造成任何不良影响或经济损失的，由乙方承担违约责任。在施工过程中甲方可随时抽检，一旦发现不符合要求的，乙方应无条件返工并承担由此造成的一切损失。</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4.7乙方应加强对施工安全管理，高度重视安全生产，加强对工人的安全培训和指导，并做好相应的安全资料。乙方未做好安全资料、或未做好安全培训、或未能履行上述义务的，甲方有权要求乙方限期整改。</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4.8对施工现场周围建筑物、构筑物(含文物保护建筑)、古树名木和地下管线进行保护及承担相应费用。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4.9在养护工程施工作业过程中，要制订相关的预案，要确保道路畅通。乙方未制定预案、或未能履行上述义务的，甲方有权要求乙方限期整改。</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4.10乙方施工完毕后，应及时清理现场，确保道路畅通、安全，否则，将承担由此造成的全部责任。乙方未做现场清理、未及时撤离人员和设备等、或未能履行上述义务、或因乙方原因导致交通堵塞、交通事故的，相关责任由乙方承担，甲方有权要求乙方限期整改。</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4.11除不可抗拒的自然灾害外，养护维修作业在任何情况下应保持高速公路行车安全畅通。</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4.12乙方对影响道路行车安全的施工作业项目，应在得到甲方通知24小时内进行维修，若因维修不及时或养护不当而造成的交通安全事故承担一切责任和损失赔偿。乙方未能在上述时限进行维修的，甲方有权委托第三人处理，相关费用全部由乙方承担。</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4.13按时完成甲方交办的所有日常养护任务，并每周按时提交工单交甲方审核并按要求将数据录入养护系统，接受甲方的检查。协议期届满前，乙方应向甲方移交完整的工程档案资料。乙方未按时完成日常养护任务、或未能及时录入系统的，每迟延一天，按照2000元标准向甲方支付迟延违约金。</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4.14自觉接受并积极配合甲方安排的日养护工程相关工作及检查、监督工作，积极配合上级有关部门的各种检查、评比活动。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4.15提供与工程项目所匹配的相应设备、车辆、小型工具以及接送项目实施人员的交通客车。</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    4.16承担甲方提供的养护车辆、养护设备的所有安全责任，并无条件的接受甲方对车辆设备状况的检查和考核。乙方应加强作业人员的安全教育和安全管理，不得违反重庆市交通委员会、重庆高速集团有限公司以及甲方制定的关于高速公路施工安全作业管理相关规定安排驾驶员工作和施工作业，否则一切后果由乙方自行全部承担，乙方对施工作业人员和施工车辆（含甲供车辆）使用期间所发生的一切交通事故或其他事故负全部责任。</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4.17乙方应对和处理突发事件的工人不低于6人。乙方未安排满足甲方要求的人员数量处理的，相关责任由乙方承担，甲方有权要求乙方即刻安排足额人数处理。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4.18无条件做好抢险救灾的准备工作，应积极配合甲方和有关部门做好排除道路安全隐患、清理现场、保持畅通等工作。</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4.19乙方应无条件依法为养护工按时足额缴纳养老、医疗、失业、生育、工伤保险等，并承担遣散养护工的所有补偿、赔偿等费用。乙方未能做好养护工社保、劳动保护，劳动用工、工伤赔偿等的，甲方有权要求乙方依法处理，否则乙方应按每次5000元标准向甲方支付违约金。</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4.20乙方不得违反高速公路交通安全的规定安排驾驶员工作，否则一切后果由乙方自行承担；乙方应对车辆使用期间所发生的一切交通事故或其他事故负全部责任；本合同协议终止或解除后，乙方必须在保证各托管设备完整并可正常使用的前提下，经甲方验收合格后，将所有托管设备（包括托管车辆的配件、附件）如数移交给甲方，如有遗失或毁损的，由乙方承担修复、赔偿责任且甲方有权从工程款中予以扣除。乙方未能履行上述义务、或因乙方原因导致交通堵塞、交通事故的，相关责任由乙方承担，甲方有权要求乙方限期整改。</w:t>
      </w:r>
    </w:p>
    <w:p>
      <w:pPr>
        <w:spacing w:line="400" w:lineRule="exact"/>
        <w:ind w:firstLine="420" w:firstLineChars="200"/>
        <w:rPr>
          <w:rFonts w:ascii="方正仿宋_GBK" w:hAnsi="方正仿宋_GBK" w:eastAsia="方正仿宋_GBK" w:cs="方正仿宋_GBK"/>
          <w:szCs w:val="21"/>
          <w:highlight w:val="none"/>
          <w:lang w:val="zh-CN" w:bidi="ar"/>
        </w:rPr>
      </w:pPr>
      <w:r>
        <w:rPr>
          <w:rFonts w:hint="eastAsia" w:ascii="方正仿宋_GBK" w:hAnsi="方正仿宋_GBK" w:eastAsia="方正仿宋_GBK" w:cs="方正仿宋_GBK"/>
          <w:szCs w:val="21"/>
          <w:highlight w:val="none"/>
          <w:lang w:bidi="ar"/>
        </w:rPr>
        <w:t>4.21</w:t>
      </w:r>
      <w:r>
        <w:rPr>
          <w:rFonts w:hint="eastAsia" w:ascii="方正仿宋_GBK" w:hAnsi="方正仿宋_GBK" w:eastAsia="方正仿宋_GBK" w:cs="方正仿宋_GBK"/>
          <w:szCs w:val="21"/>
          <w:highlight w:val="none"/>
          <w:lang w:val="zh-CN" w:bidi="ar"/>
        </w:rPr>
        <w:t>乙方承诺具备履行本合同所需全部资质、许可、授权等，并保证其持续合法有效。因乙方不具备或不再具备相应资质、许可等的，甲方有权立即解除本合同</w:t>
      </w:r>
      <w:r>
        <w:rPr>
          <w:rFonts w:hint="eastAsia" w:ascii="方正仿宋_GBK" w:hAnsi="方正仿宋_GBK" w:eastAsia="方正仿宋_GBK" w:cs="方正仿宋_GBK"/>
          <w:szCs w:val="21"/>
          <w:highlight w:val="none"/>
          <w:lang w:bidi="ar"/>
        </w:rPr>
        <w:t>。</w:t>
      </w:r>
    </w:p>
    <w:p>
      <w:pPr>
        <w:spacing w:line="400" w:lineRule="exact"/>
        <w:ind w:firstLine="420" w:firstLineChars="200"/>
        <w:rPr>
          <w:rFonts w:ascii="方正仿宋_GBK" w:hAnsi="方正仿宋_GBK" w:eastAsia="方正仿宋_GBK" w:cs="方正仿宋_GBK"/>
          <w:szCs w:val="21"/>
          <w:highlight w:val="none"/>
          <w:lang w:val="zh-CN" w:bidi="ar"/>
        </w:rPr>
      </w:pPr>
      <w:r>
        <w:rPr>
          <w:rFonts w:hint="eastAsia" w:ascii="方正仿宋_GBK" w:hAnsi="方正仿宋_GBK" w:eastAsia="方正仿宋_GBK" w:cs="方正仿宋_GBK"/>
          <w:szCs w:val="21"/>
          <w:highlight w:val="none"/>
          <w:lang w:val="zh-CN" w:bidi="ar"/>
        </w:rPr>
        <w:t>4.2</w:t>
      </w:r>
      <w:r>
        <w:rPr>
          <w:rFonts w:hint="eastAsia" w:ascii="方正仿宋_GBK" w:hAnsi="方正仿宋_GBK" w:eastAsia="方正仿宋_GBK" w:cs="方正仿宋_GBK"/>
          <w:szCs w:val="21"/>
          <w:highlight w:val="none"/>
          <w:lang w:bidi="ar"/>
        </w:rPr>
        <w:t>2</w:t>
      </w:r>
      <w:r>
        <w:rPr>
          <w:rFonts w:hint="eastAsia" w:ascii="方正仿宋_GBK" w:hAnsi="方正仿宋_GBK" w:eastAsia="方正仿宋_GBK" w:cs="方正仿宋_GBK"/>
          <w:szCs w:val="21"/>
          <w:highlight w:val="none"/>
          <w:lang w:val="zh-CN" w:bidi="ar"/>
        </w:rPr>
        <w:t>乙方应当安排具备相应资质的人员进行保洁、养护等，对有关人员进行培训，对作业过程中的事故负责。乙方应当与作业人员建立劳动合同关系，承担用人/用工主体责任。</w:t>
      </w:r>
      <w:r>
        <w:rPr>
          <w:rFonts w:hint="eastAsia" w:ascii="方正仿宋_GBK" w:hAnsi="方正仿宋_GBK" w:eastAsia="方正仿宋_GBK" w:cs="方正仿宋_GBK"/>
          <w:szCs w:val="21"/>
          <w:highlight w:val="none"/>
          <w:lang w:bidi="ar"/>
        </w:rPr>
        <w:t>乙方未能做好员工的社保、劳动保护，劳动用工、工伤赔偿等的，甲方有权要求乙方依法处理，否则乙方应按每次5000元标准向甲方支付违约金。</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val="zh-CN" w:bidi="ar"/>
        </w:rPr>
        <w:t>4.2</w:t>
      </w:r>
      <w:r>
        <w:rPr>
          <w:rFonts w:hint="eastAsia" w:ascii="方正仿宋_GBK" w:hAnsi="方正仿宋_GBK" w:eastAsia="方正仿宋_GBK" w:cs="方正仿宋_GBK"/>
          <w:szCs w:val="21"/>
          <w:highlight w:val="none"/>
          <w:lang w:bidi="ar"/>
        </w:rPr>
        <w:t>3</w:t>
      </w:r>
      <w:r>
        <w:rPr>
          <w:rFonts w:hint="eastAsia" w:ascii="方正仿宋_GBK" w:hAnsi="方正仿宋_GBK" w:eastAsia="方正仿宋_GBK" w:cs="方正仿宋_GBK"/>
          <w:szCs w:val="21"/>
          <w:highlight w:val="none"/>
          <w:lang w:val="zh-CN" w:bidi="ar"/>
        </w:rPr>
        <w:t>乙方接受并配合国家审计机关和其他相关职能部门依职权对合同项目进行的审计等方面的工作，并承诺履行符合国家法律规定的审计决定。</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第5条 工程进度及质量要求</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5.1 服务周期：合同约定期限。</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5.2乙方应根据甲方审定的年度、月度工作计划及任务制定相应的施工组织，并于每月10日前上报每月日常养护工作施工组织。</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5.3暂停施工:</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5.3.1甲方认为在确有必要时，可书面要求乙方暂停施工，并在提出要求后7日内提出书面处理意见。</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5.3.2乙方按甲方要求停止施工，妥善保护已完工程。</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5.3.3乙方在接到甲方要求复工的书面通知后，应复工。</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5.3.4停工责任在乙方，由乙方负违约责任，并承担所发生的费用，工期不予顺延。如非乙方责任原因造成的停工，甲方应承担相应的停工责任并顺延工期。</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5.4工期延误</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对以下造成完工日期推迟的延误，经甲方代表确认，工期相应顺延：</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5.4.1工程量增加；</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5.4.2不可抗力或上级领导要求停工；</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5.4.3甲方同意工期相应顺延的其它情况。</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5.4.4非上述原因，工程不能按施工协议工期完工，乙方每延期完工一天，甲方按每日500元要求乙方支付违约金。</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5.5乙方应认真按照本协议相关要求，高速公路养护标准、规范的要求以及甲方依据施工协议发出的指令施工，建立完善的质量保证体系，并设立专职质检人员，负责施工过程工程质量的管理和检查。随时接受甲方及其委派人员的检查检验、为检查检验提供便利条件。并按甲方及委派人员的要求返工、修改，承担由自身原因导致返工、修改的费用，工期不予顺延。</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5.6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5.7双方对工程质量有争议，由双方同意的工程质量检测机构鉴定，所需费用及因此造成的损失，由责任方承担。</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5.8本合同中由乙方自行组织的材料应由甲方现场验证并同意使用后才能使用，或者乙方提供材料的出厂证书、抽检报告后经甲方同意后也可使用，乙方擅自使用不符合规定的材料造成的事故及损失由乙方承担相关责任及费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5.9其它未尽事宜按高速公路相关养护工程技术标准及规范执行。</w:t>
      </w:r>
    </w:p>
    <w:p>
      <w:pPr>
        <w:spacing w:line="400" w:lineRule="exact"/>
        <w:ind w:firstLine="422" w:firstLineChars="200"/>
        <w:rPr>
          <w:rFonts w:ascii="方正仿宋_GBK" w:hAnsi="方正仿宋_GBK" w:eastAsia="方正仿宋_GBK" w:cs="方正仿宋_GBK"/>
          <w:b/>
          <w:bCs/>
          <w:szCs w:val="21"/>
          <w:highlight w:val="none"/>
          <w:lang w:bidi="ar"/>
        </w:rPr>
      </w:pPr>
      <w:r>
        <w:rPr>
          <w:rFonts w:hint="eastAsia" w:ascii="方正仿宋_GBK" w:hAnsi="方正仿宋_GBK" w:eastAsia="方正仿宋_GBK" w:cs="方正仿宋_GBK"/>
          <w:b/>
          <w:bCs/>
          <w:szCs w:val="21"/>
          <w:highlight w:val="none"/>
          <w:lang w:bidi="ar"/>
        </w:rPr>
        <w:t>6.1  本合同为下浮比例值合同。具体详见后附下浮比例值清单。</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6.1.1下浮比例值：乙方根据我司与业主最终签订的合同价或变更审定价，按固定下浮</w:t>
      </w:r>
      <w:r>
        <w:rPr>
          <w:rFonts w:hint="eastAsia" w:ascii="方正仿宋_GBK" w:hAnsi="方正仿宋_GBK" w:eastAsia="方正仿宋_GBK" w:cs="方正仿宋_GBK"/>
          <w:szCs w:val="21"/>
          <w:highlight w:val="none"/>
          <w:u w:val="single"/>
          <w:lang w:bidi="ar"/>
        </w:rPr>
        <w:t xml:space="preserve">    </w:t>
      </w:r>
      <w:r>
        <w:rPr>
          <w:rFonts w:hint="eastAsia" w:ascii="方正仿宋_GBK" w:hAnsi="方正仿宋_GBK" w:eastAsia="方正仿宋_GBK" w:cs="方正仿宋_GBK"/>
          <w:szCs w:val="21"/>
          <w:highlight w:val="none"/>
          <w:lang w:bidi="ar"/>
        </w:rPr>
        <w:t>%比例值作为项目的分包结算价。乙方提供的发票应为增值税专用发票，其中绿化养护劳务分包税率为3%，绿化工程专业分包税率为9%。双方结算金额已包含了全部风险范围的费用，在合同签订后，任何一方不得擅自改变或调整。</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6.2发票的开具</w:t>
      </w:r>
    </w:p>
    <w:p>
      <w:pPr>
        <w:spacing w:line="360" w:lineRule="exact"/>
        <w:ind w:firstLine="420" w:firstLineChars="200"/>
        <w:outlineLvl w:val="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6.2.1在甲方向乙方支付合同价款前，乙方应提供合法有效且符合甲方清单要求的增值税专用发票（绿化养护劳务分包税率为3%，绿化工程专业分包税率为9%）。否则，甲方有权拒绝付款并顺延付款时间。因乙方开具的发票不规范、不合法或涉嫌虚开发票引起税务问题，导致的一切后果及责任均由乙方承担。</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6.2.2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6.2.3本合同内容经双方同意变更的，如果涉及到合同价款等增值税专用发票记载项目发生变化的，需要作废、重开、补开、红字开具增值税专用发票的，甲乙双方需履行各自的协助义务。</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6.3工程款的支付方式</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6.3.1 预付款的支付：本合同签订后，甲方向乙方支付预付款60万元，后期在办理进度款时扣回。</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6.3.2工程款的支付：甲方根据各项目收方计量、业主合同单价向乙方按月支付工程进度款，在乙方提交了经甲方认可的工程计量结算资料后，甲方应在10个工作日内以银行转账方式向乙方支付至结算金额的 100％。</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第7条 用工管理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7.1乙方必须依法与作业人员订立劳动合同，方可进场作业。</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7.2乙方应按照法律规定保障现场施工人员的劳动安全，提供劳动保护,并按国家有关劳动保护的规定，采取有效的防止粉尘、降低噪声、控制有害气体和保障高温、高寒、高空作业安全等劳动保护措施。乙方在雇佣人员受到伤害时，应立即采取有效措施进行抢救和治疗。</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7.3乙方应依照法律规定为其参与本项目的全部作业人员办理工伤保险。还应为现场全部人员办理意外伤害保险或雇主责任险等商业险，保额不低于100万元。</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7.4本项目全面实行员工实名制管理。乙方应按甲方要求建立施工作业人员花名册，如实记录施工现场作业人员身份信息、劳动考勤、工资支付等信息；</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7.5乙方必须在施工现场醒目位置设立农民工维权信息告示牌，明示劳动用工相关法律法规、有关权利和义务、当地最低工资标准、工资支付日期等信息；明示参建单位和劳动保障监察部门有关联系方式；明示实施项目施工许可的交通主管部门、项目法人和施工单位防拖欠投诉举报电话和属地劳动争议调解仲裁、劳动保障监察投诉举报电话等信息，实现所有施工场地全覆盖。</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7.6乙方须对所承包工程项目的农民工工资支付负直接责任。民工工资必须及时、足额发放，乙方不得以工程款未到位等为由克扣或拖欠农民工工资，不得将合同应收工程款等经营风险转嫁给农民工。</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7.7甲方在和乙方签订合同时，必须签订农民工工资发放承诺书作为合同附件。</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第8条　安全生产与文明施工</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8.1 甲乙双方必须贯彻执行国家、地方和行业主管部门颁布实施的有关安全生产的法律法规及各项规定，认真履行各自的安全生产职责，严格按有关的安全规范和要求组织施工。并签订《安全生产责任书》，见附件。在施工期间承包人发生安全事故及重大环境事故的，安全保证金转作事故抢险救灾和善后处理所需资金，用后不足部分承包人应继续补交。工程结束时按相关规定退还。</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8.2 承包人负责管理本合同工程的施工作业安全以及消防、防汛和抗灾等工作。承包人必须配备合格的专职安全管理人员1名，加强施工作业的安全管理。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8.3 承包人应保证发包人不因该工程的分包而承担任何因人身伤亡或财产损失所发生一切责任，保证发包人不承担任何属于承包人及其施工人员引起之诉讼、控告、索赔责任及可能发生的相关费用。若因承包人人员的安全事故纠纷而导致发包人被任何第三方主张权利的，发包人有权向承包人全额追偿，并有权要求承包人赔偿发包人因此而遭受的全部损失。</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8.4 承包人必须对所属施工人员进行安全教育，认真执行安全技术规范、严格遵守安全制度、落实安全措施、确保施工安全，并随时接受发包人安全检查人员的监督检查。由于承包人违章作业或安全措施不力等原因造成伤亡事故的责任和因此而发生的费用，由承包人承担。</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8.5 发包人安全管理人员有权对承包人人员进行安全培训及安全生产指导，并对其安全生产管理进行监督、检查以及按发包人有关规定进行处理。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8.6 承包人有权拒绝发包人的违章指挥。若发包人原因导致的安全事故，由发包人承担相应责任及发生的费用。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8.7 承包人在施工现场内必须使用合格的安全保护用品，费用已包含在合同价格中。</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8.8 承包人应严格执行《公路工程施工安全技术规范》（JTG F90）、《公路养护安全作业规程》（JTG H30）、《营运高速公路施工管理规范》（DB50/T 959）、《公路筑养路机械操作规程》、《重庆市高速公路养护施工作业安全管理规定》等有关规定。若有违反，应自觉接受发包人按相关条款进行的同等处罚。</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8.9 承包人上路作业车辆必须按国家规定购买相关规费，严格遵守高速公路道路交通有关规定。</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8.10 承包人应定期或不定期组织安全检查，对检查发现的安全隐患，及时整改。对发包人安全检查过程中发现的安全隐患，口头通知或下达整改书后，承包人在限定时间内整改，因整改不及时或延误，由此造成的安全事故，由承包人承担一切责任和经济损失。</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8.11 承包人施工作业人员和车辆在施工作业区域应服从发包人管理人员的监督管理，并自觉接受上级有关部门和发包人安全检查人员依法实施的监督检查，采取必要的安全防护措施，消除事故隐患。并由此承担相应的安全责任、义务及赔偿；由于承包人安全措施不力造成事故责任和经济损失，由承包人承担。</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8.12 事故处置</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（1）承包人发生安全事故，应按事故报告有关规定立即上报有关部门并通知发包人项目代表，同时按照相关规定及要求处置。</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（2）承包人发生安全事故，若事故实际造成的经济损失超过雇主责任险理赔金额（100万），超过部分由承包人自行承担。</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（3）双方对事故责任有争议时，应按政府有关职能部门的认定执行。</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承包人应教育其施工及管理人员遵纪守法，服从工地各种管理规定，共同维护工地的社会治安，协助现场治安管理机构做好施工工地和生活区的治安保卫工作。</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8.13 承包人必须遵守发包人有关文明施工的管理制度。承包人应保持自己生活区及施工区内的环境卫生，并做好环境保护工作。本合同工程完工退场时，要清理施工场地和生活住地的垃圾，保障环境卫生干净、整洁。</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8.14 非发包人原因导致承包人遭受到财产和人员（包括承包人雇员、承包人施工范围内其他人员）生命、健康损失的，由承包人自行承担。如果因此给发包人或第三方造成损失，由承包人负责赔偿，交纳的安全保证金不予退回。由第三者造成承包人的生命财产损失的由第三者负责；由不可抗力造成承包人的生命财产损失的由承包人从保险公司的赔偿中补偿，发包人给予协助，不能补偿的由承包人自行承担。</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第9条 职业健康与环境保护</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9.1 职业健康</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（1）承包人在岗施工作业人员要求男性年龄60岁以下、女性年龄55岁以下且人员身体健康。</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（2）承包人应为雇用人员配置合格的劳动防护用品，如安全帽、安全带、安全网、防尘面罩、雨衣、雨鞋等劳动防护用品。相关费用已包含在合同价格中，发包人不再另行支付。</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承包人应遵守工程建设安全生产有关管理规定，严格按照安全防护标准和防止污染环境的要求组织施工，按国家有关规定保障安全投入的有效实施，并承担由于自身措施不力造成事故的责任和因此发生的一切费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9.2 环境保护</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（1）在施工场地涉及危险区域或有害因素等环境问题需要安全防护、环境保护措施实施时，承包人应提出安全、环境防护措施方案，经发包人批准后实施，发生的相应费用由承包人承担。</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（2）承包人对固体废弃物进行控制，工业垃圾按照指定要求进行堆放弃渣，生产生活产生的废弃物分类收集，统一处理，减少对环境的影响，危险废弃物/不可回收的废物/可回收废物分类收集、按规定统一处理。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（3）承包人对危险化学品、放射源实行有效管理、专人负责，放射源实行有效存放,专人负责，有效控制。</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（4）承包人对生产生活废水做到规划管理，污水排放符合国家排放标准和满足当地环保部门的要求，不污染河域环境，生产生活废水必须经沉淀池、化粪池、隔油池处理。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（5）承包人在工程项目设计要求范围内进行施工,不发生施工设计规划以外的破坏环境保护性质的施工行为。</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（6）承包人对工作生活场所大气污染环境因素（源）进行控制管理，大气污染物排放符合国家排放标准。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（7）承包人生产、施工场界噪声控制指标应符合《建筑施工场界环境噪声排放标准》GB 12523-2011 标准。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（8）承包人应加强节能降耗，控制高能耗设备和超产品能耗设计性能设备的使用。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（9）承包人负责教育本单位现场工作人员，不断提高环境意识。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（10）承包人应确保本单位在施工活动中遵守国家、地方有关环境保护方面的法律和法规。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（11）承包人应遵守发包人环境管理规定，适时接受并配合发包人对环境管理工作实施的监督检查活动。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12）其他要求：承包人生产废水、废浆必须设沉淀池，经沉淀后方可排放，同时定期清理沉淀物，运往主合同技术条款指定的渣场。若承包人不按要求设置沉淀池进行定时清理造成的影响，产生的费用承包人承担。</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9.3 责任划分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承包人如发生职业健康安全、环境污染等事故时，应立即通知发包人，同时接受发包人和当地政府有关部门的调查处理。承包人承担由此发生的一切费用，包括承担当地政府有关部门对此作出的责任追究及处罚。</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第10条   违约、索赔和争议</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10.1违约</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10.1.1 甲方违约</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当发生下列情况时，甲方应向乙方支付相当于本合同总价款5%的违约金，违约金不足以弥补乙方损失的，甲方应继续补足赔偿。</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（1）甲方在收到乙方提交的发票并经乙方发出书面催告函后无正当理由不支付结算价款；</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（2）甲方不履行合同义务或不按合同约定履行义务的其他情况。</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 10.1.2 乙方违约</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本项目严禁转包或再次分包，一经发现则视为乙方违约，甲方将随时终止或解除本合同，将已完工并验收合格的工程款支付给实际实施方；并按所涉及工程结算价的30%扣除乙方的履约保证金。任何因转包或再次分包而造成的一切经济损失及相关费用由乙方自行承担，导致甲方被任何第三方主张权利的，甲方有权向乙方全额追偿。</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（2）乙方不履行合同义务或不按合同约定履行义务的其他情况：</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A、人员设备违约：</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①乙方必须按照质量标准和甲方要求安排人员和设备，以满足施工质量和进度的要求，并且未经甲方许可，乙方不得随意更换施工人员和设备，否则甲方可另寻施工队伍，乙方将承担2000元/天的拖期违约金和因另寻施工队伍增加的费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②若乙方在施工过程中不服从管理、违章操作等造成的一切损失由乙方全部承担，并处以2000元/次；</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③项目负责人未驻守现场，一经发现，乙方将承担1000元/次的违约责任。乙方技术工种人员无技术技能资格证，乙方将承担1000元/人•次的违约责任。</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B、质量进度违约：</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合同签订并履行后，乙方必须按照甲方的要求组织实施，严密施工，确保质量和进度，在规定工期内完成各项目约定的工程任务。</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①非甲方原因造成工程质量不符合验收标准的，甲方可要求乙方停工或返工，乙方承担返工费用、由此造成的材料浪费、以及甲方的经济损失，且工期不予顺延。</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②乙方应在接到甲方应急抢险任务通知后尽快组织相关设备及人员进场施工。若乙方抢险人员3小时内未到场/设备4小时内未到场/设备种类及数量未满足甲方要求，以上情况乙方均将承担2000元/天的拖期违约金；如因乙方原因导致工程无法按期交工，乙方将承担2000元/天的拖期违约金；同时，乙方应赔偿甲方全部损失，甲方有权立即终止或解除合同。</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C、资料违约：</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完工验收合格后，乙方应在20个工作日内向甲方递交结算资料和发票，逾期按结算总额的1‰/天向甲方支付违约金。</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D、安全违约：</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乙方应严格本合同第9条安全施工的相关规定，若有违反，视为违约，乙方将自觉接受甲方按相关条款进行的处罚，罚款以2000元/次。</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乙方必须为其管理人员购买合格劳动保护用品、"五险"、意外险，确保安全生产费用投入使用，最低保费不低于80万。</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E.稳定违约</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①乙方进场后7日内须严格按照甲方要求建立作业人员实名制和工资公示制度，否则，应按200元/人.天承担违约责任，至建立之日止。</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②乙方应严格落实作业人员全员实名制。若存在人员与记录信息不符、虚假等情况，乙方应按照200元/人承担违约责任。</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③乙方应确保乙方作业人员工资按时、足额支付。否则，甲方有权自行从乙方民工工资保证金中代为支付，并由乙方承担拖欠工资等额的违约赔偿金。若因乙方拖欠引发农民工上访、集访事件，造成恶劣社会影响的，甲方将按规定上报纳入我市交通建设“黑名单”。</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④乙方在完工拆场前，应妥善解决该项目材料、设备等供应商应付款事宜，确保不会发生因此而导致到甲方或上级单位上访、群访、围堵等事件。否则，乙方将承担不低于5万元/次的违约赔偿费用。造成恶劣影响的，甲方将按规定上报上级单位或主管部门，建议纳入“黑名单”。</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F、环境保护违约</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乙方在施工期间若对路面污染、植被或构筑物破坏等行为，应自行恢复，费用由乙方自行承担。若乙方拒绝或不按期恢复，甲方将有权委托第三方进行恢复，以此产生的费用由乙方承担。</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10.1.3 一方违约后，另一方要求违约方继续履行合同时，违约方承担上述违约责任后仍应继续履行合同。</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10.1.4 本合同约定的甲方损失包括工期延误损失、甲方向第三人承担的违约金、赔偿金、甲方预期利润等全部直接和间接损失。</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10.2 争议</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10.2.1 甲方乙方在履行合同时发生争议，可以和解或者要求有关主管部门调解；当事人不愿和解、调解或者和解、调解不成的，双方均同意向重庆仲裁委员会申请仲裁。</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10.2.2 发生争议后，除非出现下列情况的，双方都应继续履行合同：</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（1）单方违约导致合同确已无法履行，双方协议停止施工；</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（2）调解要求停止施工，且为双方接受；</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（3）仲裁机构要求停止施工；</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（4）法院要求停止施工。</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第11条  工程变更</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本单价合同签订后，工程量在合同约定的工程量以内时，单价以工程量清单的单价为准；工程量若有变更或新增，变更合同价款按下列方法进行：</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11.1 合同中已有适用于变更工程的价格，按合同已有的价格变更合同价款；</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11.2 合同中只有类似于变更工程的价格，可以参照类似价格变更合同价款；</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11.3 合同中没有适用于变更工程的价格，按项目业主审定的价格执行；</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11.4 工程量若存在变更，乙方必须按规定的变更流程报甲方同意后方可计量，若未经甲方同意而乙方自行实施的，甲方不予计量；</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11.5 若合同或图纸存在漏项，甲方以任务通知书的形式委托乙方实施。</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第12条  其他约定或补充条款</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12.1 本合同其它未尽事宜双方可协商补充，需要有文字根据的，要有双方签字的备忘录。</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12.2 双方有关工程的洽商、变更等书面协议或文件视为本合同的组成部分。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12.3 本次甲方委托乙方实施的内容，包含但不限于合同工程量清单。若有新增，甲方以任务委托书的形式委托乙方实施。</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第13条合同订立地点、份数及时效</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13.1 合同订立地点：重庆市沙坪坝区梨高路4号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13.2本合同一式捌份，甲方执肆份，乙方执肆份；各文本均具有同等法律效力。由双方负责人或其授权代表签署与加盖公章后生效，甲乙双方履行完合同全部义务、结算价款支付完毕后本合同即告终止。</w:t>
      </w: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甲方：（盖鲜公章）                          乙方：（盖鲜公章）</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重庆通力高速公路养护工程有限公司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法定代表人                                  法定代表人</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或授权代表：                                或授权代表：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项目负责人：                                项目负责人：</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经办人：                                    经办人：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日期：    年   月   日                      日期：    年    月   日  </w:t>
      </w:r>
    </w:p>
    <w:p>
      <w:pPr>
        <w:rPr>
          <w:highlight w:val="none"/>
        </w:rPr>
        <w:sectPr>
          <w:headerReference r:id="rId5" w:type="default"/>
          <w:footerReference r:id="rId6" w:type="default"/>
          <w:pgSz w:w="11906" w:h="16838"/>
          <w:pgMar w:top="1134" w:right="991" w:bottom="1134" w:left="1134" w:header="851" w:footer="851" w:gutter="0"/>
          <w:cols w:space="720" w:num="1"/>
          <w:docGrid w:type="lines" w:linePitch="312" w:charSpace="0"/>
        </w:sectPr>
      </w:pPr>
    </w:p>
    <w:p>
      <w:pPr>
        <w:jc w:val="center"/>
        <w:rPr>
          <w:rFonts w:ascii="宋体" w:hAnsi="宋体" w:cs="宋体"/>
          <w:b/>
          <w:sz w:val="32"/>
          <w:szCs w:val="32"/>
          <w:highlight w:val="none"/>
        </w:rPr>
      </w:pPr>
      <w:r>
        <w:rPr>
          <w:rFonts w:hint="eastAsia" w:ascii="宋体" w:hAnsi="宋体" w:cs="宋体"/>
          <w:b/>
          <w:sz w:val="32"/>
          <w:szCs w:val="32"/>
          <w:highlight w:val="none"/>
        </w:rPr>
        <w:t>2023年南部片区所辖路段日常绿化工程</w:t>
      </w:r>
    </w:p>
    <w:p>
      <w:pPr>
        <w:jc w:val="center"/>
        <w:rPr>
          <w:rFonts w:ascii="宋体" w:hAnsi="宋体" w:cs="宋体"/>
          <w:b/>
          <w:sz w:val="32"/>
          <w:szCs w:val="32"/>
          <w:highlight w:val="none"/>
        </w:rPr>
      </w:pPr>
      <w:r>
        <w:rPr>
          <w:rFonts w:hint="eastAsia" w:ascii="宋体" w:hAnsi="宋体" w:cs="宋体"/>
          <w:b/>
          <w:sz w:val="32"/>
          <w:szCs w:val="32"/>
          <w:highlight w:val="none"/>
        </w:rPr>
        <w:t>下浮比例值清单</w:t>
      </w:r>
    </w:p>
    <w:p>
      <w:pPr>
        <w:rPr>
          <w:highlight w:val="none"/>
        </w:rPr>
      </w:pPr>
    </w:p>
    <w:p>
      <w:pPr>
        <w:pStyle w:val="2"/>
        <w:rPr>
          <w:highlight w:val="none"/>
        </w:rPr>
      </w:pPr>
    </w:p>
    <w:tbl>
      <w:tblPr>
        <w:tblStyle w:val="9"/>
        <w:tblpPr w:leftFromText="180" w:rightFromText="180" w:vertAnchor="text" w:horzAnchor="page" w:tblpX="1105" w:tblpY="77"/>
        <w:tblOverlap w:val="never"/>
        <w:tblW w:w="0" w:type="auto"/>
        <w:tblInd w:w="0" w:type="dxa"/>
        <w:tblLayout w:type="autofit"/>
        <w:tblCellMar>
          <w:top w:w="0" w:type="dxa"/>
          <w:left w:w="108" w:type="dxa"/>
          <w:bottom w:w="0" w:type="dxa"/>
          <w:right w:w="108" w:type="dxa"/>
        </w:tblCellMar>
      </w:tblPr>
      <w:tblGrid>
        <w:gridCol w:w="439"/>
        <w:gridCol w:w="1337"/>
        <w:gridCol w:w="3345"/>
        <w:gridCol w:w="440"/>
        <w:gridCol w:w="823"/>
        <w:gridCol w:w="3244"/>
      </w:tblGrid>
      <w:tr>
        <w:tblPrEx>
          <w:tblCellMar>
            <w:top w:w="0" w:type="dxa"/>
            <w:left w:w="108" w:type="dxa"/>
            <w:bottom w:w="0" w:type="dxa"/>
            <w:right w:w="108" w:type="dxa"/>
          </w:tblCellMar>
        </w:tblPrEx>
        <w:trPr>
          <w:trHeight w:val="8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项目类别</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工程内容</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单位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下浮值</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备注</w:t>
            </w:r>
          </w:p>
        </w:tc>
      </w:tr>
      <w:tr>
        <w:tblPrEx>
          <w:tblCellMar>
            <w:top w:w="0" w:type="dxa"/>
            <w:left w:w="108" w:type="dxa"/>
            <w:bottom w:w="0" w:type="dxa"/>
            <w:right w:w="108" w:type="dxa"/>
          </w:tblCellMar>
        </w:tblPrEx>
        <w:trPr>
          <w:trHeight w:val="25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绿化养护劳务分包</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szCs w:val="21"/>
                <w:highlight w:val="none"/>
              </w:rPr>
              <w:t>路段绿化地除草、浇水、绿地保洁等日常性维护工作和苗木修剪整形、草坪修剪、病虫害防治、施肥等季节性养护工作、零星补栽及盆花养护和移植工作等</w:t>
            </w:r>
            <w:r>
              <w:rPr>
                <w:rFonts w:hint="eastAsia" w:ascii="宋体" w:hAnsi="宋体" w:cs="宋体"/>
                <w:color w:val="000000"/>
                <w:kern w:val="0"/>
                <w:sz w:val="20"/>
                <w:highlight w:val="none"/>
                <w:lang w:bidi="ar"/>
              </w:rPr>
              <w:t xml:space="preserve">。                                                                                                 </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项</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1、结算时，乙方根据我司与业主最终签订的合同价或变更审定价为基础，按下浮比例值作为项目的结算价。                                                        2、该单价包含人工、小型养护机具和</w:t>
            </w:r>
            <w:r>
              <w:rPr>
                <w:rFonts w:hint="eastAsia" w:ascii="宋体" w:hAnsi="宋体" w:cs="宋体"/>
                <w:color w:val="000000"/>
                <w:kern w:val="0"/>
                <w:sz w:val="20"/>
                <w:highlight w:val="none"/>
                <w:lang w:val="en-US" w:eastAsia="zh-CN" w:bidi="ar"/>
              </w:rPr>
              <w:t>材料</w:t>
            </w:r>
            <w:r>
              <w:rPr>
                <w:rFonts w:hint="eastAsia" w:ascii="宋体" w:hAnsi="宋体" w:cs="宋体"/>
                <w:color w:val="000000"/>
                <w:kern w:val="0"/>
                <w:sz w:val="20"/>
                <w:highlight w:val="none"/>
                <w:lang w:bidi="ar"/>
              </w:rPr>
              <w:t>、管理费、利润、税金等费用。报价方需开具增值税专用发票，且税率为3%。</w:t>
            </w:r>
          </w:p>
        </w:tc>
      </w:tr>
      <w:tr>
        <w:tblPrEx>
          <w:tblCellMar>
            <w:top w:w="0" w:type="dxa"/>
            <w:left w:w="108" w:type="dxa"/>
            <w:bottom w:w="0" w:type="dxa"/>
            <w:right w:w="108" w:type="dxa"/>
          </w:tblCellMar>
        </w:tblPrEx>
        <w:trPr>
          <w:trHeight w:val="25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绿化工程专业分包</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szCs w:val="21"/>
                <w:highlight w:val="none"/>
              </w:rPr>
              <w:t>新建或改造绿化项目杂草杂树清理外运、原有灌木挖除清运、整理绿化用地、回填种植土及绿化乔木、灌木、藤本、地被栽植、养护等绿化专项工程施工内容。</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项</w:t>
            </w: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highlight w:val="none"/>
              </w:rPr>
            </w:pP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1、结算时，乙方根据我司与业主最终签订的合同价或变更审定价为基础，按下浮比例值作为项目的结算价。                                                              2、该单价为综合单价，其中包含人工、材料、运输、机械、管理费、利润、税金等一切综合费用，报价方需开具增值税专用发票，且税率为9%。</w:t>
            </w:r>
          </w:p>
        </w:tc>
      </w:tr>
    </w:tbl>
    <w:p>
      <w:pPr>
        <w:rPr>
          <w:highlight w:val="none"/>
        </w:rPr>
      </w:pPr>
    </w:p>
    <w:p>
      <w:pPr>
        <w:rPr>
          <w:highlight w:val="none"/>
        </w:rPr>
      </w:pPr>
    </w:p>
    <w:p>
      <w:pPr>
        <w:rPr>
          <w:rFonts w:ascii="宋体" w:hAnsi="宋体"/>
          <w:szCs w:val="21"/>
          <w:highlight w:val="none"/>
        </w:rPr>
      </w:pPr>
      <w:r>
        <w:rPr>
          <w:rFonts w:hint="eastAsia"/>
          <w:highlight w:val="none"/>
        </w:rPr>
        <w:t>备注：</w:t>
      </w:r>
      <w:r>
        <w:rPr>
          <w:rFonts w:hint="eastAsia" w:ascii="宋体" w:hAnsi="宋体"/>
          <w:szCs w:val="21"/>
          <w:highlight w:val="none"/>
        </w:rPr>
        <w:t>该清单为下浮比例值合同清单，工程量及单价以业主结算收方计量为准。</w:t>
      </w: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rFonts w:ascii="宋体" w:hAnsi="宋体" w:cs="宋体"/>
          <w:b/>
          <w:sz w:val="32"/>
          <w:szCs w:val="32"/>
          <w:highlight w:val="none"/>
        </w:rPr>
      </w:pPr>
    </w:p>
    <w:p>
      <w:pPr>
        <w:jc w:val="center"/>
        <w:rPr>
          <w:rFonts w:ascii="宋体" w:hAnsi="宋体"/>
          <w:b/>
          <w:sz w:val="32"/>
          <w:szCs w:val="32"/>
          <w:highlight w:val="none"/>
        </w:rPr>
      </w:pPr>
      <w:r>
        <w:rPr>
          <w:rFonts w:hint="eastAsia" w:ascii="宋体" w:hAnsi="宋体" w:cs="宋体"/>
          <w:b/>
          <w:sz w:val="32"/>
          <w:szCs w:val="32"/>
          <w:highlight w:val="none"/>
        </w:rPr>
        <w:t>2023年南部片区所辖路段日常绿化工程</w:t>
      </w:r>
      <w:r>
        <w:rPr>
          <w:rFonts w:hint="eastAsia" w:ascii="宋体" w:hAnsi="宋体"/>
          <w:b/>
          <w:sz w:val="32"/>
          <w:szCs w:val="32"/>
          <w:highlight w:val="none"/>
        </w:rPr>
        <w:t>施工合同</w:t>
      </w:r>
    </w:p>
    <w:p>
      <w:pPr>
        <w:jc w:val="center"/>
        <w:rPr>
          <w:rFonts w:ascii="宋体" w:hAnsi="宋体"/>
          <w:b/>
          <w:sz w:val="32"/>
          <w:szCs w:val="36"/>
          <w:highlight w:val="none"/>
        </w:rPr>
      </w:pPr>
      <w:r>
        <w:rPr>
          <w:rFonts w:hint="eastAsia" w:ascii="宋体" w:hAnsi="宋体"/>
          <w:b/>
          <w:kern w:val="0"/>
          <w:sz w:val="32"/>
          <w:szCs w:val="36"/>
          <w:highlight w:val="none"/>
        </w:rPr>
        <w:t>之安全生产合同</w:t>
      </w:r>
    </w:p>
    <w:p>
      <w:pPr>
        <w:spacing w:line="360" w:lineRule="auto"/>
        <w:textAlignment w:val="baseline"/>
        <w:rPr>
          <w:sz w:val="24"/>
          <w:highlight w:val="none"/>
        </w:rPr>
      </w:pPr>
      <w:r>
        <w:rPr>
          <w:rFonts w:hint="eastAsia"/>
          <w:sz w:val="24"/>
          <w:highlight w:val="none"/>
        </w:rPr>
        <w:t>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为在2023年南部片区所辖路段日常绿化工程实施过程中创造安全、高效的施工环境，切实搞好本项目工程的安全管理工作，发包单位重庆通力高速公路养护工程有限公司（以下简称甲方）与承包单位                  （以下简称乙方）特此签订如下安全生产合同：</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一、甲方职责</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1、严格遵守并贯彻执行国家有关安全生产法律法规规定，认真履行安全监督管理职责。</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2、按照“安全第一、预防为主、综合治理”原则进行安全生产管理，做到生产与安全工作同时计划、布置、检查、总结和评比。</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3、监督乙方安全生产费用的提取和使用，重要的安全设施必须坚持与主体工程“三同时”的原则，即：同时设计、审批，同时施工，同时验收，投入使用。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4、定期召开安全生产调度会，及时传达中央及地方有关安全生产的精神，协调解决乙方安全生产过程中出现的有关问题。</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5、在施工前组织对乙方管理人员进行有关高速公路施工作业的安全知识教育培训和安全技术交底，监督检查乙方对其作业人员的安全教育培训和安全技术交底工作，审核乙方进场人员有关资格。</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6、不定期组织人员对乙方人员和车辆运输安全管理、安全生产行为、安全措施落实情况进行检查，监督乙方及时处理和整改发现的各种安全隐患，督促各项安全措施落到实处。</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7、对乙方违反安全生产的各种违法违纪行为，应予纠正并按照相关规定进行处罚。</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二、乙方职责</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1、严格遵守并贯彻执行国家有关安全生产的法律法规，认真履行安全管理职责。乙方作为承包方，是施工安全生产的责任主体，在施工过程中所发生的一切安全事故，由乙方承担全部责任。</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坚持“安全第一，预防为主，综合治理”方针。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建立健全安全生产责任制。从派往项目实施的项目现场负责人到作业人员(包括临时雇请的民工)的安全生产保障体系必须做到纵向到底，横向到边，一环不漏，将安全生产责任制落到每个人或岗位上，做到安全生产人人有责。项目现场负责人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5、乙方作业人员不得违章作业、冒险作业和疲劳作业，乙方应根据施工现场实际情况，采取各种合理的预防措施，防止其作业人员发生任何违法、违禁、暴力或妨碍治安的行为。</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10、施工中采用新技术、新工艺、新设备、新材料时，必须制定相应的安全技术措施，施工现场必须具有相关的安全标志牌。</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14、乙方指定项目现场安全责任人：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三、违约责任</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1、本合同有效期内，如乙方违约，甲方依据《项目安全文明施工管理办法》有关条款对乙方给予违约处罚；因乙方原因造成安全事故的，由乙方承担全部责任。</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2、本合同有效期内，如因乙方或乙方工作人员过错给甲方造成损失，由乙方负责向甲方赔偿，甲方有权直接从乙方工程款中将相关损失赔偿款进行抵扣。</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3、在施工过程中造成事故及死亡的，乙方承担全部责任外，甲方还将对乙方进行罚款处理：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（1）该项目实施过程中发生安全事故，造成不良影响的，甲方将对该项目按照5000—10000元计收违约金；</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（2）该项目实施过程中发生安全责任事故，甲方将对该项目按照10000—50000元计收违约金；</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4、如因甲方或乙方违约造成安全事故，将依法按照国家有关法律法规进行处理。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四、本合同作为《2023年南部片区所辖路段日常绿化工程施工合同》的附件，与工程施工合同具有同等的法律效力。</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五、合同签约地：重庆市沙坪坝区梨高路4号。</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六、其他：双方必须严格执行本协议，施工单位必须严格按照本协议内容和甲方以及执法大队要求进行安全管理，在施工过程中造成的伤亡事故，由施工方承担一切经济损失及责任。</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七、本合同一式捌份，甲方执肆份，乙方执肆份；由双方法定代表人或其授权代表签署与加盖公章后生效，全部工程竣工验收后终止。</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甲方:（盖章）                           乙方:（盖章）</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重庆通力高速公路养护工程有限公司        </w:t>
      </w: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法定代表人                               法定代表人</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或委托代理人：                          或委托代理人：</w:t>
      </w: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安办负责人：                            部门负责人：</w:t>
      </w: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经办人：                                经办人：</w:t>
      </w: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签订时间：                              签订时间：</w:t>
      </w:r>
    </w:p>
    <w:p>
      <w:pPr>
        <w:spacing w:line="400" w:lineRule="exact"/>
        <w:jc w:val="center"/>
        <w:rPr>
          <w:rFonts w:ascii="宋体" w:hAnsi="宋体"/>
          <w:b/>
          <w:sz w:val="32"/>
          <w:szCs w:val="32"/>
          <w:highlight w:val="none"/>
        </w:rPr>
      </w:pPr>
      <w:r>
        <w:rPr>
          <w:rFonts w:hint="eastAsia" w:ascii="方正仿宋_GBK" w:hAnsi="方正仿宋_GBK" w:eastAsia="方正仿宋_GBK" w:cs="方正仿宋_GBK"/>
          <w:szCs w:val="21"/>
          <w:highlight w:val="none"/>
          <w:lang w:bidi="ar"/>
        </w:rPr>
        <w:br w:type="page"/>
      </w:r>
      <w:r>
        <w:rPr>
          <w:rFonts w:hint="eastAsia" w:ascii="宋体" w:hAnsi="宋体"/>
          <w:b/>
          <w:sz w:val="32"/>
          <w:szCs w:val="32"/>
          <w:highlight w:val="none"/>
        </w:rPr>
        <w:t>2023年南部片区所辖路段日常绿化工程施工合同</w:t>
      </w:r>
    </w:p>
    <w:p>
      <w:pPr>
        <w:spacing w:line="400" w:lineRule="exact"/>
        <w:jc w:val="center"/>
        <w:rPr>
          <w:b/>
          <w:sz w:val="32"/>
          <w:szCs w:val="32"/>
          <w:highlight w:val="none"/>
        </w:rPr>
      </w:pPr>
      <w:r>
        <w:rPr>
          <w:rFonts w:hint="eastAsia"/>
          <w:b/>
          <w:sz w:val="32"/>
          <w:szCs w:val="32"/>
          <w:highlight w:val="none"/>
        </w:rPr>
        <w:t>之廉政合同</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重庆通力高速公路养护工程有限公司（以下称甲方）与 **********（以下称乙方），特订立如下合同。</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第一条甲乙双方的权利和义务</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（一）严格遵守党和国家有关法律法规及交通部的有关规定。</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（二）严格执行《2023年南部片区所辖路段日常绿化工程施工合同》的相关条款，自觉按合同办事。</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（三）双方的业务活动坚持公开、公正、诚信、透明的原则（除法律认定的商业秘密和合同文件另有规定之外），不得损害国家和集体利益，违反工程建设管理规章制度。</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（四）建立健全廉政制度，开展廉政教育，设立廉政告示牌，公布举报电话，监督并认真查处违法违纪行为。</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（五）发现对方在业务活动中有违反廉政规定的行为，有及时提醒对方纠正的权利和义务。</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（六）发现对方严重违反本合同义务条款的行为，有向其上级有关部门举报、建议给予处理并要求告知处理结果的权利。</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第二条甲方的义务</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（一）甲方及其工作人员不得索要或接受乙方的礼金、有价证券和贵重物品，不得在乙方报销任何应由甲方或个人支付的费用等。</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（二）甲方工作人员不得参加乙方安排的超标准宴请或可能对公正执行公务有影响的其他宴请和娱乐活动。不得接受乙方提供的通讯工具、交通工具和高档办公用品等。</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（三）甲方及其工作人员不得要求或者接受乙方为其住房装修、婚丧嫁娶活动、配偶子女的工作安排以及出国出境、旅游等提供方便等。</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（四）甲方工作人员的配偶、子女不得从事与甲方工程有关的材料设备供应、工程分包、劳务等经济活动等。</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（五）甲方及其工作人员不得以任何理由向乙方推荐分包单位，不得要求乙方购买合同规定外的材料和设备。</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第三条乙方义务</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（一）乙方不得以任何理由向甲方及其工作人员行贿或馈赠礼金、有价证券、贵重礼品。</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（二）乙方不得以任何名义为甲方及其工作从员报销应由甲方单位或个人支付的任何费用。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（三）乙方不得以任何理由邀请甲方工作人员外出旅游或安排甲方工作人员参加超标准宴请及娱乐活动。</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（四）乙方不得为甲方单位和个人购置或提供通讯工具、交通工具和高档办公用品等。</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（五）乙方及其工作人员应严格按监理规程办事，不得为谋取私利向监理人员非法行贿，私下串通，损害甲方利益。同时必须对监理单位和工程监理人员履行向甲方承诺的上述其他廉政义务。</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竞标权。</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第四条  违约责任</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（一）甲方及其工作人员违反本合同第一、二条，按管理权限，依据有关规定给予党纪、政纪或组织处理；涉嫌犯罪的，移交司法机关追究刑事责任；给乙方单位造成经济损失的，应予以赔偿。</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第五条　双方约定</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本合同由双方或双方上级单位的纪检监察部门负责监督执行。根据重庆市人民检察院、重庆市交通委员会《关于开展在交通基础设施建设中预防职务犯罪工作的意见》的有关规定，邀请当地检察机关作为本合同执行的法律监督单位，参与对本合同履行情况的监督检查。</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第六条本合同作为《2023年南部片区所辖路段日常绿化工程施工合同》的附件，具有同等的法律效力，经合同双方签署立即生效。</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第七条本合同一式捌份，甲方执肆份，乙方执肆份；具有同等法律效力；自双方签字并盖章后生效，甲乙双方履行合同全部义务、结算价款支付完毕后，本合同即告终止。</w:t>
      </w: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甲方：（盖章）　　                     乙方：（盖章）</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重庆通力高速公路养护工程有限公司      </w:t>
      </w: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法定代表人                             法定代表人</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或授权代表：                           或授权代表：</w:t>
      </w:r>
    </w:p>
    <w:p>
      <w:pPr>
        <w:spacing w:line="400" w:lineRule="exact"/>
        <w:ind w:firstLine="420" w:firstLineChars="200"/>
        <w:rPr>
          <w:rFonts w:ascii="方正仿宋_GBK" w:hAnsi="方正仿宋_GBK" w:eastAsia="方正仿宋_GBK" w:cs="方正仿宋_GBK"/>
          <w:szCs w:val="21"/>
          <w:highlight w:val="none"/>
          <w:lang w:bidi="ar"/>
        </w:rPr>
      </w:pP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经办人：                      　　     经办人：</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日期：     年   月   日                日期：     年    月    日</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br w:type="page"/>
      </w:r>
    </w:p>
    <w:p>
      <w:pPr>
        <w:widowControl/>
        <w:spacing w:line="420" w:lineRule="exact"/>
        <w:jc w:val="center"/>
        <w:rPr>
          <w:b/>
          <w:sz w:val="32"/>
          <w:szCs w:val="32"/>
          <w:highlight w:val="none"/>
        </w:rPr>
      </w:pPr>
      <w:r>
        <w:rPr>
          <w:rFonts w:hint="eastAsia"/>
          <w:b/>
          <w:sz w:val="32"/>
          <w:szCs w:val="32"/>
          <w:highlight w:val="none"/>
          <w:lang w:bidi="ar"/>
        </w:rPr>
        <w:t>协作（分包）单位安全生产考核办法</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一、适用范围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二、 考核依据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（一）国家和行业现行的有关高速公路养护工程生产安全法律法规、部门规章和规范性文件；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（二）行业标准、规范、规程、强制性条文；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（三）地方性管理条例、办法；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（四）设计文件、合同文件及相关管理办法。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三、考核责任部门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通力公司各路段养护业务部门为考核单位，在协作工程 合同中必须罗列安全生产考核责任，协作前进行安全教育时向协作（分包）单位出具考核文件并由协作单位签字确认。</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四、考核对象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各路段养护维护日常、专项工程协作（分包）单位为考 核对象。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五、考核工作程序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（一）开展安全检查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2.安全检查记录中必须留下必要的影像资料，如实填写检查情况，由检查部门、检查对象签字确认。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3.安全管理部门可将检查记录复印件送至业务主管部门实施考核。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（二）发布考核通知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（三）考核结果反馈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1.协作（分包）单位在规定时限内将安全违规行为、安全生产一般问题及隐患整改落实情况以书面形式回复业务主管部门；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2.协作（分包）单位根据处罚通知书向公司账户汇入足额罚金，银行回单送至业务主管部门审查。</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六、考核工作要求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（一）协作（分包）单位安全生产考核工作必须坚持“严肃、科学、客观、公正”的原则，考核人员应自觉遵守各项廉政规定。 </w:t>
      </w:r>
    </w:p>
    <w:p>
      <w:pPr>
        <w:spacing w:line="38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（二）协作（分包）单位安全生产考核资料应由专人整理、归档备查。考核资料包括检查记录、处罚通知、整改回复、银行回单以及必要的影像资料等。</w:t>
      </w:r>
    </w:p>
    <w:p>
      <w:pPr>
        <w:widowControl/>
        <w:jc w:val="center"/>
        <w:rPr>
          <w:rFonts w:ascii="宋体" w:hAnsi="宋体" w:cs="宋体"/>
          <w:color w:val="000000"/>
          <w:kern w:val="0"/>
          <w:szCs w:val="21"/>
          <w:highlight w:val="none"/>
          <w:lang w:bidi="ar"/>
        </w:rPr>
      </w:pPr>
      <w:r>
        <w:rPr>
          <w:rFonts w:ascii="宋体" w:hAnsi="宋体" w:cs="宋体"/>
          <w:b/>
          <w:color w:val="000000"/>
          <w:kern w:val="0"/>
          <w:sz w:val="32"/>
          <w:szCs w:val="32"/>
          <w:highlight w:val="none"/>
          <w:lang w:bidi="ar"/>
        </w:rPr>
        <w:t>协作（分包）单位安全生产考核标准</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一、协作（分包）单位施工现场未摆放标志标牌，每次处罚 1000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二、协作（分包）单位施工现场标志标牌、安全防护设施摆放不规范，每次处罚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三、协作（分包）单位施工现场未配备安全员，每次处罚 1000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四、协作（分包）单位施工现场安全员未履行职责，每次处罚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五、协作（分包）单位施工人员未按要求着工作装、佩戴反光背心、安全头盔，每次处罚 500 元；使用质量不合格防护用品，每次处罚 1000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六、协作（分包）单位施工现场协作车辆停放不规范，每次处罚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七、协作（分包）单位施工人员违反安全操作规程，每人次处罚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八、协作（分包）单位占道施工时，未按相关要求通知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业主公司监控站，每次处罚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九、特种作业人员未持证上岗，每人次处罚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十一、电焊作业人员不按规定佩戴防护用品，每次处罚500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十二、氧气、乙炔瓶使用、放置不符合安全规定，每处处罚 1000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十三、协作（分包）单位施工现场材料、弃料堆放不规范，每次处罚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十四、协作（分包）单位施工现场临时用电未按“一机、一箱、一闸、一漏”三级配电二级保护设置，每处处罚 1000元；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十五、协作（分包）单位施工人员工前安全教育不到位或无相关资料，每项处罚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十六、协作（分包）单位每月安全资料不齐全，每项处罚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十七、协作（分包）单位养护工区材料堆放不规范，每次处罚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十八、协作（分包）单位办公区域消防器材配置不齐全或摆放不规范，每次处罚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十九、协作（分包）单位办公区域违规使用电器、乱搭电力线路，每次处罚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二十、协作（分包）单位办公生活区域不按规定存放可燃气体，每次处罚 500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二十一、协作（分包）单位未按规定时限落实安全隐患整改，每次处罚 1000 元；未及时回复整改情况，每次处罚 500元。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 xml:space="preserve">二十二、上级部门检查中指出存在的安全问题或提出批评，按上级部门处罚金额翻倍进行处罚，每次处罚最低 2000 元。 </w:t>
      </w:r>
    </w:p>
    <w:p>
      <w:pPr>
        <w:spacing w:line="400" w:lineRule="exact"/>
        <w:ind w:firstLine="420" w:firstLineChars="200"/>
        <w:rPr>
          <w:rFonts w:ascii="方正仿宋_GBK" w:hAnsi="方正仿宋_GBK" w:eastAsia="方正仿宋_GBK" w:cs="方正仿宋_GBK"/>
          <w:szCs w:val="21"/>
          <w:highlight w:val="none"/>
          <w:lang w:bidi="ar"/>
        </w:rPr>
      </w:pPr>
      <w:r>
        <w:rPr>
          <w:rFonts w:hint="eastAsia" w:ascii="方正仿宋_GBK" w:hAnsi="方正仿宋_GBK" w:eastAsia="方正仿宋_GBK" w:cs="方正仿宋_GBK"/>
          <w:szCs w:val="21"/>
          <w:highlight w:val="none"/>
          <w:lang w:bidi="ar"/>
        </w:rPr>
        <w:t>二十三、因协作（分包）单位未落实安全管理承担责任的事故，除承担相应赔付外通力公司将依法追偿。</w:t>
      </w:r>
    </w:p>
    <w:p>
      <w:pPr>
        <w:shd w:val="clear" w:color="auto" w:fill="FFFFFF"/>
        <w:spacing w:line="400" w:lineRule="exact"/>
        <w:ind w:firstLine="420" w:firstLineChars="200"/>
        <w:rPr>
          <w:highlight w:val="none"/>
        </w:rPr>
      </w:pPr>
    </w:p>
    <w:p>
      <w:pPr>
        <w:spacing w:line="360" w:lineRule="exact"/>
        <w:rPr>
          <w:szCs w:val="21"/>
          <w:highlight w:val="none"/>
        </w:rPr>
      </w:pPr>
    </w:p>
    <w:p>
      <w:pPr>
        <w:spacing w:line="360" w:lineRule="exact"/>
        <w:rPr>
          <w:szCs w:val="21"/>
          <w:highlight w:val="none"/>
        </w:rPr>
      </w:pPr>
    </w:p>
    <w:p>
      <w:pPr>
        <w:spacing w:line="360" w:lineRule="exact"/>
        <w:rPr>
          <w:szCs w:val="21"/>
          <w:highlight w:val="none"/>
        </w:rPr>
      </w:pPr>
    </w:p>
    <w:p>
      <w:pPr>
        <w:pStyle w:val="12"/>
        <w:adjustRightInd/>
        <w:spacing w:line="360" w:lineRule="exact"/>
        <w:jc w:val="both"/>
        <w:rPr>
          <w:color w:val="auto"/>
          <w:sz w:val="21"/>
          <w:szCs w:val="21"/>
          <w:highlight w:val="none"/>
        </w:rPr>
      </w:pPr>
      <w:r>
        <w:rPr>
          <w:rFonts w:hint="eastAsia" w:ascii="宋体" w:hAnsi="宋体" w:cs="宋体"/>
          <w:b/>
          <w:color w:val="auto"/>
          <w:sz w:val="21"/>
          <w:szCs w:val="21"/>
          <w:highlight w:val="none"/>
        </w:rPr>
        <w:t xml:space="preserve">  </w:t>
      </w:r>
    </w:p>
    <w:p>
      <w:pPr>
        <w:jc w:val="center"/>
        <w:rPr>
          <w:rFonts w:ascii="宋体" w:hAnsi="宋体" w:cs="宋体"/>
          <w:b/>
          <w:sz w:val="36"/>
          <w:highlight w:val="none"/>
        </w:rPr>
      </w:pPr>
      <w:r>
        <w:rPr>
          <w:rFonts w:hint="eastAsia" w:ascii="宋体" w:hAnsi="宋体" w:cs="宋体"/>
          <w:b/>
          <w:sz w:val="36"/>
          <w:highlight w:val="none"/>
        </w:rPr>
        <w:t>比选申请文件格式</w:t>
      </w:r>
    </w:p>
    <w:p>
      <w:pPr>
        <w:jc w:val="center"/>
        <w:rPr>
          <w:rFonts w:ascii="宋体" w:hAnsi="宋体" w:cs="宋体"/>
          <w:b/>
          <w:sz w:val="24"/>
          <w:highlight w:val="none"/>
        </w:rPr>
      </w:pPr>
    </w:p>
    <w:p>
      <w:pPr>
        <w:jc w:val="center"/>
        <w:rPr>
          <w:rFonts w:ascii="宋体" w:hAnsi="宋体" w:cs="宋体"/>
          <w:b/>
          <w:sz w:val="24"/>
          <w:highlight w:val="none"/>
        </w:rPr>
      </w:pPr>
      <w:r>
        <w:rPr>
          <w:rFonts w:hint="eastAsia" w:ascii="宋体" w:hAnsi="宋体" w:cs="宋体"/>
          <w:b/>
          <w:sz w:val="24"/>
          <w:highlight w:val="none"/>
        </w:rPr>
        <w:t>（以下内容为示例）</w:t>
      </w:r>
    </w:p>
    <w:p>
      <w:pPr>
        <w:jc w:val="center"/>
        <w:rPr>
          <w:rFonts w:ascii="宋体" w:hAnsi="宋体" w:cs="宋体"/>
          <w:b/>
          <w:sz w:val="24"/>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sectPr>
          <w:headerReference r:id="rId7" w:type="default"/>
          <w:footerReference r:id="rId8" w:type="default"/>
          <w:pgSz w:w="11906" w:h="16838"/>
          <w:pgMar w:top="1418" w:right="1247" w:bottom="1418" w:left="1247" w:header="851" w:footer="992" w:gutter="0"/>
          <w:cols w:space="720" w:num="1"/>
          <w:docGrid w:type="lines" w:linePitch="312" w:charSpace="0"/>
        </w:sectPr>
      </w:pPr>
    </w:p>
    <w:p>
      <w:pPr>
        <w:jc w:val="center"/>
        <w:rPr>
          <w:rFonts w:ascii="宋体" w:hAnsi="宋体" w:cs="宋体"/>
          <w:b/>
          <w:sz w:val="40"/>
          <w:szCs w:val="44"/>
          <w:highlight w:val="none"/>
          <w:u w:val="single"/>
        </w:rPr>
      </w:pPr>
    </w:p>
    <w:p>
      <w:pPr>
        <w:jc w:val="center"/>
        <w:rPr>
          <w:rFonts w:ascii="宋体" w:hAnsi="宋体" w:cs="宋体"/>
          <w:b/>
          <w:sz w:val="40"/>
          <w:szCs w:val="44"/>
          <w:highlight w:val="none"/>
        </w:rPr>
      </w:pPr>
      <w:r>
        <w:rPr>
          <w:rFonts w:hint="eastAsia" w:ascii="宋体" w:hAnsi="宋体" w:cs="宋体"/>
          <w:b/>
          <w:sz w:val="40"/>
          <w:szCs w:val="44"/>
          <w:highlight w:val="none"/>
          <w:u w:val="single"/>
        </w:rPr>
        <w:t>2023年南部片区所辖路段日常绿化工程比选申请文件</w:t>
      </w: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u w:val="single"/>
        </w:rPr>
      </w:pPr>
      <w:r>
        <w:rPr>
          <w:rFonts w:hint="eastAsia" w:ascii="宋体" w:hAnsi="宋体" w:cs="宋体"/>
          <w:sz w:val="32"/>
          <w:szCs w:val="32"/>
          <w:highlight w:val="none"/>
          <w:u w:val="single"/>
        </w:rPr>
        <w:t>比选申请单位名称全称（盖单位公章）</w:t>
      </w:r>
    </w:p>
    <w:p>
      <w:pPr>
        <w:jc w:val="center"/>
        <w:rPr>
          <w:rFonts w:ascii="宋体" w:hAnsi="宋体" w:cs="宋体"/>
          <w:sz w:val="32"/>
          <w:szCs w:val="32"/>
          <w:highlight w:val="none"/>
          <w:u w:val="singl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spacing w:line="440" w:lineRule="exact"/>
        <w:outlineLvl w:val="1"/>
        <w:rPr>
          <w:rFonts w:ascii="宋体" w:hAnsi="宋体" w:cs="宋体"/>
          <w:b/>
          <w:highlight w:val="none"/>
        </w:rPr>
      </w:pPr>
    </w:p>
    <w:p>
      <w:pPr>
        <w:jc w:val="center"/>
        <w:outlineLvl w:val="2"/>
        <w:rPr>
          <w:rFonts w:ascii="宋体" w:hAnsi="宋体" w:cs="宋体"/>
          <w:b/>
          <w:sz w:val="28"/>
          <w:szCs w:val="28"/>
          <w:highlight w:val="none"/>
        </w:rPr>
      </w:pPr>
      <w:bookmarkStart w:id="32" w:name="_Toc265510122"/>
      <w:r>
        <w:rPr>
          <w:rFonts w:hint="eastAsia" w:ascii="宋体" w:hAnsi="宋体" w:cs="宋体"/>
          <w:b/>
          <w:sz w:val="28"/>
          <w:szCs w:val="28"/>
          <w:highlight w:val="none"/>
        </w:rPr>
        <w:t>一、报价书</w:t>
      </w:r>
      <w:bookmarkEnd w:id="32"/>
    </w:p>
    <w:p>
      <w:pPr>
        <w:spacing w:line="440" w:lineRule="exact"/>
        <w:rPr>
          <w:szCs w:val="21"/>
          <w:highlight w:val="none"/>
        </w:rPr>
      </w:pPr>
      <w:r>
        <w:rPr>
          <w:rFonts w:hint="eastAsia" w:ascii="宋体" w:hAnsi="宋体"/>
          <w:b/>
          <w:highlight w:val="none"/>
          <w:u w:val="single"/>
        </w:rPr>
        <w:t>致：重庆通力高速公路养护工程有限公司</w:t>
      </w:r>
    </w:p>
    <w:p>
      <w:pPr>
        <w:spacing w:line="440" w:lineRule="exact"/>
        <w:ind w:firstLine="420" w:firstLineChars="200"/>
        <w:rPr>
          <w:szCs w:val="21"/>
          <w:highlight w:val="none"/>
        </w:rPr>
      </w:pPr>
      <w:r>
        <w:rPr>
          <w:szCs w:val="21"/>
          <w:highlight w:val="none"/>
        </w:rPr>
        <w:t>1．我方已仔细研究了</w:t>
      </w:r>
      <w:r>
        <w:rPr>
          <w:rFonts w:hint="eastAsia" w:ascii="宋体" w:hAnsi="宋体"/>
          <w:b/>
          <w:bCs/>
          <w:szCs w:val="21"/>
          <w:highlight w:val="none"/>
          <w:u w:val="single"/>
        </w:rPr>
        <w:t xml:space="preserve">项目名称       </w:t>
      </w:r>
      <w:r>
        <w:rPr>
          <w:rFonts w:hint="eastAsia"/>
          <w:szCs w:val="21"/>
          <w:highlight w:val="none"/>
        </w:rPr>
        <w:t>竞争性比选</w:t>
      </w:r>
      <w:r>
        <w:rPr>
          <w:szCs w:val="21"/>
          <w:highlight w:val="none"/>
        </w:rPr>
        <w:t>文件的全部内容</w:t>
      </w:r>
      <w:r>
        <w:rPr>
          <w:rFonts w:hint="eastAsia"/>
          <w:szCs w:val="21"/>
          <w:highlight w:val="none"/>
        </w:rPr>
        <w:t>，愿意以下浮比例值</w:t>
      </w:r>
      <w:r>
        <w:rPr>
          <w:rFonts w:hint="eastAsia"/>
          <w:szCs w:val="21"/>
          <w:highlight w:val="none"/>
          <w:u w:val="single"/>
        </w:rPr>
        <w:t xml:space="preserve">     %</w:t>
      </w:r>
      <w:r>
        <w:rPr>
          <w:rFonts w:hint="eastAsia"/>
          <w:szCs w:val="21"/>
          <w:highlight w:val="none"/>
        </w:rPr>
        <w:t>，工期：</w:t>
      </w:r>
      <w:r>
        <w:rPr>
          <w:rFonts w:hint="eastAsia"/>
          <w:szCs w:val="21"/>
          <w:highlight w:val="none"/>
          <w:u w:val="single"/>
        </w:rPr>
        <w:t xml:space="preserve">       </w:t>
      </w:r>
      <w:r>
        <w:rPr>
          <w:rFonts w:hint="eastAsia"/>
          <w:szCs w:val="21"/>
          <w:highlight w:val="none"/>
        </w:rPr>
        <w:t>，并按</w:t>
      </w:r>
      <w:r>
        <w:rPr>
          <w:szCs w:val="21"/>
          <w:highlight w:val="none"/>
        </w:rPr>
        <w:t>约定实施。</w:t>
      </w:r>
    </w:p>
    <w:p>
      <w:pPr>
        <w:spacing w:line="440" w:lineRule="exact"/>
        <w:ind w:firstLine="420" w:firstLineChars="200"/>
        <w:rPr>
          <w:szCs w:val="21"/>
          <w:highlight w:val="none"/>
        </w:rPr>
      </w:pPr>
      <w:r>
        <w:rPr>
          <w:szCs w:val="21"/>
          <w:highlight w:val="none"/>
        </w:rPr>
        <w:t>2．我方承诺在投标有效期内不修改、撤销</w:t>
      </w:r>
      <w:r>
        <w:rPr>
          <w:rFonts w:hint="eastAsia"/>
          <w:szCs w:val="21"/>
          <w:highlight w:val="none"/>
        </w:rPr>
        <w:t>比选申请文件</w:t>
      </w:r>
      <w:r>
        <w:rPr>
          <w:szCs w:val="21"/>
          <w:highlight w:val="none"/>
        </w:rPr>
        <w:t>。</w:t>
      </w:r>
    </w:p>
    <w:p>
      <w:pPr>
        <w:spacing w:line="440" w:lineRule="exact"/>
        <w:ind w:firstLine="420" w:firstLineChars="200"/>
        <w:rPr>
          <w:szCs w:val="21"/>
          <w:highlight w:val="none"/>
        </w:rPr>
      </w:pPr>
      <w:r>
        <w:rPr>
          <w:szCs w:val="21"/>
          <w:highlight w:val="none"/>
        </w:rPr>
        <w:t>3．</w:t>
      </w:r>
      <w:r>
        <w:rPr>
          <w:rFonts w:hint="eastAsia"/>
          <w:highlight w:val="none"/>
        </w:rPr>
        <w:t>我方在此声明，所递交的比选申请文件及有关资料内容完整、真实和准确。</w:t>
      </w:r>
    </w:p>
    <w:p>
      <w:pPr>
        <w:spacing w:line="440" w:lineRule="exact"/>
        <w:ind w:firstLine="420" w:firstLineChars="200"/>
        <w:rPr>
          <w:szCs w:val="21"/>
          <w:highlight w:val="none"/>
        </w:rPr>
      </w:pPr>
      <w:r>
        <w:rPr>
          <w:szCs w:val="21"/>
          <w:highlight w:val="none"/>
        </w:rPr>
        <w:t>4</w:t>
      </w:r>
      <w:r>
        <w:rPr>
          <w:rFonts w:hint="eastAsia"/>
          <w:szCs w:val="21"/>
          <w:highlight w:val="none"/>
        </w:rPr>
        <w:t>．在合同协议书正式签署生效之前，本报价书连同你方的成交通知书将构成我们双方之间共同遵守的文件，对双方具有约束力。</w:t>
      </w: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ind w:firstLine="3675" w:firstLineChars="1750"/>
        <w:rPr>
          <w:szCs w:val="21"/>
          <w:highlight w:val="none"/>
        </w:rPr>
      </w:pPr>
      <w:r>
        <w:rPr>
          <w:rFonts w:hint="eastAsia"/>
          <w:szCs w:val="21"/>
          <w:highlight w:val="none"/>
        </w:rPr>
        <w:t>比选申请人</w:t>
      </w:r>
      <w:r>
        <w:rPr>
          <w:szCs w:val="21"/>
          <w:highlight w:val="none"/>
        </w:rPr>
        <w:t>：</w:t>
      </w:r>
      <w:r>
        <w:rPr>
          <w:szCs w:val="21"/>
          <w:highlight w:val="none"/>
          <w:u w:val="single"/>
        </w:rPr>
        <w:t xml:space="preserve">                      </w:t>
      </w:r>
      <w:r>
        <w:rPr>
          <w:szCs w:val="21"/>
          <w:highlight w:val="none"/>
        </w:rPr>
        <w:t>（盖单位章）</w:t>
      </w:r>
    </w:p>
    <w:p>
      <w:pPr>
        <w:spacing w:line="440" w:lineRule="exact"/>
        <w:ind w:firstLine="3675" w:firstLineChars="1750"/>
        <w:rPr>
          <w:szCs w:val="21"/>
          <w:highlight w:val="none"/>
        </w:rPr>
      </w:pPr>
      <w:r>
        <w:rPr>
          <w:szCs w:val="21"/>
          <w:highlight w:val="none"/>
        </w:rPr>
        <w:t>法定代表人或其委托代理人：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（签字）</w:t>
      </w:r>
    </w:p>
    <w:p>
      <w:pPr>
        <w:spacing w:line="440" w:lineRule="exact"/>
        <w:ind w:firstLine="3675" w:firstLineChars="1750"/>
        <w:rPr>
          <w:szCs w:val="21"/>
          <w:highlight w:val="none"/>
        </w:rPr>
      </w:pPr>
      <w:r>
        <w:rPr>
          <w:szCs w:val="21"/>
          <w:highlight w:val="none"/>
        </w:rPr>
        <w:t>地址：</w:t>
      </w:r>
      <w:r>
        <w:rPr>
          <w:szCs w:val="21"/>
          <w:highlight w:val="none"/>
          <w:u w:val="single"/>
        </w:rPr>
        <w:t xml:space="preserve">                                     </w:t>
      </w:r>
    </w:p>
    <w:p>
      <w:pPr>
        <w:spacing w:line="440" w:lineRule="exact"/>
        <w:ind w:firstLine="3675" w:firstLineChars="1750"/>
        <w:rPr>
          <w:szCs w:val="21"/>
          <w:highlight w:val="none"/>
        </w:rPr>
      </w:pPr>
      <w:r>
        <w:rPr>
          <w:szCs w:val="21"/>
          <w:highlight w:val="none"/>
        </w:rPr>
        <w:t>网址：</w:t>
      </w:r>
      <w:r>
        <w:rPr>
          <w:szCs w:val="21"/>
          <w:highlight w:val="none"/>
          <w:u w:val="single"/>
        </w:rPr>
        <w:t xml:space="preserve">                                     </w:t>
      </w:r>
    </w:p>
    <w:p>
      <w:pPr>
        <w:spacing w:line="440" w:lineRule="exact"/>
        <w:ind w:firstLine="3675" w:firstLineChars="1750"/>
        <w:rPr>
          <w:szCs w:val="21"/>
          <w:highlight w:val="none"/>
        </w:rPr>
      </w:pPr>
      <w:r>
        <w:rPr>
          <w:szCs w:val="21"/>
          <w:highlight w:val="none"/>
        </w:rPr>
        <w:t>电话：</w:t>
      </w:r>
      <w:r>
        <w:rPr>
          <w:szCs w:val="21"/>
          <w:highlight w:val="none"/>
          <w:u w:val="single"/>
        </w:rPr>
        <w:t xml:space="preserve">                                     </w:t>
      </w:r>
    </w:p>
    <w:p>
      <w:pPr>
        <w:spacing w:line="440" w:lineRule="exact"/>
        <w:ind w:firstLine="3675" w:firstLineChars="1750"/>
        <w:rPr>
          <w:szCs w:val="21"/>
          <w:highlight w:val="none"/>
        </w:rPr>
      </w:pPr>
      <w:r>
        <w:rPr>
          <w:szCs w:val="21"/>
          <w:highlight w:val="none"/>
        </w:rPr>
        <w:t>传真：</w:t>
      </w:r>
      <w:r>
        <w:rPr>
          <w:szCs w:val="21"/>
          <w:highlight w:val="none"/>
          <w:u w:val="single"/>
        </w:rPr>
        <w:t xml:space="preserve">                                     </w:t>
      </w:r>
    </w:p>
    <w:p>
      <w:pPr>
        <w:spacing w:line="440" w:lineRule="exact"/>
        <w:ind w:firstLine="3675" w:firstLineChars="1750"/>
        <w:rPr>
          <w:szCs w:val="21"/>
          <w:highlight w:val="none"/>
        </w:rPr>
      </w:pPr>
      <w:r>
        <w:rPr>
          <w:szCs w:val="21"/>
          <w:highlight w:val="none"/>
        </w:rPr>
        <w:t>邮政编码：</w:t>
      </w:r>
      <w:r>
        <w:rPr>
          <w:szCs w:val="21"/>
          <w:highlight w:val="none"/>
          <w:u w:val="single"/>
        </w:rPr>
        <w:t xml:space="preserve">                                 </w:t>
      </w:r>
    </w:p>
    <w:p>
      <w:pPr>
        <w:spacing w:line="440" w:lineRule="exact"/>
        <w:ind w:firstLine="3675" w:firstLineChars="1750"/>
        <w:rPr>
          <w:szCs w:val="21"/>
          <w:highlight w:val="none"/>
        </w:rPr>
      </w:pPr>
    </w:p>
    <w:p>
      <w:pPr>
        <w:spacing w:line="400" w:lineRule="atLeast"/>
        <w:jc w:val="right"/>
        <w:rPr>
          <w:szCs w:val="21"/>
          <w:highlight w:val="none"/>
        </w:rPr>
      </w:pPr>
      <w:r>
        <w:rPr>
          <w:rFonts w:hint="eastAsia"/>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szCs w:val="21"/>
          <w:highlight w:val="none"/>
        </w:rPr>
        <w:t>日</w:t>
      </w:r>
    </w:p>
    <w:p>
      <w:pPr>
        <w:spacing w:line="440" w:lineRule="exact"/>
        <w:ind w:firstLine="2003" w:firstLineChars="950"/>
        <w:outlineLvl w:val="1"/>
        <w:rPr>
          <w:rFonts w:ascii="宋体" w:hAnsi="宋体" w:cs="宋体"/>
          <w:b/>
          <w:highlight w:val="none"/>
        </w:rPr>
      </w:pPr>
    </w:p>
    <w:p>
      <w:pPr>
        <w:spacing w:line="440" w:lineRule="exact"/>
        <w:ind w:firstLine="2003" w:firstLineChars="950"/>
        <w:outlineLvl w:val="1"/>
        <w:rPr>
          <w:rFonts w:ascii="宋体" w:hAnsi="宋体" w:cs="宋体"/>
          <w:b/>
          <w:highlight w:val="none"/>
        </w:rPr>
      </w:pPr>
    </w:p>
    <w:p>
      <w:pPr>
        <w:spacing w:line="440" w:lineRule="exact"/>
        <w:ind w:firstLine="2003" w:firstLineChars="950"/>
        <w:outlineLvl w:val="1"/>
        <w:rPr>
          <w:rFonts w:ascii="宋体" w:hAnsi="宋体" w:cs="宋体"/>
          <w:b/>
          <w:highlight w:val="none"/>
        </w:rPr>
      </w:pPr>
    </w:p>
    <w:p>
      <w:pPr>
        <w:pStyle w:val="12"/>
        <w:rPr>
          <w:color w:val="auto"/>
          <w:highlight w:val="none"/>
        </w:rPr>
      </w:pPr>
    </w:p>
    <w:p>
      <w:pPr>
        <w:pStyle w:val="12"/>
        <w:rPr>
          <w:rFonts w:ascii="宋体" w:hAnsi="宋体" w:cs="宋体"/>
          <w:b/>
          <w:color w:val="auto"/>
          <w:highlight w:val="none"/>
        </w:rPr>
      </w:pPr>
    </w:p>
    <w:p>
      <w:pPr>
        <w:pStyle w:val="12"/>
        <w:rPr>
          <w:rFonts w:ascii="宋体" w:hAnsi="宋体" w:cs="宋体"/>
          <w:b/>
          <w:color w:val="auto"/>
          <w:highlight w:val="none"/>
        </w:rPr>
      </w:pPr>
    </w:p>
    <w:p>
      <w:pPr>
        <w:pStyle w:val="12"/>
        <w:rPr>
          <w:rFonts w:ascii="宋体" w:hAnsi="宋体" w:cs="宋体"/>
          <w:b/>
          <w:color w:val="auto"/>
          <w:highlight w:val="none"/>
        </w:rPr>
      </w:pPr>
    </w:p>
    <w:p>
      <w:pPr>
        <w:pStyle w:val="12"/>
        <w:rPr>
          <w:rFonts w:ascii="宋体" w:hAnsi="宋体" w:cs="宋体"/>
          <w:b/>
          <w:color w:val="auto"/>
          <w:highlight w:val="none"/>
        </w:rPr>
      </w:pPr>
    </w:p>
    <w:p>
      <w:pPr>
        <w:pStyle w:val="12"/>
        <w:rPr>
          <w:rFonts w:ascii="宋体" w:hAnsi="宋体" w:cs="宋体"/>
          <w:b/>
          <w:color w:val="auto"/>
          <w:highlight w:val="none"/>
        </w:rPr>
      </w:pPr>
    </w:p>
    <w:p>
      <w:pPr>
        <w:pStyle w:val="12"/>
        <w:rPr>
          <w:rFonts w:ascii="宋体" w:hAnsi="宋体" w:cs="宋体"/>
          <w:b/>
          <w:color w:val="auto"/>
          <w:highlight w:val="none"/>
        </w:rPr>
      </w:pPr>
    </w:p>
    <w:p>
      <w:pPr>
        <w:spacing w:line="440" w:lineRule="exact"/>
        <w:ind w:firstLine="2670" w:firstLineChars="950"/>
        <w:outlineLvl w:val="1"/>
        <w:rPr>
          <w:rFonts w:ascii="宋体" w:hAnsi="宋体" w:cs="宋体"/>
          <w:b/>
          <w:sz w:val="28"/>
          <w:szCs w:val="28"/>
          <w:highlight w:val="none"/>
        </w:rPr>
      </w:pPr>
      <w:r>
        <w:rPr>
          <w:rFonts w:hint="eastAsia" w:ascii="宋体" w:hAnsi="宋体" w:cs="宋体"/>
          <w:b/>
          <w:sz w:val="28"/>
          <w:szCs w:val="28"/>
          <w:highlight w:val="none"/>
        </w:rPr>
        <w:t>二、法定代表人身份证明及授权委托书</w:t>
      </w:r>
    </w:p>
    <w:p>
      <w:pPr>
        <w:spacing w:line="440" w:lineRule="exact"/>
        <w:rPr>
          <w:rFonts w:ascii="宋体" w:hAnsi="宋体" w:cs="宋体"/>
          <w:sz w:val="20"/>
          <w:highlight w:val="none"/>
        </w:rPr>
      </w:pPr>
    </w:p>
    <w:p>
      <w:pPr>
        <w:topLinePunct/>
        <w:spacing w:line="440" w:lineRule="exact"/>
        <w:ind w:firstLine="422" w:firstLineChars="200"/>
        <w:jc w:val="center"/>
        <w:outlineLvl w:val="2"/>
        <w:rPr>
          <w:b/>
          <w:szCs w:val="21"/>
          <w:highlight w:val="none"/>
        </w:rPr>
      </w:pPr>
      <w:bookmarkStart w:id="33" w:name="_Toc262547328"/>
      <w:r>
        <w:rPr>
          <w:rFonts w:hint="eastAsia"/>
          <w:b/>
          <w:szCs w:val="21"/>
          <w:highlight w:val="none"/>
        </w:rPr>
        <w:t>（一）法定代表人身份证明</w:t>
      </w:r>
      <w:bookmarkEnd w:id="33"/>
    </w:p>
    <w:p>
      <w:pPr>
        <w:spacing w:line="440" w:lineRule="exact"/>
        <w:rPr>
          <w:szCs w:val="21"/>
          <w:highlight w:val="none"/>
        </w:rPr>
      </w:pPr>
      <w:r>
        <w:rPr>
          <w:rFonts w:hint="eastAsia"/>
          <w:szCs w:val="21"/>
          <w:highlight w:val="none"/>
        </w:rPr>
        <w:t>比选申请人名称：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pPr>
        <w:spacing w:line="440" w:lineRule="exact"/>
        <w:rPr>
          <w:szCs w:val="21"/>
          <w:highlight w:val="none"/>
        </w:rPr>
      </w:pPr>
      <w:r>
        <w:rPr>
          <w:rFonts w:hint="eastAsia"/>
          <w:szCs w:val="21"/>
          <w:highlight w:val="none"/>
        </w:rPr>
        <w:t>单位性质：</w:t>
      </w:r>
      <w:r>
        <w:rPr>
          <w:szCs w:val="21"/>
          <w:highlight w:val="none"/>
          <w:u w:val="single"/>
        </w:rPr>
        <w:t xml:space="preserve">                               </w:t>
      </w:r>
      <w:r>
        <w:rPr>
          <w:szCs w:val="21"/>
          <w:highlight w:val="none"/>
        </w:rPr>
        <w:t xml:space="preserve"> </w:t>
      </w:r>
    </w:p>
    <w:p>
      <w:pPr>
        <w:spacing w:line="440" w:lineRule="exact"/>
        <w:rPr>
          <w:szCs w:val="21"/>
          <w:highlight w:val="none"/>
        </w:rPr>
      </w:pPr>
      <w:r>
        <w:rPr>
          <w:rFonts w:hint="eastAsia"/>
          <w:szCs w:val="21"/>
          <w:highlight w:val="none"/>
        </w:rPr>
        <w:t>地址：</w:t>
      </w:r>
      <w:r>
        <w:rPr>
          <w:szCs w:val="21"/>
          <w:highlight w:val="none"/>
          <w:u w:val="single"/>
        </w:rPr>
        <w:t xml:space="preserve">                                   </w:t>
      </w:r>
    </w:p>
    <w:p>
      <w:pPr>
        <w:spacing w:line="440" w:lineRule="exact"/>
        <w:rPr>
          <w:szCs w:val="21"/>
          <w:highlight w:val="none"/>
        </w:rPr>
      </w:pPr>
      <w:r>
        <w:rPr>
          <w:rFonts w:hint="eastAsia"/>
          <w:szCs w:val="21"/>
          <w:highlight w:val="none"/>
        </w:rPr>
        <w:t>成立时间：</w:t>
      </w:r>
      <w:r>
        <w:rPr>
          <w:szCs w:val="21"/>
          <w:highlight w:val="none"/>
          <w:u w:val="single"/>
        </w:rPr>
        <w:t xml:space="preserve">         </w:t>
      </w:r>
      <w:r>
        <w:rPr>
          <w:szCs w:val="21"/>
          <w:highlight w:val="none"/>
        </w:rPr>
        <w:t xml:space="preserve"> </w:t>
      </w:r>
      <w:r>
        <w:rPr>
          <w:rFonts w:hint="eastAsia"/>
          <w:szCs w:val="21"/>
          <w:highlight w:val="none"/>
        </w:rPr>
        <w:t>年</w:t>
      </w:r>
      <w:r>
        <w:rPr>
          <w:szCs w:val="21"/>
          <w:highlight w:val="none"/>
          <w:u w:val="single"/>
        </w:rPr>
        <w:t xml:space="preserve">       </w:t>
      </w:r>
      <w:r>
        <w:rPr>
          <w:szCs w:val="21"/>
          <w:highlight w:val="none"/>
        </w:rPr>
        <w:t xml:space="preserve"> </w:t>
      </w:r>
      <w:r>
        <w:rPr>
          <w:rFonts w:hint="eastAsia"/>
          <w:szCs w:val="21"/>
          <w:highlight w:val="none"/>
        </w:rPr>
        <w:t>月</w:t>
      </w:r>
      <w:r>
        <w:rPr>
          <w:szCs w:val="21"/>
          <w:highlight w:val="none"/>
          <w:u w:val="single"/>
        </w:rPr>
        <w:t xml:space="preserve">       </w:t>
      </w:r>
      <w:r>
        <w:rPr>
          <w:szCs w:val="21"/>
          <w:highlight w:val="none"/>
        </w:rPr>
        <w:t xml:space="preserve"> </w:t>
      </w:r>
      <w:r>
        <w:rPr>
          <w:rFonts w:hint="eastAsia"/>
          <w:szCs w:val="21"/>
          <w:highlight w:val="none"/>
        </w:rPr>
        <w:t>日</w:t>
      </w:r>
    </w:p>
    <w:p>
      <w:pPr>
        <w:spacing w:line="440" w:lineRule="exact"/>
        <w:rPr>
          <w:szCs w:val="21"/>
          <w:highlight w:val="none"/>
        </w:rPr>
      </w:pPr>
      <w:r>
        <w:rPr>
          <w:rFonts w:hint="eastAsia"/>
          <w:szCs w:val="21"/>
          <w:highlight w:val="none"/>
        </w:rPr>
        <w:t>经营期限：</w:t>
      </w:r>
      <w:r>
        <w:rPr>
          <w:szCs w:val="21"/>
          <w:highlight w:val="none"/>
          <w:u w:val="single"/>
        </w:rPr>
        <w:t xml:space="preserve">                               </w:t>
      </w:r>
    </w:p>
    <w:p>
      <w:pPr>
        <w:spacing w:line="440" w:lineRule="exact"/>
        <w:rPr>
          <w:szCs w:val="21"/>
          <w:highlight w:val="none"/>
        </w:rPr>
      </w:pPr>
      <w:r>
        <w:rPr>
          <w:rFonts w:hint="eastAsia"/>
          <w:szCs w:val="21"/>
          <w:highlight w:val="none"/>
        </w:rPr>
        <w:t>姓名：</w:t>
      </w:r>
      <w:r>
        <w:rPr>
          <w:szCs w:val="21"/>
          <w:highlight w:val="none"/>
        </w:rPr>
        <w:t xml:space="preserve"> </w:t>
      </w:r>
      <w:r>
        <w:rPr>
          <w:szCs w:val="21"/>
          <w:highlight w:val="none"/>
          <w:u w:val="single"/>
        </w:rPr>
        <w:t xml:space="preserve">        </w:t>
      </w:r>
      <w:r>
        <w:rPr>
          <w:rFonts w:hint="eastAsia"/>
          <w:szCs w:val="21"/>
          <w:highlight w:val="none"/>
          <w:u w:val="single"/>
        </w:rPr>
        <w:t xml:space="preserve">   （法人手签）</w:t>
      </w:r>
      <w:r>
        <w:rPr>
          <w:szCs w:val="21"/>
          <w:highlight w:val="none"/>
        </w:rPr>
        <w:t xml:space="preserve"> </w:t>
      </w:r>
      <w:r>
        <w:rPr>
          <w:rFonts w:hint="eastAsia"/>
          <w:szCs w:val="21"/>
          <w:highlight w:val="none"/>
        </w:rPr>
        <w:t>性别：</w:t>
      </w:r>
      <w:r>
        <w:rPr>
          <w:szCs w:val="21"/>
          <w:highlight w:val="none"/>
          <w:u w:val="single"/>
        </w:rPr>
        <w:t xml:space="preserve">         </w:t>
      </w:r>
      <w:r>
        <w:rPr>
          <w:szCs w:val="21"/>
          <w:highlight w:val="none"/>
        </w:rPr>
        <w:t xml:space="preserve"> </w:t>
      </w:r>
      <w:r>
        <w:rPr>
          <w:rFonts w:hint="eastAsia"/>
          <w:szCs w:val="21"/>
          <w:highlight w:val="none"/>
        </w:rPr>
        <w:t>年龄：</w:t>
      </w:r>
      <w:r>
        <w:rPr>
          <w:szCs w:val="21"/>
          <w:highlight w:val="none"/>
          <w:u w:val="single"/>
        </w:rPr>
        <w:t xml:space="preserve">        </w:t>
      </w:r>
      <w:r>
        <w:rPr>
          <w:rFonts w:hint="eastAsia"/>
          <w:szCs w:val="21"/>
          <w:highlight w:val="none"/>
        </w:rPr>
        <w:t>职务：</w:t>
      </w:r>
      <w:r>
        <w:rPr>
          <w:szCs w:val="21"/>
          <w:highlight w:val="none"/>
          <w:u w:val="single"/>
        </w:rPr>
        <w:t xml:space="preserve">        </w:t>
      </w:r>
    </w:p>
    <w:p>
      <w:pPr>
        <w:spacing w:line="440" w:lineRule="exact"/>
        <w:rPr>
          <w:szCs w:val="21"/>
          <w:highlight w:val="none"/>
        </w:rPr>
      </w:pPr>
      <w:r>
        <w:rPr>
          <w:rFonts w:hint="eastAsia"/>
          <w:szCs w:val="21"/>
          <w:highlight w:val="none"/>
        </w:rPr>
        <w:t>系</w:t>
      </w:r>
      <w:r>
        <w:rPr>
          <w:szCs w:val="21"/>
          <w:highlight w:val="none"/>
          <w:u w:val="single"/>
        </w:rPr>
        <w:t xml:space="preserve">                             </w:t>
      </w:r>
      <w:r>
        <w:rPr>
          <w:szCs w:val="21"/>
          <w:highlight w:val="none"/>
        </w:rPr>
        <w:t xml:space="preserve"> </w:t>
      </w:r>
      <w:r>
        <w:rPr>
          <w:rFonts w:hint="eastAsia"/>
          <w:szCs w:val="21"/>
          <w:highlight w:val="none"/>
        </w:rPr>
        <w:t>（比选申请人名称）的法定代表人。</w:t>
      </w:r>
    </w:p>
    <w:p>
      <w:pPr>
        <w:spacing w:line="440" w:lineRule="exact"/>
        <w:ind w:firstLine="420" w:firstLineChars="200"/>
        <w:rPr>
          <w:szCs w:val="21"/>
          <w:highlight w:val="none"/>
        </w:rPr>
      </w:pPr>
      <w:r>
        <w:rPr>
          <w:rFonts w:hint="eastAsia"/>
          <w:szCs w:val="21"/>
          <w:highlight w:val="none"/>
        </w:rPr>
        <w:t>特此证明。</w:t>
      </w:r>
    </w:p>
    <w:p>
      <w:pPr>
        <w:spacing w:line="440" w:lineRule="exact"/>
        <w:rPr>
          <w:szCs w:val="21"/>
          <w:highlight w:val="none"/>
        </w:rPr>
      </w:pPr>
    </w:p>
    <w:p>
      <w:pPr>
        <w:spacing w:line="440" w:lineRule="exact"/>
        <w:rPr>
          <w:szCs w:val="21"/>
          <w:highlight w:val="none"/>
        </w:rPr>
      </w:pPr>
    </w:p>
    <w:p>
      <w:pPr>
        <w:spacing w:line="440" w:lineRule="exact"/>
        <w:rPr>
          <w:szCs w:val="21"/>
          <w:highlight w:val="none"/>
        </w:rPr>
      </w:pPr>
      <w:r>
        <w:rPr>
          <w:szCs w:val="21"/>
          <w:highlight w:val="none"/>
        </w:rPr>
        <w:t xml:space="preserve">                          </w:t>
      </w:r>
      <w:r>
        <w:rPr>
          <w:rFonts w:hint="eastAsia"/>
          <w:szCs w:val="21"/>
          <w:highlight w:val="none"/>
        </w:rPr>
        <w:t>比选申请人：</w:t>
      </w:r>
      <w:r>
        <w:rPr>
          <w:szCs w:val="21"/>
          <w:highlight w:val="none"/>
          <w:u w:val="single"/>
        </w:rPr>
        <w:t xml:space="preserve">                 </w:t>
      </w:r>
      <w:r>
        <w:rPr>
          <w:rFonts w:hint="eastAsia"/>
          <w:szCs w:val="21"/>
          <w:highlight w:val="none"/>
        </w:rPr>
        <w:t>（盖单位章）</w:t>
      </w:r>
    </w:p>
    <w:p>
      <w:pPr>
        <w:spacing w:line="440" w:lineRule="exact"/>
        <w:rPr>
          <w:szCs w:val="21"/>
          <w:highlight w:val="none"/>
        </w:rPr>
      </w:pPr>
      <w:r>
        <w:rPr>
          <w:szCs w:val="21"/>
          <w:highlight w:val="none"/>
        </w:rPr>
        <w:t xml:space="preserve">                                   </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r>
        <w:rPr>
          <w:szCs w:val="21"/>
          <w:highlight w:val="none"/>
        </w:rPr>
        <w:t xml:space="preserve">           </w:t>
      </w:r>
    </w:p>
    <w:p>
      <w:pPr>
        <w:ind w:firstLine="105" w:firstLineChars="50"/>
        <w:rPr>
          <w:rFonts w:ascii="宋体" w:hAnsi="宋体"/>
          <w:szCs w:val="21"/>
          <w:highlight w:val="none"/>
        </w:rPr>
      </w:pPr>
    </w:p>
    <w:p>
      <w:pPr>
        <w:ind w:firstLine="105" w:firstLineChars="50"/>
        <w:rPr>
          <w:rFonts w:ascii="宋体" w:hAnsi="宋体"/>
          <w:szCs w:val="21"/>
          <w:highlight w:val="none"/>
        </w:rPr>
      </w:pPr>
    </w:p>
    <w:p>
      <w:pPr>
        <w:ind w:firstLine="105" w:firstLineChars="50"/>
        <w:rPr>
          <w:rFonts w:ascii="宋体" w:hAnsi="宋体"/>
          <w:szCs w:val="21"/>
          <w:highlight w:val="none"/>
        </w:rPr>
      </w:pPr>
    </w:p>
    <w:p>
      <w:pPr>
        <w:ind w:firstLine="105" w:firstLineChars="50"/>
        <w:rPr>
          <w:rFonts w:ascii="宋体" w:hAnsi="宋体"/>
          <w:szCs w:val="21"/>
          <w:highlight w:val="none"/>
        </w:rPr>
      </w:pPr>
    </w:p>
    <w:p>
      <w:pPr>
        <w:ind w:firstLine="105" w:firstLineChars="50"/>
        <w:rPr>
          <w:rFonts w:ascii="宋体" w:hAnsi="宋体"/>
          <w:szCs w:val="21"/>
          <w:highlight w:val="none"/>
        </w:rPr>
      </w:pPr>
      <w:r>
        <w:rPr>
          <w:rFonts w:hint="eastAsia" w:ascii="宋体" w:hAnsi="宋体"/>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highlight w:val="none"/>
        </w:rPr>
      </w:pPr>
      <w:r>
        <w:rPr>
          <w:rFonts w:hint="eastAsia" w:ascii="宋体" w:hAnsi="宋体" w:cs="宋体"/>
          <w:sz w:val="20"/>
          <w:highlight w:val="none"/>
        </w:rPr>
        <w:br w:type="page"/>
      </w:r>
      <w:bookmarkStart w:id="34" w:name="_Toc262547329"/>
      <w:r>
        <w:rPr>
          <w:rFonts w:hint="eastAsia" w:ascii="宋体" w:hAnsi="宋体" w:cs="宋体"/>
          <w:b/>
          <w:szCs w:val="21"/>
          <w:highlight w:val="none"/>
        </w:rPr>
        <w:t>（二）授权委托书</w:t>
      </w:r>
      <w:bookmarkEnd w:id="34"/>
      <w:r>
        <w:rPr>
          <w:rFonts w:hint="eastAsia" w:ascii="宋体" w:hAnsi="宋体" w:cs="宋体"/>
          <w:b/>
          <w:szCs w:val="21"/>
          <w:highlight w:val="none"/>
        </w:rPr>
        <w:t xml:space="preserve"> </w:t>
      </w:r>
    </w:p>
    <w:p>
      <w:pPr>
        <w:autoSpaceDE w:val="0"/>
        <w:autoSpaceDN w:val="0"/>
        <w:adjustRightInd w:val="0"/>
        <w:snapToGrid w:val="0"/>
        <w:spacing w:line="360" w:lineRule="auto"/>
        <w:jc w:val="left"/>
        <w:rPr>
          <w:rFonts w:ascii="宋体" w:hAnsi="宋体" w:cs="宋体"/>
          <w:kern w:val="0"/>
          <w:sz w:val="12"/>
          <w:szCs w:val="12"/>
          <w:highlight w:val="none"/>
        </w:rPr>
      </w:pPr>
    </w:p>
    <w:p>
      <w:pPr>
        <w:autoSpaceDE w:val="0"/>
        <w:autoSpaceDN w:val="0"/>
        <w:adjustRightInd w:val="0"/>
        <w:snapToGrid w:val="0"/>
        <w:spacing w:line="360" w:lineRule="auto"/>
        <w:jc w:val="left"/>
        <w:rPr>
          <w:rFonts w:ascii="宋体" w:hAnsi="宋体" w:cs="宋体"/>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（姓名）系</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（比选申请人名称</w:t>
      </w:r>
      <w:r>
        <w:rPr>
          <w:rFonts w:hint="eastAsia" w:ascii="宋体" w:hAnsi="宋体" w:cs="宋体"/>
          <w:spacing w:val="1"/>
          <w:kern w:val="0"/>
          <w:szCs w:val="21"/>
          <w:highlight w:val="none"/>
        </w:rPr>
        <w:t>）</w:t>
      </w:r>
      <w:r>
        <w:rPr>
          <w:rFonts w:hint="eastAsia" w:ascii="宋体" w:hAnsi="宋体" w:cs="宋体"/>
          <w:kern w:val="0"/>
          <w:szCs w:val="21"/>
          <w:highlight w:val="none"/>
        </w:rPr>
        <w:t>的法定代</w:t>
      </w:r>
      <w:r>
        <w:rPr>
          <w:rFonts w:hint="eastAsia" w:ascii="宋体" w:hAnsi="宋体" w:cs="宋体"/>
          <w:spacing w:val="1"/>
          <w:kern w:val="0"/>
          <w:szCs w:val="21"/>
          <w:highlight w:val="none"/>
        </w:rPr>
        <w:t>表</w:t>
      </w:r>
      <w:r>
        <w:rPr>
          <w:rFonts w:hint="eastAsia" w:ascii="宋体" w:hAnsi="宋体" w:cs="宋体"/>
          <w:kern w:val="0"/>
          <w:szCs w:val="21"/>
          <w:highlight w:val="none"/>
        </w:rPr>
        <w:t>人，现委托</w:t>
      </w:r>
      <w:r>
        <w:rPr>
          <w:rFonts w:hint="eastAsia" w:ascii="宋体" w:hAnsi="宋体" w:cs="宋体"/>
          <w:kern w:val="0"/>
          <w:szCs w:val="21"/>
          <w:highlight w:val="none"/>
          <w:u w:val="single"/>
        </w:rPr>
        <w:t xml:space="preserve">    </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（姓名）为我方代理人。代理人根据授权，以我方名义签署、澄清、说明、补正、递交、撤回、修改</w:t>
      </w:r>
      <w:r>
        <w:rPr>
          <w:rFonts w:hint="eastAsia" w:ascii="宋体" w:hAnsi="宋体"/>
          <w:b/>
          <w:bCs/>
          <w:szCs w:val="21"/>
          <w:highlight w:val="none"/>
          <w:u w:val="single"/>
        </w:rPr>
        <w:t xml:space="preserve">项目名称          </w:t>
      </w:r>
      <w:r>
        <w:rPr>
          <w:rFonts w:hint="eastAsia" w:ascii="宋体" w:hAnsi="宋体" w:cs="宋体"/>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highlight w:val="none"/>
          <w:u w:val="single"/>
        </w:rPr>
      </w:pPr>
      <w:r>
        <w:rPr>
          <w:rFonts w:hint="eastAsia" w:ascii="宋体" w:hAnsi="宋体" w:cs="宋体"/>
          <w:kern w:val="0"/>
          <w:szCs w:val="21"/>
          <w:highlight w:val="none"/>
        </w:rPr>
        <w:t>委托</w:t>
      </w:r>
      <w:r>
        <w:rPr>
          <w:rFonts w:hint="eastAsia" w:ascii="宋体" w:hAnsi="宋体" w:cs="宋体"/>
          <w:spacing w:val="-1"/>
          <w:kern w:val="0"/>
          <w:szCs w:val="21"/>
          <w:highlight w:val="none"/>
        </w:rPr>
        <w:t>期</w:t>
      </w:r>
      <w:r>
        <w:rPr>
          <w:rFonts w:hint="eastAsia" w:ascii="宋体" w:hAnsi="宋体" w:cs="宋体"/>
          <w:kern w:val="0"/>
          <w:szCs w:val="21"/>
          <w:highlight w:val="none"/>
        </w:rPr>
        <w:t>限：</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附：法定代表人身份证复印件、代理人身份复印件</w:t>
      </w:r>
      <w:r>
        <w:rPr>
          <w:rFonts w:hint="eastAsia" w:ascii="宋体" w:hAnsi="宋体" w:cs="宋体"/>
          <w:kern w:val="0"/>
          <w:szCs w:val="21"/>
          <w:highlight w:val="none"/>
        </w:rPr>
        <w:t>。</w:t>
      </w:r>
    </w:p>
    <w:p>
      <w:pPr>
        <w:autoSpaceDE w:val="0"/>
        <w:autoSpaceDN w:val="0"/>
        <w:adjustRightInd w:val="0"/>
        <w:snapToGrid w:val="0"/>
        <w:spacing w:line="360" w:lineRule="auto"/>
        <w:jc w:val="left"/>
        <w:rPr>
          <w:rFonts w:ascii="宋体" w:hAnsi="宋体" w:cs="宋体"/>
          <w:kern w:val="0"/>
          <w:sz w:val="12"/>
          <w:szCs w:val="12"/>
          <w:highlight w:val="none"/>
        </w:rPr>
      </w:pPr>
    </w:p>
    <w:tbl>
      <w:tblPr>
        <w:tblStyle w:val="9"/>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vAlign w:val="center"/>
          </w:tcPr>
          <w:p>
            <w:pPr>
              <w:spacing w:line="500" w:lineRule="exact"/>
              <w:jc w:val="center"/>
              <w:rPr>
                <w:sz w:val="28"/>
                <w:highlight w:val="none"/>
              </w:rPr>
            </w:pPr>
            <w:r>
              <w:rPr>
                <w:rFonts w:hint="eastAsia" w:ascii="宋体" w:hAnsi="宋体" w:cs="宋体"/>
                <w:sz w:val="24"/>
                <w:szCs w:val="24"/>
                <w:highlight w:val="none"/>
              </w:rPr>
              <w:t>法定代表人身份证正面</w:t>
            </w:r>
          </w:p>
        </w:tc>
        <w:tc>
          <w:tcPr>
            <w:tcW w:w="4670" w:type="dxa"/>
            <w:vAlign w:val="center"/>
          </w:tcPr>
          <w:p>
            <w:pPr>
              <w:spacing w:line="500" w:lineRule="exact"/>
              <w:jc w:val="center"/>
              <w:rPr>
                <w:sz w:val="28"/>
                <w:highlight w:val="none"/>
              </w:rPr>
            </w:pPr>
            <w:r>
              <w:rPr>
                <w:rFonts w:hint="eastAsia" w:ascii="宋体" w:hAnsi="宋体" w:cs="宋体"/>
                <w:sz w:val="24"/>
                <w:szCs w:val="24"/>
                <w:highlight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vAlign w:val="center"/>
          </w:tcPr>
          <w:p>
            <w:pPr>
              <w:spacing w:line="500" w:lineRule="exact"/>
              <w:jc w:val="center"/>
              <w:rPr>
                <w:sz w:val="28"/>
                <w:highlight w:val="none"/>
              </w:rPr>
            </w:pPr>
            <w:r>
              <w:rPr>
                <w:rFonts w:hint="eastAsia" w:ascii="宋体" w:hAnsi="宋体" w:cs="宋体"/>
                <w:sz w:val="24"/>
                <w:szCs w:val="24"/>
                <w:highlight w:val="none"/>
              </w:rPr>
              <w:t>代理人身份证正面</w:t>
            </w:r>
          </w:p>
        </w:tc>
        <w:tc>
          <w:tcPr>
            <w:tcW w:w="4670" w:type="dxa"/>
            <w:vAlign w:val="center"/>
          </w:tcPr>
          <w:p>
            <w:pPr>
              <w:spacing w:line="500" w:lineRule="exact"/>
              <w:jc w:val="center"/>
              <w:rPr>
                <w:sz w:val="28"/>
                <w:highlight w:val="none"/>
              </w:rPr>
            </w:pPr>
            <w:r>
              <w:rPr>
                <w:rFonts w:hint="eastAsia" w:ascii="宋体" w:hAnsi="宋体" w:cs="宋体"/>
                <w:sz w:val="24"/>
                <w:szCs w:val="24"/>
                <w:highlight w:val="none"/>
              </w:rPr>
              <w:t>代理人身份证反面</w:t>
            </w:r>
          </w:p>
        </w:tc>
      </w:tr>
    </w:tbl>
    <w:p>
      <w:pPr>
        <w:autoSpaceDE w:val="0"/>
        <w:autoSpaceDN w:val="0"/>
        <w:adjustRightInd w:val="0"/>
        <w:snapToGrid w:val="0"/>
        <w:spacing w:line="360" w:lineRule="auto"/>
        <w:jc w:val="left"/>
        <w:rPr>
          <w:rFonts w:ascii="宋体" w:hAnsi="宋体" w:cs="宋体"/>
          <w:kern w:val="0"/>
          <w:sz w:val="20"/>
          <w:highlight w:val="none"/>
        </w:rPr>
      </w:pPr>
    </w:p>
    <w:p>
      <w:pPr>
        <w:pStyle w:val="12"/>
        <w:rPr>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highlight w:val="none"/>
        </w:rPr>
      </w:pPr>
      <w:r>
        <w:rPr>
          <w:rFonts w:hint="eastAsia" w:ascii="宋体" w:hAnsi="宋体" w:cs="宋体"/>
          <w:kern w:val="0"/>
          <w:szCs w:val="21"/>
          <w:highlight w:val="none"/>
        </w:rPr>
        <w:t>比选申请人：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pacing w:val="-1"/>
          <w:kern w:val="0"/>
          <w:szCs w:val="21"/>
          <w:highlight w:val="none"/>
        </w:rPr>
        <w:t>盖</w:t>
      </w:r>
      <w:r>
        <w:rPr>
          <w:rFonts w:hint="eastAsia" w:ascii="宋体" w:hAnsi="宋体" w:cs="宋体"/>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ab/>
      </w:r>
      <w:r>
        <w:rPr>
          <w:rFonts w:hint="eastAsia" w:ascii="宋体" w:hAnsi="宋体" w:cs="宋体"/>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委托代理人：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（签</w:t>
      </w:r>
      <w:r>
        <w:rPr>
          <w:rFonts w:hint="eastAsia" w:ascii="宋体" w:hAnsi="宋体" w:cs="宋体"/>
          <w:spacing w:val="-1"/>
          <w:kern w:val="0"/>
          <w:szCs w:val="21"/>
          <w:highlight w:val="none"/>
        </w:rPr>
        <w:t>字</w:t>
      </w:r>
      <w:r>
        <w:rPr>
          <w:rFonts w:hint="eastAsia" w:ascii="宋体" w:hAnsi="宋体" w:cs="宋体"/>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p>
    <w:p>
      <w:pPr>
        <w:autoSpaceDE w:val="0"/>
        <w:autoSpaceDN w:val="0"/>
        <w:adjustRightInd w:val="0"/>
        <w:snapToGrid w:val="0"/>
        <w:spacing w:line="360" w:lineRule="auto"/>
        <w:jc w:val="left"/>
        <w:rPr>
          <w:rFonts w:ascii="宋体" w:hAnsi="宋体" w:cs="宋体"/>
          <w:kern w:val="0"/>
          <w:sz w:val="20"/>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highlight w:val="none"/>
        </w:rPr>
      </w:pP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日</w:t>
      </w:r>
    </w:p>
    <w:p>
      <w:pPr>
        <w:tabs>
          <w:tab w:val="left" w:pos="900"/>
          <w:tab w:val="left" w:pos="1080"/>
        </w:tabs>
        <w:spacing w:line="300" w:lineRule="auto"/>
        <w:jc w:val="center"/>
        <w:outlineLvl w:val="0"/>
        <w:rPr>
          <w:rFonts w:ascii="宋体" w:hAnsi="宋体" w:cs="宋体"/>
          <w:b/>
          <w:sz w:val="28"/>
          <w:szCs w:val="28"/>
          <w:highlight w:val="none"/>
        </w:rPr>
      </w:pPr>
      <w:r>
        <w:rPr>
          <w:rFonts w:hint="eastAsia" w:ascii="宋体" w:hAnsi="宋体" w:cs="宋体"/>
          <w:b/>
          <w:sz w:val="28"/>
          <w:szCs w:val="28"/>
          <w:highlight w:val="none"/>
        </w:rPr>
        <w:t>三、比选申请单位有效的营业执照</w:t>
      </w:r>
      <w:r>
        <w:rPr>
          <w:highlight w:val="none"/>
        </w:rPr>
        <w:commentReference w:id="2"/>
      </w:r>
    </w:p>
    <w:p>
      <w:pPr>
        <w:rPr>
          <w:rFonts w:ascii="宋体" w:hAnsi="宋体" w:cs="宋体"/>
          <w:kern w:val="1"/>
          <w:highlight w:val="none"/>
        </w:rPr>
      </w:pPr>
      <w:r>
        <w:rPr>
          <w:rFonts w:hint="eastAsia" w:ascii="宋体" w:hAnsi="宋体" w:cs="宋体"/>
          <w:b/>
          <w:sz w:val="28"/>
          <w:szCs w:val="28"/>
          <w:highlight w:val="none"/>
        </w:rPr>
        <w:br w:type="page"/>
      </w:r>
    </w:p>
    <w:p>
      <w:pPr>
        <w:rPr>
          <w:highlight w:val="none"/>
        </w:rPr>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sz w:val="28"/>
          <w:szCs w:val="28"/>
          <w:highlight w:val="none"/>
        </w:rPr>
      </w:pPr>
      <w:r>
        <w:rPr>
          <w:rFonts w:hint="eastAsia" w:ascii="宋体" w:hAnsi="宋体" w:cs="宋体"/>
          <w:b/>
          <w:sz w:val="28"/>
          <w:szCs w:val="28"/>
          <w:highlight w:val="none"/>
        </w:rPr>
        <w:t>四、比选申请单位自行承诺部分</w:t>
      </w:r>
    </w:p>
    <w:p>
      <w:pPr>
        <w:spacing w:line="440" w:lineRule="exact"/>
        <w:rPr>
          <w:szCs w:val="21"/>
          <w:highlight w:val="none"/>
        </w:rPr>
      </w:pPr>
      <w:r>
        <w:rPr>
          <w:rFonts w:hint="eastAsia"/>
          <w:szCs w:val="21"/>
          <w:highlight w:val="none"/>
        </w:rPr>
        <w:t>重庆通力高速公路养护工程有限公司：</w:t>
      </w:r>
    </w:p>
    <w:p>
      <w:pPr>
        <w:spacing w:line="440" w:lineRule="exact"/>
        <w:ind w:firstLine="420" w:firstLineChars="200"/>
        <w:rPr>
          <w:szCs w:val="21"/>
          <w:highlight w:val="none"/>
        </w:rPr>
      </w:pPr>
      <w:r>
        <w:rPr>
          <w:rFonts w:hint="eastAsia"/>
          <w:szCs w:val="21"/>
          <w:highlight w:val="none"/>
        </w:rPr>
        <w:t>我司承诺本次比选申请文件的所有资料均为真实材料。若违背竞争性比选文件及合同要求，我司将按照约定接受处罚。</w:t>
      </w:r>
    </w:p>
    <w:p>
      <w:pPr>
        <w:spacing w:line="440" w:lineRule="exact"/>
        <w:rPr>
          <w:szCs w:val="21"/>
          <w:highlight w:val="none"/>
        </w:rPr>
      </w:pPr>
      <w:r>
        <w:rPr>
          <w:rFonts w:hint="eastAsia" w:ascii="宋体" w:hAnsi="宋体" w:cs="宋体"/>
          <w:b/>
          <w:sz w:val="28"/>
          <w:szCs w:val="28"/>
          <w:highlight w:val="none"/>
        </w:rPr>
        <w:t xml:space="preserve">   </w:t>
      </w:r>
      <w:r>
        <w:rPr>
          <w:rFonts w:hint="eastAsia"/>
          <w:szCs w:val="21"/>
          <w:highlight w:val="none"/>
        </w:rPr>
        <w:t>我司承诺在最近三年没有出现违法违规或失信行为；无拖欠劳务费的败诉记录；没有无故弃标的不良记录；未处于被责令停业，歇业，投标资格被取消，财产被接管、被采取强制措施、破产状态，并将按照竞争性比选文件要求实施项目。</w:t>
      </w:r>
    </w:p>
    <w:p>
      <w:pPr>
        <w:pStyle w:val="12"/>
        <w:rPr>
          <w:rFonts w:ascii="宋体" w:hAnsi="宋体" w:cs="宋体"/>
          <w:b/>
          <w:color w:val="auto"/>
          <w:sz w:val="28"/>
          <w:szCs w:val="28"/>
          <w:highlight w:val="none"/>
        </w:rPr>
      </w:pPr>
    </w:p>
    <w:p>
      <w:pPr>
        <w:spacing w:line="440" w:lineRule="exact"/>
        <w:ind w:firstLine="3990" w:firstLineChars="1900"/>
        <w:jc w:val="right"/>
        <w:rPr>
          <w:szCs w:val="21"/>
          <w:highlight w:val="none"/>
        </w:rPr>
      </w:pPr>
      <w:r>
        <w:rPr>
          <w:szCs w:val="21"/>
          <w:highlight w:val="none"/>
        </w:rPr>
        <w:t xml:space="preserve"> </w:t>
      </w:r>
      <w:r>
        <w:rPr>
          <w:rFonts w:hint="eastAsia"/>
          <w:szCs w:val="21"/>
          <w:highlight w:val="none"/>
        </w:rPr>
        <w:t>比选申请人：</w:t>
      </w:r>
      <w:r>
        <w:rPr>
          <w:szCs w:val="21"/>
          <w:highlight w:val="none"/>
          <w:u w:val="single"/>
        </w:rPr>
        <w:t xml:space="preserve">                 </w:t>
      </w:r>
      <w:r>
        <w:rPr>
          <w:rFonts w:hint="eastAsia"/>
          <w:szCs w:val="21"/>
          <w:highlight w:val="none"/>
        </w:rPr>
        <w:t>（盖单位章）</w:t>
      </w:r>
    </w:p>
    <w:p>
      <w:pPr>
        <w:pStyle w:val="12"/>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pStyle w:val="12"/>
        <w:jc w:val="right"/>
        <w:rPr>
          <w:rFonts w:ascii="宋体" w:hAnsi="宋体" w:cs="宋体"/>
          <w:b/>
          <w:color w:val="auto"/>
          <w:sz w:val="28"/>
          <w:szCs w:val="28"/>
          <w:highlight w:val="none"/>
        </w:rPr>
        <w:sectPr>
          <w:pgSz w:w="11906" w:h="16838"/>
          <w:pgMar w:top="1418" w:right="1361" w:bottom="1418" w:left="1361" w:header="851" w:footer="992" w:gutter="0"/>
          <w:cols w:space="720" w:num="1"/>
          <w:docGrid w:type="lines" w:linePitch="312" w:charSpace="0"/>
        </w:sectPr>
      </w:pPr>
      <w:r>
        <w:rPr>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tabs>
          <w:tab w:val="left" w:pos="900"/>
          <w:tab w:val="left" w:pos="1080"/>
        </w:tabs>
        <w:spacing w:line="300" w:lineRule="auto"/>
        <w:jc w:val="center"/>
        <w:outlineLvl w:val="0"/>
        <w:rPr>
          <w:rFonts w:ascii="宋体" w:hAnsi="宋体" w:cs="宋体"/>
          <w:b/>
          <w:sz w:val="28"/>
          <w:szCs w:val="28"/>
          <w:highlight w:val="none"/>
        </w:rPr>
      </w:pPr>
      <w:r>
        <w:rPr>
          <w:rFonts w:hint="eastAsia" w:ascii="宋体" w:hAnsi="宋体" w:cs="宋体"/>
          <w:b/>
          <w:sz w:val="28"/>
          <w:szCs w:val="28"/>
          <w:highlight w:val="none"/>
        </w:rPr>
        <w:t>五、已标价报价清单</w:t>
      </w:r>
    </w:p>
    <w:p>
      <w:pPr>
        <w:tabs>
          <w:tab w:val="left" w:pos="900"/>
          <w:tab w:val="left" w:pos="1080"/>
        </w:tabs>
        <w:spacing w:line="300" w:lineRule="auto"/>
        <w:jc w:val="center"/>
        <w:outlineLvl w:val="0"/>
        <w:rPr>
          <w:rFonts w:ascii="宋体" w:hAnsi="宋体" w:cs="宋体"/>
          <w:b/>
          <w:sz w:val="28"/>
          <w:szCs w:val="28"/>
          <w:highlight w:val="none"/>
        </w:rPr>
      </w:pPr>
      <w:r>
        <w:rPr>
          <w:rFonts w:hint="eastAsia" w:ascii="宋体" w:hAnsi="宋体" w:cs="宋体"/>
          <w:b/>
          <w:sz w:val="28"/>
          <w:szCs w:val="28"/>
          <w:highlight w:val="none"/>
        </w:rPr>
        <w:t>2023年南部片区所辖路段日常绿化工程报价清单</w:t>
      </w:r>
    </w:p>
    <w:tbl>
      <w:tblPr>
        <w:tblStyle w:val="9"/>
        <w:tblpPr w:leftFromText="180" w:rightFromText="180" w:vertAnchor="text" w:horzAnchor="page" w:tblpX="1105" w:tblpY="77"/>
        <w:tblOverlap w:val="never"/>
        <w:tblW w:w="9696" w:type="dxa"/>
        <w:tblInd w:w="0" w:type="dxa"/>
        <w:tblLayout w:type="autofit"/>
        <w:tblCellMar>
          <w:top w:w="0" w:type="dxa"/>
          <w:left w:w="108" w:type="dxa"/>
          <w:bottom w:w="0" w:type="dxa"/>
          <w:right w:w="108" w:type="dxa"/>
        </w:tblCellMar>
      </w:tblPr>
      <w:tblGrid>
        <w:gridCol w:w="416"/>
        <w:gridCol w:w="1122"/>
        <w:gridCol w:w="2749"/>
        <w:gridCol w:w="416"/>
        <w:gridCol w:w="717"/>
        <w:gridCol w:w="717"/>
        <w:gridCol w:w="3559"/>
      </w:tblGrid>
      <w:tr>
        <w:tblPrEx>
          <w:tblCellMar>
            <w:top w:w="0" w:type="dxa"/>
            <w:left w:w="108" w:type="dxa"/>
            <w:bottom w:w="0" w:type="dxa"/>
            <w:right w:w="108" w:type="dxa"/>
          </w:tblCellMar>
        </w:tblPrEx>
        <w:trPr>
          <w:trHeight w:val="1601"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序号</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项目类别</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工程内容</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单位</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highlight w:val="none"/>
                <w:lang w:bidi="ar"/>
              </w:rPr>
            </w:pPr>
            <w:r>
              <w:rPr>
                <w:rFonts w:hint="eastAsia" w:ascii="宋体" w:hAnsi="宋体" w:eastAsia="宋体" w:cs="宋体"/>
                <w:i w:val="0"/>
                <w:iCs w:val="0"/>
                <w:color w:val="000000"/>
                <w:kern w:val="0"/>
                <w:sz w:val="15"/>
                <w:szCs w:val="15"/>
                <w:highlight w:val="none"/>
                <w:u w:val="none"/>
                <w:lang w:val="en-US" w:eastAsia="zh-CN" w:bidi="ar"/>
              </w:rPr>
              <w:t>最低下浮值</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报价方填报下浮比例值</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备注</w:t>
            </w:r>
          </w:p>
        </w:tc>
      </w:tr>
      <w:tr>
        <w:tblPrEx>
          <w:tblCellMar>
            <w:top w:w="0" w:type="dxa"/>
            <w:left w:w="108" w:type="dxa"/>
            <w:bottom w:w="0" w:type="dxa"/>
            <w:right w:w="108" w:type="dxa"/>
          </w:tblCellMar>
        </w:tblPrEx>
        <w:trPr>
          <w:trHeight w:val="256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绿化养护劳务分包</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szCs w:val="21"/>
                <w:highlight w:val="none"/>
              </w:rPr>
              <w:t>路段绿化地除草、浇水、绿地保洁等日常性维护工作和苗木修剪整形、草坪修剪、病虫害防治、施肥等季节性养护工作、零星补栽及盆花养护和移植工作等</w:t>
            </w:r>
            <w:r>
              <w:rPr>
                <w:rFonts w:hint="eastAsia" w:ascii="宋体" w:hAnsi="宋体" w:cs="宋体"/>
                <w:color w:val="000000"/>
                <w:kern w:val="0"/>
                <w:sz w:val="20"/>
                <w:highlight w:val="none"/>
                <w:lang w:bidi="ar"/>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项</w:t>
            </w:r>
          </w:p>
        </w:tc>
        <w:tc>
          <w:tcPr>
            <w:tcW w:w="71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highlight w:val="none"/>
                <w:lang w:val="en-US" w:eastAsia="zh-CN"/>
              </w:rPr>
            </w:pPr>
            <w:r>
              <w:rPr>
                <w:rFonts w:hint="eastAsia" w:ascii="宋体" w:hAnsi="宋体" w:cs="宋体"/>
                <w:color w:val="000000"/>
                <w:sz w:val="20"/>
                <w:highlight w:val="none"/>
                <w:lang w:val="en-US" w:eastAsia="zh-CN"/>
              </w:rPr>
              <w:t>5%</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1、结算时，乙方根据我司与业主最终签订的合同价或变更审定价为基础，按下浮比例值作为项目的结算价。                                                        2、该单价包含人工、小型养护机具和</w:t>
            </w:r>
            <w:r>
              <w:rPr>
                <w:rFonts w:hint="eastAsia" w:ascii="宋体" w:hAnsi="宋体" w:cs="宋体"/>
                <w:color w:val="000000"/>
                <w:kern w:val="0"/>
                <w:sz w:val="20"/>
                <w:highlight w:val="none"/>
                <w:lang w:val="en-US" w:eastAsia="zh-CN" w:bidi="ar"/>
              </w:rPr>
              <w:t>材料</w:t>
            </w:r>
            <w:r>
              <w:rPr>
                <w:rFonts w:hint="eastAsia" w:ascii="宋体" w:hAnsi="宋体" w:cs="宋体"/>
                <w:color w:val="000000"/>
                <w:kern w:val="0"/>
                <w:sz w:val="20"/>
                <w:highlight w:val="none"/>
                <w:lang w:bidi="ar"/>
              </w:rPr>
              <w:t>、管理费、利润、税金等费用。报价方需开具增值税专用发票，且税率为3%。</w:t>
            </w:r>
          </w:p>
        </w:tc>
      </w:tr>
      <w:tr>
        <w:tblPrEx>
          <w:tblCellMar>
            <w:top w:w="0" w:type="dxa"/>
            <w:left w:w="108" w:type="dxa"/>
            <w:bottom w:w="0" w:type="dxa"/>
            <w:right w:w="108" w:type="dxa"/>
          </w:tblCellMar>
        </w:tblPrEx>
        <w:trPr>
          <w:trHeight w:val="257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绿化工程专业分包</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szCs w:val="21"/>
                <w:highlight w:val="none"/>
              </w:rPr>
              <w:t>新建或改造绿化项目杂草杂树清理外运、原有灌木挖除清运、整理绿化用地、回填种植土及绿化乔木、灌木、藤本、地被栽植、养护等绿化专项工程施工内容。</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项</w:t>
            </w:r>
          </w:p>
        </w:tc>
        <w:tc>
          <w:tcPr>
            <w:tcW w:w="71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highlight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highlight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highlight w:val="none"/>
              </w:rPr>
            </w:pPr>
            <w:r>
              <w:rPr>
                <w:rFonts w:hint="eastAsia" w:ascii="宋体" w:hAnsi="宋体" w:cs="宋体"/>
                <w:color w:val="000000"/>
                <w:kern w:val="0"/>
                <w:sz w:val="20"/>
                <w:highlight w:val="none"/>
                <w:lang w:bidi="ar"/>
              </w:rPr>
              <w:t>1、结算时，乙方根据我司与业主最终签订的合同价或变更审定价为基础，按下浮比例值作为项目的结算价。                                                              2、该单价为综合单价，其中包含人工、材料、运输、机械、管理费、利润、税金等一切综合费用，报价方需开具增值税专用发票，且税率为9%。</w:t>
            </w:r>
          </w:p>
        </w:tc>
      </w:tr>
    </w:tbl>
    <w:p>
      <w:pPr>
        <w:spacing w:line="360" w:lineRule="exact"/>
        <w:outlineLvl w:val="0"/>
        <w:rPr>
          <w:rFonts w:hint="eastAsia"/>
          <w:szCs w:val="21"/>
          <w:highlight w:val="none"/>
        </w:rPr>
      </w:pPr>
    </w:p>
    <w:p>
      <w:pPr>
        <w:spacing w:line="360" w:lineRule="exact"/>
        <w:outlineLvl w:val="0"/>
        <w:rPr>
          <w:szCs w:val="21"/>
          <w:highlight w:val="none"/>
        </w:rPr>
      </w:pPr>
      <w:r>
        <w:rPr>
          <w:rFonts w:hint="eastAsia"/>
          <w:szCs w:val="21"/>
          <w:highlight w:val="none"/>
        </w:rPr>
        <w:t>注：1、比选申请人的竞标下浮比例值均不得低于比选人公布的最低下浮值，否则均为无效竞标（如有单价限价，比选申请人所报的单价不能超过单价限价）。</w:t>
      </w:r>
    </w:p>
    <w:p>
      <w:pPr>
        <w:ind w:firstLine="420" w:firstLineChars="200"/>
        <w:rPr>
          <w:rFonts w:ascii="宋体" w:hAnsi="宋体"/>
          <w:szCs w:val="21"/>
          <w:highlight w:val="none"/>
        </w:rPr>
      </w:pPr>
      <w:r>
        <w:rPr>
          <w:rFonts w:hint="eastAsia" w:ascii="宋体" w:hAnsi="宋体"/>
          <w:szCs w:val="21"/>
          <w:highlight w:val="none"/>
        </w:rPr>
        <w:t>2、该清单为下浮比例值合同清单，工程量及单价以业主结算收方计量为准。</w:t>
      </w:r>
    </w:p>
    <w:p>
      <w:pPr>
        <w:rPr>
          <w:rFonts w:ascii="宋体" w:hAnsi="宋体" w:cs="宋体"/>
          <w:b/>
          <w:sz w:val="28"/>
          <w:szCs w:val="28"/>
          <w:highlight w:val="none"/>
        </w:rPr>
      </w:pPr>
    </w:p>
    <w:p>
      <w:pPr>
        <w:pStyle w:val="2"/>
        <w:rPr>
          <w:rFonts w:ascii="宋体" w:hAnsi="宋体" w:cs="宋体"/>
          <w:sz w:val="28"/>
          <w:highlight w:val="none"/>
        </w:rPr>
      </w:pPr>
    </w:p>
    <w:p>
      <w:pPr>
        <w:rPr>
          <w:rFonts w:ascii="宋体" w:hAnsi="宋体" w:cs="宋体"/>
          <w:b/>
          <w:sz w:val="28"/>
          <w:szCs w:val="28"/>
          <w:highlight w:val="none"/>
        </w:rPr>
      </w:pPr>
    </w:p>
    <w:p>
      <w:pPr>
        <w:pStyle w:val="2"/>
        <w:rPr>
          <w:rFonts w:ascii="宋体" w:hAnsi="宋体" w:cs="宋体"/>
          <w:sz w:val="28"/>
          <w:highlight w:val="none"/>
        </w:rPr>
      </w:pPr>
    </w:p>
    <w:p>
      <w:pPr>
        <w:tabs>
          <w:tab w:val="left" w:pos="900"/>
          <w:tab w:val="left" w:pos="1080"/>
        </w:tabs>
        <w:spacing w:line="300" w:lineRule="auto"/>
        <w:outlineLvl w:val="0"/>
        <w:rPr>
          <w:rFonts w:ascii="宋体" w:hAnsi="宋体" w:cs="宋体"/>
          <w:b/>
          <w:sz w:val="28"/>
          <w:szCs w:val="28"/>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highlight w:val="none"/>
        </w:rPr>
      </w:pPr>
    </w:p>
    <w:p>
      <w:pPr>
        <w:tabs>
          <w:tab w:val="left" w:pos="900"/>
          <w:tab w:val="left" w:pos="1080"/>
        </w:tabs>
        <w:spacing w:line="300" w:lineRule="auto"/>
        <w:jc w:val="center"/>
        <w:outlineLvl w:val="0"/>
        <w:rPr>
          <w:highlight w:val="none"/>
        </w:rPr>
      </w:pPr>
      <w:r>
        <w:rPr>
          <w:rFonts w:hint="eastAsia" w:ascii="宋体" w:hAnsi="宋体" w:cs="宋体"/>
          <w:b/>
          <w:sz w:val="28"/>
          <w:szCs w:val="28"/>
          <w:highlight w:val="none"/>
        </w:rPr>
        <w:t>六、其他资料（如有）</w:t>
      </w: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3-04T11:44:00Z" w:initials="刘">
    <w:p w14:paraId="4E61295E">
      <w:pPr>
        <w:pStyle w:val="3"/>
      </w:pPr>
      <w:r>
        <w:rPr>
          <w:rFonts w:hint="eastAsia"/>
        </w:rPr>
        <w:t>根据实际进行填写挂网的位置</w:t>
      </w:r>
    </w:p>
  </w:comment>
  <w:comment w:id="1" w:author="刘鑫" w:date="2022-03-04T11:44:00Z" w:initials="刘">
    <w:p w14:paraId="67E83C24">
      <w:pPr>
        <w:pStyle w:val="3"/>
      </w:pPr>
      <w:r>
        <w:rPr>
          <w:rFonts w:hint="eastAsia"/>
        </w:rPr>
        <w:t>根据实际填写挂网的位置</w:t>
      </w:r>
    </w:p>
  </w:comment>
  <w:comment w:id="2" w:author="刘鑫" w:date="2022-03-04T11:59:00Z" w:initials="刘">
    <w:p w14:paraId="1CAE2329">
      <w:pPr>
        <w:pStyle w:val="3"/>
      </w:pPr>
      <w:r>
        <w:rPr>
          <w:rFonts w:hint="eastAsia"/>
        </w:rPr>
        <w:t>根据实际进行调整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61295E" w15:done="0"/>
  <w15:commentEx w15:paraId="67E83C24" w15:done="0"/>
  <w15:commentEx w15:paraId="1CAE23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thinThickSmallGap" w:color="622423" w:sz="24" w:space="1"/>
      </w:pBdr>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zNiZDc5Yjk3NzEyNmVlYTNiODA0OTYzZjA3NzYifQ=="/>
  </w:docVars>
  <w:rsids>
    <w:rsidRoot w:val="59720732"/>
    <w:rsid w:val="00037CA0"/>
    <w:rsid w:val="000D069C"/>
    <w:rsid w:val="00232C3D"/>
    <w:rsid w:val="0024358B"/>
    <w:rsid w:val="003F707C"/>
    <w:rsid w:val="00596821"/>
    <w:rsid w:val="008736BC"/>
    <w:rsid w:val="00C004DC"/>
    <w:rsid w:val="00D3734C"/>
    <w:rsid w:val="013D01A9"/>
    <w:rsid w:val="015B5000"/>
    <w:rsid w:val="01934F75"/>
    <w:rsid w:val="01BE74BD"/>
    <w:rsid w:val="01E324C5"/>
    <w:rsid w:val="01FC4045"/>
    <w:rsid w:val="057E34D8"/>
    <w:rsid w:val="05962A91"/>
    <w:rsid w:val="0C5A65A8"/>
    <w:rsid w:val="0F51556C"/>
    <w:rsid w:val="10B0695B"/>
    <w:rsid w:val="12826978"/>
    <w:rsid w:val="163048F9"/>
    <w:rsid w:val="18DB0CB2"/>
    <w:rsid w:val="1C2411B4"/>
    <w:rsid w:val="1FE30A3F"/>
    <w:rsid w:val="201D22DD"/>
    <w:rsid w:val="227C180B"/>
    <w:rsid w:val="228E7AF9"/>
    <w:rsid w:val="234E21CF"/>
    <w:rsid w:val="25A25740"/>
    <w:rsid w:val="276E0753"/>
    <w:rsid w:val="2A026F06"/>
    <w:rsid w:val="2A865E28"/>
    <w:rsid w:val="2C711028"/>
    <w:rsid w:val="2FB006A6"/>
    <w:rsid w:val="2FC07CB9"/>
    <w:rsid w:val="2FE11B50"/>
    <w:rsid w:val="37113475"/>
    <w:rsid w:val="37D91DE5"/>
    <w:rsid w:val="385411AF"/>
    <w:rsid w:val="38E53835"/>
    <w:rsid w:val="38FE4423"/>
    <w:rsid w:val="392A0F96"/>
    <w:rsid w:val="39D30E66"/>
    <w:rsid w:val="3C856D78"/>
    <w:rsid w:val="3E6A328E"/>
    <w:rsid w:val="3E6B0D99"/>
    <w:rsid w:val="3E95045D"/>
    <w:rsid w:val="4058433A"/>
    <w:rsid w:val="46887DB7"/>
    <w:rsid w:val="4C813CA7"/>
    <w:rsid w:val="4E8D745E"/>
    <w:rsid w:val="4F1973D7"/>
    <w:rsid w:val="4F5F4373"/>
    <w:rsid w:val="51CB6BEB"/>
    <w:rsid w:val="5281546B"/>
    <w:rsid w:val="53400E38"/>
    <w:rsid w:val="5372764C"/>
    <w:rsid w:val="549E7DBE"/>
    <w:rsid w:val="54E81A5A"/>
    <w:rsid w:val="572B7F04"/>
    <w:rsid w:val="575015EF"/>
    <w:rsid w:val="59720732"/>
    <w:rsid w:val="59C946C9"/>
    <w:rsid w:val="5ADE2D40"/>
    <w:rsid w:val="5B6A5338"/>
    <w:rsid w:val="5C251943"/>
    <w:rsid w:val="5E323211"/>
    <w:rsid w:val="5E387288"/>
    <w:rsid w:val="5F673981"/>
    <w:rsid w:val="5F6A01FD"/>
    <w:rsid w:val="5F6D6203"/>
    <w:rsid w:val="5FFB5CE9"/>
    <w:rsid w:val="60452966"/>
    <w:rsid w:val="61DA229D"/>
    <w:rsid w:val="62375BD7"/>
    <w:rsid w:val="6374163B"/>
    <w:rsid w:val="64940FEA"/>
    <w:rsid w:val="6771363E"/>
    <w:rsid w:val="6A07279D"/>
    <w:rsid w:val="6B792DBC"/>
    <w:rsid w:val="6C743A67"/>
    <w:rsid w:val="70094C5E"/>
    <w:rsid w:val="70943EBC"/>
    <w:rsid w:val="718C0936"/>
    <w:rsid w:val="731B1501"/>
    <w:rsid w:val="77A67EDF"/>
    <w:rsid w:val="7B9A1A8A"/>
    <w:rsid w:val="7BEB29D4"/>
    <w:rsid w:val="7D947685"/>
    <w:rsid w:val="7E48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autoSpaceDE w:val="0"/>
      <w:autoSpaceDN w:val="0"/>
      <w:adjustRightInd w:val="0"/>
      <w:spacing w:before="16"/>
      <w:jc w:val="left"/>
      <w:outlineLvl w:val="2"/>
    </w:pPr>
    <w:rPr>
      <w:rFonts w:ascii="仿宋_GB2312" w:hAnsi="Calibri" w:eastAsia="仿宋_GB2312" w:cs="MingLiU"/>
      <w:b/>
      <w:bCs/>
      <w:kern w:val="0"/>
      <w:sz w:val="24"/>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1"/>
    <w:qFormat/>
    <w:uiPriority w:val="0"/>
    <w:pPr>
      <w:spacing w:after="120"/>
    </w:pPr>
  </w:style>
  <w:style w:type="paragraph" w:styleId="5">
    <w:name w:val="Date"/>
    <w:basedOn w:val="1"/>
    <w:next w:val="1"/>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paragraph" w:customStyle="1" w:styleId="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3">
    <w:name w:val="NormalCharacter"/>
    <w:semiHidden/>
    <w:qFormat/>
    <w:uiPriority w:val="0"/>
  </w:style>
  <w:style w:type="paragraph" w:customStyle="1" w:styleId="14">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15">
    <w:name w:val="批注框文本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33</Pages>
  <Words>22097</Words>
  <Characters>22932</Characters>
  <Lines>216</Lines>
  <Paragraphs>60</Paragraphs>
  <TotalTime>1</TotalTime>
  <ScaleCrop>false</ScaleCrop>
  <LinksUpToDate>false</LinksUpToDate>
  <CharactersWithSpaces>28607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2023-02-15T12:38:00Z</dcterms:created>
  <dc:creator>Ⅵ大鱼</dc:creator>
  <cp:lastModifiedBy>晰透</cp:lastModifiedBy>
  <dcterms:modified xsi:type="dcterms:W3CDTF">2023-03-01T08:07:20Z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49A91C76E84240E1BBA5EFE19C3031D8</vt:lpwstr>
  </property>
</Properties>
</file>