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99" w:leftChars="-95"/>
        <w:jc w:val="left"/>
        <w:rPr>
          <w:b/>
          <w:sz w:val="32"/>
          <w:szCs w:val="32"/>
        </w:rPr>
      </w:pPr>
      <w:r>
        <w:rPr>
          <w:rFonts w:hint="eastAsia" w:ascii="宋体" w:hAnsi="宋体" w:cs="宋体"/>
          <w:b/>
          <w:spacing w:val="21"/>
          <w:kern w:val="1"/>
          <w:sz w:val="32"/>
          <w:szCs w:val="52"/>
          <w:shd w:val="clear" w:color="auto" w:fill="FFFFFF"/>
        </w:rPr>
        <w:t>项目名称</w:t>
      </w:r>
      <w:r>
        <w:rPr>
          <w:rFonts w:ascii="宋体" w:hAnsi="宋体" w:cs="宋体"/>
          <w:b/>
          <w:spacing w:val="21"/>
          <w:kern w:val="1"/>
          <w:sz w:val="32"/>
          <w:szCs w:val="52"/>
          <w:shd w:val="clear" w:color="auto" w:fill="FFFFFF"/>
        </w:rPr>
        <w:t>：</w:t>
      </w:r>
      <w:r>
        <w:rPr>
          <w:rFonts w:hint="eastAsia" w:ascii="宋体" w:hAnsi="宋体" w:cs="宋体"/>
          <w:b/>
          <w:spacing w:val="21"/>
          <w:kern w:val="1"/>
          <w:sz w:val="32"/>
          <w:szCs w:val="52"/>
          <w:shd w:val="clear" w:color="auto" w:fill="FFFFFF"/>
        </w:rPr>
        <w:t>合长高速石船</w:t>
      </w:r>
      <w:r>
        <w:rPr>
          <w:rFonts w:hint="eastAsia"/>
          <w:b/>
          <w:sz w:val="32"/>
          <w:szCs w:val="32"/>
        </w:rPr>
        <w:t>服务区（左、右）加油加气站环保技术服务项目</w:t>
      </w:r>
    </w:p>
    <w:p>
      <w:pPr>
        <w:jc w:val="center"/>
        <w:rPr>
          <w:rFonts w:ascii="宋体" w:hAnsi="宋体" w:cs="宋体"/>
          <w:b/>
          <w:spacing w:val="21"/>
          <w:kern w:val="1"/>
          <w:sz w:val="52"/>
          <w:szCs w:val="52"/>
          <w:shd w:val="clear" w:color="auto" w:fill="FFFFFF"/>
        </w:rPr>
      </w:pPr>
    </w:p>
    <w:p>
      <w:pPr>
        <w:pStyle w:val="13"/>
        <w:rPr>
          <w:rFonts w:ascii="宋体" w:hAnsi="宋体" w:cs="宋体"/>
          <w:spacing w:val="21"/>
          <w:kern w:val="1"/>
          <w:sz w:val="52"/>
          <w:szCs w:val="52"/>
          <w:shd w:val="clear" w:color="auto" w:fill="FFFFFF"/>
        </w:rPr>
      </w:pPr>
    </w:p>
    <w:p/>
    <w:p>
      <w:pPr>
        <w:jc w:val="center"/>
        <w:rPr>
          <w:rFonts w:ascii="宋体" w:hAnsi="宋体" w:cs="宋体"/>
          <w:b/>
          <w:spacing w:val="21"/>
          <w:kern w:val="1"/>
          <w:sz w:val="52"/>
          <w:szCs w:val="52"/>
          <w:shd w:val="clear" w:color="auto" w:fill="FFFFFF"/>
        </w:rPr>
      </w:pPr>
    </w:p>
    <w:p>
      <w:pPr>
        <w:jc w:val="center"/>
        <w:rPr>
          <w:rFonts w:ascii="宋体" w:hAnsi="宋体" w:cs="宋体"/>
          <w:b/>
          <w:spacing w:val="21"/>
          <w:kern w:val="1"/>
          <w:sz w:val="52"/>
          <w:szCs w:val="52"/>
          <w:shd w:val="clear" w:color="auto" w:fill="FFFFFF"/>
        </w:rPr>
      </w:pPr>
    </w:p>
    <w:p>
      <w:pPr>
        <w:jc w:val="center"/>
        <w:rPr>
          <w:rFonts w:ascii="宋体" w:hAnsi="宋体" w:cs="宋体"/>
          <w:b/>
          <w:spacing w:val="21"/>
          <w:kern w:val="1"/>
          <w:sz w:val="52"/>
          <w:szCs w:val="52"/>
          <w:shd w:val="clear" w:color="auto" w:fill="FFFFFF"/>
        </w:rPr>
      </w:pPr>
    </w:p>
    <w:p>
      <w:pPr>
        <w:jc w:val="center"/>
        <w:rPr>
          <w:rFonts w:ascii="宋体" w:hAnsi="宋体" w:cs="宋体"/>
          <w:b/>
          <w:spacing w:val="21"/>
          <w:kern w:val="1"/>
          <w:sz w:val="72"/>
          <w:szCs w:val="52"/>
          <w:shd w:val="clear" w:color="auto" w:fill="FFFFFF"/>
        </w:rPr>
      </w:pPr>
      <w:r>
        <w:rPr>
          <w:rFonts w:hint="eastAsia" w:ascii="宋体" w:hAnsi="宋体" w:cs="宋体"/>
          <w:b/>
          <w:spacing w:val="21"/>
          <w:kern w:val="1"/>
          <w:sz w:val="72"/>
          <w:szCs w:val="52"/>
          <w:shd w:val="clear" w:color="auto" w:fill="FFFFFF"/>
        </w:rPr>
        <w:t>竞争性比选</w:t>
      </w:r>
      <w:r>
        <w:rPr>
          <w:rFonts w:ascii="宋体" w:hAnsi="宋体" w:cs="宋体"/>
          <w:b/>
          <w:spacing w:val="21"/>
          <w:kern w:val="1"/>
          <w:sz w:val="72"/>
          <w:szCs w:val="52"/>
          <w:shd w:val="clear" w:color="auto" w:fill="FFFFFF"/>
        </w:rPr>
        <w:t>文件</w:t>
      </w: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spacing w:val="93"/>
          <w:kern w:val="1"/>
          <w:szCs w:val="21"/>
          <w:shd w:val="clear" w:color="auto" w:fill="FFFFFF"/>
        </w:rPr>
      </w:pPr>
    </w:p>
    <w:p>
      <w:pPr>
        <w:pStyle w:val="9"/>
        <w:spacing w:line="360" w:lineRule="auto"/>
        <w:ind w:left="96"/>
        <w:jc w:val="center"/>
        <w:rPr>
          <w:rFonts w:ascii="宋体" w:hAnsi="宋体" w:cs="宋体"/>
          <w:b/>
          <w:sz w:val="36"/>
          <w:szCs w:val="32"/>
          <w:shd w:val="clear" w:color="auto" w:fill="FFFFFF"/>
        </w:rPr>
      </w:pPr>
      <w:r>
        <w:rPr>
          <w:rFonts w:hint="eastAsia" w:ascii="宋体" w:hAnsi="宋体" w:cs="宋体"/>
          <w:b/>
          <w:sz w:val="36"/>
          <w:szCs w:val="32"/>
          <w:shd w:val="clear" w:color="auto" w:fill="FFFFFF"/>
        </w:rPr>
        <w:t>重庆高速中油渝富能源发展有限公司</w:t>
      </w:r>
    </w:p>
    <w:p>
      <w:pPr>
        <w:pStyle w:val="9"/>
        <w:spacing w:line="360" w:lineRule="auto"/>
        <w:ind w:left="96"/>
        <w:jc w:val="center"/>
        <w:rPr>
          <w:rFonts w:ascii="宋体" w:hAnsi="宋体"/>
          <w:b/>
          <w:sz w:val="36"/>
          <w:szCs w:val="30"/>
          <w:shd w:val="clear" w:color="auto" w:fill="FFFFFF"/>
        </w:rPr>
      </w:pPr>
      <w:r>
        <w:rPr>
          <w:rFonts w:ascii="宋体" w:hAnsi="宋体" w:cs="宋体"/>
          <w:b/>
          <w:sz w:val="36"/>
          <w:szCs w:val="32"/>
          <w:shd w:val="clear" w:color="auto" w:fill="FFFFFF"/>
        </w:rPr>
        <w:t>202</w:t>
      </w:r>
      <w:r>
        <w:rPr>
          <w:rFonts w:hint="eastAsia" w:ascii="宋体" w:hAnsi="宋体" w:cs="宋体"/>
          <w:b/>
          <w:sz w:val="36"/>
          <w:szCs w:val="32"/>
          <w:shd w:val="clear" w:color="auto" w:fill="FFFFFF"/>
        </w:rPr>
        <w:t>1</w:t>
      </w:r>
      <w:r>
        <w:rPr>
          <w:rFonts w:ascii="宋体" w:hAnsi="宋体" w:cs="宋体"/>
          <w:b/>
          <w:sz w:val="36"/>
          <w:szCs w:val="32"/>
          <w:shd w:val="clear" w:color="auto" w:fill="FFFFFF"/>
        </w:rPr>
        <w:t>年</w:t>
      </w:r>
      <w:r>
        <w:rPr>
          <w:rFonts w:hint="eastAsia" w:ascii="宋体" w:hAnsi="宋体" w:cs="宋体"/>
          <w:b/>
          <w:sz w:val="36"/>
          <w:szCs w:val="32"/>
          <w:shd w:val="clear" w:color="auto" w:fill="FFFFFF"/>
          <w:lang w:val="en-US" w:eastAsia="zh-CN"/>
        </w:rPr>
        <w:t>7</w:t>
      </w:r>
      <w:r>
        <w:rPr>
          <w:rFonts w:ascii="宋体" w:hAnsi="宋体" w:cs="宋体"/>
          <w:b/>
          <w:sz w:val="36"/>
          <w:szCs w:val="32"/>
          <w:shd w:val="clear" w:color="auto" w:fill="FFFFFF"/>
        </w:rPr>
        <w:t>月</w:t>
      </w:r>
    </w:p>
    <w:p>
      <w:pPr>
        <w:jc w:val="center"/>
        <w:rPr>
          <w:rFonts w:ascii="宋体" w:hAnsi="宋体"/>
          <w:b/>
          <w:color w:val="000000"/>
          <w:sz w:val="36"/>
          <w:szCs w:val="36"/>
        </w:rPr>
        <w:sectPr>
          <w:headerReference r:id="rId3" w:type="default"/>
          <w:pgSz w:w="11906" w:h="16838"/>
          <w:pgMar w:top="567" w:right="1797" w:bottom="1276" w:left="1797" w:header="851" w:footer="992" w:gutter="0"/>
          <w:cols w:space="720" w:num="1"/>
          <w:docGrid w:type="lines" w:linePitch="312" w:charSpace="0"/>
        </w:sectPr>
      </w:pPr>
    </w:p>
    <w:p>
      <w:pPr>
        <w:pStyle w:val="2"/>
        <w:keepLines w:val="0"/>
        <w:tabs>
          <w:tab w:val="left" w:pos="1530"/>
          <w:tab w:val="left" w:pos="3360"/>
          <w:tab w:val="left" w:pos="4082"/>
        </w:tabs>
        <w:snapToGrid w:val="0"/>
        <w:spacing w:before="0" w:after="0" w:line="360" w:lineRule="auto"/>
        <w:ind w:firstLine="663" w:firstLineChars="150"/>
        <w:jc w:val="center"/>
        <w:rPr>
          <w:rFonts w:ascii="宋体" w:hAnsi="宋体"/>
          <w:shd w:val="clear" w:color="auto" w:fill="FFFFFF"/>
        </w:rPr>
      </w:pPr>
      <w:r>
        <w:rPr>
          <w:rFonts w:hint="eastAsia" w:ascii="宋体" w:hAnsi="宋体"/>
          <w:shd w:val="clear" w:color="auto" w:fill="FFFFFF"/>
        </w:rPr>
        <w:t>第</w:t>
      </w:r>
      <w:r>
        <w:rPr>
          <w:rFonts w:ascii="宋体" w:hAnsi="宋体"/>
          <w:shd w:val="clear" w:color="auto" w:fill="FFFFFF"/>
        </w:rPr>
        <w:t>一篇</w:t>
      </w:r>
      <w:r>
        <w:rPr>
          <w:rFonts w:hint="eastAsia" w:ascii="宋体" w:hAnsi="宋体"/>
          <w:shd w:val="clear" w:color="auto" w:fill="FFFFFF"/>
        </w:rPr>
        <w:t xml:space="preserve"> 竞争性比选公告</w:t>
      </w:r>
    </w:p>
    <w:p>
      <w:pPr>
        <w:spacing w:line="360" w:lineRule="auto"/>
        <w:rPr>
          <w:rFonts w:ascii="宋体" w:hAnsi="宋体" w:cs="仿宋"/>
          <w:b/>
          <w:bCs/>
          <w:sz w:val="24"/>
          <w:shd w:val="clear" w:color="auto" w:fill="FFFFFF"/>
        </w:rPr>
      </w:pPr>
      <w:bookmarkStart w:id="0" w:name="_Toc18337216"/>
      <w:bookmarkStart w:id="1" w:name="_Toc364092047"/>
      <w:bookmarkStart w:id="2" w:name="_Toc363658041"/>
      <w:bookmarkStart w:id="3" w:name="_Toc363658624"/>
      <w:r>
        <w:rPr>
          <w:rFonts w:hint="eastAsia" w:ascii="宋体" w:hAnsi="宋体" w:cs="仿宋"/>
          <w:b/>
          <w:bCs/>
          <w:sz w:val="24"/>
          <w:shd w:val="clear" w:color="auto" w:fill="FFFFFF"/>
        </w:rPr>
        <w:t>一、竞争性比选</w:t>
      </w:r>
      <w:r>
        <w:rPr>
          <w:rFonts w:ascii="宋体" w:hAnsi="宋体" w:cs="仿宋"/>
          <w:b/>
          <w:bCs/>
          <w:sz w:val="24"/>
          <w:shd w:val="clear" w:color="auto" w:fill="FFFFFF"/>
        </w:rPr>
        <w:t>条件</w:t>
      </w:r>
      <w:bookmarkEnd w:id="0"/>
      <w:bookmarkEnd w:id="1"/>
      <w:bookmarkEnd w:id="2"/>
      <w:bookmarkEnd w:id="3"/>
    </w:p>
    <w:p>
      <w:pPr>
        <w:pStyle w:val="9"/>
        <w:spacing w:line="360" w:lineRule="auto"/>
        <w:ind w:left="96" w:firstLine="420" w:firstLineChars="200"/>
        <w:jc w:val="left"/>
        <w:rPr>
          <w:rFonts w:ascii="宋体" w:hAnsi="宋体" w:cs="宋体"/>
          <w:b/>
          <w:bCs/>
          <w:szCs w:val="28"/>
        </w:rPr>
      </w:pPr>
      <w:r>
        <w:rPr>
          <w:rFonts w:hint="eastAsia" w:ascii="宋体" w:hAnsi="宋体" w:cs="宋体"/>
          <w:szCs w:val="28"/>
        </w:rPr>
        <w:t>本</w:t>
      </w:r>
      <w:r>
        <w:rPr>
          <w:rFonts w:hint="eastAsia" w:ascii="宋体" w:hAnsi="宋体" w:cs="宋体"/>
          <w:szCs w:val="28"/>
          <w:lang w:val="zh-CN"/>
        </w:rPr>
        <w:t>竞争性比选</w:t>
      </w:r>
      <w:r>
        <w:rPr>
          <w:rFonts w:hint="eastAsia" w:ascii="宋体" w:hAnsi="宋体" w:cs="宋体"/>
          <w:szCs w:val="28"/>
        </w:rPr>
        <w:t>项目</w:t>
      </w:r>
      <w:r>
        <w:rPr>
          <w:rFonts w:hint="eastAsia" w:ascii="宋体" w:hAnsi="宋体" w:cs="宋体"/>
          <w:b/>
          <w:bCs/>
          <w:szCs w:val="28"/>
          <w:u w:val="single"/>
        </w:rPr>
        <w:t>合长高速石船服务区（左、右）加油加气站环保技术服务项目</w:t>
      </w:r>
      <w:r>
        <w:rPr>
          <w:rFonts w:hint="eastAsia" w:ascii="宋体" w:hAnsi="宋体" w:cs="宋体"/>
          <w:szCs w:val="28"/>
        </w:rPr>
        <w:t>，项目业主为</w:t>
      </w:r>
      <w:r>
        <w:rPr>
          <w:rFonts w:hint="eastAsia" w:ascii="宋体" w:hAnsi="宋体" w:cs="宋体"/>
          <w:b/>
          <w:bCs/>
          <w:szCs w:val="28"/>
          <w:u w:val="single"/>
        </w:rPr>
        <w:t>重庆高速中油渝富能源发展有限公司</w:t>
      </w:r>
      <w:r>
        <w:rPr>
          <w:rFonts w:hint="eastAsia" w:ascii="宋体" w:hAnsi="宋体" w:cs="宋体"/>
          <w:szCs w:val="28"/>
        </w:rPr>
        <w:t>，建设资金来自</w:t>
      </w:r>
      <w:r>
        <w:rPr>
          <w:rFonts w:hint="eastAsia" w:ascii="宋体" w:hAnsi="宋体" w:cs="宋体"/>
          <w:b/>
          <w:bCs/>
          <w:szCs w:val="28"/>
          <w:u w:val="single"/>
        </w:rPr>
        <w:t>业主自筹</w:t>
      </w:r>
      <w:r>
        <w:rPr>
          <w:rFonts w:hint="eastAsia" w:ascii="宋体" w:hAnsi="宋体" w:cs="宋体"/>
          <w:szCs w:val="28"/>
        </w:rPr>
        <w:t>，项目已具备</w:t>
      </w:r>
      <w:r>
        <w:rPr>
          <w:rFonts w:hint="eastAsia" w:ascii="宋体" w:hAnsi="宋体" w:cs="宋体"/>
          <w:szCs w:val="28"/>
          <w:lang w:val="zh-CN"/>
        </w:rPr>
        <w:t>竞争性比选</w:t>
      </w:r>
      <w:r>
        <w:rPr>
          <w:rFonts w:hint="eastAsia" w:ascii="宋体" w:hAnsi="宋体" w:cs="宋体"/>
          <w:szCs w:val="28"/>
        </w:rPr>
        <w:t>条件，现欢迎各</w:t>
      </w:r>
      <w:r>
        <w:rPr>
          <w:rFonts w:ascii="宋体" w:hAnsi="宋体" w:cs="宋体"/>
          <w:szCs w:val="28"/>
        </w:rPr>
        <w:t>潜</w:t>
      </w:r>
      <w:r>
        <w:rPr>
          <w:rFonts w:hint="eastAsia" w:ascii="宋体" w:hAnsi="宋体" w:cs="宋体"/>
          <w:szCs w:val="28"/>
        </w:rPr>
        <w:t>在比选申请人参加本项目的公开竞争性比选报价。</w:t>
      </w:r>
    </w:p>
    <w:p>
      <w:pPr>
        <w:spacing w:line="360" w:lineRule="auto"/>
        <w:rPr>
          <w:rFonts w:ascii="宋体" w:hAnsi="宋体" w:cs="仿宋"/>
          <w:b/>
          <w:bCs/>
          <w:sz w:val="24"/>
          <w:shd w:val="clear" w:color="auto" w:fill="FFFFFF"/>
        </w:rPr>
      </w:pPr>
      <w:bookmarkStart w:id="4" w:name="_Toc363658043"/>
      <w:bookmarkStart w:id="5" w:name="_Toc152045513"/>
      <w:bookmarkStart w:id="6" w:name="_Toc144974481"/>
      <w:bookmarkStart w:id="7" w:name="_Toc18337217"/>
      <w:bookmarkStart w:id="8" w:name="_Toc363658626"/>
      <w:bookmarkStart w:id="9" w:name="_Toc364092049"/>
      <w:bookmarkStart w:id="10" w:name="_Toc152042289"/>
      <w:r>
        <w:rPr>
          <w:rFonts w:hint="eastAsia" w:ascii="宋体" w:hAnsi="宋体" w:cs="仿宋"/>
          <w:b/>
          <w:bCs/>
          <w:sz w:val="24"/>
          <w:shd w:val="clear" w:color="auto" w:fill="FFFFFF"/>
        </w:rPr>
        <w:t>二、</w:t>
      </w:r>
      <w:r>
        <w:rPr>
          <w:rFonts w:ascii="宋体" w:hAnsi="宋体" w:cs="仿宋"/>
          <w:b/>
          <w:bCs/>
          <w:sz w:val="24"/>
          <w:shd w:val="clear" w:color="auto" w:fill="FFFFFF"/>
        </w:rPr>
        <w:t>项目概况</w:t>
      </w:r>
      <w:bookmarkEnd w:id="4"/>
      <w:bookmarkEnd w:id="5"/>
      <w:bookmarkEnd w:id="6"/>
      <w:bookmarkEnd w:id="7"/>
      <w:bookmarkEnd w:id="8"/>
      <w:bookmarkEnd w:id="9"/>
      <w:bookmarkEnd w:id="10"/>
    </w:p>
    <w:p>
      <w:pPr>
        <w:spacing w:line="360" w:lineRule="exact"/>
        <w:ind w:firstLine="420" w:firstLineChars="200"/>
        <w:rPr>
          <w:rFonts w:ascii="宋体" w:hAnsi="宋体" w:cs="宋体"/>
          <w:szCs w:val="28"/>
        </w:rPr>
      </w:pPr>
      <w:r>
        <w:rPr>
          <w:rFonts w:hint="eastAsia" w:ascii="宋体" w:hAnsi="宋体" w:cs="宋体"/>
          <w:szCs w:val="28"/>
        </w:rPr>
        <w:t xml:space="preserve">1、项目概况：本次竞争性比选包括合长高速石船服务区（左、右）加油加气站工程环保技术服务。  </w:t>
      </w:r>
    </w:p>
    <w:p>
      <w:pPr>
        <w:spacing w:line="360" w:lineRule="exact"/>
        <w:ind w:firstLine="420" w:firstLineChars="200"/>
        <w:rPr>
          <w:rFonts w:ascii="宋体" w:hAnsi="宋体" w:cs="宋体"/>
          <w:szCs w:val="28"/>
        </w:rPr>
      </w:pPr>
      <w:r>
        <w:rPr>
          <w:rFonts w:hint="eastAsia" w:ascii="宋体" w:hAnsi="宋体" w:cs="宋体"/>
          <w:szCs w:val="28"/>
        </w:rPr>
        <w:t>2、项目名称：合长高速石船服务区（左、右）加油加气站环保技术服务项目。</w:t>
      </w:r>
    </w:p>
    <w:p>
      <w:pPr>
        <w:spacing w:line="360" w:lineRule="exact"/>
        <w:ind w:firstLine="420" w:firstLineChars="200"/>
        <w:rPr>
          <w:rFonts w:ascii="宋体" w:hAnsi="宋体" w:cs="宋体"/>
          <w:szCs w:val="28"/>
        </w:rPr>
      </w:pPr>
      <w:r>
        <w:rPr>
          <w:rFonts w:hint="eastAsia" w:ascii="宋体" w:hAnsi="宋体" w:cs="宋体"/>
          <w:szCs w:val="28"/>
        </w:rPr>
        <w:t>3、项目地点：石船服务区（左、右）加油站位于重庆市渝北区石船镇。</w:t>
      </w:r>
    </w:p>
    <w:p>
      <w:pPr>
        <w:spacing w:line="276" w:lineRule="auto"/>
        <w:ind w:firstLine="420" w:firstLineChars="200"/>
        <w:rPr>
          <w:rFonts w:ascii="宋体" w:hAnsi="宋体" w:cs="宋体"/>
          <w:szCs w:val="28"/>
        </w:rPr>
      </w:pPr>
      <w:r>
        <w:rPr>
          <w:rFonts w:hint="eastAsia" w:ascii="宋体" w:hAnsi="宋体" w:cs="宋体"/>
          <w:szCs w:val="28"/>
        </w:rPr>
        <w:t>4、服务期：比选人发出通知后20个工作日内完成各分项服务内容。</w:t>
      </w:r>
    </w:p>
    <w:p>
      <w:pPr>
        <w:tabs>
          <w:tab w:val="left" w:pos="360"/>
        </w:tabs>
        <w:spacing w:line="276" w:lineRule="auto"/>
        <w:ind w:firstLine="420" w:firstLineChars="200"/>
        <w:rPr>
          <w:rFonts w:ascii="宋体" w:hAnsi="宋体" w:cs="宋体"/>
          <w:szCs w:val="28"/>
        </w:rPr>
      </w:pPr>
      <w:r>
        <w:rPr>
          <w:rFonts w:hint="eastAsia" w:ascii="宋体" w:hAnsi="宋体" w:cs="宋体"/>
          <w:szCs w:val="28"/>
        </w:rPr>
        <w:t>5、本次竞争性比选不接受联合体。</w:t>
      </w:r>
    </w:p>
    <w:p>
      <w:pPr>
        <w:spacing w:line="360" w:lineRule="exact"/>
        <w:rPr>
          <w:rFonts w:ascii="宋体" w:hAnsi="宋体" w:cs="仿宋"/>
          <w:b/>
          <w:bCs/>
          <w:sz w:val="24"/>
          <w:shd w:val="clear" w:color="auto" w:fill="FFFFFF"/>
        </w:rPr>
      </w:pPr>
      <w:r>
        <w:rPr>
          <w:rFonts w:hint="eastAsia" w:ascii="宋体" w:hAnsi="宋体" w:cs="仿宋"/>
          <w:b/>
          <w:bCs/>
          <w:sz w:val="24"/>
          <w:shd w:val="clear" w:color="auto" w:fill="FFFFFF"/>
        </w:rPr>
        <w:t>三、竞争性比选申请人资格要求（须同时满足以下要求）：</w:t>
      </w:r>
      <w:bookmarkStart w:id="11" w:name="_Toc179632539"/>
      <w:bookmarkEnd w:id="11"/>
      <w:bookmarkStart w:id="12" w:name="_Toc296602413"/>
      <w:bookmarkEnd w:id="12"/>
      <w:bookmarkStart w:id="13" w:name="_Toc152042298"/>
      <w:bookmarkEnd w:id="13"/>
      <w:bookmarkStart w:id="14" w:name="_Toc247085683"/>
      <w:bookmarkEnd w:id="14"/>
      <w:bookmarkStart w:id="15" w:name="_Toc144974490"/>
      <w:bookmarkEnd w:id="15"/>
      <w:bookmarkStart w:id="16" w:name="_Toc246996912"/>
      <w:bookmarkEnd w:id="16"/>
      <w:bookmarkStart w:id="17" w:name="_Toc246996169"/>
      <w:bookmarkEnd w:id="17"/>
      <w:bookmarkStart w:id="18" w:name="_Toc152045522"/>
      <w:bookmarkEnd w:id="18"/>
    </w:p>
    <w:p>
      <w:pPr>
        <w:spacing w:line="276" w:lineRule="auto"/>
        <w:ind w:firstLine="420" w:firstLineChars="200"/>
        <w:rPr>
          <w:rFonts w:ascii="宋体" w:hAnsi="宋体" w:cs="宋体"/>
          <w:szCs w:val="28"/>
        </w:rPr>
      </w:pPr>
      <w:r>
        <w:rPr>
          <w:rFonts w:hint="eastAsia" w:ascii="宋体" w:hAnsi="宋体" w:cs="宋体"/>
          <w:szCs w:val="28"/>
        </w:rPr>
        <w:t>1.资质要求：具备有效的营业执照；具备环境污染治理丙级及以上资质。注：提供营业执照、资质证书的复印件或扫描件。</w:t>
      </w:r>
    </w:p>
    <w:p>
      <w:pPr>
        <w:spacing w:line="276" w:lineRule="auto"/>
        <w:ind w:firstLine="420" w:firstLineChars="200"/>
        <w:rPr>
          <w:rFonts w:ascii="宋体" w:hAnsi="宋体" w:cs="宋体"/>
          <w:szCs w:val="28"/>
        </w:rPr>
      </w:pPr>
      <w:r>
        <w:rPr>
          <w:rFonts w:hint="eastAsia" w:ascii="宋体" w:hAnsi="宋体" w:cs="宋体"/>
          <w:szCs w:val="28"/>
        </w:rPr>
        <w:t>2. 业绩要求：在近3年（2018年</w:t>
      </w:r>
      <w:r>
        <w:rPr>
          <w:rFonts w:hint="eastAsia" w:ascii="宋体" w:hAnsi="宋体" w:cs="宋体"/>
          <w:szCs w:val="28"/>
          <w:lang w:val="en-US" w:eastAsia="zh-CN"/>
        </w:rPr>
        <w:t>7</w:t>
      </w:r>
      <w:r>
        <w:rPr>
          <w:rFonts w:hint="eastAsia" w:ascii="宋体" w:hAnsi="宋体" w:cs="宋体"/>
          <w:szCs w:val="28"/>
        </w:rPr>
        <w:t>月1日至投标截止日），独立完成过加油加气站竣工验收合格的业绩不少于2个。</w:t>
      </w:r>
    </w:p>
    <w:p>
      <w:pPr>
        <w:spacing w:line="276" w:lineRule="auto"/>
        <w:ind w:firstLine="420" w:firstLineChars="200"/>
      </w:pPr>
      <w:r>
        <w:rPr>
          <w:rFonts w:hint="eastAsia" w:ascii="宋体" w:hAnsi="宋体" w:cs="宋体"/>
          <w:szCs w:val="28"/>
        </w:rPr>
        <w:t>3.人员要求：项目负责人须具备高级环保工程师或注册环评工程师资格（提供资质证书的复印件或扫描件）。</w:t>
      </w:r>
    </w:p>
    <w:p>
      <w:pPr>
        <w:spacing w:line="360" w:lineRule="exact"/>
        <w:rPr>
          <w:rFonts w:ascii="宋体" w:hAnsi="宋体" w:cs="仿宋"/>
          <w:b/>
          <w:bCs/>
          <w:sz w:val="24"/>
          <w:shd w:val="clear" w:color="auto" w:fill="FFFFFF"/>
        </w:rPr>
      </w:pPr>
      <w:r>
        <w:rPr>
          <w:rFonts w:hint="eastAsia" w:ascii="宋体" w:hAnsi="宋体" w:cs="仿宋"/>
          <w:b/>
          <w:bCs/>
          <w:sz w:val="24"/>
          <w:shd w:val="clear" w:color="auto" w:fill="FFFFFF"/>
        </w:rPr>
        <w:t>四、竞争性比选文件的获取</w:t>
      </w:r>
    </w:p>
    <w:p>
      <w:pPr>
        <w:spacing w:line="380" w:lineRule="exact"/>
        <w:ind w:firstLine="420" w:firstLineChars="200"/>
        <w:rPr>
          <w:rFonts w:ascii="宋体" w:hAnsi="宋体" w:cs="宋体"/>
          <w:szCs w:val="21"/>
        </w:rPr>
      </w:pPr>
      <w:bookmarkStart w:id="19" w:name="_Toc152045516"/>
      <w:bookmarkStart w:id="20" w:name="_Toc144974484"/>
      <w:bookmarkStart w:id="21" w:name="_Toc152042292"/>
      <w:r>
        <w:rPr>
          <w:rFonts w:hint="eastAsia" w:ascii="宋体" w:hAnsi="宋体" w:cs="宋体"/>
          <w:szCs w:val="21"/>
        </w:rPr>
        <w:t>（一）竞争性比选文件发布时间：2021年</w:t>
      </w:r>
      <w:r>
        <w:rPr>
          <w:rFonts w:hint="eastAsia" w:ascii="宋体" w:hAnsi="宋体" w:cs="宋体"/>
          <w:szCs w:val="21"/>
          <w:u w:val="single"/>
        </w:rPr>
        <w:t xml:space="preserve"> </w:t>
      </w:r>
      <w:r>
        <w:rPr>
          <w:rFonts w:hint="eastAsia" w:ascii="宋体" w:hAnsi="宋体" w:cs="宋体"/>
          <w:szCs w:val="21"/>
          <w:u w:val="single"/>
          <w:lang w:val="en-US" w:eastAsia="zh-CN"/>
        </w:rPr>
        <w:t>7</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9</w:t>
      </w:r>
      <w:r>
        <w:rPr>
          <w:rFonts w:hint="eastAsia" w:ascii="宋体" w:hAnsi="宋体" w:cs="宋体"/>
          <w:szCs w:val="21"/>
          <w:u w:val="single"/>
        </w:rPr>
        <w:t xml:space="preserve"> </w:t>
      </w:r>
      <w:r>
        <w:rPr>
          <w:rFonts w:hint="eastAsia" w:ascii="宋体" w:hAnsi="宋体" w:cs="宋体"/>
          <w:szCs w:val="21"/>
        </w:rPr>
        <w:t>日上午</w:t>
      </w:r>
      <w:r>
        <w:rPr>
          <w:rFonts w:hint="eastAsia" w:ascii="宋体" w:hAnsi="宋体" w:cs="宋体"/>
          <w:szCs w:val="21"/>
          <w:u w:val="single"/>
        </w:rPr>
        <w:t>10</w:t>
      </w:r>
      <w:r>
        <w:rPr>
          <w:rFonts w:hint="eastAsia" w:ascii="宋体" w:hAnsi="宋体" w:cs="宋体"/>
          <w:szCs w:val="21"/>
        </w:rPr>
        <w:t>时</w:t>
      </w:r>
      <w:r>
        <w:rPr>
          <w:rFonts w:hint="eastAsia" w:ascii="宋体" w:hAnsi="宋体" w:cs="宋体"/>
          <w:szCs w:val="21"/>
          <w:u w:val="single"/>
        </w:rPr>
        <w:t>00</w:t>
      </w:r>
      <w:r>
        <w:rPr>
          <w:rFonts w:hint="eastAsia" w:ascii="宋体" w:hAnsi="宋体" w:cs="宋体"/>
          <w:szCs w:val="21"/>
        </w:rPr>
        <w:t>分至2021年</w:t>
      </w:r>
      <w:r>
        <w:rPr>
          <w:rFonts w:hint="eastAsia" w:ascii="宋体" w:hAnsi="宋体" w:cs="宋体"/>
          <w:szCs w:val="21"/>
          <w:u w:val="single"/>
        </w:rPr>
        <w:t xml:space="preserve"> </w:t>
      </w:r>
      <w:r>
        <w:rPr>
          <w:rFonts w:hint="eastAsia" w:ascii="宋体" w:hAnsi="宋体" w:cs="宋体"/>
          <w:szCs w:val="21"/>
          <w:u w:val="single"/>
          <w:lang w:val="en-US" w:eastAsia="zh-CN"/>
        </w:rPr>
        <w:t>7</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13</w:t>
      </w:r>
      <w:r>
        <w:rPr>
          <w:rFonts w:hint="eastAsia" w:ascii="宋体" w:hAnsi="宋体" w:cs="宋体"/>
          <w:szCs w:val="21"/>
          <w:u w:val="single"/>
        </w:rPr>
        <w:t xml:space="preserve"> </w:t>
      </w:r>
      <w:r>
        <w:rPr>
          <w:rFonts w:hint="eastAsia" w:ascii="宋体" w:hAnsi="宋体" w:cs="宋体"/>
          <w:szCs w:val="21"/>
        </w:rPr>
        <w:t>日下午</w:t>
      </w:r>
      <w:r>
        <w:rPr>
          <w:rFonts w:hint="eastAsia" w:ascii="宋体" w:hAnsi="宋体" w:cs="宋体"/>
          <w:szCs w:val="21"/>
          <w:u w:val="single"/>
        </w:rPr>
        <w:t>17</w:t>
      </w:r>
      <w:r>
        <w:rPr>
          <w:rFonts w:hint="eastAsia" w:ascii="宋体" w:hAnsi="宋体" w:cs="宋体"/>
          <w:szCs w:val="21"/>
        </w:rPr>
        <w:t>时</w:t>
      </w:r>
      <w:r>
        <w:rPr>
          <w:rFonts w:hint="eastAsia" w:ascii="宋体" w:hAnsi="宋体" w:cs="宋体"/>
          <w:szCs w:val="21"/>
          <w:u w:val="single"/>
        </w:rPr>
        <w:t>00</w:t>
      </w:r>
      <w:r>
        <w:rPr>
          <w:rFonts w:hint="eastAsia" w:ascii="宋体" w:hAnsi="宋体" w:cs="宋体"/>
          <w:szCs w:val="21"/>
        </w:rPr>
        <w:t>分内（法定公休日、法定节假日除外）。本项目竞争性比选公告及结果公示在高速集团官网：（</w:t>
      </w:r>
      <w:r>
        <w:fldChar w:fldCharType="begin"/>
      </w:r>
      <w:r>
        <w:instrText xml:space="preserve"> HYPERLINK "http://43.240.248.114:8088/sys/portal/page.jsp" </w:instrText>
      </w:r>
      <w:r>
        <w:fldChar w:fldCharType="separate"/>
      </w:r>
      <w:r>
        <w:rPr>
          <w:rFonts w:hint="eastAsia" w:ascii="宋体" w:hAnsi="宋体" w:cs="宋体"/>
          <w:szCs w:val="21"/>
        </w:rPr>
        <w:t>http://43.240.248.114:8088/sys/portal/page.jsp</w:t>
      </w:r>
      <w:r>
        <w:rPr>
          <w:rFonts w:hint="eastAsia" w:ascii="宋体" w:hAnsi="宋体" w:cs="宋体"/>
          <w:szCs w:val="21"/>
        </w:rPr>
        <w:fldChar w:fldCharType="end"/>
      </w:r>
      <w:r>
        <w:rPr>
          <w:rFonts w:hint="eastAsia" w:ascii="宋体" w:hAnsi="宋体" w:cs="宋体"/>
          <w:szCs w:val="21"/>
        </w:rPr>
        <w:t>）</w:t>
      </w:r>
      <w:r>
        <w:rPr>
          <w:rFonts w:hint="eastAsia" w:ascii="宋体" w:hAnsi="宋体" w:cs="宋体"/>
          <w:szCs w:val="21"/>
          <w:lang w:eastAsia="zh-CN"/>
        </w:rPr>
        <w:t>及</w:t>
      </w:r>
      <w:r>
        <w:rPr>
          <w:rFonts w:hint="eastAsia" w:ascii="宋体" w:hAnsi="宋体" w:cs="宋体"/>
          <w:szCs w:val="21"/>
        </w:rPr>
        <w:t>重庆高速公路集团有限公司招投标管理平台（http://43.240.249.108:8088）上发布</w:t>
      </w:r>
      <w:r>
        <w:rPr>
          <w:rFonts w:ascii="宋体" w:hAnsi="宋体" w:cs="宋体"/>
          <w:szCs w:val="21"/>
        </w:rPr>
        <w:t>。</w:t>
      </w:r>
    </w:p>
    <w:p>
      <w:pPr>
        <w:spacing w:line="380" w:lineRule="exact"/>
        <w:ind w:firstLine="420" w:firstLineChars="200"/>
        <w:rPr>
          <w:rFonts w:ascii="宋体" w:hAnsi="宋体" w:cs="宋体"/>
          <w:szCs w:val="21"/>
        </w:rPr>
      </w:pPr>
      <w:r>
        <w:rPr>
          <w:rFonts w:hint="eastAsia" w:ascii="宋体" w:hAnsi="宋体" w:cs="宋体"/>
          <w:szCs w:val="21"/>
        </w:rPr>
        <w:t>（二）竞争性比选文件获取：凡有意参加竞争性比选的供应商，请于公告发布之日（2021年</w:t>
      </w:r>
      <w:r>
        <w:rPr>
          <w:rFonts w:hint="eastAsia" w:ascii="宋体" w:hAnsi="宋体" w:cs="宋体"/>
          <w:szCs w:val="21"/>
          <w:u w:val="single"/>
        </w:rPr>
        <w:t xml:space="preserve"> </w:t>
      </w:r>
      <w:r>
        <w:rPr>
          <w:rFonts w:hint="eastAsia" w:ascii="宋体" w:hAnsi="宋体" w:cs="宋体"/>
          <w:szCs w:val="21"/>
          <w:u w:val="single"/>
          <w:lang w:val="en-US" w:eastAsia="zh-CN"/>
        </w:rPr>
        <w:t>7</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9</w:t>
      </w:r>
      <w:r>
        <w:rPr>
          <w:rFonts w:hint="eastAsia" w:ascii="宋体" w:hAnsi="宋体" w:cs="宋体"/>
          <w:szCs w:val="21"/>
          <w:u w:val="single"/>
        </w:rPr>
        <w:t xml:space="preserve"> </w:t>
      </w:r>
      <w:r>
        <w:rPr>
          <w:rFonts w:hint="eastAsia" w:ascii="宋体" w:hAnsi="宋体" w:cs="宋体"/>
          <w:szCs w:val="21"/>
        </w:rPr>
        <w:t>日-2021年</w:t>
      </w:r>
      <w:r>
        <w:rPr>
          <w:rFonts w:hint="eastAsia" w:ascii="宋体" w:hAnsi="宋体" w:cs="宋体"/>
          <w:szCs w:val="21"/>
          <w:u w:val="single"/>
        </w:rPr>
        <w:t xml:space="preserve"> </w:t>
      </w:r>
      <w:r>
        <w:rPr>
          <w:rFonts w:hint="eastAsia" w:ascii="宋体" w:hAnsi="宋体" w:cs="宋体"/>
          <w:szCs w:val="21"/>
          <w:u w:val="single"/>
          <w:lang w:val="en-US" w:eastAsia="zh-CN"/>
        </w:rPr>
        <w:t>7</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13</w:t>
      </w:r>
      <w:r>
        <w:rPr>
          <w:rFonts w:hint="eastAsia" w:ascii="宋体" w:hAnsi="宋体" w:cs="宋体"/>
          <w:szCs w:val="21"/>
          <w:u w:val="single"/>
        </w:rPr>
        <w:t xml:space="preserve"> </w:t>
      </w:r>
      <w:r>
        <w:rPr>
          <w:rFonts w:hint="eastAsia" w:ascii="宋体" w:hAnsi="宋体" w:cs="宋体"/>
          <w:szCs w:val="21"/>
        </w:rPr>
        <w:t>日09:00时—17:00时）凭盖章的介绍信或者授权委托书及身份证复印件到重庆市渝北区龙溪街道锦龙支路19号一幢208办公室肖琅天报名领取本项目竞争性比选文件以及图纸、补遗等比选前公布的所有项目资料，无论供应商领取与否，均视为已知晓所有比选实质性要求内容。</w:t>
      </w:r>
    </w:p>
    <w:p>
      <w:pPr>
        <w:spacing w:line="380" w:lineRule="exact"/>
        <w:ind w:firstLine="420" w:firstLineChars="200"/>
        <w:rPr>
          <w:rFonts w:ascii="宋体" w:hAnsi="宋体" w:cs="宋体"/>
          <w:szCs w:val="21"/>
        </w:rPr>
      </w:pPr>
      <w:r>
        <w:rPr>
          <w:rFonts w:hint="eastAsia" w:ascii="宋体" w:hAnsi="宋体" w:cs="宋体"/>
          <w:szCs w:val="21"/>
        </w:rPr>
        <w:t>（三）竞争性比选截止和开标时间：凡有意参加竞争性比选的供应商于2021年</w:t>
      </w:r>
      <w:r>
        <w:rPr>
          <w:rFonts w:hint="eastAsia" w:ascii="宋体" w:hAnsi="宋体" w:cs="宋体"/>
          <w:szCs w:val="21"/>
          <w:u w:val="single"/>
        </w:rPr>
        <w:t xml:space="preserve"> </w:t>
      </w:r>
      <w:r>
        <w:rPr>
          <w:rFonts w:hint="eastAsia" w:ascii="宋体" w:hAnsi="宋体" w:cs="宋体"/>
          <w:szCs w:val="21"/>
          <w:u w:val="single"/>
          <w:lang w:val="en-US" w:eastAsia="zh-CN"/>
        </w:rPr>
        <w:t>7</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u w:val="single"/>
          <w:lang w:val="en-US" w:eastAsia="zh-CN"/>
        </w:rPr>
        <w:t>9</w:t>
      </w:r>
      <w:r>
        <w:rPr>
          <w:rFonts w:hint="eastAsia" w:ascii="宋体" w:hAnsi="宋体" w:cs="宋体"/>
          <w:szCs w:val="21"/>
        </w:rPr>
        <w:t>日</w:t>
      </w:r>
      <w:r>
        <w:rPr>
          <w:rFonts w:hint="eastAsia" w:ascii="宋体" w:hAnsi="宋体" w:cs="宋体"/>
          <w:szCs w:val="21"/>
          <w:u w:val="single"/>
          <w:lang w:val="en-US" w:eastAsia="zh-CN"/>
        </w:rPr>
        <w:t>14</w:t>
      </w:r>
      <w:r>
        <w:rPr>
          <w:rFonts w:hint="eastAsia" w:ascii="宋体" w:hAnsi="宋体" w:cs="宋体"/>
          <w:szCs w:val="21"/>
        </w:rPr>
        <w:t>时00分至2021年</w:t>
      </w:r>
      <w:r>
        <w:rPr>
          <w:rFonts w:hint="eastAsia" w:ascii="宋体" w:hAnsi="宋体" w:cs="宋体"/>
          <w:szCs w:val="21"/>
          <w:u w:val="single"/>
        </w:rPr>
        <w:t xml:space="preserve"> </w:t>
      </w:r>
      <w:r>
        <w:rPr>
          <w:rFonts w:hint="eastAsia" w:ascii="宋体" w:hAnsi="宋体" w:cs="宋体"/>
          <w:szCs w:val="21"/>
          <w:u w:val="single"/>
          <w:lang w:val="en-US" w:eastAsia="zh-CN"/>
        </w:rPr>
        <w:t>7</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13</w:t>
      </w:r>
      <w:r>
        <w:rPr>
          <w:rFonts w:hint="eastAsia" w:ascii="宋体" w:hAnsi="宋体" w:cs="宋体"/>
          <w:szCs w:val="21"/>
          <w:u w:val="single"/>
        </w:rPr>
        <w:t xml:space="preserve"> </w:t>
      </w:r>
      <w:r>
        <w:rPr>
          <w:rFonts w:hint="eastAsia" w:ascii="宋体" w:hAnsi="宋体" w:cs="宋体"/>
          <w:szCs w:val="21"/>
        </w:rPr>
        <w:t>日14时30分将投标文件交予重庆市渝北区龙溪街道锦龙支路19号1幢208室肖琅天处。逾期不予接收（北京时间）。</w:t>
      </w:r>
    </w:p>
    <w:p>
      <w:pPr>
        <w:spacing w:line="380" w:lineRule="exact"/>
        <w:ind w:firstLine="420" w:firstLineChars="200"/>
        <w:rPr>
          <w:rFonts w:ascii="宋体" w:hAnsi="宋体" w:cs="宋体"/>
          <w:szCs w:val="21"/>
        </w:rPr>
      </w:pPr>
      <w:r>
        <w:rPr>
          <w:rFonts w:hint="eastAsia" w:ascii="宋体" w:hAnsi="宋体" w:cs="宋体"/>
          <w:szCs w:val="21"/>
        </w:rPr>
        <w:t>（四）竞争性比选地点：重庆高速中油富渝能源发展有限公司（</w:t>
      </w:r>
      <w:r>
        <w:rPr>
          <w:rFonts w:hint="eastAsia"/>
          <w:szCs w:val="21"/>
        </w:rPr>
        <w:t>重庆市渝北区龙溪街道锦龙支路19号1幢</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（五）各比选申请人应根据本次竞争性比选的具体要求，编制规范的竞争性比选申请文件（竞争性比选申请文件，</w:t>
      </w:r>
      <w:bookmarkStart w:id="27" w:name="_GoBack"/>
      <w:bookmarkEnd w:id="27"/>
      <w:r>
        <w:rPr>
          <w:rFonts w:hint="eastAsia" w:ascii="宋体" w:hAnsi="宋体" w:cs="宋体"/>
          <w:szCs w:val="21"/>
        </w:rPr>
        <w:t>要求填写规范，密封完好并在封口处加盖公章，所有竞争性比选申请文件均只能作一次性提交，提交后不得更改。）</w:t>
      </w:r>
    </w:p>
    <w:bookmarkEnd w:id="19"/>
    <w:bookmarkEnd w:id="20"/>
    <w:bookmarkEnd w:id="21"/>
    <w:p>
      <w:pPr>
        <w:spacing w:line="360" w:lineRule="exact"/>
        <w:rPr>
          <w:rFonts w:ascii="宋体" w:hAnsi="宋体" w:cs="仿宋"/>
          <w:b/>
          <w:bCs/>
          <w:sz w:val="24"/>
          <w:shd w:val="clear" w:color="auto" w:fill="FFFFFF"/>
        </w:rPr>
      </w:pPr>
      <w:r>
        <w:rPr>
          <w:rFonts w:hint="eastAsia" w:ascii="宋体" w:hAnsi="宋体" w:cs="仿宋"/>
          <w:b/>
          <w:bCs/>
          <w:sz w:val="24"/>
          <w:shd w:val="clear" w:color="auto" w:fill="FFFFFF"/>
        </w:rPr>
        <w:t>五、监督部门</w:t>
      </w:r>
    </w:p>
    <w:p>
      <w:pPr>
        <w:pStyle w:val="9"/>
        <w:spacing w:line="360" w:lineRule="auto"/>
        <w:ind w:left="0" w:firstLine="420" w:firstLineChars="200"/>
        <w:jc w:val="left"/>
        <w:rPr>
          <w:rFonts w:ascii="宋体" w:hAnsi="宋体"/>
          <w:szCs w:val="28"/>
        </w:rPr>
      </w:pPr>
      <w:r>
        <w:rPr>
          <w:rFonts w:hint="eastAsia" w:ascii="宋体" w:hAnsi="宋体"/>
          <w:szCs w:val="28"/>
        </w:rPr>
        <w:t>本竞争性比选项目的监督部门为重庆高速中油富渝能源发展有限公司。</w:t>
      </w:r>
    </w:p>
    <w:p>
      <w:pPr>
        <w:spacing w:line="360" w:lineRule="exact"/>
        <w:rPr>
          <w:rFonts w:ascii="宋体" w:hAnsi="宋体" w:cs="仿宋"/>
          <w:b/>
          <w:bCs/>
          <w:sz w:val="24"/>
          <w:shd w:val="clear" w:color="auto" w:fill="FFFFFF"/>
        </w:rPr>
      </w:pPr>
      <w:r>
        <w:rPr>
          <w:rFonts w:hint="eastAsia" w:ascii="宋体" w:hAnsi="宋体" w:cs="仿宋"/>
          <w:b/>
          <w:bCs/>
          <w:sz w:val="24"/>
          <w:shd w:val="clear" w:color="auto" w:fill="FFFFFF"/>
        </w:rPr>
        <w:t>六、竞争性比选申请文件组成及密封、份数要求</w:t>
      </w:r>
    </w:p>
    <w:p>
      <w:pPr>
        <w:spacing w:line="360" w:lineRule="exact"/>
        <w:ind w:firstLine="422" w:firstLineChars="200"/>
        <w:rPr>
          <w:rFonts w:ascii="宋体" w:hAnsi="宋体"/>
          <w:b/>
          <w:bCs/>
          <w:szCs w:val="28"/>
        </w:rPr>
      </w:pPr>
      <w:r>
        <w:rPr>
          <w:rFonts w:hint="eastAsia" w:ascii="宋体" w:hAnsi="宋体"/>
          <w:b/>
          <w:bCs/>
          <w:szCs w:val="28"/>
        </w:rPr>
        <w:t>1、竞争性比选申请文件组成：</w:t>
      </w:r>
    </w:p>
    <w:p>
      <w:pPr>
        <w:spacing w:line="360" w:lineRule="exact"/>
        <w:ind w:firstLine="420" w:firstLineChars="200"/>
        <w:rPr>
          <w:rFonts w:ascii="宋体" w:hAnsi="宋体"/>
          <w:szCs w:val="28"/>
        </w:rPr>
      </w:pPr>
      <w:r>
        <w:rPr>
          <w:rFonts w:hint="eastAsia" w:ascii="宋体" w:hAnsi="宋体"/>
          <w:szCs w:val="28"/>
        </w:rPr>
        <w:t>①报价函</w:t>
      </w:r>
    </w:p>
    <w:p>
      <w:pPr>
        <w:spacing w:line="360" w:lineRule="exact"/>
        <w:ind w:firstLine="420" w:firstLineChars="200"/>
        <w:rPr>
          <w:rFonts w:ascii="宋体" w:hAnsi="宋体"/>
          <w:szCs w:val="28"/>
        </w:rPr>
      </w:pPr>
      <w:r>
        <w:rPr>
          <w:rFonts w:hint="eastAsia" w:ascii="宋体" w:hAnsi="宋体"/>
          <w:szCs w:val="28"/>
        </w:rPr>
        <w:t>②法定代表人身份证明及授权委托书</w:t>
      </w:r>
    </w:p>
    <w:p>
      <w:pPr>
        <w:spacing w:line="360" w:lineRule="exact"/>
        <w:ind w:firstLine="420" w:firstLineChars="200"/>
        <w:rPr>
          <w:rFonts w:ascii="宋体" w:hAnsi="宋体"/>
          <w:szCs w:val="28"/>
        </w:rPr>
      </w:pPr>
      <w:r>
        <w:rPr>
          <w:rFonts w:hint="eastAsia" w:ascii="宋体" w:hAnsi="宋体"/>
          <w:szCs w:val="28"/>
        </w:rPr>
        <w:t>③有效的营业执照</w:t>
      </w:r>
    </w:p>
    <w:p>
      <w:pPr>
        <w:spacing w:line="360" w:lineRule="exact"/>
        <w:ind w:firstLine="420" w:firstLineChars="200"/>
        <w:rPr>
          <w:rFonts w:ascii="宋体" w:hAnsi="宋体"/>
          <w:szCs w:val="28"/>
        </w:rPr>
      </w:pPr>
      <w:r>
        <w:rPr>
          <w:rFonts w:hint="eastAsia" w:ascii="宋体" w:hAnsi="宋体"/>
          <w:szCs w:val="28"/>
        </w:rPr>
        <w:t>④有效的</w:t>
      </w:r>
      <w:r>
        <w:rPr>
          <w:rFonts w:hint="eastAsia" w:ascii="宋体" w:hAnsi="宋体" w:cs="宋体"/>
          <w:szCs w:val="28"/>
        </w:rPr>
        <w:t>资质</w:t>
      </w:r>
      <w:r>
        <w:rPr>
          <w:rFonts w:hint="eastAsia" w:ascii="宋体" w:hAnsi="宋体"/>
          <w:szCs w:val="28"/>
        </w:rPr>
        <w:t>证书</w:t>
      </w:r>
    </w:p>
    <w:p>
      <w:pPr>
        <w:spacing w:line="360" w:lineRule="exact"/>
        <w:ind w:firstLine="420" w:firstLineChars="200"/>
        <w:rPr>
          <w:rFonts w:ascii="宋体" w:hAnsi="宋体"/>
          <w:szCs w:val="28"/>
        </w:rPr>
      </w:pPr>
      <w:r>
        <w:rPr>
          <w:rFonts w:hint="eastAsia" w:ascii="宋体" w:hAnsi="宋体"/>
          <w:szCs w:val="28"/>
        </w:rPr>
        <w:t>⑤业绩证明</w:t>
      </w:r>
    </w:p>
    <w:p>
      <w:pPr>
        <w:spacing w:line="360" w:lineRule="exact"/>
        <w:ind w:firstLine="420" w:firstLineChars="200"/>
        <w:rPr>
          <w:rFonts w:ascii="宋体" w:hAnsi="宋体"/>
          <w:szCs w:val="28"/>
        </w:rPr>
      </w:pPr>
      <w:r>
        <w:rPr>
          <w:rFonts w:hint="eastAsia" w:ascii="宋体" w:hAnsi="宋体"/>
          <w:szCs w:val="28"/>
        </w:rPr>
        <w:t>⑥技术部分</w:t>
      </w:r>
    </w:p>
    <w:p>
      <w:pPr>
        <w:spacing w:line="360" w:lineRule="exact"/>
        <w:ind w:firstLine="422" w:firstLineChars="200"/>
        <w:rPr>
          <w:szCs w:val="21"/>
        </w:rPr>
      </w:pPr>
      <w:r>
        <w:rPr>
          <w:b/>
          <w:szCs w:val="21"/>
        </w:rPr>
        <w:t>（注：以上所有文件均须</w:t>
      </w:r>
      <w:r>
        <w:rPr>
          <w:rFonts w:hint="eastAsia"/>
          <w:b/>
          <w:szCs w:val="21"/>
        </w:rPr>
        <w:t>比选申请人</w:t>
      </w:r>
      <w:r>
        <w:rPr>
          <w:b/>
          <w:szCs w:val="21"/>
        </w:rPr>
        <w:t>法定代表人或其授权代理人签署并加盖单位公章）</w:t>
      </w:r>
    </w:p>
    <w:p>
      <w:pPr>
        <w:spacing w:line="360" w:lineRule="auto"/>
        <w:ind w:firstLine="422" w:firstLineChars="200"/>
        <w:rPr>
          <w:rFonts w:ascii="宋体" w:hAnsi="宋体"/>
          <w:b/>
          <w:bCs/>
          <w:szCs w:val="28"/>
        </w:rPr>
      </w:pPr>
      <w:r>
        <w:rPr>
          <w:rFonts w:hint="eastAsia" w:ascii="宋体" w:hAnsi="宋体"/>
          <w:b/>
          <w:bCs/>
          <w:szCs w:val="28"/>
        </w:rPr>
        <w:t>2、密封要求：</w:t>
      </w:r>
    </w:p>
    <w:p>
      <w:pPr>
        <w:spacing w:line="360" w:lineRule="auto"/>
        <w:ind w:firstLine="480"/>
        <w:rPr>
          <w:rFonts w:ascii="宋体" w:hAnsi="宋体" w:cs="宋体"/>
          <w:b/>
          <w:kern w:val="1"/>
          <w:sz w:val="24"/>
          <w:shd w:val="clear" w:color="auto" w:fill="FFFFFF"/>
        </w:rPr>
      </w:pPr>
      <w:r>
        <w:rPr>
          <w:rFonts w:hint="eastAsia" w:ascii="宋体" w:hAnsi="宋体" w:cs="宋体"/>
          <w:b/>
          <w:kern w:val="1"/>
          <w:sz w:val="24"/>
          <w:shd w:val="clear" w:color="auto" w:fill="FFFFFF"/>
        </w:rPr>
        <w:t>将竞争性比选申请文件</w:t>
      </w:r>
      <w:r>
        <w:rPr>
          <w:rFonts w:ascii="宋体" w:hAnsi="宋体" w:cs="宋体"/>
          <w:b/>
          <w:kern w:val="1"/>
          <w:sz w:val="24"/>
          <w:shd w:val="clear" w:color="auto" w:fill="FFFFFF"/>
        </w:rPr>
        <w:t>密封到一个封套中，再在封套上写明</w:t>
      </w:r>
      <w:r>
        <w:rPr>
          <w:rFonts w:hint="eastAsia" w:ascii="宋体" w:hAnsi="宋体" w:cs="宋体"/>
          <w:b/>
          <w:kern w:val="1"/>
          <w:sz w:val="24"/>
          <w:shd w:val="clear" w:color="auto" w:fill="FFFFFF"/>
        </w:rPr>
        <w:t>以下内容：</w:t>
      </w:r>
    </w:p>
    <w:p>
      <w:pPr>
        <w:spacing w:line="360" w:lineRule="auto"/>
        <w:jc w:val="center"/>
        <w:rPr>
          <w:rFonts w:ascii="宋体" w:hAnsi="宋体" w:cs="宋体"/>
          <w:b/>
          <w:kern w:val="1"/>
          <w:sz w:val="24"/>
          <w:u w:val="single"/>
          <w:shd w:val="clear" w:color="auto" w:fill="FFFFFF"/>
        </w:rPr>
      </w:pPr>
      <w:r>
        <w:rPr>
          <w:rFonts w:hint="eastAsia" w:ascii="宋体" w:hAnsi="宋体" w:cs="宋体"/>
          <w:b/>
          <w:kern w:val="1"/>
          <w:sz w:val="24"/>
          <w:u w:val="single"/>
          <w:shd w:val="clear" w:color="auto" w:fill="FFFFFF"/>
        </w:rPr>
        <w:t>《合长高速石船服务区（左、右）加油加气站环保技术服务项目</w:t>
      </w:r>
      <w:r>
        <w:rPr>
          <w:rFonts w:ascii="宋体" w:hAnsi="宋体" w:cs="宋体"/>
          <w:b/>
          <w:kern w:val="1"/>
          <w:sz w:val="24"/>
          <w:u w:val="single"/>
          <w:shd w:val="clear" w:color="auto" w:fill="FFFFFF"/>
        </w:rPr>
        <w:t>》</w:t>
      </w:r>
      <w:r>
        <w:rPr>
          <w:rFonts w:hint="eastAsia" w:ascii="宋体" w:hAnsi="宋体" w:cs="宋体"/>
          <w:b/>
          <w:kern w:val="1"/>
          <w:sz w:val="24"/>
          <w:u w:val="single"/>
          <w:shd w:val="clear" w:color="auto" w:fill="FFFFFF"/>
        </w:rPr>
        <w:t>竞争性比选申请</w:t>
      </w:r>
      <w:r>
        <w:rPr>
          <w:rFonts w:ascii="宋体" w:hAnsi="宋体" w:cs="宋体"/>
          <w:b/>
          <w:kern w:val="1"/>
          <w:sz w:val="24"/>
          <w:u w:val="single"/>
          <w:shd w:val="clear" w:color="auto" w:fill="FFFFFF"/>
        </w:rPr>
        <w:t>文件</w:t>
      </w:r>
    </w:p>
    <w:p>
      <w:pPr>
        <w:spacing w:line="360" w:lineRule="auto"/>
        <w:jc w:val="center"/>
        <w:rPr>
          <w:rFonts w:ascii="宋体" w:hAnsi="宋体" w:cs="宋体"/>
          <w:b/>
          <w:kern w:val="1"/>
          <w:sz w:val="24"/>
          <w:u w:val="single"/>
          <w:shd w:val="clear" w:color="auto" w:fill="FFFFFF"/>
        </w:rPr>
      </w:pPr>
      <w:r>
        <w:rPr>
          <w:rFonts w:ascii="宋体" w:hAnsi="宋体" w:cs="宋体"/>
          <w:b/>
          <w:kern w:val="1"/>
          <w:sz w:val="24"/>
          <w:u w:val="single"/>
          <w:shd w:val="clear" w:color="auto" w:fill="FFFFFF"/>
        </w:rPr>
        <w:t>在2</w:t>
      </w:r>
      <w:r>
        <w:rPr>
          <w:rFonts w:hint="eastAsia" w:ascii="宋体" w:hAnsi="宋体" w:cs="宋体"/>
          <w:b/>
          <w:kern w:val="1"/>
          <w:sz w:val="24"/>
          <w:u w:val="single"/>
          <w:shd w:val="clear" w:color="auto" w:fill="FFFFFF"/>
        </w:rPr>
        <w:t>021年  月  日 14 时 00 分</w:t>
      </w:r>
      <w:r>
        <w:rPr>
          <w:rFonts w:ascii="宋体" w:hAnsi="宋体" w:cs="宋体"/>
          <w:b/>
          <w:kern w:val="1"/>
          <w:sz w:val="24"/>
          <w:u w:val="single"/>
          <w:shd w:val="clear" w:color="auto" w:fill="FFFFFF"/>
        </w:rPr>
        <w:t>前不得开启</w:t>
      </w:r>
      <w:r>
        <w:rPr>
          <w:rFonts w:hint="eastAsia" w:ascii="宋体" w:hAnsi="宋体" w:cs="宋体"/>
          <w:b/>
          <w:kern w:val="1"/>
          <w:sz w:val="24"/>
          <w:u w:val="single"/>
          <w:shd w:val="clear" w:color="auto" w:fill="FFFFFF"/>
        </w:rPr>
        <w:t>（盖单位章）</w:t>
      </w:r>
    </w:p>
    <w:p>
      <w:pPr>
        <w:spacing w:line="360" w:lineRule="exact"/>
        <w:ind w:firstLine="422" w:firstLineChars="200"/>
        <w:rPr>
          <w:rFonts w:ascii="宋体" w:hAnsi="宋体"/>
          <w:b/>
          <w:bCs/>
          <w:szCs w:val="28"/>
        </w:rPr>
      </w:pPr>
      <w:r>
        <w:rPr>
          <w:rFonts w:hint="eastAsia" w:ascii="宋体" w:hAnsi="宋体"/>
          <w:b/>
          <w:bCs/>
          <w:szCs w:val="28"/>
        </w:rPr>
        <w:t>3、份数要求：</w:t>
      </w:r>
    </w:p>
    <w:p>
      <w:pPr>
        <w:spacing w:line="360" w:lineRule="exact"/>
        <w:ind w:firstLine="422" w:firstLineChars="200"/>
        <w:rPr>
          <w:rFonts w:ascii="宋体" w:hAnsi="宋体"/>
          <w:b/>
          <w:bCs/>
          <w:szCs w:val="28"/>
        </w:rPr>
      </w:pPr>
      <w:r>
        <w:rPr>
          <w:rFonts w:hint="eastAsia" w:ascii="宋体" w:hAnsi="宋体"/>
          <w:b/>
          <w:bCs/>
          <w:szCs w:val="28"/>
        </w:rPr>
        <w:t>竞争性比选申请文件一式两份，其中正本一份，副本一份，每套纸质竞争性比选文件须在封面清楚地标明“正本”或“副本”的字样，副本应为正本的完整复印件，副本与正本不一致时以正本为准。</w:t>
      </w:r>
    </w:p>
    <w:p>
      <w:pPr>
        <w:spacing w:line="360" w:lineRule="exact"/>
        <w:rPr>
          <w:rFonts w:ascii="宋体" w:hAnsi="宋体" w:cs="仿宋"/>
          <w:b/>
          <w:bCs/>
          <w:sz w:val="24"/>
          <w:shd w:val="clear" w:color="auto" w:fill="FFFFFF"/>
        </w:rPr>
      </w:pPr>
      <w:r>
        <w:rPr>
          <w:rFonts w:hint="eastAsia" w:ascii="宋体" w:hAnsi="宋体" w:cs="仿宋"/>
          <w:b/>
          <w:bCs/>
          <w:sz w:val="24"/>
          <w:shd w:val="clear" w:color="auto" w:fill="FFFFFF"/>
        </w:rPr>
        <w:t>七</w:t>
      </w:r>
      <w:r>
        <w:rPr>
          <w:rFonts w:ascii="宋体" w:hAnsi="宋体" w:cs="仿宋"/>
          <w:b/>
          <w:bCs/>
          <w:sz w:val="24"/>
          <w:shd w:val="clear" w:color="auto" w:fill="FFFFFF"/>
        </w:rPr>
        <w:t>、评</w:t>
      </w:r>
      <w:r>
        <w:rPr>
          <w:rFonts w:hint="eastAsia" w:ascii="宋体" w:hAnsi="宋体" w:cs="仿宋"/>
          <w:b/>
          <w:bCs/>
          <w:sz w:val="24"/>
          <w:shd w:val="clear" w:color="auto" w:fill="FFFFFF"/>
        </w:rPr>
        <w:t>标办法</w:t>
      </w:r>
    </w:p>
    <w:p>
      <w:pPr>
        <w:spacing w:line="360" w:lineRule="exact"/>
        <w:ind w:firstLine="420" w:firstLineChars="200"/>
        <w:rPr>
          <w:rFonts w:ascii="宋体" w:hAnsi="宋体"/>
          <w:szCs w:val="28"/>
        </w:rPr>
      </w:pPr>
      <w:r>
        <w:rPr>
          <w:rFonts w:hint="eastAsia" w:ascii="宋体" w:hAnsi="宋体"/>
          <w:szCs w:val="28"/>
        </w:rPr>
        <w:t>本次竞争性比选采用综合评估法。</w:t>
      </w:r>
    </w:p>
    <w:p>
      <w:pPr>
        <w:spacing w:line="360" w:lineRule="exact"/>
        <w:rPr>
          <w:rFonts w:ascii="宋体" w:hAnsi="宋体" w:cs="仿宋"/>
          <w:b/>
          <w:bCs/>
          <w:sz w:val="24"/>
          <w:shd w:val="clear" w:color="auto" w:fill="FFFFFF"/>
        </w:rPr>
      </w:pPr>
      <w:bookmarkStart w:id="22" w:name="_Toc19552714"/>
      <w:r>
        <w:rPr>
          <w:rFonts w:hint="eastAsia" w:ascii="宋体" w:hAnsi="宋体" w:cs="仿宋"/>
          <w:b/>
          <w:bCs/>
          <w:sz w:val="24"/>
          <w:shd w:val="clear" w:color="auto" w:fill="FFFFFF"/>
        </w:rPr>
        <w:t>八、联系方式</w:t>
      </w:r>
      <w:bookmarkEnd w:id="22"/>
    </w:p>
    <w:p>
      <w:pPr>
        <w:spacing w:line="360" w:lineRule="exact"/>
        <w:ind w:firstLine="420" w:firstLineChars="200"/>
        <w:jc w:val="left"/>
        <w:rPr>
          <w:szCs w:val="21"/>
        </w:rPr>
      </w:pPr>
      <w:r>
        <w:rPr>
          <w:rFonts w:hint="eastAsia"/>
          <w:szCs w:val="21"/>
        </w:rPr>
        <w:t>比选人：重庆高速中油富渝能源发展有限公司</w:t>
      </w:r>
    </w:p>
    <w:p>
      <w:pPr>
        <w:spacing w:line="360" w:lineRule="exact"/>
        <w:ind w:firstLine="420" w:firstLineChars="200"/>
        <w:jc w:val="left"/>
        <w:rPr>
          <w:szCs w:val="21"/>
        </w:rPr>
      </w:pPr>
      <w:r>
        <w:rPr>
          <w:rFonts w:hint="eastAsia"/>
          <w:szCs w:val="21"/>
        </w:rPr>
        <w:t>地址：重庆市渝北区龙溪街道锦龙支路19号</w:t>
      </w:r>
    </w:p>
    <w:p>
      <w:pPr>
        <w:spacing w:line="360" w:lineRule="exact"/>
        <w:ind w:firstLine="420" w:firstLineChars="200"/>
        <w:jc w:val="left"/>
        <w:rPr>
          <w:szCs w:val="21"/>
        </w:rPr>
      </w:pPr>
      <w:r>
        <w:rPr>
          <w:rFonts w:hint="eastAsia"/>
          <w:szCs w:val="21"/>
        </w:rPr>
        <w:t>联系人：肖琅天     电话：13452139220</w:t>
      </w:r>
    </w:p>
    <w:p>
      <w:pPr>
        <w:pStyle w:val="23"/>
        <w:spacing w:line="360" w:lineRule="exact"/>
      </w:pPr>
    </w:p>
    <w:p>
      <w:pPr>
        <w:pStyle w:val="2"/>
        <w:tabs>
          <w:tab w:val="left" w:pos="3360"/>
        </w:tabs>
        <w:spacing w:before="0" w:after="0" w:line="360" w:lineRule="auto"/>
        <w:jc w:val="center"/>
        <w:rPr>
          <w:rFonts w:ascii="宋体" w:hAnsi="宋体"/>
          <w:color w:val="000000"/>
        </w:rPr>
      </w:pPr>
      <w:bookmarkStart w:id="23" w:name="_Toc18337225"/>
    </w:p>
    <w:p>
      <w:pPr>
        <w:rPr>
          <w:rFonts w:ascii="宋体" w:hAnsi="宋体"/>
          <w:color w:val="000000"/>
        </w:rPr>
      </w:pPr>
    </w:p>
    <w:p>
      <w:pPr>
        <w:pStyle w:val="13"/>
        <w:rPr>
          <w:rFonts w:ascii="宋体" w:hAnsi="宋体"/>
          <w:color w:val="000000"/>
        </w:rPr>
      </w:pPr>
    </w:p>
    <w:p>
      <w:pPr>
        <w:rPr>
          <w:rFonts w:ascii="宋体" w:hAnsi="宋体"/>
          <w:color w:val="000000"/>
        </w:rPr>
      </w:pPr>
    </w:p>
    <w:p>
      <w:pPr>
        <w:pStyle w:val="13"/>
        <w:rPr>
          <w:rFonts w:ascii="宋体" w:hAnsi="宋体"/>
          <w:color w:val="000000"/>
        </w:rPr>
      </w:pPr>
    </w:p>
    <w:p>
      <w:pPr>
        <w:rPr>
          <w:rFonts w:ascii="宋体" w:hAnsi="宋体"/>
          <w:color w:val="000000"/>
        </w:rPr>
      </w:pPr>
    </w:p>
    <w:p>
      <w:pPr>
        <w:pStyle w:val="13"/>
        <w:rPr>
          <w:rFonts w:ascii="宋体" w:hAnsi="宋体"/>
          <w:color w:val="000000"/>
        </w:rPr>
      </w:pPr>
    </w:p>
    <w:p>
      <w:pPr>
        <w:pStyle w:val="2"/>
        <w:tabs>
          <w:tab w:val="left" w:pos="3360"/>
        </w:tabs>
        <w:spacing w:before="0" w:after="0" w:line="360" w:lineRule="auto"/>
        <w:jc w:val="center"/>
        <w:rPr>
          <w:rFonts w:ascii="宋体" w:hAnsi="宋体"/>
          <w:color w:val="000000"/>
        </w:rPr>
      </w:pPr>
    </w:p>
    <w:p>
      <w:pPr>
        <w:pStyle w:val="2"/>
        <w:tabs>
          <w:tab w:val="left" w:pos="3360"/>
        </w:tabs>
        <w:spacing w:before="0" w:after="0" w:line="360" w:lineRule="auto"/>
        <w:jc w:val="center"/>
        <w:rPr>
          <w:rFonts w:ascii="宋体" w:hAnsi="宋体"/>
          <w:color w:val="000000"/>
        </w:rPr>
      </w:pPr>
      <w:r>
        <w:rPr>
          <w:rFonts w:hint="eastAsia" w:ascii="宋体" w:hAnsi="宋体"/>
          <w:color w:val="000000"/>
        </w:rPr>
        <w:t>第二篇  项目竞争性比选要求</w:t>
      </w:r>
      <w:bookmarkEnd w:id="23"/>
    </w:p>
    <w:p>
      <w:pPr>
        <w:spacing w:line="360" w:lineRule="auto"/>
        <w:ind w:firstLine="420" w:firstLineChars="200"/>
        <w:rPr>
          <w:rFonts w:ascii="宋体" w:hAnsi="宋体" w:cs="宋体"/>
          <w:szCs w:val="28"/>
        </w:rPr>
      </w:pPr>
      <w:bookmarkStart w:id="24" w:name="page12"/>
      <w:bookmarkEnd w:id="24"/>
      <w:r>
        <w:rPr>
          <w:rFonts w:hint="eastAsia" w:ascii="宋体" w:hAnsi="宋体" w:cs="宋体"/>
          <w:bCs/>
          <w:szCs w:val="28"/>
        </w:rPr>
        <w:t>1、项目地点：石船</w:t>
      </w:r>
      <w:r>
        <w:rPr>
          <w:rFonts w:hint="eastAsia" w:ascii="宋体" w:hAnsi="宋体" w:cs="宋体"/>
          <w:szCs w:val="28"/>
        </w:rPr>
        <w:t>服务区位于重庆市渝北区石船镇。</w:t>
      </w:r>
    </w:p>
    <w:p>
      <w:pPr>
        <w:spacing w:line="276" w:lineRule="auto"/>
        <w:ind w:firstLine="420" w:firstLineChars="200"/>
        <w:rPr>
          <w:rFonts w:ascii="宋体" w:hAnsi="宋体" w:cs="宋体"/>
          <w:bCs/>
          <w:szCs w:val="28"/>
        </w:rPr>
      </w:pPr>
      <w:r>
        <w:rPr>
          <w:rFonts w:hint="eastAsia" w:ascii="宋体" w:hAnsi="宋体" w:cs="宋体"/>
          <w:bCs/>
          <w:szCs w:val="28"/>
        </w:rPr>
        <w:t>2、服务期：</w:t>
      </w:r>
      <w:r>
        <w:rPr>
          <w:rFonts w:hint="eastAsia" w:ascii="宋体" w:hAnsi="宋体" w:cs="宋体"/>
          <w:szCs w:val="28"/>
        </w:rPr>
        <w:t>比选人发出通知后20个工作日内完成各分项服务内容。</w:t>
      </w:r>
    </w:p>
    <w:p>
      <w:pPr>
        <w:spacing w:line="360" w:lineRule="auto"/>
        <w:ind w:firstLine="420" w:firstLineChars="200"/>
        <w:rPr>
          <w:rFonts w:ascii="宋体" w:hAnsi="宋体" w:cs="宋体"/>
          <w:bCs/>
          <w:szCs w:val="28"/>
        </w:rPr>
      </w:pPr>
      <w:r>
        <w:rPr>
          <w:rFonts w:hint="eastAsia" w:ascii="宋体" w:hAnsi="宋体" w:cs="宋体"/>
          <w:bCs/>
          <w:szCs w:val="28"/>
        </w:rPr>
        <w:t>3、竞争性比选范围：⑴本次竞争性比选范围:主要包括</w:t>
      </w:r>
      <w:r>
        <w:rPr>
          <w:rFonts w:hint="eastAsia" w:ascii="宋体" w:hAnsi="宋体" w:cs="宋体"/>
          <w:szCs w:val="28"/>
        </w:rPr>
        <w:t>合长高速石船服务区（左、右）加油加气站</w:t>
      </w:r>
      <w:r>
        <w:rPr>
          <w:rFonts w:hint="eastAsia" w:ascii="宋体" w:hAnsi="宋体" w:cs="宋体"/>
          <w:bCs/>
          <w:szCs w:val="28"/>
        </w:rPr>
        <w:t>环境影响评价报告表编制及专家评审、环境风险评估报告编制及专家评审、环境应急预案编制及专家评审、生化池治理、环保监测、环保竣工验收及相关检测、监测等全部工作内容。</w:t>
      </w:r>
    </w:p>
    <w:p>
      <w:pPr>
        <w:spacing w:line="276" w:lineRule="auto"/>
        <w:ind w:firstLine="420" w:firstLineChars="200"/>
        <w:rPr>
          <w:rFonts w:ascii="宋体" w:hAnsi="宋体" w:cs="宋体"/>
          <w:szCs w:val="28"/>
        </w:rPr>
      </w:pPr>
      <w:r>
        <w:rPr>
          <w:rFonts w:hint="eastAsia" w:ascii="宋体" w:hAnsi="宋体" w:cs="宋体"/>
          <w:bCs/>
          <w:szCs w:val="28"/>
        </w:rPr>
        <w:t>4、本项目的最高限价为：51.2万元（详见附表1），根据国家现行法律法规、《重庆市招标投标条例》及高速集团、资产公司相关规定，拟采取竞争性比选方式确定项目环保咨询单位，</w:t>
      </w:r>
      <w:r>
        <w:rPr>
          <w:rFonts w:hint="eastAsia" w:ascii="宋体" w:hAnsi="宋体" w:cs="宋体"/>
          <w:szCs w:val="28"/>
        </w:rPr>
        <w:t>比选对象为满足竞争性比选文件的所有比选申请人。</w:t>
      </w:r>
    </w:p>
    <w:p>
      <w:pPr>
        <w:spacing w:line="360" w:lineRule="auto"/>
        <w:ind w:firstLine="420" w:firstLineChars="200"/>
        <w:jc w:val="left"/>
        <w:rPr>
          <w:rFonts w:ascii="宋体" w:hAnsi="宋体" w:cs="宋体"/>
          <w:bCs/>
          <w:szCs w:val="28"/>
        </w:rPr>
      </w:pPr>
      <w:r>
        <w:rPr>
          <w:rFonts w:hint="eastAsia" w:ascii="宋体" w:hAnsi="宋体" w:cs="宋体"/>
          <w:bCs/>
          <w:szCs w:val="28"/>
        </w:rPr>
        <w:t>5、成交单位须在成交通知书发出后7个工作日内与业主单位签订合同。若因成交单位的原因导致未在规定时间内签订合同，业主则有权选择排名第二成交候选人签订合同。</w:t>
      </w:r>
    </w:p>
    <w:p>
      <w:pPr>
        <w:spacing w:line="360" w:lineRule="auto"/>
        <w:ind w:firstLine="420" w:firstLineChars="200"/>
        <w:jc w:val="left"/>
        <w:rPr>
          <w:rFonts w:ascii="宋体" w:hAnsi="宋体" w:cs="宋体"/>
          <w:bCs/>
          <w:szCs w:val="28"/>
        </w:rPr>
      </w:pPr>
      <w:r>
        <w:rPr>
          <w:rFonts w:hint="eastAsia" w:ascii="宋体" w:hAnsi="宋体" w:cs="宋体"/>
          <w:bCs/>
          <w:szCs w:val="28"/>
        </w:rPr>
        <w:t>6、成交单位须在比选人规定的时间内提交项目各阶段成果资料，成果资料一式四份，其中，服务区左侧加油加气站、右侧加油加气站成果资料应单独成册并通过专家审查合格。在加油加气站、服务区环保相关手续办理过程中，成交单位应无条件配合比选人完善相关手续，否则成交单位应支付成交总额10%的违约金，并承担由此导致的比选人全部损失。</w:t>
      </w:r>
    </w:p>
    <w:p>
      <w:pPr>
        <w:spacing w:line="360" w:lineRule="auto"/>
        <w:ind w:firstLine="420" w:firstLineChars="200"/>
        <w:rPr>
          <w:rFonts w:ascii="宋体" w:hAnsi="宋体" w:cs="宋体"/>
          <w:bCs/>
          <w:color w:val="FF0000"/>
          <w:szCs w:val="28"/>
        </w:rPr>
      </w:pPr>
    </w:p>
    <w:p>
      <w:pPr>
        <w:rPr>
          <w:rFonts w:ascii="宋体" w:hAnsi="宋体" w:cs="宋体"/>
          <w:bCs/>
          <w:szCs w:val="28"/>
        </w:rPr>
      </w:pPr>
    </w:p>
    <w:p>
      <w:pPr>
        <w:pStyle w:val="13"/>
        <w:rPr>
          <w:rFonts w:ascii="宋体" w:hAnsi="宋体" w:cs="宋体"/>
          <w:bCs w:val="0"/>
          <w:szCs w:val="28"/>
        </w:rPr>
      </w:pPr>
    </w:p>
    <w:p>
      <w:pPr>
        <w:rPr>
          <w:rFonts w:ascii="宋体" w:hAnsi="宋体" w:cs="宋体"/>
          <w:bCs/>
          <w:szCs w:val="28"/>
        </w:rPr>
      </w:pPr>
    </w:p>
    <w:p>
      <w:pPr>
        <w:pStyle w:val="13"/>
        <w:rPr>
          <w:rFonts w:ascii="宋体" w:hAnsi="宋体" w:cs="宋体"/>
          <w:bCs w:val="0"/>
          <w:szCs w:val="28"/>
        </w:rPr>
      </w:pPr>
    </w:p>
    <w:p>
      <w:pPr>
        <w:rPr>
          <w:rFonts w:ascii="宋体" w:hAnsi="宋体" w:cs="宋体"/>
          <w:bCs/>
          <w:szCs w:val="28"/>
        </w:rPr>
      </w:pPr>
    </w:p>
    <w:p>
      <w:pPr>
        <w:pStyle w:val="13"/>
        <w:rPr>
          <w:rFonts w:hint="eastAsia" w:ascii="宋体" w:hAnsi="宋体" w:cs="宋体"/>
          <w:bCs w:val="0"/>
          <w:szCs w:val="28"/>
        </w:rPr>
      </w:pPr>
    </w:p>
    <w:p/>
    <w:p>
      <w:pPr>
        <w:rPr>
          <w:rFonts w:ascii="宋体" w:hAnsi="宋体" w:cs="宋体"/>
          <w:bCs/>
          <w:szCs w:val="28"/>
        </w:rPr>
      </w:pPr>
    </w:p>
    <w:p>
      <w:pPr>
        <w:pStyle w:val="13"/>
        <w:rPr>
          <w:rFonts w:ascii="宋体" w:hAnsi="宋体" w:cs="宋体"/>
          <w:bCs w:val="0"/>
          <w:szCs w:val="28"/>
        </w:rPr>
      </w:pPr>
    </w:p>
    <w:p>
      <w:pPr>
        <w:rPr>
          <w:rFonts w:ascii="宋体" w:hAnsi="宋体" w:cs="宋体"/>
          <w:bCs/>
          <w:szCs w:val="28"/>
        </w:rPr>
      </w:pPr>
    </w:p>
    <w:p>
      <w:pPr>
        <w:pStyle w:val="13"/>
      </w:pPr>
    </w:p>
    <w:p>
      <w:pPr>
        <w:pStyle w:val="13"/>
        <w:tabs>
          <w:tab w:val="right" w:leader="dot" w:pos="8805"/>
        </w:tabs>
        <w:spacing w:before="0" w:after="0" w:line="460" w:lineRule="exact"/>
        <w:jc w:val="both"/>
        <w:rPr>
          <w:rFonts w:hint="eastAsia" w:ascii="方正仿宋_GBK" w:hAnsi="方正仿宋_GBK" w:eastAsia="方正仿宋_GBK" w:cs="方正仿宋_GBK"/>
          <w:b w:val="0"/>
          <w:caps w:val="0"/>
          <w:color w:val="000000"/>
          <w:sz w:val="32"/>
          <w:szCs w:val="32"/>
        </w:rPr>
      </w:pPr>
    </w:p>
    <w:p>
      <w:pPr>
        <w:pStyle w:val="13"/>
        <w:tabs>
          <w:tab w:val="right" w:leader="dot" w:pos="8805"/>
        </w:tabs>
        <w:spacing w:before="0" w:after="0" w:line="460" w:lineRule="exact"/>
        <w:jc w:val="both"/>
        <w:rPr>
          <w:rFonts w:hint="eastAsia" w:ascii="方正仿宋_GBK" w:hAnsi="方正仿宋_GBK" w:eastAsia="方正仿宋_GBK" w:cs="方正仿宋_GBK"/>
          <w:b w:val="0"/>
          <w:caps w:val="0"/>
          <w:color w:val="000000"/>
          <w:sz w:val="32"/>
          <w:szCs w:val="32"/>
        </w:rPr>
      </w:pPr>
    </w:p>
    <w:p>
      <w:pPr>
        <w:pStyle w:val="13"/>
        <w:tabs>
          <w:tab w:val="right" w:leader="dot" w:pos="8805"/>
        </w:tabs>
        <w:spacing w:before="0" w:after="0" w:line="460" w:lineRule="exact"/>
        <w:jc w:val="both"/>
        <w:rPr>
          <w:rFonts w:hint="eastAsia" w:ascii="方正仿宋_GBK" w:hAnsi="方正仿宋_GBK" w:eastAsia="方正仿宋_GBK" w:cs="方正仿宋_GBK"/>
          <w:b w:val="0"/>
          <w:caps w:val="0"/>
          <w:color w:val="000000"/>
          <w:sz w:val="32"/>
          <w:szCs w:val="32"/>
        </w:rPr>
      </w:pPr>
    </w:p>
    <w:p>
      <w:pPr>
        <w:pStyle w:val="13"/>
        <w:tabs>
          <w:tab w:val="right" w:leader="dot" w:pos="8805"/>
        </w:tabs>
        <w:spacing w:before="0" w:after="0" w:line="460" w:lineRule="exact"/>
        <w:jc w:val="both"/>
        <w:rPr>
          <w:rFonts w:ascii="方正仿宋_GBK" w:hAnsi="方正仿宋_GBK" w:eastAsia="方正仿宋_GBK" w:cs="方正仿宋_GBK"/>
          <w:b w:val="0"/>
          <w:caps w:val="0"/>
          <w:color w:val="000000"/>
          <w:sz w:val="32"/>
          <w:szCs w:val="32"/>
        </w:rPr>
      </w:pPr>
      <w:r>
        <w:rPr>
          <w:rFonts w:hint="eastAsia" w:ascii="方正仿宋_GBK" w:hAnsi="方正仿宋_GBK" w:eastAsia="方正仿宋_GBK" w:cs="方正仿宋_GBK"/>
          <w:b w:val="0"/>
          <w:caps w:val="0"/>
          <w:color w:val="000000"/>
          <w:sz w:val="32"/>
          <w:szCs w:val="32"/>
        </w:rPr>
        <w:t>附表1：</w:t>
      </w:r>
    </w:p>
    <w:p>
      <w:pPr>
        <w:pStyle w:val="13"/>
        <w:tabs>
          <w:tab w:val="right" w:leader="dot" w:pos="8805"/>
        </w:tabs>
        <w:spacing w:before="0" w:after="0" w:line="460" w:lineRule="exact"/>
        <w:jc w:val="center"/>
        <w:rPr>
          <w:rFonts w:ascii="方正黑体_GBK" w:hAnsi="宋体" w:eastAsia="方正黑体_GBK"/>
          <w:sz w:val="32"/>
          <w:szCs w:val="32"/>
        </w:rPr>
      </w:pPr>
      <w:r>
        <w:rPr>
          <w:rFonts w:hint="eastAsia" w:ascii="方正黑体_GBK" w:hAnsi="宋体" w:eastAsia="方正黑体_GBK"/>
          <w:sz w:val="32"/>
          <w:szCs w:val="32"/>
        </w:rPr>
        <w:t>合长高速石船服务区（左、右）加油加气站</w:t>
      </w:r>
    </w:p>
    <w:p>
      <w:pPr>
        <w:pStyle w:val="13"/>
        <w:tabs>
          <w:tab w:val="right" w:leader="dot" w:pos="8805"/>
        </w:tabs>
        <w:spacing w:before="0" w:after="0" w:line="460" w:lineRule="exact"/>
        <w:jc w:val="center"/>
        <w:rPr>
          <w:rFonts w:ascii="方正黑体_GBK" w:hAnsi="宋体" w:eastAsia="方正黑体_GBK"/>
          <w:sz w:val="32"/>
          <w:szCs w:val="32"/>
        </w:rPr>
      </w:pPr>
      <w:r>
        <w:rPr>
          <w:rFonts w:hint="eastAsia" w:ascii="方正黑体_GBK" w:hAnsi="宋体" w:eastAsia="方正黑体_GBK"/>
          <w:sz w:val="32"/>
          <w:szCs w:val="32"/>
        </w:rPr>
        <w:t>环保技术服务项目限价</w:t>
      </w:r>
    </w:p>
    <w:p>
      <w:pPr>
        <w:pStyle w:val="13"/>
      </w:pPr>
    </w:p>
    <w:tbl>
      <w:tblPr>
        <w:tblStyle w:val="16"/>
        <w:tblpPr w:leftFromText="180" w:rightFromText="180" w:vertAnchor="text" w:horzAnchor="page" w:tblpX="1219" w:tblpY="230"/>
        <w:tblOverlap w:val="never"/>
        <w:tblW w:w="96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212"/>
        <w:gridCol w:w="4423"/>
        <w:gridCol w:w="876"/>
        <w:gridCol w:w="1072"/>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Align w:val="center"/>
          </w:tcPr>
          <w:p>
            <w:pPr>
              <w:spacing w:line="240" w:lineRule="exact"/>
              <w:jc w:val="center"/>
              <w:rPr>
                <w:rFonts w:ascii="宋体" w:hAnsi="宋体" w:cs="MingLiU"/>
                <w:b/>
                <w:bCs/>
                <w:snapToGrid w:val="0"/>
                <w:kern w:val="0"/>
                <w:sz w:val="20"/>
                <w:szCs w:val="20"/>
              </w:rPr>
            </w:pPr>
            <w:r>
              <w:rPr>
                <w:rFonts w:hint="eastAsia"/>
                <w:b/>
                <w:bCs/>
                <w:kern w:val="0"/>
                <w:sz w:val="20"/>
                <w:szCs w:val="20"/>
              </w:rPr>
              <w:t>序号</w:t>
            </w:r>
          </w:p>
        </w:tc>
        <w:tc>
          <w:tcPr>
            <w:tcW w:w="1212" w:type="dxa"/>
            <w:vAlign w:val="center"/>
          </w:tcPr>
          <w:p>
            <w:pPr>
              <w:spacing w:line="240" w:lineRule="exact"/>
              <w:jc w:val="center"/>
              <w:rPr>
                <w:rFonts w:ascii="宋体" w:hAnsi="宋体" w:cs="MingLiU"/>
                <w:b/>
                <w:bCs/>
                <w:snapToGrid w:val="0"/>
                <w:kern w:val="0"/>
                <w:sz w:val="20"/>
                <w:szCs w:val="20"/>
              </w:rPr>
            </w:pPr>
            <w:r>
              <w:rPr>
                <w:rFonts w:hint="eastAsia"/>
                <w:b/>
                <w:bCs/>
                <w:kern w:val="0"/>
                <w:sz w:val="20"/>
                <w:szCs w:val="20"/>
              </w:rPr>
              <w:t>项目名称</w:t>
            </w:r>
          </w:p>
        </w:tc>
        <w:tc>
          <w:tcPr>
            <w:tcW w:w="4423" w:type="dxa"/>
            <w:vAlign w:val="center"/>
          </w:tcPr>
          <w:p>
            <w:pPr>
              <w:spacing w:line="240" w:lineRule="exact"/>
              <w:ind w:firstLine="602"/>
              <w:jc w:val="center"/>
              <w:rPr>
                <w:rFonts w:ascii="宋体" w:hAnsi="宋体" w:cs="MingLiU"/>
                <w:b/>
                <w:bCs/>
                <w:snapToGrid w:val="0"/>
                <w:kern w:val="0"/>
                <w:sz w:val="20"/>
                <w:szCs w:val="20"/>
              </w:rPr>
            </w:pPr>
            <w:r>
              <w:rPr>
                <w:rFonts w:hint="eastAsia"/>
                <w:b/>
                <w:bCs/>
                <w:kern w:val="0"/>
                <w:sz w:val="20"/>
                <w:szCs w:val="20"/>
              </w:rPr>
              <w:t>工 作 内 容</w:t>
            </w:r>
          </w:p>
        </w:tc>
        <w:tc>
          <w:tcPr>
            <w:tcW w:w="876" w:type="dxa"/>
            <w:vAlign w:val="center"/>
          </w:tcPr>
          <w:p>
            <w:pPr>
              <w:spacing w:line="240" w:lineRule="exact"/>
              <w:jc w:val="center"/>
              <w:rPr>
                <w:b/>
                <w:bCs/>
                <w:kern w:val="0"/>
                <w:sz w:val="20"/>
                <w:szCs w:val="20"/>
              </w:rPr>
            </w:pPr>
            <w:r>
              <w:rPr>
                <w:rFonts w:hint="eastAsia"/>
                <w:b/>
                <w:bCs/>
                <w:kern w:val="0"/>
                <w:sz w:val="20"/>
                <w:szCs w:val="20"/>
              </w:rPr>
              <w:t xml:space="preserve">数量 </w:t>
            </w:r>
          </w:p>
        </w:tc>
        <w:tc>
          <w:tcPr>
            <w:tcW w:w="1072" w:type="dxa"/>
            <w:vAlign w:val="center"/>
          </w:tcPr>
          <w:p>
            <w:pPr>
              <w:spacing w:line="240" w:lineRule="exact"/>
              <w:jc w:val="center"/>
              <w:rPr>
                <w:b/>
                <w:bCs/>
                <w:kern w:val="0"/>
                <w:sz w:val="20"/>
                <w:szCs w:val="20"/>
              </w:rPr>
            </w:pPr>
            <w:r>
              <w:rPr>
                <w:rFonts w:hint="eastAsia"/>
                <w:b/>
                <w:bCs/>
                <w:kern w:val="0"/>
                <w:sz w:val="20"/>
                <w:szCs w:val="20"/>
              </w:rPr>
              <w:t>单价</w:t>
            </w:r>
          </w:p>
          <w:p>
            <w:pPr>
              <w:spacing w:line="240" w:lineRule="exact"/>
              <w:jc w:val="center"/>
            </w:pPr>
            <w:r>
              <w:rPr>
                <w:rFonts w:hint="eastAsia"/>
                <w:b/>
                <w:bCs/>
                <w:kern w:val="0"/>
                <w:sz w:val="20"/>
                <w:szCs w:val="20"/>
              </w:rPr>
              <w:t>（万元）</w:t>
            </w:r>
          </w:p>
        </w:tc>
        <w:tc>
          <w:tcPr>
            <w:tcW w:w="1391" w:type="dxa"/>
            <w:vAlign w:val="center"/>
          </w:tcPr>
          <w:p>
            <w:pPr>
              <w:spacing w:line="240" w:lineRule="exact"/>
              <w:jc w:val="center"/>
              <w:rPr>
                <w:b/>
                <w:bCs/>
                <w:kern w:val="0"/>
                <w:sz w:val="20"/>
                <w:szCs w:val="20"/>
              </w:rPr>
            </w:pPr>
            <w:r>
              <w:rPr>
                <w:rFonts w:hint="eastAsia"/>
                <w:b/>
                <w:bCs/>
                <w:kern w:val="0"/>
                <w:sz w:val="20"/>
                <w:szCs w:val="20"/>
              </w:rPr>
              <w:t>总价格</w:t>
            </w:r>
          </w:p>
          <w:p>
            <w:pPr>
              <w:spacing w:line="240" w:lineRule="exact"/>
              <w:jc w:val="center"/>
              <w:rPr>
                <w:rFonts w:ascii="宋体" w:hAnsi="宋体" w:cs="MingLiU"/>
                <w:b/>
                <w:bCs/>
                <w:snapToGrid w:val="0"/>
                <w:kern w:val="0"/>
                <w:sz w:val="20"/>
                <w:szCs w:val="20"/>
              </w:rPr>
            </w:pPr>
            <w:r>
              <w:rPr>
                <w:rFonts w:hint="eastAsia"/>
                <w:b/>
                <w:bCs/>
                <w:kern w:val="0"/>
                <w:sz w:val="20"/>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9667" w:type="dxa"/>
            <w:gridSpan w:val="6"/>
            <w:vAlign w:val="center"/>
          </w:tcPr>
          <w:p>
            <w:pPr>
              <w:spacing w:line="300" w:lineRule="exact"/>
              <w:jc w:val="left"/>
              <w:rPr>
                <w:rFonts w:eastAsia="方正黑体_GBK"/>
                <w:b/>
                <w:bCs/>
                <w:kern w:val="0"/>
                <w:sz w:val="20"/>
                <w:szCs w:val="20"/>
              </w:rPr>
            </w:pPr>
            <w:r>
              <w:rPr>
                <w:rFonts w:hint="eastAsia" w:ascii="方正黑体_GBK" w:hAnsi="宋体" w:eastAsia="方正黑体_GBK"/>
                <w:sz w:val="24"/>
              </w:rPr>
              <w:t>一、石船（左、右）服务区加油加气站项目（加油部分）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693" w:type="dxa"/>
            <w:vAlign w:val="center"/>
          </w:tcPr>
          <w:p>
            <w:pPr>
              <w:spacing w:line="240" w:lineRule="exact"/>
              <w:jc w:val="center"/>
              <w:rPr>
                <w:kern w:val="0"/>
                <w:sz w:val="20"/>
              </w:rPr>
            </w:pPr>
            <w:r>
              <w:rPr>
                <w:rFonts w:hint="eastAsia"/>
                <w:kern w:val="0"/>
                <w:sz w:val="20"/>
              </w:rPr>
              <w:t>1</w:t>
            </w:r>
          </w:p>
        </w:tc>
        <w:tc>
          <w:tcPr>
            <w:tcW w:w="1212" w:type="dxa"/>
            <w:vAlign w:val="center"/>
          </w:tcPr>
          <w:p>
            <w:pPr>
              <w:spacing w:line="240" w:lineRule="exact"/>
              <w:jc w:val="center"/>
              <w:rPr>
                <w:kern w:val="0"/>
                <w:sz w:val="20"/>
              </w:rPr>
            </w:pPr>
            <w:r>
              <w:rPr>
                <w:rFonts w:hint="eastAsia"/>
                <w:kern w:val="0"/>
                <w:sz w:val="20"/>
              </w:rPr>
              <w:t>环境影响评价</w:t>
            </w:r>
          </w:p>
        </w:tc>
        <w:tc>
          <w:tcPr>
            <w:tcW w:w="4423" w:type="dxa"/>
            <w:vAlign w:val="center"/>
          </w:tcPr>
          <w:p>
            <w:pPr>
              <w:spacing w:line="240" w:lineRule="exact"/>
              <w:jc w:val="left"/>
              <w:rPr>
                <w:kern w:val="0"/>
                <w:sz w:val="20"/>
              </w:rPr>
            </w:pPr>
            <w:r>
              <w:rPr>
                <w:rFonts w:hint="eastAsia"/>
                <w:kern w:val="0"/>
                <w:sz w:val="20"/>
              </w:rPr>
              <w:t>负责专家组及环保局看现场；负责地下水、地表水、大气、噪声、土壤、监测及评价；编制服务区加油加气站的环境影响评价报告；通过环保部门组织的专家评审，取得环保部门的核准批文。</w:t>
            </w:r>
          </w:p>
        </w:tc>
        <w:tc>
          <w:tcPr>
            <w:tcW w:w="876" w:type="dxa"/>
            <w:vAlign w:val="center"/>
          </w:tcPr>
          <w:p>
            <w:pPr>
              <w:spacing w:line="240" w:lineRule="exact"/>
              <w:jc w:val="center"/>
              <w:rPr>
                <w:kern w:val="0"/>
                <w:sz w:val="20"/>
              </w:rPr>
            </w:pPr>
            <w:r>
              <w:rPr>
                <w:rFonts w:hint="eastAsia"/>
                <w:kern w:val="0"/>
                <w:sz w:val="20"/>
              </w:rPr>
              <w:t>2</w:t>
            </w:r>
          </w:p>
        </w:tc>
        <w:tc>
          <w:tcPr>
            <w:tcW w:w="1072" w:type="dxa"/>
            <w:vAlign w:val="center"/>
          </w:tcPr>
          <w:p>
            <w:pPr>
              <w:spacing w:line="240" w:lineRule="exact"/>
              <w:jc w:val="center"/>
              <w:rPr>
                <w:kern w:val="0"/>
                <w:sz w:val="20"/>
              </w:rPr>
            </w:pPr>
            <w:r>
              <w:rPr>
                <w:rFonts w:hint="eastAsia"/>
                <w:kern w:val="0"/>
                <w:sz w:val="20"/>
              </w:rPr>
              <w:t>6.5</w:t>
            </w:r>
          </w:p>
        </w:tc>
        <w:tc>
          <w:tcPr>
            <w:tcW w:w="1391" w:type="dxa"/>
            <w:vAlign w:val="center"/>
          </w:tcPr>
          <w:p>
            <w:pPr>
              <w:spacing w:line="240" w:lineRule="exact"/>
              <w:jc w:val="center"/>
              <w:rPr>
                <w:kern w:val="0"/>
                <w:sz w:val="20"/>
              </w:rPr>
            </w:pPr>
          </w:p>
          <w:p>
            <w:pPr>
              <w:spacing w:line="240" w:lineRule="exact"/>
              <w:jc w:val="center"/>
              <w:rPr>
                <w:kern w:val="0"/>
                <w:sz w:val="20"/>
              </w:rPr>
            </w:pPr>
            <w:r>
              <w:rPr>
                <w:rFonts w:hint="eastAsia"/>
                <w:kern w:val="0"/>
                <w:sz w:val="20"/>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Align w:val="center"/>
          </w:tcPr>
          <w:p>
            <w:pPr>
              <w:spacing w:line="240" w:lineRule="exact"/>
              <w:jc w:val="center"/>
              <w:rPr>
                <w:kern w:val="0"/>
                <w:sz w:val="20"/>
              </w:rPr>
            </w:pPr>
            <w:r>
              <w:rPr>
                <w:rFonts w:hint="eastAsia"/>
                <w:kern w:val="0"/>
                <w:sz w:val="20"/>
              </w:rPr>
              <w:t>2</w:t>
            </w:r>
          </w:p>
        </w:tc>
        <w:tc>
          <w:tcPr>
            <w:tcW w:w="1212" w:type="dxa"/>
            <w:vAlign w:val="center"/>
          </w:tcPr>
          <w:p>
            <w:pPr>
              <w:spacing w:line="240" w:lineRule="exact"/>
              <w:jc w:val="center"/>
              <w:rPr>
                <w:kern w:val="0"/>
                <w:sz w:val="20"/>
              </w:rPr>
            </w:pPr>
            <w:r>
              <w:rPr>
                <w:rFonts w:hint="eastAsia"/>
                <w:kern w:val="0"/>
                <w:sz w:val="20"/>
              </w:rPr>
              <w:t>环境风险评估报告编制及专家评审</w:t>
            </w:r>
          </w:p>
        </w:tc>
        <w:tc>
          <w:tcPr>
            <w:tcW w:w="4423" w:type="dxa"/>
            <w:vAlign w:val="center"/>
          </w:tcPr>
          <w:p>
            <w:pPr>
              <w:spacing w:line="240" w:lineRule="exact"/>
              <w:jc w:val="left"/>
              <w:rPr>
                <w:kern w:val="0"/>
                <w:sz w:val="20"/>
              </w:rPr>
            </w:pPr>
            <w:r>
              <w:rPr>
                <w:rFonts w:hint="eastAsia"/>
                <w:kern w:val="0"/>
                <w:sz w:val="20"/>
              </w:rPr>
              <w:t>1、加油站环境风险评估报告的编制；</w:t>
            </w:r>
          </w:p>
          <w:p>
            <w:pPr>
              <w:spacing w:line="240" w:lineRule="exact"/>
              <w:jc w:val="left"/>
              <w:rPr>
                <w:kern w:val="0"/>
                <w:sz w:val="20"/>
              </w:rPr>
            </w:pPr>
            <w:r>
              <w:rPr>
                <w:rFonts w:hint="eastAsia"/>
                <w:kern w:val="0"/>
                <w:sz w:val="20"/>
              </w:rPr>
              <w:t>2、通过环保局及专家评审工作；</w:t>
            </w:r>
          </w:p>
          <w:p>
            <w:pPr>
              <w:spacing w:line="240" w:lineRule="exact"/>
              <w:jc w:val="left"/>
              <w:rPr>
                <w:kern w:val="0"/>
                <w:sz w:val="20"/>
              </w:rPr>
            </w:pPr>
            <w:r>
              <w:rPr>
                <w:rFonts w:hint="eastAsia"/>
                <w:kern w:val="0"/>
                <w:sz w:val="20"/>
              </w:rPr>
              <w:t>3、完成备案并取得批文</w:t>
            </w:r>
          </w:p>
        </w:tc>
        <w:tc>
          <w:tcPr>
            <w:tcW w:w="876" w:type="dxa"/>
            <w:vAlign w:val="center"/>
          </w:tcPr>
          <w:p>
            <w:pPr>
              <w:spacing w:line="240" w:lineRule="exact"/>
              <w:jc w:val="center"/>
              <w:rPr>
                <w:kern w:val="0"/>
                <w:sz w:val="20"/>
              </w:rPr>
            </w:pPr>
            <w:r>
              <w:rPr>
                <w:rFonts w:hint="eastAsia"/>
                <w:kern w:val="0"/>
                <w:sz w:val="20"/>
              </w:rPr>
              <w:t>2</w:t>
            </w:r>
          </w:p>
        </w:tc>
        <w:tc>
          <w:tcPr>
            <w:tcW w:w="1072" w:type="dxa"/>
            <w:vAlign w:val="center"/>
          </w:tcPr>
          <w:p>
            <w:pPr>
              <w:spacing w:line="240" w:lineRule="exact"/>
              <w:jc w:val="center"/>
              <w:rPr>
                <w:kern w:val="0"/>
                <w:sz w:val="20"/>
              </w:rPr>
            </w:pPr>
            <w:r>
              <w:rPr>
                <w:rFonts w:hint="eastAsia"/>
                <w:kern w:val="0"/>
                <w:sz w:val="20"/>
              </w:rPr>
              <w:t>3</w:t>
            </w:r>
          </w:p>
        </w:tc>
        <w:tc>
          <w:tcPr>
            <w:tcW w:w="1391" w:type="dxa"/>
            <w:vAlign w:val="center"/>
          </w:tcPr>
          <w:p>
            <w:pPr>
              <w:spacing w:line="240" w:lineRule="exact"/>
              <w:jc w:val="center"/>
              <w:rPr>
                <w:kern w:val="0"/>
                <w:sz w:val="20"/>
              </w:rPr>
            </w:pPr>
            <w:r>
              <w:rPr>
                <w:rFonts w:hint="eastAsia"/>
                <w:kern w:val="0"/>
                <w:sz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Align w:val="center"/>
          </w:tcPr>
          <w:p>
            <w:pPr>
              <w:spacing w:line="240" w:lineRule="exact"/>
              <w:jc w:val="center"/>
              <w:rPr>
                <w:kern w:val="0"/>
                <w:sz w:val="20"/>
              </w:rPr>
            </w:pPr>
            <w:r>
              <w:rPr>
                <w:rFonts w:hint="eastAsia"/>
                <w:kern w:val="0"/>
                <w:sz w:val="20"/>
              </w:rPr>
              <w:t>3</w:t>
            </w:r>
          </w:p>
        </w:tc>
        <w:tc>
          <w:tcPr>
            <w:tcW w:w="1212" w:type="dxa"/>
            <w:vAlign w:val="center"/>
          </w:tcPr>
          <w:p>
            <w:pPr>
              <w:spacing w:line="240" w:lineRule="exact"/>
              <w:jc w:val="center"/>
              <w:rPr>
                <w:kern w:val="0"/>
                <w:sz w:val="20"/>
              </w:rPr>
            </w:pPr>
            <w:r>
              <w:rPr>
                <w:rFonts w:hint="eastAsia"/>
                <w:kern w:val="0"/>
                <w:sz w:val="20"/>
              </w:rPr>
              <w:t>应急预案备案编制</w:t>
            </w:r>
          </w:p>
        </w:tc>
        <w:tc>
          <w:tcPr>
            <w:tcW w:w="4423" w:type="dxa"/>
            <w:vAlign w:val="center"/>
          </w:tcPr>
          <w:p>
            <w:pPr>
              <w:spacing w:line="240" w:lineRule="exact"/>
              <w:jc w:val="left"/>
              <w:rPr>
                <w:kern w:val="0"/>
                <w:sz w:val="20"/>
              </w:rPr>
            </w:pPr>
            <w:r>
              <w:rPr>
                <w:rFonts w:hint="eastAsia"/>
                <w:kern w:val="0"/>
                <w:sz w:val="20"/>
              </w:rPr>
              <w:t>1、环保局及专家现场勘查；</w:t>
            </w:r>
          </w:p>
          <w:p>
            <w:pPr>
              <w:spacing w:line="240" w:lineRule="exact"/>
              <w:jc w:val="left"/>
              <w:rPr>
                <w:kern w:val="0"/>
                <w:sz w:val="20"/>
              </w:rPr>
            </w:pPr>
            <w:r>
              <w:rPr>
                <w:rFonts w:hint="eastAsia"/>
                <w:kern w:val="0"/>
                <w:sz w:val="20"/>
              </w:rPr>
              <w:t>2、加油站应急预案备案报告的编制；</w:t>
            </w:r>
          </w:p>
          <w:p>
            <w:pPr>
              <w:spacing w:line="240" w:lineRule="exact"/>
              <w:jc w:val="left"/>
              <w:rPr>
                <w:kern w:val="0"/>
                <w:sz w:val="20"/>
              </w:rPr>
            </w:pPr>
            <w:r>
              <w:rPr>
                <w:rFonts w:hint="eastAsia"/>
                <w:kern w:val="0"/>
                <w:sz w:val="20"/>
              </w:rPr>
              <w:t>3、通过环保局及专家评审工作；</w:t>
            </w:r>
          </w:p>
          <w:p>
            <w:pPr>
              <w:spacing w:line="240" w:lineRule="exact"/>
              <w:jc w:val="left"/>
              <w:rPr>
                <w:kern w:val="0"/>
                <w:sz w:val="20"/>
              </w:rPr>
            </w:pPr>
            <w:r>
              <w:rPr>
                <w:rFonts w:hint="eastAsia"/>
                <w:kern w:val="0"/>
                <w:sz w:val="20"/>
              </w:rPr>
              <w:t>4、完成应急备案平台的网上备案工作，取得环保局的备案批文</w:t>
            </w:r>
          </w:p>
        </w:tc>
        <w:tc>
          <w:tcPr>
            <w:tcW w:w="876" w:type="dxa"/>
            <w:vAlign w:val="center"/>
          </w:tcPr>
          <w:p>
            <w:pPr>
              <w:spacing w:line="240" w:lineRule="exact"/>
              <w:jc w:val="center"/>
              <w:rPr>
                <w:kern w:val="0"/>
                <w:sz w:val="20"/>
              </w:rPr>
            </w:pPr>
            <w:r>
              <w:rPr>
                <w:rFonts w:hint="eastAsia"/>
                <w:kern w:val="0"/>
                <w:sz w:val="20"/>
              </w:rPr>
              <w:t>2</w:t>
            </w:r>
          </w:p>
        </w:tc>
        <w:tc>
          <w:tcPr>
            <w:tcW w:w="1072" w:type="dxa"/>
            <w:vAlign w:val="center"/>
          </w:tcPr>
          <w:p>
            <w:pPr>
              <w:spacing w:line="240" w:lineRule="exact"/>
              <w:jc w:val="center"/>
              <w:rPr>
                <w:kern w:val="0"/>
                <w:sz w:val="20"/>
              </w:rPr>
            </w:pPr>
            <w:r>
              <w:rPr>
                <w:rFonts w:hint="eastAsia"/>
                <w:kern w:val="0"/>
                <w:sz w:val="20"/>
              </w:rPr>
              <w:t>3</w:t>
            </w:r>
          </w:p>
        </w:tc>
        <w:tc>
          <w:tcPr>
            <w:tcW w:w="1391" w:type="dxa"/>
            <w:vAlign w:val="center"/>
          </w:tcPr>
          <w:p>
            <w:pPr>
              <w:spacing w:line="240" w:lineRule="exact"/>
              <w:jc w:val="center"/>
              <w:rPr>
                <w:kern w:val="0"/>
                <w:sz w:val="20"/>
              </w:rPr>
            </w:pPr>
          </w:p>
          <w:p>
            <w:pPr>
              <w:spacing w:line="240" w:lineRule="exact"/>
              <w:jc w:val="center"/>
              <w:rPr>
                <w:kern w:val="0"/>
                <w:sz w:val="20"/>
              </w:rPr>
            </w:pPr>
            <w:r>
              <w:rPr>
                <w:rFonts w:hint="eastAsia"/>
                <w:kern w:val="0"/>
                <w:sz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Align w:val="center"/>
          </w:tcPr>
          <w:p>
            <w:pPr>
              <w:spacing w:line="240" w:lineRule="exact"/>
              <w:jc w:val="center"/>
              <w:rPr>
                <w:kern w:val="0"/>
                <w:sz w:val="20"/>
              </w:rPr>
            </w:pPr>
            <w:r>
              <w:rPr>
                <w:rFonts w:hint="eastAsia"/>
                <w:kern w:val="0"/>
                <w:sz w:val="20"/>
              </w:rPr>
              <w:t>4</w:t>
            </w:r>
          </w:p>
        </w:tc>
        <w:tc>
          <w:tcPr>
            <w:tcW w:w="1212" w:type="dxa"/>
            <w:vAlign w:val="center"/>
          </w:tcPr>
          <w:p>
            <w:pPr>
              <w:spacing w:line="240" w:lineRule="exact"/>
              <w:jc w:val="center"/>
              <w:rPr>
                <w:kern w:val="0"/>
                <w:sz w:val="20"/>
              </w:rPr>
            </w:pPr>
            <w:r>
              <w:rPr>
                <w:rFonts w:hint="eastAsia"/>
                <w:kern w:val="0"/>
                <w:sz w:val="20"/>
              </w:rPr>
              <w:t>生化池治理及办理环保竣工验收</w:t>
            </w:r>
          </w:p>
        </w:tc>
        <w:tc>
          <w:tcPr>
            <w:tcW w:w="4423" w:type="dxa"/>
            <w:vAlign w:val="center"/>
          </w:tcPr>
          <w:p>
            <w:pPr>
              <w:spacing w:line="240" w:lineRule="exact"/>
              <w:jc w:val="left"/>
              <w:rPr>
                <w:rFonts w:ascii="宋体" w:hAnsi="宋体" w:cs="宋体"/>
                <w:kern w:val="0"/>
                <w:sz w:val="20"/>
              </w:rPr>
            </w:pPr>
            <w:r>
              <w:rPr>
                <w:rFonts w:hint="eastAsia" w:ascii="宋体" w:hAnsi="宋体" w:cs="宋体"/>
                <w:kern w:val="0"/>
                <w:sz w:val="20"/>
              </w:rPr>
              <w:t>1.加油生化池的工艺设计（包括生化池的设计不含土建）。</w:t>
            </w:r>
          </w:p>
          <w:p>
            <w:pPr>
              <w:spacing w:line="240" w:lineRule="exact"/>
              <w:jc w:val="left"/>
              <w:rPr>
                <w:kern w:val="0"/>
                <w:sz w:val="20"/>
              </w:rPr>
            </w:pPr>
            <w:r>
              <w:rPr>
                <w:rFonts w:hint="eastAsia" w:ascii="宋体" w:hAnsi="宋体" w:cs="宋体"/>
                <w:kern w:val="0"/>
                <w:sz w:val="20"/>
              </w:rPr>
              <w:t>2.加油的环保竣工验收监测（监测项目包含：废水、废气、噪音）；编制环保竣工验收报告；以及环保局、专家对该站的环保竣工验收评审工作；完成国家生态环境部建设项目竣工验收网上的验收备案工作。</w:t>
            </w:r>
          </w:p>
        </w:tc>
        <w:tc>
          <w:tcPr>
            <w:tcW w:w="876" w:type="dxa"/>
            <w:vAlign w:val="center"/>
          </w:tcPr>
          <w:p>
            <w:pPr>
              <w:spacing w:line="240" w:lineRule="exact"/>
              <w:jc w:val="center"/>
              <w:rPr>
                <w:kern w:val="0"/>
                <w:sz w:val="20"/>
              </w:rPr>
            </w:pPr>
            <w:r>
              <w:rPr>
                <w:rFonts w:hint="eastAsia"/>
                <w:kern w:val="0"/>
                <w:sz w:val="20"/>
              </w:rPr>
              <w:t>2</w:t>
            </w:r>
          </w:p>
        </w:tc>
        <w:tc>
          <w:tcPr>
            <w:tcW w:w="1072" w:type="dxa"/>
            <w:vAlign w:val="center"/>
          </w:tcPr>
          <w:p>
            <w:pPr>
              <w:spacing w:line="240" w:lineRule="exact"/>
              <w:jc w:val="center"/>
              <w:rPr>
                <w:kern w:val="0"/>
                <w:sz w:val="20"/>
              </w:rPr>
            </w:pPr>
            <w:r>
              <w:rPr>
                <w:rFonts w:hint="eastAsia"/>
                <w:kern w:val="0"/>
                <w:sz w:val="20"/>
              </w:rPr>
              <w:t>6.5</w:t>
            </w:r>
          </w:p>
        </w:tc>
        <w:tc>
          <w:tcPr>
            <w:tcW w:w="1391" w:type="dxa"/>
            <w:vAlign w:val="center"/>
          </w:tcPr>
          <w:p>
            <w:pPr>
              <w:spacing w:line="240" w:lineRule="exact"/>
              <w:jc w:val="center"/>
              <w:rPr>
                <w:kern w:val="0"/>
                <w:sz w:val="20"/>
              </w:rPr>
            </w:pPr>
            <w:r>
              <w:rPr>
                <w:rFonts w:hint="eastAsia"/>
                <w:kern w:val="0"/>
                <w:sz w:val="20"/>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93" w:type="dxa"/>
            <w:vAlign w:val="center"/>
          </w:tcPr>
          <w:p>
            <w:pPr>
              <w:spacing w:line="240" w:lineRule="exact"/>
              <w:jc w:val="center"/>
              <w:rPr>
                <w:kern w:val="0"/>
                <w:sz w:val="20"/>
              </w:rPr>
            </w:pPr>
            <w:r>
              <w:rPr>
                <w:rFonts w:hint="eastAsia"/>
                <w:kern w:val="0"/>
                <w:sz w:val="20"/>
              </w:rPr>
              <w:t>5</w:t>
            </w:r>
          </w:p>
        </w:tc>
        <w:tc>
          <w:tcPr>
            <w:tcW w:w="1212" w:type="dxa"/>
            <w:vAlign w:val="center"/>
          </w:tcPr>
          <w:p>
            <w:pPr>
              <w:spacing w:line="240" w:lineRule="exact"/>
              <w:jc w:val="center"/>
              <w:rPr>
                <w:kern w:val="0"/>
                <w:sz w:val="20"/>
              </w:rPr>
            </w:pPr>
            <w:r>
              <w:rPr>
                <w:rFonts w:hint="eastAsia"/>
                <w:kern w:val="0"/>
                <w:sz w:val="20"/>
              </w:rPr>
              <w:t>小计</w:t>
            </w:r>
          </w:p>
        </w:tc>
        <w:tc>
          <w:tcPr>
            <w:tcW w:w="4423" w:type="dxa"/>
            <w:vAlign w:val="center"/>
          </w:tcPr>
          <w:p>
            <w:pPr>
              <w:spacing w:line="240" w:lineRule="exact"/>
              <w:jc w:val="left"/>
              <w:rPr>
                <w:rFonts w:ascii="宋体" w:hAnsi="宋体" w:cs="宋体"/>
                <w:kern w:val="0"/>
                <w:sz w:val="20"/>
              </w:rPr>
            </w:pPr>
          </w:p>
        </w:tc>
        <w:tc>
          <w:tcPr>
            <w:tcW w:w="876" w:type="dxa"/>
            <w:vAlign w:val="center"/>
          </w:tcPr>
          <w:p>
            <w:pPr>
              <w:spacing w:line="240" w:lineRule="exact"/>
              <w:jc w:val="center"/>
              <w:rPr>
                <w:kern w:val="0"/>
                <w:sz w:val="20"/>
              </w:rPr>
            </w:pPr>
            <w:r>
              <w:rPr>
                <w:rFonts w:hint="eastAsia"/>
                <w:kern w:val="0"/>
                <w:sz w:val="20"/>
              </w:rPr>
              <w:t>8</w:t>
            </w:r>
          </w:p>
        </w:tc>
        <w:tc>
          <w:tcPr>
            <w:tcW w:w="1072" w:type="dxa"/>
            <w:vAlign w:val="center"/>
          </w:tcPr>
          <w:p>
            <w:pPr>
              <w:spacing w:line="240" w:lineRule="exact"/>
              <w:jc w:val="center"/>
              <w:rPr>
                <w:kern w:val="0"/>
                <w:sz w:val="20"/>
              </w:rPr>
            </w:pPr>
            <w:r>
              <w:rPr>
                <w:rFonts w:hint="eastAsia"/>
                <w:kern w:val="0"/>
                <w:sz w:val="20"/>
              </w:rPr>
              <w:t>19</w:t>
            </w:r>
          </w:p>
        </w:tc>
        <w:tc>
          <w:tcPr>
            <w:tcW w:w="1391" w:type="dxa"/>
            <w:vAlign w:val="center"/>
          </w:tcPr>
          <w:p>
            <w:pPr>
              <w:spacing w:line="240" w:lineRule="exact"/>
              <w:jc w:val="center"/>
              <w:rPr>
                <w:kern w:val="0"/>
                <w:sz w:val="20"/>
              </w:rPr>
            </w:pPr>
            <w:r>
              <w:rPr>
                <w:rFonts w:hint="eastAsia"/>
                <w:kern w:val="0"/>
                <w:sz w:val="20"/>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667" w:type="dxa"/>
            <w:gridSpan w:val="6"/>
            <w:vAlign w:val="center"/>
          </w:tcPr>
          <w:p>
            <w:pPr>
              <w:spacing w:line="300" w:lineRule="exact"/>
              <w:jc w:val="left"/>
              <w:rPr>
                <w:rFonts w:ascii="方正黑体_GBK" w:hAnsi="宋体" w:eastAsia="方正黑体_GBK"/>
                <w:sz w:val="24"/>
              </w:rPr>
            </w:pPr>
            <w:r>
              <w:rPr>
                <w:rFonts w:hint="eastAsia" w:ascii="方正黑体_GBK" w:hAnsi="宋体" w:eastAsia="方正黑体_GBK"/>
                <w:sz w:val="24"/>
              </w:rPr>
              <w:t>二、石船（左、右）服务区加油加气站项目（LNG部分）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93" w:type="dxa"/>
            <w:vAlign w:val="center"/>
          </w:tcPr>
          <w:p>
            <w:pPr>
              <w:spacing w:line="240" w:lineRule="exact"/>
              <w:jc w:val="center"/>
              <w:rPr>
                <w:rFonts w:ascii="方正黑体_GBK" w:hAnsi="宋体" w:eastAsia="方正黑体_GBK"/>
                <w:sz w:val="24"/>
              </w:rPr>
            </w:pPr>
            <w:r>
              <w:rPr>
                <w:kern w:val="0"/>
                <w:sz w:val="20"/>
              </w:rPr>
              <w:t>1</w:t>
            </w:r>
          </w:p>
        </w:tc>
        <w:tc>
          <w:tcPr>
            <w:tcW w:w="1212" w:type="dxa"/>
            <w:vAlign w:val="center"/>
          </w:tcPr>
          <w:p>
            <w:pPr>
              <w:spacing w:line="240" w:lineRule="exact"/>
              <w:jc w:val="center"/>
              <w:rPr>
                <w:rFonts w:ascii="方正黑体_GBK" w:hAnsi="宋体" w:eastAsia="方正黑体_GBK"/>
                <w:sz w:val="24"/>
              </w:rPr>
            </w:pPr>
            <w:r>
              <w:rPr>
                <w:rFonts w:hint="eastAsia"/>
                <w:kern w:val="0"/>
                <w:sz w:val="20"/>
              </w:rPr>
              <w:t>LNG加气部分环境影响评价</w:t>
            </w:r>
          </w:p>
        </w:tc>
        <w:tc>
          <w:tcPr>
            <w:tcW w:w="4423" w:type="dxa"/>
            <w:vAlign w:val="center"/>
          </w:tcPr>
          <w:p>
            <w:pPr>
              <w:numPr>
                <w:ilvl w:val="0"/>
                <w:numId w:val="1"/>
              </w:numPr>
              <w:spacing w:line="240" w:lineRule="exact"/>
              <w:jc w:val="left"/>
              <w:rPr>
                <w:kern w:val="0"/>
                <w:sz w:val="20"/>
              </w:rPr>
            </w:pPr>
            <w:r>
              <w:rPr>
                <w:rFonts w:hint="eastAsia"/>
                <w:kern w:val="0"/>
                <w:sz w:val="20"/>
              </w:rPr>
              <w:t>负责LNG加气项目特征因子监测及评价；</w:t>
            </w:r>
          </w:p>
          <w:p>
            <w:pPr>
              <w:spacing w:line="240" w:lineRule="exact"/>
              <w:jc w:val="left"/>
              <w:rPr>
                <w:rFonts w:ascii="方正黑体_GBK" w:hAnsi="宋体"/>
                <w:sz w:val="24"/>
              </w:rPr>
            </w:pPr>
            <w:r>
              <w:rPr>
                <w:rFonts w:hint="eastAsia"/>
                <w:kern w:val="0"/>
                <w:sz w:val="20"/>
              </w:rPr>
              <w:t>2、编制服务区LNG加气专章的环境影响评价报告；通过环保部门组织的专家评审。</w:t>
            </w:r>
          </w:p>
        </w:tc>
        <w:tc>
          <w:tcPr>
            <w:tcW w:w="876" w:type="dxa"/>
            <w:vAlign w:val="center"/>
          </w:tcPr>
          <w:p>
            <w:pPr>
              <w:spacing w:line="240" w:lineRule="exact"/>
              <w:jc w:val="center"/>
              <w:rPr>
                <w:rFonts w:ascii="方正黑体_GBK" w:hAnsi="宋体" w:eastAsia="方正黑体_GBK"/>
                <w:sz w:val="24"/>
              </w:rPr>
            </w:pPr>
            <w:r>
              <w:rPr>
                <w:kern w:val="0"/>
                <w:sz w:val="20"/>
              </w:rPr>
              <w:t>2</w:t>
            </w:r>
          </w:p>
        </w:tc>
        <w:tc>
          <w:tcPr>
            <w:tcW w:w="1072" w:type="dxa"/>
            <w:vAlign w:val="center"/>
          </w:tcPr>
          <w:p>
            <w:pPr>
              <w:spacing w:line="240" w:lineRule="exact"/>
              <w:jc w:val="center"/>
              <w:rPr>
                <w:rFonts w:ascii="方正黑体_GBK" w:hAnsi="宋体" w:eastAsia="方正黑体_GBK"/>
                <w:sz w:val="24"/>
              </w:rPr>
            </w:pPr>
            <w:r>
              <w:rPr>
                <w:rFonts w:hint="eastAsia" w:eastAsia="方正黑体_GBK"/>
                <w:kern w:val="0"/>
                <w:sz w:val="20"/>
              </w:rPr>
              <w:t>2.6</w:t>
            </w:r>
          </w:p>
        </w:tc>
        <w:tc>
          <w:tcPr>
            <w:tcW w:w="1391" w:type="dxa"/>
            <w:vAlign w:val="center"/>
          </w:tcPr>
          <w:p>
            <w:pPr>
              <w:spacing w:line="240" w:lineRule="exact"/>
              <w:jc w:val="center"/>
              <w:rPr>
                <w:rFonts w:ascii="方正黑体_GBK" w:hAnsi="宋体" w:eastAsia="方正黑体_GBK"/>
                <w:sz w:val="24"/>
              </w:rPr>
            </w:pPr>
            <w:r>
              <w:rPr>
                <w:rFonts w:hint="eastAsia" w:eastAsia="方正黑体_GBK"/>
                <w:kern w:val="0"/>
                <w:sz w:val="20"/>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Align w:val="center"/>
          </w:tcPr>
          <w:p>
            <w:pPr>
              <w:spacing w:line="240" w:lineRule="exact"/>
              <w:jc w:val="center"/>
              <w:rPr>
                <w:kern w:val="0"/>
                <w:sz w:val="20"/>
              </w:rPr>
            </w:pPr>
            <w:r>
              <w:rPr>
                <w:rFonts w:hint="eastAsia"/>
                <w:kern w:val="0"/>
                <w:sz w:val="20"/>
              </w:rPr>
              <w:t>2</w:t>
            </w:r>
          </w:p>
        </w:tc>
        <w:tc>
          <w:tcPr>
            <w:tcW w:w="1212" w:type="dxa"/>
            <w:vAlign w:val="center"/>
          </w:tcPr>
          <w:p>
            <w:pPr>
              <w:spacing w:line="240" w:lineRule="exact"/>
              <w:jc w:val="center"/>
              <w:rPr>
                <w:kern w:val="0"/>
                <w:sz w:val="20"/>
              </w:rPr>
            </w:pPr>
            <w:r>
              <w:rPr>
                <w:rFonts w:hint="eastAsia"/>
                <w:kern w:val="0"/>
                <w:sz w:val="20"/>
              </w:rPr>
              <w:t>LNG加气环境风险评估报告编制</w:t>
            </w:r>
          </w:p>
        </w:tc>
        <w:tc>
          <w:tcPr>
            <w:tcW w:w="4423" w:type="dxa"/>
            <w:vAlign w:val="center"/>
          </w:tcPr>
          <w:p>
            <w:pPr>
              <w:spacing w:line="240" w:lineRule="exact"/>
              <w:jc w:val="left"/>
              <w:rPr>
                <w:kern w:val="0"/>
                <w:sz w:val="20"/>
              </w:rPr>
            </w:pPr>
            <w:r>
              <w:rPr>
                <w:rFonts w:hint="eastAsia"/>
                <w:kern w:val="0"/>
                <w:sz w:val="20"/>
              </w:rPr>
              <w:t>编制LNG加气专章的环境风险评估报告，并通过专家评审工作，完成网上备案工作。</w:t>
            </w:r>
          </w:p>
          <w:p>
            <w:pPr>
              <w:spacing w:line="240" w:lineRule="exact"/>
              <w:jc w:val="left"/>
              <w:rPr>
                <w:kern w:val="0"/>
                <w:sz w:val="20"/>
              </w:rPr>
            </w:pPr>
          </w:p>
        </w:tc>
        <w:tc>
          <w:tcPr>
            <w:tcW w:w="876" w:type="dxa"/>
            <w:vAlign w:val="center"/>
          </w:tcPr>
          <w:p>
            <w:pPr>
              <w:spacing w:line="240" w:lineRule="exact"/>
              <w:jc w:val="center"/>
              <w:rPr>
                <w:kern w:val="0"/>
                <w:sz w:val="20"/>
              </w:rPr>
            </w:pPr>
            <w:r>
              <w:rPr>
                <w:rFonts w:hint="eastAsia"/>
                <w:kern w:val="0"/>
                <w:sz w:val="20"/>
              </w:rPr>
              <w:t>2</w:t>
            </w:r>
          </w:p>
        </w:tc>
        <w:tc>
          <w:tcPr>
            <w:tcW w:w="1072" w:type="dxa"/>
            <w:vAlign w:val="center"/>
          </w:tcPr>
          <w:p>
            <w:pPr>
              <w:spacing w:line="240" w:lineRule="exact"/>
              <w:jc w:val="center"/>
              <w:rPr>
                <w:kern w:val="0"/>
                <w:sz w:val="20"/>
              </w:rPr>
            </w:pPr>
            <w:r>
              <w:rPr>
                <w:rFonts w:hint="eastAsia"/>
                <w:kern w:val="0"/>
                <w:sz w:val="20"/>
              </w:rPr>
              <w:t>0.75</w:t>
            </w:r>
          </w:p>
        </w:tc>
        <w:tc>
          <w:tcPr>
            <w:tcW w:w="1391" w:type="dxa"/>
            <w:vAlign w:val="center"/>
          </w:tcPr>
          <w:p>
            <w:pPr>
              <w:spacing w:line="240" w:lineRule="exact"/>
              <w:jc w:val="center"/>
              <w:rPr>
                <w:kern w:val="0"/>
                <w:sz w:val="20"/>
              </w:rPr>
            </w:pPr>
            <w:r>
              <w:rPr>
                <w:rFonts w:hint="eastAsia"/>
                <w:kern w:val="0"/>
                <w:sz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93" w:type="dxa"/>
            <w:vAlign w:val="center"/>
          </w:tcPr>
          <w:p>
            <w:pPr>
              <w:spacing w:line="240" w:lineRule="exact"/>
              <w:jc w:val="center"/>
              <w:rPr>
                <w:kern w:val="0"/>
                <w:sz w:val="20"/>
              </w:rPr>
            </w:pPr>
            <w:r>
              <w:rPr>
                <w:rFonts w:hint="eastAsia"/>
                <w:kern w:val="0"/>
                <w:sz w:val="20"/>
              </w:rPr>
              <w:t>3</w:t>
            </w:r>
          </w:p>
        </w:tc>
        <w:tc>
          <w:tcPr>
            <w:tcW w:w="1212" w:type="dxa"/>
            <w:vAlign w:val="center"/>
          </w:tcPr>
          <w:p>
            <w:pPr>
              <w:spacing w:line="240" w:lineRule="exact"/>
              <w:jc w:val="center"/>
              <w:rPr>
                <w:kern w:val="0"/>
                <w:sz w:val="20"/>
              </w:rPr>
            </w:pPr>
            <w:r>
              <w:rPr>
                <w:rFonts w:hint="eastAsia"/>
                <w:kern w:val="0"/>
                <w:sz w:val="20"/>
              </w:rPr>
              <w:t>LNG加气应急预案备案编制</w:t>
            </w:r>
          </w:p>
        </w:tc>
        <w:tc>
          <w:tcPr>
            <w:tcW w:w="4423" w:type="dxa"/>
            <w:vAlign w:val="center"/>
          </w:tcPr>
          <w:p>
            <w:pPr>
              <w:spacing w:line="240" w:lineRule="exact"/>
              <w:jc w:val="left"/>
              <w:rPr>
                <w:kern w:val="0"/>
                <w:sz w:val="20"/>
              </w:rPr>
            </w:pPr>
            <w:r>
              <w:rPr>
                <w:rFonts w:hint="eastAsia"/>
                <w:kern w:val="0"/>
                <w:sz w:val="20"/>
              </w:rPr>
              <w:t>编制LNG加气专章的应急预案备案报告，并通过专家评审，完成网上备案工作。</w:t>
            </w:r>
          </w:p>
          <w:p>
            <w:pPr>
              <w:spacing w:line="240" w:lineRule="exact"/>
              <w:jc w:val="left"/>
              <w:rPr>
                <w:kern w:val="0"/>
                <w:sz w:val="20"/>
              </w:rPr>
            </w:pPr>
          </w:p>
        </w:tc>
        <w:tc>
          <w:tcPr>
            <w:tcW w:w="876" w:type="dxa"/>
            <w:vAlign w:val="center"/>
          </w:tcPr>
          <w:p>
            <w:pPr>
              <w:spacing w:line="240" w:lineRule="exact"/>
              <w:jc w:val="center"/>
              <w:rPr>
                <w:kern w:val="0"/>
                <w:sz w:val="20"/>
              </w:rPr>
            </w:pPr>
            <w:r>
              <w:rPr>
                <w:rFonts w:hint="eastAsia"/>
                <w:kern w:val="0"/>
                <w:sz w:val="20"/>
              </w:rPr>
              <w:t>2</w:t>
            </w:r>
          </w:p>
        </w:tc>
        <w:tc>
          <w:tcPr>
            <w:tcW w:w="1072" w:type="dxa"/>
            <w:vAlign w:val="center"/>
          </w:tcPr>
          <w:p>
            <w:pPr>
              <w:spacing w:line="240" w:lineRule="exact"/>
              <w:jc w:val="center"/>
              <w:rPr>
                <w:kern w:val="0"/>
                <w:sz w:val="20"/>
              </w:rPr>
            </w:pPr>
            <w:r>
              <w:rPr>
                <w:rFonts w:hint="eastAsia"/>
                <w:kern w:val="0"/>
                <w:sz w:val="20"/>
              </w:rPr>
              <w:t>0.75</w:t>
            </w:r>
          </w:p>
        </w:tc>
        <w:tc>
          <w:tcPr>
            <w:tcW w:w="1391" w:type="dxa"/>
            <w:vAlign w:val="center"/>
          </w:tcPr>
          <w:p>
            <w:pPr>
              <w:spacing w:line="240" w:lineRule="exact"/>
              <w:jc w:val="center"/>
              <w:rPr>
                <w:kern w:val="0"/>
                <w:sz w:val="20"/>
              </w:rPr>
            </w:pPr>
          </w:p>
          <w:p>
            <w:pPr>
              <w:spacing w:line="240" w:lineRule="exact"/>
              <w:jc w:val="center"/>
              <w:rPr>
                <w:kern w:val="0"/>
                <w:sz w:val="20"/>
              </w:rPr>
            </w:pPr>
            <w:r>
              <w:rPr>
                <w:rFonts w:hint="eastAsia"/>
                <w:kern w:val="0"/>
                <w:sz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93" w:type="dxa"/>
            <w:vAlign w:val="center"/>
          </w:tcPr>
          <w:p>
            <w:pPr>
              <w:spacing w:line="240" w:lineRule="exact"/>
              <w:jc w:val="center"/>
              <w:rPr>
                <w:kern w:val="0"/>
                <w:sz w:val="20"/>
              </w:rPr>
            </w:pPr>
            <w:r>
              <w:rPr>
                <w:rFonts w:hint="eastAsia"/>
                <w:kern w:val="0"/>
                <w:sz w:val="20"/>
              </w:rPr>
              <w:t>4</w:t>
            </w:r>
          </w:p>
        </w:tc>
        <w:tc>
          <w:tcPr>
            <w:tcW w:w="1212" w:type="dxa"/>
            <w:vAlign w:val="center"/>
          </w:tcPr>
          <w:p>
            <w:pPr>
              <w:spacing w:line="240" w:lineRule="exact"/>
              <w:jc w:val="center"/>
              <w:rPr>
                <w:kern w:val="0"/>
                <w:sz w:val="20"/>
              </w:rPr>
            </w:pPr>
            <w:r>
              <w:rPr>
                <w:rFonts w:hint="eastAsia"/>
                <w:kern w:val="0"/>
                <w:sz w:val="20"/>
              </w:rPr>
              <w:t>LNG加气环保竣工验收</w:t>
            </w:r>
          </w:p>
        </w:tc>
        <w:tc>
          <w:tcPr>
            <w:tcW w:w="4423" w:type="dxa"/>
            <w:vAlign w:val="center"/>
          </w:tcPr>
          <w:p>
            <w:pPr>
              <w:spacing w:line="240" w:lineRule="exact"/>
              <w:jc w:val="left"/>
              <w:rPr>
                <w:rFonts w:ascii="宋体" w:hAnsi="宋体" w:cs="宋体"/>
                <w:kern w:val="0"/>
                <w:sz w:val="20"/>
              </w:rPr>
            </w:pPr>
          </w:p>
          <w:p>
            <w:pPr>
              <w:numPr>
                <w:ilvl w:val="0"/>
                <w:numId w:val="2"/>
              </w:numPr>
              <w:spacing w:line="240" w:lineRule="exact"/>
              <w:jc w:val="left"/>
              <w:rPr>
                <w:rFonts w:ascii="宋体" w:hAnsi="宋体" w:cs="宋体"/>
                <w:kern w:val="0"/>
                <w:sz w:val="20"/>
              </w:rPr>
            </w:pPr>
            <w:r>
              <w:rPr>
                <w:rFonts w:hint="eastAsia"/>
                <w:kern w:val="0"/>
                <w:sz w:val="20"/>
              </w:rPr>
              <w:t>LNG</w:t>
            </w:r>
            <w:r>
              <w:rPr>
                <w:rFonts w:hint="eastAsia" w:ascii="宋体" w:hAnsi="宋体" w:cs="宋体"/>
                <w:kern w:val="0"/>
                <w:sz w:val="20"/>
              </w:rPr>
              <w:t>加气的环保竣工验收（LNG特征因子）监测；</w:t>
            </w:r>
          </w:p>
          <w:p>
            <w:pPr>
              <w:spacing w:line="240" w:lineRule="exact"/>
              <w:jc w:val="left"/>
              <w:rPr>
                <w:kern w:val="0"/>
                <w:sz w:val="20"/>
              </w:rPr>
            </w:pPr>
            <w:r>
              <w:rPr>
                <w:rFonts w:hint="eastAsia" w:ascii="宋体" w:hAnsi="宋体" w:cs="宋体"/>
                <w:kern w:val="0"/>
                <w:sz w:val="20"/>
              </w:rPr>
              <w:t>2、编制</w:t>
            </w:r>
            <w:r>
              <w:rPr>
                <w:rFonts w:hint="eastAsia"/>
                <w:kern w:val="0"/>
                <w:sz w:val="20"/>
              </w:rPr>
              <w:t>LNG</w:t>
            </w:r>
            <w:r>
              <w:rPr>
                <w:rFonts w:hint="eastAsia" w:ascii="宋体" w:hAnsi="宋体" w:cs="宋体"/>
                <w:kern w:val="0"/>
                <w:sz w:val="20"/>
              </w:rPr>
              <w:t>加气专章环保竣工验收报告及验收工作；完成</w:t>
            </w:r>
            <w:r>
              <w:rPr>
                <w:rFonts w:hint="eastAsia"/>
                <w:kern w:val="0"/>
                <w:sz w:val="20"/>
              </w:rPr>
              <w:t>LNG加气部分在</w:t>
            </w:r>
            <w:r>
              <w:rPr>
                <w:rFonts w:hint="eastAsia" w:ascii="宋体" w:hAnsi="宋体" w:cs="宋体"/>
                <w:kern w:val="0"/>
                <w:sz w:val="20"/>
              </w:rPr>
              <w:t>国家生态环境部建设项目竣工验收网上的验收备案工作。</w:t>
            </w:r>
          </w:p>
        </w:tc>
        <w:tc>
          <w:tcPr>
            <w:tcW w:w="876" w:type="dxa"/>
            <w:vAlign w:val="center"/>
          </w:tcPr>
          <w:p>
            <w:pPr>
              <w:spacing w:line="240" w:lineRule="exact"/>
              <w:jc w:val="center"/>
              <w:rPr>
                <w:kern w:val="0"/>
                <w:sz w:val="20"/>
              </w:rPr>
            </w:pPr>
            <w:r>
              <w:rPr>
                <w:rFonts w:hint="eastAsia"/>
                <w:kern w:val="0"/>
                <w:sz w:val="20"/>
              </w:rPr>
              <w:t>2</w:t>
            </w:r>
          </w:p>
        </w:tc>
        <w:tc>
          <w:tcPr>
            <w:tcW w:w="1072" w:type="dxa"/>
            <w:vAlign w:val="center"/>
          </w:tcPr>
          <w:p>
            <w:pPr>
              <w:spacing w:line="240" w:lineRule="exact"/>
              <w:jc w:val="center"/>
              <w:rPr>
                <w:kern w:val="0"/>
                <w:sz w:val="20"/>
              </w:rPr>
            </w:pPr>
            <w:r>
              <w:rPr>
                <w:rFonts w:hint="eastAsia"/>
                <w:kern w:val="0"/>
                <w:sz w:val="20"/>
              </w:rPr>
              <w:t>2.5</w:t>
            </w:r>
          </w:p>
        </w:tc>
        <w:tc>
          <w:tcPr>
            <w:tcW w:w="1391" w:type="dxa"/>
            <w:vAlign w:val="center"/>
          </w:tcPr>
          <w:p>
            <w:pPr>
              <w:spacing w:line="240" w:lineRule="exact"/>
              <w:jc w:val="center"/>
              <w:rPr>
                <w:kern w:val="0"/>
                <w:sz w:val="20"/>
              </w:rPr>
            </w:pPr>
          </w:p>
          <w:p>
            <w:pPr>
              <w:spacing w:line="240" w:lineRule="exact"/>
              <w:jc w:val="center"/>
              <w:rPr>
                <w:kern w:val="0"/>
                <w:sz w:val="20"/>
              </w:rPr>
            </w:pPr>
            <w:r>
              <w:rPr>
                <w:rFonts w:hint="eastAsia"/>
                <w:kern w:val="0"/>
                <w:sz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93" w:type="dxa"/>
            <w:vAlign w:val="center"/>
          </w:tcPr>
          <w:p>
            <w:pPr>
              <w:spacing w:line="240" w:lineRule="exact"/>
              <w:jc w:val="center"/>
              <w:rPr>
                <w:kern w:val="0"/>
                <w:sz w:val="20"/>
              </w:rPr>
            </w:pPr>
            <w:r>
              <w:rPr>
                <w:rFonts w:hint="eastAsia"/>
                <w:kern w:val="0"/>
                <w:sz w:val="20"/>
              </w:rPr>
              <w:t>5</w:t>
            </w:r>
          </w:p>
        </w:tc>
        <w:tc>
          <w:tcPr>
            <w:tcW w:w="1212" w:type="dxa"/>
            <w:vAlign w:val="center"/>
          </w:tcPr>
          <w:p>
            <w:pPr>
              <w:spacing w:line="240" w:lineRule="exact"/>
              <w:jc w:val="center"/>
              <w:rPr>
                <w:kern w:val="0"/>
                <w:sz w:val="20"/>
              </w:rPr>
            </w:pPr>
            <w:r>
              <w:rPr>
                <w:rFonts w:hint="eastAsia"/>
                <w:kern w:val="0"/>
                <w:sz w:val="20"/>
              </w:rPr>
              <w:t>小计</w:t>
            </w:r>
          </w:p>
        </w:tc>
        <w:tc>
          <w:tcPr>
            <w:tcW w:w="4423" w:type="dxa"/>
            <w:vAlign w:val="center"/>
          </w:tcPr>
          <w:p>
            <w:pPr>
              <w:spacing w:line="240" w:lineRule="exact"/>
              <w:jc w:val="left"/>
              <w:rPr>
                <w:rFonts w:ascii="宋体" w:hAnsi="宋体" w:cs="宋体"/>
                <w:kern w:val="0"/>
                <w:sz w:val="20"/>
              </w:rPr>
            </w:pPr>
          </w:p>
        </w:tc>
        <w:tc>
          <w:tcPr>
            <w:tcW w:w="876" w:type="dxa"/>
            <w:vAlign w:val="center"/>
          </w:tcPr>
          <w:p>
            <w:pPr>
              <w:spacing w:line="240" w:lineRule="exact"/>
              <w:jc w:val="center"/>
              <w:rPr>
                <w:kern w:val="0"/>
                <w:sz w:val="20"/>
              </w:rPr>
            </w:pPr>
            <w:r>
              <w:rPr>
                <w:rFonts w:hint="eastAsia"/>
                <w:kern w:val="0"/>
                <w:sz w:val="20"/>
              </w:rPr>
              <w:t>8</w:t>
            </w:r>
          </w:p>
        </w:tc>
        <w:tc>
          <w:tcPr>
            <w:tcW w:w="1072" w:type="dxa"/>
            <w:vAlign w:val="center"/>
          </w:tcPr>
          <w:p>
            <w:pPr>
              <w:spacing w:line="240" w:lineRule="exact"/>
              <w:jc w:val="center"/>
              <w:rPr>
                <w:kern w:val="0"/>
                <w:sz w:val="20"/>
              </w:rPr>
            </w:pPr>
            <w:r>
              <w:rPr>
                <w:rFonts w:hint="eastAsia"/>
                <w:kern w:val="0"/>
                <w:sz w:val="20"/>
              </w:rPr>
              <w:t>6.6</w:t>
            </w:r>
          </w:p>
        </w:tc>
        <w:tc>
          <w:tcPr>
            <w:tcW w:w="1391" w:type="dxa"/>
            <w:vAlign w:val="center"/>
          </w:tcPr>
          <w:p>
            <w:pPr>
              <w:spacing w:line="240" w:lineRule="exact"/>
              <w:jc w:val="center"/>
              <w:rPr>
                <w:kern w:val="0"/>
                <w:sz w:val="20"/>
              </w:rPr>
            </w:pPr>
            <w:r>
              <w:rPr>
                <w:rFonts w:hint="eastAsia"/>
                <w:kern w:val="0"/>
                <w:sz w:val="20"/>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905" w:type="dxa"/>
            <w:gridSpan w:val="2"/>
            <w:vAlign w:val="center"/>
          </w:tcPr>
          <w:p>
            <w:pPr>
              <w:spacing w:line="240" w:lineRule="exact"/>
              <w:jc w:val="center"/>
              <w:rPr>
                <w:kern w:val="0"/>
                <w:sz w:val="20"/>
              </w:rPr>
            </w:pPr>
            <w:r>
              <w:rPr>
                <w:rFonts w:hint="eastAsia"/>
                <w:kern w:val="0"/>
                <w:sz w:val="20"/>
              </w:rPr>
              <w:t>合计金额</w:t>
            </w:r>
          </w:p>
        </w:tc>
        <w:tc>
          <w:tcPr>
            <w:tcW w:w="6371" w:type="dxa"/>
            <w:gridSpan w:val="3"/>
            <w:vAlign w:val="center"/>
          </w:tcPr>
          <w:p>
            <w:pPr>
              <w:spacing w:line="240" w:lineRule="exact"/>
              <w:jc w:val="left"/>
              <w:rPr>
                <w:kern w:val="0"/>
                <w:sz w:val="20"/>
              </w:rPr>
            </w:pPr>
            <w:r>
              <w:rPr>
                <w:rFonts w:hint="eastAsia"/>
                <w:kern w:val="0"/>
                <w:sz w:val="20"/>
              </w:rPr>
              <w:t>大写：伍拾壹万贰仟元正</w:t>
            </w:r>
          </w:p>
        </w:tc>
        <w:tc>
          <w:tcPr>
            <w:tcW w:w="1391" w:type="dxa"/>
            <w:vAlign w:val="center"/>
          </w:tcPr>
          <w:p>
            <w:pPr>
              <w:spacing w:line="240" w:lineRule="exact"/>
              <w:jc w:val="center"/>
              <w:rPr>
                <w:kern w:val="0"/>
                <w:sz w:val="20"/>
              </w:rPr>
            </w:pPr>
            <w:r>
              <w:rPr>
                <w:rFonts w:hint="eastAsia"/>
                <w:kern w:val="0"/>
                <w:sz w:val="20"/>
              </w:rPr>
              <w:t>51.2</w:t>
            </w:r>
          </w:p>
        </w:tc>
      </w:tr>
    </w:tbl>
    <w:p>
      <w:pPr>
        <w:sectPr>
          <w:pgSz w:w="11906" w:h="16838"/>
          <w:pgMar w:top="567" w:right="1797" w:bottom="1276" w:left="1797" w:header="851" w:footer="992" w:gutter="0"/>
          <w:cols w:space="720" w:num="1"/>
          <w:docGrid w:type="lines" w:linePitch="312" w:charSpace="0"/>
        </w:sectPr>
      </w:pPr>
    </w:p>
    <w:p>
      <w:pPr>
        <w:pStyle w:val="2"/>
        <w:numPr>
          <w:ilvl w:val="0"/>
          <w:numId w:val="3"/>
        </w:numPr>
        <w:tabs>
          <w:tab w:val="left" w:pos="3360"/>
        </w:tabs>
        <w:spacing w:before="0" w:after="0" w:line="360" w:lineRule="auto"/>
        <w:jc w:val="center"/>
        <w:rPr>
          <w:rFonts w:ascii="宋体" w:hAnsi="宋体"/>
          <w:color w:val="000000"/>
        </w:rPr>
      </w:pPr>
      <w:r>
        <w:rPr>
          <w:rFonts w:hint="eastAsia" w:ascii="宋体" w:hAnsi="宋体"/>
          <w:color w:val="000000"/>
        </w:rPr>
        <w:t>竞争性比选方法（综合评估法）</w:t>
      </w:r>
    </w:p>
    <w:p>
      <w:pPr>
        <w:jc w:val="center"/>
        <w:rPr>
          <w:rFonts w:ascii="宋体" w:hAnsi="宋体" w:cs="宋体"/>
          <w:b/>
          <w:color w:val="000000"/>
          <w:kern w:val="0"/>
          <w:sz w:val="32"/>
          <w:szCs w:val="32"/>
          <w:lang w:bidi="ar"/>
        </w:rPr>
      </w:pPr>
      <w:r>
        <w:rPr>
          <w:rFonts w:hint="eastAsia" w:ascii="宋体" w:hAnsi="宋体" w:cs="宋体"/>
          <w:b/>
          <w:color w:val="000000"/>
          <w:kern w:val="0"/>
          <w:sz w:val="32"/>
          <w:szCs w:val="32"/>
          <w:lang w:bidi="ar"/>
        </w:rPr>
        <w:t>评标办法（综合评估法）</w:t>
      </w:r>
    </w:p>
    <w:tbl>
      <w:tblPr>
        <w:tblStyle w:val="16"/>
        <w:tblW w:w="8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154"/>
        <w:gridCol w:w="733"/>
        <w:gridCol w:w="760"/>
        <w:gridCol w:w="7"/>
        <w:gridCol w:w="833"/>
        <w:gridCol w:w="5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33" w:type="dxa"/>
            <w:gridSpan w:val="2"/>
            <w:vAlign w:val="center"/>
          </w:tcPr>
          <w:p>
            <w:pPr>
              <w:jc w:val="center"/>
              <w:rPr>
                <w:rFonts w:ascii="宋体" w:hAnsi="宋体"/>
                <w:b/>
                <w:szCs w:val="21"/>
              </w:rPr>
            </w:pPr>
            <w:r>
              <w:rPr>
                <w:rFonts w:ascii="宋体" w:hAnsi="宋体"/>
                <w:b/>
                <w:szCs w:val="21"/>
              </w:rPr>
              <w:t>条款名称</w:t>
            </w:r>
          </w:p>
        </w:tc>
        <w:tc>
          <w:tcPr>
            <w:tcW w:w="7550" w:type="dxa"/>
            <w:gridSpan w:val="5"/>
            <w:vAlign w:val="center"/>
          </w:tcPr>
          <w:p>
            <w:pPr>
              <w:jc w:val="center"/>
              <w:rPr>
                <w:rFonts w:ascii="宋体" w:hAnsi="宋体"/>
                <w:b/>
                <w:szCs w:val="21"/>
              </w:rPr>
            </w:pPr>
            <w:r>
              <w:rPr>
                <w:rFonts w:ascii="宋体" w:hAnsi="宋体"/>
                <w:b/>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33" w:type="dxa"/>
            <w:gridSpan w:val="2"/>
            <w:vAlign w:val="center"/>
          </w:tcPr>
          <w:p>
            <w:pPr>
              <w:jc w:val="center"/>
              <w:rPr>
                <w:rFonts w:ascii="宋体" w:hAnsi="宋体"/>
                <w:szCs w:val="21"/>
              </w:rPr>
            </w:pPr>
            <w:r>
              <w:rPr>
                <w:rFonts w:ascii="宋体" w:hAnsi="宋体"/>
                <w:szCs w:val="21"/>
              </w:rPr>
              <w:t>初步评审</w:t>
            </w:r>
          </w:p>
        </w:tc>
        <w:tc>
          <w:tcPr>
            <w:tcW w:w="7550" w:type="dxa"/>
            <w:gridSpan w:val="5"/>
            <w:vAlign w:val="center"/>
          </w:tcPr>
          <w:p>
            <w:pPr>
              <w:spacing w:line="324" w:lineRule="auto"/>
              <w:rPr>
                <w:rFonts w:ascii="宋体" w:hAnsi="宋体"/>
                <w:szCs w:val="21"/>
              </w:rPr>
            </w:pPr>
            <w:r>
              <w:rPr>
                <w:rFonts w:hint="eastAsia" w:ascii="宋体" w:hAnsi="宋体"/>
                <w:szCs w:val="21"/>
              </w:rPr>
              <w:t>（1）竞争性比选申请文件</w:t>
            </w:r>
            <w:r>
              <w:rPr>
                <w:rFonts w:ascii="宋体" w:hAnsi="宋体"/>
                <w:szCs w:val="21"/>
              </w:rPr>
              <w:t>按照</w:t>
            </w:r>
            <w:r>
              <w:rPr>
                <w:rFonts w:hint="eastAsia" w:ascii="宋体" w:hAnsi="宋体"/>
                <w:szCs w:val="21"/>
              </w:rPr>
              <w:t>竞争性比选文件</w:t>
            </w:r>
            <w:r>
              <w:rPr>
                <w:rFonts w:ascii="宋体" w:hAnsi="宋体"/>
                <w:szCs w:val="21"/>
              </w:rPr>
              <w:t>规定的格式、内容填写，字迹清晰可辨；</w:t>
            </w:r>
            <w:r>
              <w:rPr>
                <w:rFonts w:hint="eastAsia" w:ascii="宋体" w:hAnsi="宋体"/>
                <w:szCs w:val="21"/>
              </w:rPr>
              <w:t xml:space="preserve"> </w:t>
            </w:r>
          </w:p>
          <w:p>
            <w:pPr>
              <w:spacing w:line="324" w:lineRule="auto"/>
              <w:rPr>
                <w:rFonts w:ascii="宋体" w:hAnsi="宋体"/>
                <w:szCs w:val="21"/>
              </w:rPr>
            </w:pPr>
            <w:r>
              <w:rPr>
                <w:rFonts w:hint="eastAsia" w:ascii="宋体" w:hAnsi="宋体"/>
                <w:szCs w:val="21"/>
              </w:rPr>
              <w:t>（2）竞争性比选申请文件</w:t>
            </w:r>
            <w:r>
              <w:rPr>
                <w:rFonts w:ascii="宋体" w:hAnsi="宋体"/>
                <w:szCs w:val="21"/>
              </w:rPr>
              <w:t>上法定代表人或其授权代理人的签字、</w:t>
            </w:r>
            <w:r>
              <w:rPr>
                <w:rFonts w:hint="eastAsia" w:ascii="宋体" w:hAnsi="宋体"/>
                <w:szCs w:val="21"/>
              </w:rPr>
              <w:t>比选申请人</w:t>
            </w:r>
            <w:r>
              <w:rPr>
                <w:rFonts w:ascii="宋体" w:hAnsi="宋体"/>
                <w:szCs w:val="21"/>
              </w:rPr>
              <w:t>的单位章齐全，符合</w:t>
            </w:r>
            <w:r>
              <w:rPr>
                <w:rFonts w:hint="eastAsia" w:ascii="宋体" w:hAnsi="宋体"/>
                <w:szCs w:val="21"/>
              </w:rPr>
              <w:t>竞争性比选文件</w:t>
            </w:r>
            <w:r>
              <w:rPr>
                <w:rFonts w:ascii="宋体" w:hAnsi="宋体"/>
                <w:szCs w:val="21"/>
              </w:rPr>
              <w:t>规定；</w:t>
            </w:r>
          </w:p>
          <w:p>
            <w:pPr>
              <w:spacing w:line="324" w:lineRule="auto"/>
              <w:rPr>
                <w:rFonts w:ascii="宋体" w:hAnsi="宋体"/>
                <w:szCs w:val="21"/>
              </w:rPr>
            </w:pPr>
            <w:r>
              <w:rPr>
                <w:rFonts w:hint="eastAsia" w:ascii="宋体" w:hAnsi="宋体"/>
                <w:szCs w:val="21"/>
              </w:rPr>
              <w:t>（3）比选申请人按照前述要求提供了法定代表人的授权委托书或法定代表人身份证明。</w:t>
            </w:r>
          </w:p>
          <w:p>
            <w:pPr>
              <w:spacing w:line="324" w:lineRule="auto"/>
              <w:rPr>
                <w:rFonts w:ascii="宋体" w:hAnsi="宋体"/>
                <w:szCs w:val="21"/>
              </w:rPr>
            </w:pPr>
            <w:r>
              <w:rPr>
                <w:rFonts w:hint="eastAsia" w:ascii="宋体" w:hAnsi="宋体"/>
                <w:szCs w:val="21"/>
              </w:rPr>
              <w:t>（4）比选申请人未提供虚假资料；</w:t>
            </w:r>
          </w:p>
          <w:p>
            <w:pPr>
              <w:spacing w:line="324" w:lineRule="auto"/>
              <w:rPr>
                <w:rFonts w:ascii="宋体" w:hAnsi="宋体"/>
                <w:szCs w:val="21"/>
              </w:rPr>
            </w:pPr>
            <w:r>
              <w:rPr>
                <w:rFonts w:hint="eastAsia" w:ascii="宋体" w:hAnsi="宋体"/>
                <w:szCs w:val="21"/>
              </w:rPr>
              <w:t>（5）在报价函上填写了竞标总价（包括大写金额和小写金额），竞标总价不高于比选人公布的最高竞标限价，且报价唯一；</w:t>
            </w:r>
          </w:p>
          <w:p>
            <w:pPr>
              <w:spacing w:line="324" w:lineRule="auto"/>
              <w:rPr>
                <w:rFonts w:ascii="宋体" w:hAnsi="宋体"/>
                <w:szCs w:val="21"/>
              </w:rPr>
            </w:pPr>
            <w:r>
              <w:rPr>
                <w:rFonts w:hint="eastAsia" w:ascii="宋体" w:hAnsi="宋体"/>
                <w:szCs w:val="21"/>
              </w:rPr>
              <w:t>（6）比选申请人没有围标串标行为。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466" w:type="dxa"/>
            <w:gridSpan w:val="3"/>
            <w:vAlign w:val="center"/>
          </w:tcPr>
          <w:p>
            <w:pPr>
              <w:rPr>
                <w:rFonts w:ascii="宋体" w:hAnsi="宋体"/>
                <w:b/>
                <w:szCs w:val="21"/>
              </w:rPr>
            </w:pPr>
            <w:r>
              <w:rPr>
                <w:rFonts w:ascii="宋体" w:hAnsi="宋体"/>
                <w:b/>
                <w:szCs w:val="21"/>
              </w:rPr>
              <w:t>条款名称</w:t>
            </w:r>
          </w:p>
        </w:tc>
        <w:tc>
          <w:tcPr>
            <w:tcW w:w="6817" w:type="dxa"/>
            <w:gridSpan w:val="4"/>
            <w:vAlign w:val="center"/>
          </w:tcPr>
          <w:p>
            <w:pPr>
              <w:jc w:val="center"/>
              <w:rPr>
                <w:rFonts w:ascii="宋体" w:hAnsi="宋体"/>
                <w:b/>
                <w:szCs w:val="21"/>
              </w:rPr>
            </w:pPr>
            <w:r>
              <w:rPr>
                <w:rFonts w:ascii="宋体" w:hAnsi="宋体"/>
                <w:b/>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gridSpan w:val="3"/>
            <w:vAlign w:val="center"/>
          </w:tcPr>
          <w:p>
            <w:pPr>
              <w:spacing w:line="400" w:lineRule="exact"/>
              <w:jc w:val="center"/>
              <w:rPr>
                <w:rFonts w:ascii="宋体" w:hAnsi="宋体"/>
                <w:szCs w:val="21"/>
              </w:rPr>
            </w:pPr>
            <w:r>
              <w:rPr>
                <w:rFonts w:ascii="宋体" w:hAnsi="宋体"/>
                <w:szCs w:val="21"/>
              </w:rPr>
              <w:t xml:space="preserve"> </w:t>
            </w:r>
            <w:r>
              <w:rPr>
                <w:rFonts w:hint="eastAsia" w:ascii="宋体" w:hAnsi="宋体"/>
                <w:szCs w:val="21"/>
              </w:rPr>
              <w:t>详细评审</w:t>
            </w:r>
          </w:p>
        </w:tc>
        <w:tc>
          <w:tcPr>
            <w:tcW w:w="6817" w:type="dxa"/>
            <w:gridSpan w:val="4"/>
            <w:vAlign w:val="center"/>
          </w:tcPr>
          <w:p>
            <w:pPr>
              <w:snapToGrid w:val="0"/>
              <w:spacing w:line="360" w:lineRule="exact"/>
              <w:rPr>
                <w:szCs w:val="20"/>
                <w:u w:val="single"/>
              </w:rPr>
            </w:pPr>
            <w:r>
              <w:rPr>
                <w:rFonts w:hint="eastAsia"/>
                <w:szCs w:val="20"/>
                <w:u w:val="single"/>
              </w:rPr>
              <w:t>投标总报价：70 分</w:t>
            </w:r>
          </w:p>
          <w:p>
            <w:pPr>
              <w:snapToGrid w:val="0"/>
              <w:spacing w:line="360" w:lineRule="exact"/>
              <w:rPr>
                <w:szCs w:val="20"/>
                <w:u w:val="single"/>
              </w:rPr>
            </w:pPr>
            <w:r>
              <w:rPr>
                <w:rFonts w:hint="eastAsia"/>
                <w:szCs w:val="20"/>
                <w:u w:val="single"/>
              </w:rPr>
              <w:t>服务方案： 30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1466" w:type="dxa"/>
            <w:gridSpan w:val="3"/>
            <w:vAlign w:val="center"/>
          </w:tcPr>
          <w:p>
            <w:pPr>
              <w:spacing w:line="400" w:lineRule="exact"/>
              <w:jc w:val="center"/>
              <w:rPr>
                <w:rFonts w:ascii="宋体" w:hAnsi="宋体"/>
                <w:szCs w:val="21"/>
              </w:rPr>
            </w:pPr>
            <w:r>
              <w:rPr>
                <w:rFonts w:ascii="宋体" w:hAnsi="宋体"/>
                <w:szCs w:val="21"/>
              </w:rPr>
              <w:t xml:space="preserve"> </w:t>
            </w:r>
            <w:r>
              <w:rPr>
                <w:rFonts w:hint="eastAsia" w:ascii="宋体" w:hAnsi="宋体"/>
                <w:szCs w:val="21"/>
              </w:rPr>
              <w:t>澄清</w:t>
            </w:r>
          </w:p>
        </w:tc>
        <w:tc>
          <w:tcPr>
            <w:tcW w:w="6817" w:type="dxa"/>
            <w:gridSpan w:val="4"/>
            <w:vAlign w:val="center"/>
          </w:tcPr>
          <w:p>
            <w:pPr>
              <w:spacing w:line="400" w:lineRule="exact"/>
              <w:ind w:right="420" w:rightChars="200"/>
              <w:rPr>
                <w:rFonts w:ascii="宋体" w:hAnsi="宋体"/>
                <w:szCs w:val="21"/>
              </w:rPr>
            </w:pPr>
            <w:r>
              <w:rPr>
                <w:rFonts w:hint="eastAsia" w:ascii="宋体" w:hAnsi="宋体"/>
                <w:szCs w:val="21"/>
              </w:rPr>
              <w:t>发生以下任一情形的，作废标处理：</w:t>
            </w:r>
          </w:p>
          <w:p>
            <w:pPr>
              <w:spacing w:line="400" w:lineRule="exact"/>
              <w:ind w:right="420" w:right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）比选申请人拒绝确认算术性修正后的报价；</w:t>
            </w:r>
          </w:p>
          <w:p>
            <w:pPr>
              <w:spacing w:line="400" w:lineRule="exact"/>
              <w:ind w:right="420" w:rightChars="2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）修正后的最终投标报价超过最高竞标限价；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466" w:type="dxa"/>
            <w:gridSpan w:val="3"/>
            <w:vAlign w:val="center"/>
          </w:tcPr>
          <w:p>
            <w:pPr>
              <w:spacing w:line="400" w:lineRule="exact"/>
              <w:jc w:val="center"/>
              <w:rPr>
                <w:rFonts w:ascii="宋体" w:hAnsi="宋体"/>
                <w:szCs w:val="21"/>
              </w:rPr>
            </w:pPr>
            <w:r>
              <w:rPr>
                <w:rFonts w:hint="eastAsia" w:ascii="宋体" w:hAnsi="宋体"/>
                <w:szCs w:val="21"/>
              </w:rPr>
              <w:t>视为比选申请人相互串通投标的情形</w:t>
            </w:r>
          </w:p>
        </w:tc>
        <w:tc>
          <w:tcPr>
            <w:tcW w:w="6817" w:type="dxa"/>
            <w:gridSpan w:val="4"/>
            <w:vAlign w:val="center"/>
          </w:tcPr>
          <w:p>
            <w:pPr>
              <w:spacing w:line="400" w:lineRule="exact"/>
              <w:ind w:right="420" w:rightChars="200"/>
              <w:rPr>
                <w:rFonts w:ascii="宋体" w:hAnsi="宋体"/>
                <w:b/>
                <w:szCs w:val="21"/>
              </w:rPr>
            </w:pPr>
            <w:r>
              <w:rPr>
                <w:rFonts w:hint="eastAsia" w:ascii="宋体" w:hAnsi="宋体"/>
                <w:b/>
                <w:szCs w:val="21"/>
              </w:rPr>
              <w:t>有下列情况之一的，视为比选申请人相互串通投标，做废标处理。</w:t>
            </w:r>
          </w:p>
          <w:p>
            <w:pPr>
              <w:numPr>
                <w:ilvl w:val="0"/>
                <w:numId w:val="4"/>
              </w:numPr>
              <w:spacing w:line="400" w:lineRule="exact"/>
              <w:ind w:right="420" w:rightChars="200"/>
              <w:rPr>
                <w:rFonts w:ascii="宋体" w:hAnsi="宋体"/>
                <w:szCs w:val="21"/>
              </w:rPr>
            </w:pPr>
            <w:r>
              <w:rPr>
                <w:rFonts w:hint="eastAsia" w:ascii="宋体" w:hAnsi="宋体"/>
                <w:szCs w:val="21"/>
              </w:rPr>
              <w:t>不同比选申请人的竞争性比选申请文件由同一单位或者个人编制；</w:t>
            </w:r>
          </w:p>
          <w:p>
            <w:pPr>
              <w:numPr>
                <w:ilvl w:val="0"/>
                <w:numId w:val="4"/>
              </w:numPr>
              <w:spacing w:line="400" w:lineRule="exact"/>
              <w:ind w:right="420" w:rightChars="200"/>
              <w:rPr>
                <w:rFonts w:ascii="宋体" w:hAnsi="宋体"/>
                <w:szCs w:val="21"/>
              </w:rPr>
            </w:pPr>
            <w:r>
              <w:rPr>
                <w:rFonts w:hint="eastAsia" w:ascii="宋体" w:hAnsi="宋体"/>
                <w:szCs w:val="21"/>
              </w:rPr>
              <w:t>不同比选申请人委托同一单位或者个人办理投标事宜；</w:t>
            </w:r>
          </w:p>
          <w:p>
            <w:pPr>
              <w:numPr>
                <w:ilvl w:val="0"/>
                <w:numId w:val="4"/>
              </w:numPr>
              <w:spacing w:line="400" w:lineRule="exact"/>
              <w:ind w:right="420" w:rightChars="200"/>
              <w:rPr>
                <w:rFonts w:ascii="宋体" w:hAnsi="宋体"/>
                <w:szCs w:val="21"/>
              </w:rPr>
            </w:pPr>
            <w:r>
              <w:rPr>
                <w:rFonts w:hint="eastAsia" w:ascii="宋体" w:hAnsi="宋体"/>
                <w:szCs w:val="21"/>
              </w:rPr>
              <w:t>不同比选申请人的竞争性比选申请文件载明的项目管理成员为同一人；</w:t>
            </w:r>
          </w:p>
          <w:p>
            <w:pPr>
              <w:numPr>
                <w:ilvl w:val="0"/>
                <w:numId w:val="4"/>
              </w:numPr>
              <w:spacing w:line="400" w:lineRule="exact"/>
              <w:ind w:right="420" w:rightChars="200"/>
              <w:rPr>
                <w:rFonts w:ascii="宋体" w:hAnsi="宋体"/>
                <w:szCs w:val="21"/>
              </w:rPr>
            </w:pPr>
            <w:r>
              <w:rPr>
                <w:rFonts w:hint="eastAsia" w:ascii="宋体" w:hAnsi="宋体"/>
                <w:szCs w:val="21"/>
              </w:rPr>
              <w:t>不同比选申请人的竞争性比选申请文件异常一致或者投标报价呈规律性差异；</w:t>
            </w:r>
          </w:p>
          <w:p>
            <w:pPr>
              <w:numPr>
                <w:ilvl w:val="0"/>
                <w:numId w:val="4"/>
              </w:numPr>
              <w:spacing w:line="400" w:lineRule="exact"/>
              <w:ind w:right="420" w:rightChars="200"/>
              <w:rPr>
                <w:rFonts w:ascii="宋体" w:hAnsi="宋体"/>
                <w:szCs w:val="21"/>
              </w:rPr>
            </w:pPr>
            <w:r>
              <w:rPr>
                <w:rFonts w:hint="eastAsia" w:ascii="宋体" w:hAnsi="宋体"/>
                <w:szCs w:val="21"/>
              </w:rPr>
              <w:t>不同比选申请人的竞争性比选申请文件相互混装；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3066" w:type="dxa"/>
            <w:gridSpan w:val="6"/>
            <w:vAlign w:val="center"/>
          </w:tcPr>
          <w:p>
            <w:pPr>
              <w:spacing w:line="360" w:lineRule="exact"/>
              <w:rPr>
                <w:rFonts w:ascii="宋体" w:hAnsi="宋体"/>
                <w:b/>
                <w:szCs w:val="21"/>
              </w:rPr>
            </w:pPr>
            <w:r>
              <w:rPr>
                <w:rFonts w:hint="eastAsia" w:ascii="宋体" w:hAnsi="宋体"/>
                <w:b/>
                <w:szCs w:val="21"/>
              </w:rPr>
              <w:t>服务方案得分(30分)</w:t>
            </w:r>
          </w:p>
        </w:tc>
        <w:tc>
          <w:tcPr>
            <w:tcW w:w="5217" w:type="dxa"/>
            <w:vMerge w:val="restart"/>
            <w:vAlign w:val="center"/>
          </w:tcPr>
          <w:p>
            <w:pPr>
              <w:spacing w:line="360" w:lineRule="exact"/>
              <w:jc w:val="center"/>
              <w:rPr>
                <w:rFonts w:ascii="宋体" w:hAnsi="宋体"/>
                <w:b/>
                <w:szCs w:val="21"/>
              </w:rPr>
            </w:pPr>
            <w:r>
              <w:rPr>
                <w:rFonts w:ascii="宋体" w:hAnsi="宋体"/>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579" w:type="dxa"/>
            <w:vAlign w:val="center"/>
          </w:tcPr>
          <w:p>
            <w:pPr>
              <w:spacing w:line="240" w:lineRule="exact"/>
              <w:jc w:val="center"/>
              <w:rPr>
                <w:rFonts w:ascii="宋体" w:hAnsi="宋体"/>
                <w:b/>
                <w:szCs w:val="21"/>
              </w:rPr>
            </w:pPr>
            <w:r>
              <w:rPr>
                <w:rFonts w:ascii="宋体" w:hAnsi="宋体"/>
                <w:b/>
                <w:szCs w:val="21"/>
              </w:rPr>
              <w:t>序号</w:t>
            </w:r>
          </w:p>
        </w:tc>
        <w:tc>
          <w:tcPr>
            <w:tcW w:w="1647" w:type="dxa"/>
            <w:gridSpan w:val="3"/>
            <w:vAlign w:val="center"/>
          </w:tcPr>
          <w:p>
            <w:pPr>
              <w:spacing w:line="240" w:lineRule="exact"/>
              <w:jc w:val="center"/>
              <w:rPr>
                <w:rFonts w:ascii="宋体" w:hAnsi="宋体"/>
                <w:b/>
                <w:szCs w:val="21"/>
              </w:rPr>
            </w:pPr>
            <w:r>
              <w:rPr>
                <w:rFonts w:ascii="宋体" w:hAnsi="宋体"/>
                <w:b/>
                <w:szCs w:val="21"/>
              </w:rPr>
              <w:t>评审</w:t>
            </w:r>
          </w:p>
          <w:p>
            <w:pPr>
              <w:spacing w:line="240" w:lineRule="exact"/>
              <w:jc w:val="center"/>
              <w:rPr>
                <w:rFonts w:ascii="宋体" w:hAnsi="宋体"/>
                <w:b/>
                <w:szCs w:val="21"/>
              </w:rPr>
            </w:pPr>
            <w:r>
              <w:rPr>
                <w:rFonts w:ascii="宋体" w:hAnsi="宋体"/>
                <w:b/>
                <w:szCs w:val="21"/>
              </w:rPr>
              <w:t>因素</w:t>
            </w:r>
          </w:p>
        </w:tc>
        <w:tc>
          <w:tcPr>
            <w:tcW w:w="840" w:type="dxa"/>
            <w:gridSpan w:val="2"/>
            <w:vAlign w:val="center"/>
          </w:tcPr>
          <w:p>
            <w:pPr>
              <w:spacing w:line="240" w:lineRule="exact"/>
              <w:jc w:val="center"/>
              <w:rPr>
                <w:rFonts w:ascii="宋体" w:hAnsi="宋体"/>
                <w:b/>
                <w:szCs w:val="21"/>
              </w:rPr>
            </w:pPr>
            <w:r>
              <w:rPr>
                <w:rFonts w:ascii="宋体" w:hAnsi="宋体"/>
                <w:b/>
                <w:szCs w:val="21"/>
              </w:rPr>
              <w:t>评审因素评分值</w:t>
            </w:r>
          </w:p>
        </w:tc>
        <w:tc>
          <w:tcPr>
            <w:tcW w:w="5217" w:type="dxa"/>
            <w:vMerge w:val="continue"/>
            <w:vAlign w:val="center"/>
          </w:tcPr>
          <w:p>
            <w:pPr>
              <w:spacing w:line="360" w:lineRule="exact"/>
              <w:ind w:firstLine="210" w:firstLineChars="1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79" w:type="dxa"/>
            <w:vAlign w:val="center"/>
          </w:tcPr>
          <w:p>
            <w:pPr>
              <w:spacing w:line="324" w:lineRule="auto"/>
              <w:rPr>
                <w:rFonts w:ascii="宋体" w:hAnsi="宋体" w:cs="宋体"/>
                <w:kern w:val="0"/>
                <w:szCs w:val="21"/>
              </w:rPr>
            </w:pPr>
            <w:r>
              <w:rPr>
                <w:rFonts w:ascii="宋体" w:hAnsi="宋体" w:cs="宋体"/>
                <w:kern w:val="0"/>
                <w:szCs w:val="21"/>
              </w:rPr>
              <w:t>A</w:t>
            </w:r>
          </w:p>
        </w:tc>
        <w:tc>
          <w:tcPr>
            <w:tcW w:w="1647" w:type="dxa"/>
            <w:gridSpan w:val="3"/>
            <w:vAlign w:val="center"/>
          </w:tcPr>
          <w:p>
            <w:pPr>
              <w:spacing w:line="324" w:lineRule="auto"/>
              <w:jc w:val="left"/>
              <w:rPr>
                <w:rFonts w:ascii="宋体" w:hAnsi="宋体" w:cs="宋体"/>
                <w:kern w:val="0"/>
                <w:szCs w:val="21"/>
              </w:rPr>
            </w:pPr>
            <w:r>
              <w:rPr>
                <w:rFonts w:hint="eastAsia" w:ascii="宋体" w:hAnsi="宋体" w:cs="宋体"/>
                <w:kern w:val="0"/>
                <w:szCs w:val="21"/>
              </w:rPr>
              <w:t>生化池工艺设计、工艺的安装、调试的工作组织及技术措施</w:t>
            </w:r>
          </w:p>
        </w:tc>
        <w:tc>
          <w:tcPr>
            <w:tcW w:w="840" w:type="dxa"/>
            <w:gridSpan w:val="2"/>
            <w:vAlign w:val="center"/>
          </w:tcPr>
          <w:p>
            <w:pPr>
              <w:spacing w:line="324" w:lineRule="auto"/>
              <w:jc w:val="left"/>
              <w:rPr>
                <w:rFonts w:ascii="宋体" w:hAnsi="宋体" w:cs="宋体"/>
                <w:kern w:val="0"/>
                <w:szCs w:val="21"/>
              </w:rPr>
            </w:pPr>
            <w:r>
              <w:rPr>
                <w:rFonts w:hint="eastAsia" w:ascii="宋体" w:hAnsi="宋体" w:cs="宋体"/>
                <w:kern w:val="0"/>
                <w:szCs w:val="21"/>
              </w:rPr>
              <w:t>5分</w:t>
            </w:r>
          </w:p>
        </w:tc>
        <w:tc>
          <w:tcPr>
            <w:tcW w:w="5217" w:type="dxa"/>
            <w:vAlign w:val="center"/>
          </w:tcPr>
          <w:p>
            <w:pPr>
              <w:spacing w:line="324" w:lineRule="auto"/>
              <w:rPr>
                <w:rFonts w:ascii="宋体" w:hAnsi="宋体"/>
                <w:szCs w:val="21"/>
              </w:rPr>
            </w:pPr>
            <w:r>
              <w:rPr>
                <w:rFonts w:hint="eastAsia" w:ascii="宋体" w:hAnsi="宋体"/>
                <w:bCs/>
                <w:color w:val="000000"/>
                <w:szCs w:val="21"/>
              </w:rPr>
              <w:t>根据编制水平的优劣打分0-5分。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579" w:type="dxa"/>
            <w:vAlign w:val="center"/>
          </w:tcPr>
          <w:p>
            <w:pPr>
              <w:spacing w:line="324" w:lineRule="auto"/>
              <w:rPr>
                <w:rFonts w:ascii="宋体" w:hAnsi="宋体" w:cs="宋体"/>
                <w:kern w:val="0"/>
                <w:szCs w:val="21"/>
              </w:rPr>
            </w:pPr>
            <w:r>
              <w:rPr>
                <w:rFonts w:ascii="宋体" w:hAnsi="宋体" w:cs="宋体"/>
                <w:kern w:val="0"/>
                <w:szCs w:val="21"/>
              </w:rPr>
              <w:t>B</w:t>
            </w:r>
          </w:p>
        </w:tc>
        <w:tc>
          <w:tcPr>
            <w:tcW w:w="1654" w:type="dxa"/>
            <w:gridSpan w:val="4"/>
            <w:vAlign w:val="center"/>
          </w:tcPr>
          <w:p>
            <w:pPr>
              <w:spacing w:line="324" w:lineRule="auto"/>
              <w:jc w:val="left"/>
              <w:rPr>
                <w:rFonts w:ascii="宋体" w:hAnsi="宋体" w:cs="宋体"/>
                <w:kern w:val="0"/>
                <w:szCs w:val="21"/>
              </w:rPr>
            </w:pPr>
            <w:r>
              <w:rPr>
                <w:rFonts w:hint="eastAsia" w:ascii="宋体" w:hAnsi="宋体" w:cs="宋体"/>
                <w:kern w:val="0"/>
                <w:szCs w:val="21"/>
              </w:rPr>
              <w:t>本项目环境情况的理解与分析</w:t>
            </w:r>
          </w:p>
        </w:tc>
        <w:tc>
          <w:tcPr>
            <w:tcW w:w="833" w:type="dxa"/>
            <w:vAlign w:val="center"/>
          </w:tcPr>
          <w:p>
            <w:pPr>
              <w:spacing w:line="324" w:lineRule="auto"/>
              <w:jc w:val="left"/>
              <w:rPr>
                <w:rFonts w:ascii="宋体" w:hAnsi="宋体" w:cs="宋体"/>
                <w:kern w:val="0"/>
                <w:szCs w:val="21"/>
              </w:rPr>
            </w:pPr>
            <w:r>
              <w:rPr>
                <w:rFonts w:hint="eastAsia" w:ascii="宋体" w:hAnsi="宋体" w:cs="宋体"/>
                <w:kern w:val="0"/>
                <w:szCs w:val="21"/>
              </w:rPr>
              <w:t>7分</w:t>
            </w:r>
          </w:p>
        </w:tc>
        <w:tc>
          <w:tcPr>
            <w:tcW w:w="5217" w:type="dxa"/>
            <w:vAlign w:val="center"/>
          </w:tcPr>
          <w:p>
            <w:pPr>
              <w:spacing w:line="324" w:lineRule="auto"/>
              <w:rPr>
                <w:rFonts w:ascii="宋体" w:hAnsi="宋体"/>
                <w:szCs w:val="21"/>
              </w:rPr>
            </w:pPr>
            <w:r>
              <w:rPr>
                <w:rFonts w:hint="eastAsia" w:ascii="宋体" w:hAnsi="宋体"/>
                <w:szCs w:val="21"/>
              </w:rPr>
              <w:t>根据编制水平的优劣打分0-7分。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79" w:type="dxa"/>
            <w:vAlign w:val="center"/>
          </w:tcPr>
          <w:p>
            <w:pPr>
              <w:spacing w:line="324" w:lineRule="auto"/>
              <w:rPr>
                <w:rFonts w:ascii="宋体" w:hAnsi="宋体" w:cs="宋体"/>
                <w:kern w:val="0"/>
                <w:szCs w:val="21"/>
              </w:rPr>
            </w:pPr>
            <w:r>
              <w:rPr>
                <w:rFonts w:ascii="宋体" w:hAnsi="宋体" w:cs="宋体"/>
                <w:kern w:val="0"/>
                <w:szCs w:val="21"/>
              </w:rPr>
              <w:t>C</w:t>
            </w:r>
          </w:p>
        </w:tc>
        <w:tc>
          <w:tcPr>
            <w:tcW w:w="1654" w:type="dxa"/>
            <w:gridSpan w:val="4"/>
            <w:vAlign w:val="center"/>
          </w:tcPr>
          <w:p>
            <w:pPr>
              <w:spacing w:line="324" w:lineRule="auto"/>
              <w:jc w:val="left"/>
              <w:rPr>
                <w:rFonts w:ascii="宋体" w:hAnsi="宋体" w:cs="宋体"/>
                <w:kern w:val="0"/>
                <w:szCs w:val="21"/>
              </w:rPr>
            </w:pPr>
            <w:r>
              <w:rPr>
                <w:rFonts w:hint="eastAsia" w:ascii="宋体" w:hAnsi="宋体" w:cs="宋体"/>
                <w:color w:val="000000"/>
                <w:kern w:val="0"/>
                <w:szCs w:val="21"/>
              </w:rPr>
              <w:t>本项目环境影响调查与风险评估报告工作组织及技术措施</w:t>
            </w:r>
          </w:p>
        </w:tc>
        <w:tc>
          <w:tcPr>
            <w:tcW w:w="833" w:type="dxa"/>
            <w:vAlign w:val="center"/>
          </w:tcPr>
          <w:p>
            <w:pPr>
              <w:spacing w:line="324" w:lineRule="auto"/>
              <w:jc w:val="left"/>
              <w:rPr>
                <w:rFonts w:ascii="宋体" w:hAnsi="宋体" w:cs="宋体"/>
                <w:kern w:val="0"/>
                <w:szCs w:val="21"/>
              </w:rPr>
            </w:pPr>
            <w:r>
              <w:rPr>
                <w:rFonts w:hint="eastAsia" w:ascii="宋体" w:hAnsi="宋体" w:cs="宋体"/>
                <w:kern w:val="0"/>
                <w:szCs w:val="21"/>
              </w:rPr>
              <w:t>7分</w:t>
            </w:r>
          </w:p>
        </w:tc>
        <w:tc>
          <w:tcPr>
            <w:tcW w:w="5217" w:type="dxa"/>
            <w:vAlign w:val="center"/>
          </w:tcPr>
          <w:p>
            <w:pPr>
              <w:spacing w:line="324" w:lineRule="auto"/>
              <w:rPr>
                <w:rFonts w:ascii="宋体" w:hAnsi="宋体"/>
                <w:szCs w:val="21"/>
              </w:rPr>
            </w:pPr>
            <w:r>
              <w:rPr>
                <w:rFonts w:hint="eastAsia" w:ascii="宋体" w:hAnsi="宋体"/>
                <w:szCs w:val="21"/>
              </w:rPr>
              <w:t>根据优劣打分0-7分。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79" w:type="dxa"/>
            <w:vAlign w:val="center"/>
          </w:tcPr>
          <w:p>
            <w:pPr>
              <w:spacing w:line="324" w:lineRule="auto"/>
              <w:rPr>
                <w:rFonts w:ascii="宋体" w:hAnsi="宋体" w:cs="宋体"/>
                <w:kern w:val="0"/>
                <w:szCs w:val="21"/>
              </w:rPr>
            </w:pPr>
            <w:r>
              <w:rPr>
                <w:rFonts w:hint="eastAsia" w:ascii="宋体" w:hAnsi="宋体" w:cs="宋体"/>
                <w:kern w:val="0"/>
                <w:szCs w:val="21"/>
              </w:rPr>
              <w:t>D</w:t>
            </w:r>
          </w:p>
        </w:tc>
        <w:tc>
          <w:tcPr>
            <w:tcW w:w="1654" w:type="dxa"/>
            <w:gridSpan w:val="4"/>
            <w:vAlign w:val="center"/>
          </w:tcPr>
          <w:p>
            <w:pPr>
              <w:spacing w:line="324" w:lineRule="auto"/>
              <w:jc w:val="left"/>
              <w:rPr>
                <w:rFonts w:ascii="宋体"/>
                <w:szCs w:val="20"/>
                <w:shd w:val="clear" w:color="000000" w:fill="FFFFFF"/>
              </w:rPr>
            </w:pPr>
            <w:r>
              <w:rPr>
                <w:rFonts w:hint="eastAsia" w:ascii="宋体" w:hAnsi="宋体" w:cs="宋体"/>
                <w:color w:val="000000"/>
                <w:kern w:val="0"/>
                <w:szCs w:val="21"/>
              </w:rPr>
              <w:t>工期安排及进度保证措施</w:t>
            </w:r>
          </w:p>
        </w:tc>
        <w:tc>
          <w:tcPr>
            <w:tcW w:w="833" w:type="dxa"/>
            <w:vAlign w:val="center"/>
          </w:tcPr>
          <w:p>
            <w:pPr>
              <w:spacing w:line="324" w:lineRule="auto"/>
              <w:jc w:val="left"/>
              <w:rPr>
                <w:rFonts w:ascii="宋体" w:hAnsi="宋体" w:cs="宋体"/>
                <w:kern w:val="0"/>
                <w:szCs w:val="21"/>
              </w:rPr>
            </w:pPr>
            <w:r>
              <w:rPr>
                <w:rFonts w:hint="eastAsia" w:ascii="宋体" w:hAnsi="宋体" w:cs="宋体"/>
                <w:kern w:val="0"/>
                <w:szCs w:val="21"/>
              </w:rPr>
              <w:t>6分</w:t>
            </w:r>
          </w:p>
        </w:tc>
        <w:tc>
          <w:tcPr>
            <w:tcW w:w="5217" w:type="dxa"/>
            <w:vAlign w:val="center"/>
          </w:tcPr>
          <w:p>
            <w:pPr>
              <w:spacing w:line="324" w:lineRule="auto"/>
              <w:rPr>
                <w:rFonts w:ascii="宋体"/>
                <w:szCs w:val="20"/>
                <w:shd w:val="clear" w:color="000000" w:fill="FFFFFF"/>
              </w:rPr>
            </w:pPr>
            <w:r>
              <w:rPr>
                <w:rFonts w:hint="eastAsia" w:ascii="宋体" w:hAnsi="宋体" w:cs="宋体"/>
                <w:color w:val="000000"/>
              </w:rPr>
              <w:t>根据优劣打分0-6分。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79" w:type="dxa"/>
            <w:vAlign w:val="center"/>
          </w:tcPr>
          <w:p>
            <w:pPr>
              <w:spacing w:line="324" w:lineRule="auto"/>
              <w:rPr>
                <w:rFonts w:ascii="宋体" w:hAnsi="宋体" w:cs="宋体"/>
                <w:kern w:val="0"/>
                <w:szCs w:val="21"/>
              </w:rPr>
            </w:pPr>
            <w:r>
              <w:rPr>
                <w:rFonts w:hint="eastAsia" w:ascii="宋体" w:hAnsi="宋体" w:cs="宋体"/>
                <w:kern w:val="0"/>
                <w:szCs w:val="21"/>
              </w:rPr>
              <w:t>E</w:t>
            </w:r>
          </w:p>
        </w:tc>
        <w:tc>
          <w:tcPr>
            <w:tcW w:w="1654" w:type="dxa"/>
            <w:gridSpan w:val="4"/>
            <w:vAlign w:val="center"/>
          </w:tcPr>
          <w:p>
            <w:pPr>
              <w:spacing w:line="324" w:lineRule="auto"/>
              <w:jc w:val="left"/>
              <w:rPr>
                <w:rFonts w:ascii="宋体" w:hAnsi="宋体" w:cs="宋体"/>
                <w:color w:val="000000"/>
                <w:kern w:val="0"/>
                <w:szCs w:val="21"/>
              </w:rPr>
            </w:pPr>
            <w:r>
              <w:rPr>
                <w:rFonts w:hint="eastAsia" w:ascii="宋体" w:hAnsi="宋体" w:cs="宋体"/>
                <w:color w:val="000000"/>
                <w:kern w:val="0"/>
                <w:szCs w:val="21"/>
              </w:rPr>
              <w:t>本项目的合理化建议及服务承诺</w:t>
            </w:r>
          </w:p>
        </w:tc>
        <w:tc>
          <w:tcPr>
            <w:tcW w:w="833" w:type="dxa"/>
            <w:vAlign w:val="center"/>
          </w:tcPr>
          <w:p>
            <w:pPr>
              <w:spacing w:line="324" w:lineRule="auto"/>
              <w:jc w:val="left"/>
              <w:rPr>
                <w:rFonts w:ascii="宋体" w:hAnsi="宋体" w:cs="宋体"/>
                <w:kern w:val="0"/>
                <w:szCs w:val="21"/>
              </w:rPr>
            </w:pPr>
            <w:r>
              <w:rPr>
                <w:rFonts w:hint="eastAsia" w:ascii="宋体" w:hAnsi="宋体" w:cs="宋体"/>
                <w:kern w:val="0"/>
                <w:szCs w:val="21"/>
              </w:rPr>
              <w:t>5分</w:t>
            </w:r>
          </w:p>
        </w:tc>
        <w:tc>
          <w:tcPr>
            <w:tcW w:w="5217" w:type="dxa"/>
            <w:vAlign w:val="center"/>
          </w:tcPr>
          <w:p>
            <w:pPr>
              <w:spacing w:line="324" w:lineRule="auto"/>
              <w:rPr>
                <w:rFonts w:ascii="宋体" w:hAnsi="宋体" w:cs="宋体"/>
                <w:color w:val="000000"/>
              </w:rPr>
            </w:pPr>
            <w:r>
              <w:rPr>
                <w:rFonts w:hint="eastAsia" w:ascii="宋体" w:hAnsi="宋体" w:cs="宋体"/>
                <w:color w:val="000000"/>
              </w:rPr>
              <w:t>根据编制水平的优劣打分0-5分。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79" w:type="dxa"/>
            <w:vMerge w:val="restart"/>
            <w:vAlign w:val="center"/>
          </w:tcPr>
          <w:p>
            <w:pPr>
              <w:spacing w:line="324" w:lineRule="auto"/>
              <w:rPr>
                <w:rFonts w:ascii="宋体" w:hAnsi="宋体" w:cs="宋体"/>
                <w:kern w:val="0"/>
                <w:szCs w:val="21"/>
              </w:rPr>
            </w:pPr>
            <w:r>
              <w:rPr>
                <w:rFonts w:ascii="宋体" w:hAnsi="宋体" w:cs="宋体"/>
                <w:kern w:val="0"/>
                <w:szCs w:val="21"/>
              </w:rPr>
              <w:t>D</w:t>
            </w:r>
          </w:p>
        </w:tc>
        <w:tc>
          <w:tcPr>
            <w:tcW w:w="1654" w:type="dxa"/>
            <w:gridSpan w:val="4"/>
            <w:vMerge w:val="restart"/>
            <w:vAlign w:val="center"/>
          </w:tcPr>
          <w:p>
            <w:pPr>
              <w:spacing w:line="324" w:lineRule="auto"/>
              <w:rPr>
                <w:rFonts w:ascii="宋体" w:hAnsi="宋体" w:cs="宋体"/>
                <w:kern w:val="0"/>
                <w:szCs w:val="21"/>
              </w:rPr>
            </w:pPr>
            <w:r>
              <w:rPr>
                <w:rFonts w:hint="eastAsia"/>
                <w:szCs w:val="21"/>
              </w:rPr>
              <w:t>竞标价</w:t>
            </w:r>
          </w:p>
        </w:tc>
        <w:tc>
          <w:tcPr>
            <w:tcW w:w="833" w:type="dxa"/>
            <w:vMerge w:val="restart"/>
            <w:vAlign w:val="center"/>
          </w:tcPr>
          <w:p>
            <w:pPr>
              <w:spacing w:line="324" w:lineRule="auto"/>
              <w:rPr>
                <w:rFonts w:ascii="宋体" w:hAnsi="宋体" w:cs="宋体"/>
                <w:kern w:val="0"/>
                <w:szCs w:val="21"/>
              </w:rPr>
            </w:pPr>
            <w:r>
              <w:rPr>
                <w:rFonts w:hint="eastAsia" w:ascii="宋体" w:hAnsi="宋体" w:cs="宋体"/>
                <w:kern w:val="0"/>
                <w:szCs w:val="21"/>
              </w:rPr>
              <w:t>70分</w:t>
            </w:r>
          </w:p>
        </w:tc>
        <w:tc>
          <w:tcPr>
            <w:tcW w:w="5217" w:type="dxa"/>
          </w:tcPr>
          <w:p>
            <w:pPr>
              <w:spacing w:line="324" w:lineRule="auto"/>
              <w:rPr>
                <w:rFonts w:ascii="宋体" w:hAnsi="宋体" w:cs="宋体"/>
                <w:kern w:val="0"/>
                <w:szCs w:val="21"/>
              </w:rPr>
            </w:pPr>
            <w:r>
              <w:rPr>
                <w:rFonts w:hint="eastAsia"/>
                <w:szCs w:val="21"/>
              </w:rPr>
              <w:t>竞标价的确定：竞标价＝报价函文字报价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79" w:type="dxa"/>
            <w:vMerge w:val="continue"/>
            <w:vAlign w:val="center"/>
          </w:tcPr>
          <w:p>
            <w:pPr>
              <w:spacing w:line="324" w:lineRule="auto"/>
              <w:rPr>
                <w:rFonts w:ascii="宋体" w:hAnsi="宋体" w:cs="宋体"/>
                <w:kern w:val="0"/>
                <w:szCs w:val="21"/>
              </w:rPr>
            </w:pPr>
          </w:p>
        </w:tc>
        <w:tc>
          <w:tcPr>
            <w:tcW w:w="1654" w:type="dxa"/>
            <w:gridSpan w:val="4"/>
            <w:vMerge w:val="continue"/>
            <w:vAlign w:val="center"/>
          </w:tcPr>
          <w:p>
            <w:pPr>
              <w:spacing w:line="324" w:lineRule="auto"/>
              <w:rPr>
                <w:rFonts w:ascii="宋体" w:hAnsi="宋体" w:cs="宋体"/>
                <w:kern w:val="0"/>
                <w:szCs w:val="21"/>
              </w:rPr>
            </w:pPr>
          </w:p>
        </w:tc>
        <w:tc>
          <w:tcPr>
            <w:tcW w:w="833" w:type="dxa"/>
            <w:vMerge w:val="continue"/>
            <w:vAlign w:val="center"/>
          </w:tcPr>
          <w:p>
            <w:pPr>
              <w:spacing w:line="324" w:lineRule="auto"/>
              <w:rPr>
                <w:rFonts w:ascii="宋体" w:hAnsi="宋体" w:cs="宋体"/>
                <w:kern w:val="0"/>
                <w:szCs w:val="21"/>
              </w:rPr>
            </w:pPr>
          </w:p>
        </w:tc>
        <w:tc>
          <w:tcPr>
            <w:tcW w:w="5217" w:type="dxa"/>
          </w:tcPr>
          <w:p>
            <w:pPr>
              <w:spacing w:line="360" w:lineRule="auto"/>
              <w:rPr>
                <w:rFonts w:ascii="宋体" w:hAnsi="宋体" w:cs="宋体"/>
                <w:szCs w:val="28"/>
              </w:rPr>
            </w:pPr>
            <w:r>
              <w:rPr>
                <w:rFonts w:hint="eastAsia" w:ascii="宋体" w:hAnsi="宋体" w:cs="宋体"/>
                <w:szCs w:val="28"/>
              </w:rPr>
              <w:t>4、本项目的最高限价为：51.2万元（详见附表1），根据国家现行法律法规、《重庆市招标投标条例》及高速集团、资产公司相关规定，拟采取竞争性比选方式确定项目环保咨询单位，比选对象为满足竞争性比选文件的所有比选申请人。</w:t>
            </w:r>
          </w:p>
          <w:p>
            <w:pPr>
              <w:spacing w:line="360" w:lineRule="auto"/>
              <w:rPr>
                <w:rFonts w:ascii="宋体" w:hAnsi="宋体"/>
                <w:szCs w:val="21"/>
              </w:rPr>
            </w:pPr>
            <w:r>
              <w:rPr>
                <w:rFonts w:hint="eastAsia" w:ascii="宋体" w:hAnsi="宋体"/>
                <w:szCs w:val="21"/>
              </w:rPr>
              <w:t>竞标价</w:t>
            </w:r>
            <w:r>
              <w:rPr>
                <w:rFonts w:ascii="宋体" w:hAnsi="宋体"/>
                <w:szCs w:val="21"/>
              </w:rPr>
              <w:t>得分的计算程序：</w:t>
            </w:r>
          </w:p>
          <w:p>
            <w:pPr>
              <w:spacing w:line="360" w:lineRule="auto"/>
              <w:rPr>
                <w:rFonts w:ascii="宋体" w:hAnsi="宋体"/>
                <w:szCs w:val="21"/>
              </w:rPr>
            </w:pPr>
            <w:r>
              <w:rPr>
                <w:rFonts w:hint="eastAsia" w:ascii="宋体" w:hAnsi="宋体"/>
                <w:szCs w:val="21"/>
              </w:rPr>
              <w:t>（1）有效竞标价的确定：不大于最高竞标限价A的竞标价，高于最高竞标限价的投标报价按废标处理，不予进一步评审，并不参与评标基准价的计算。</w:t>
            </w:r>
          </w:p>
          <w:p>
            <w:pPr>
              <w:spacing w:line="360" w:lineRule="auto"/>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竞标基准价</w:t>
            </w:r>
            <w:r>
              <w:rPr>
                <w:rFonts w:ascii="宋体" w:hAnsi="宋体"/>
                <w:szCs w:val="21"/>
              </w:rPr>
              <w:t>（</w:t>
            </w:r>
            <w:r>
              <w:rPr>
                <w:rFonts w:hint="eastAsia" w:ascii="宋体" w:hAnsi="宋体"/>
                <w:szCs w:val="21"/>
              </w:rPr>
              <w:t>D</w:t>
            </w:r>
            <w:r>
              <w:rPr>
                <w:rFonts w:ascii="宋体" w:hAnsi="宋体"/>
                <w:szCs w:val="21"/>
              </w:rPr>
              <w:t>）的计算：</w:t>
            </w:r>
          </w:p>
          <w:p>
            <w:pPr>
              <w:spacing w:line="360" w:lineRule="auto"/>
              <w:rPr>
                <w:rFonts w:ascii="宋体" w:hAnsi="宋体"/>
                <w:szCs w:val="21"/>
              </w:rPr>
            </w:pPr>
            <w:r>
              <w:rPr>
                <w:rFonts w:hint="eastAsia" w:ascii="宋体" w:hAnsi="宋体"/>
                <w:szCs w:val="21"/>
              </w:rPr>
              <w:t>a．所有通过初步评审合格的竞争性比选申请人（比选人设有最高限价的，则竞标总报价高于最高限价的除外）的竞标总报价中去掉六分之一（不能整除的按小数点前整数取整，不足六家报价则不去掉）的最低价和相同家数的最高价后的算术平均值即为竞标总报价的评标基准价。</w:t>
            </w:r>
          </w:p>
          <w:p>
            <w:pPr>
              <w:spacing w:line="360" w:lineRule="auto"/>
              <w:rPr>
                <w:rFonts w:ascii="宋体" w:hAnsi="宋体"/>
                <w:szCs w:val="21"/>
              </w:rPr>
            </w:pPr>
            <w:r>
              <w:rPr>
                <w:rFonts w:hint="eastAsia" w:ascii="宋体" w:hAnsi="宋体"/>
                <w:szCs w:val="21"/>
              </w:rPr>
              <w:t>以上计算取小数点后两位，第三位四舍五入。</w:t>
            </w:r>
          </w:p>
          <w:p>
            <w:pPr>
              <w:spacing w:line="360" w:lineRule="auto"/>
              <w:rPr>
                <w:rFonts w:ascii="宋体" w:hAnsi="宋体"/>
                <w:szCs w:val="21"/>
              </w:rPr>
            </w:pPr>
            <w:r>
              <w:rPr>
                <w:rFonts w:ascii="宋体" w:hAnsi="宋体"/>
                <w:szCs w:val="21"/>
              </w:rPr>
              <w:t>（</w:t>
            </w:r>
            <w:r>
              <w:rPr>
                <w:rFonts w:hint="eastAsia" w:ascii="宋体" w:hAnsi="宋体"/>
                <w:szCs w:val="21"/>
              </w:rPr>
              <w:t>3</w:t>
            </w:r>
            <w:r>
              <w:rPr>
                <w:rFonts w:ascii="宋体" w:hAnsi="宋体"/>
                <w:szCs w:val="21"/>
              </w:rPr>
              <w:t>）当</w:t>
            </w:r>
            <w:r>
              <w:rPr>
                <w:rFonts w:hint="eastAsia" w:ascii="宋体" w:hAnsi="宋体"/>
                <w:szCs w:val="21"/>
              </w:rPr>
              <w:t>比选申请人竞标价</w:t>
            </w:r>
            <w:r>
              <w:rPr>
                <w:rFonts w:ascii="宋体" w:hAnsi="宋体"/>
                <w:szCs w:val="21"/>
              </w:rPr>
              <w:t>等于D时得满分（</w:t>
            </w:r>
            <w:r>
              <w:rPr>
                <w:rFonts w:hint="eastAsia" w:ascii="宋体" w:hAnsi="宋体"/>
                <w:szCs w:val="21"/>
              </w:rPr>
              <w:t>70</w:t>
            </w:r>
            <w:r>
              <w:rPr>
                <w:rFonts w:ascii="宋体" w:hAnsi="宋体"/>
                <w:szCs w:val="21"/>
              </w:rPr>
              <w:t>分），</w:t>
            </w:r>
            <w:r>
              <w:rPr>
                <w:rFonts w:hint="eastAsia" w:ascii="宋体" w:hAnsi="宋体"/>
                <w:color w:val="000000"/>
                <w:szCs w:val="21"/>
              </w:rPr>
              <w:t>在此基础上，投标总报价与评标准基价相比，每增加1%扣</w:t>
            </w:r>
            <w:r>
              <w:rPr>
                <w:rFonts w:hint="eastAsia" w:ascii="宋体" w:hAnsi="宋体"/>
                <w:color w:val="000000"/>
                <w:szCs w:val="21"/>
                <w:u w:val="single"/>
              </w:rPr>
              <w:t>0.2</w:t>
            </w:r>
            <w:r>
              <w:rPr>
                <w:rFonts w:hint="eastAsia" w:ascii="宋体" w:hAnsi="宋体"/>
                <w:color w:val="000000"/>
                <w:szCs w:val="21"/>
              </w:rPr>
              <w:t>分，每减少1%扣</w:t>
            </w:r>
            <w:r>
              <w:rPr>
                <w:rFonts w:hint="eastAsia" w:ascii="宋体" w:hAnsi="宋体"/>
                <w:color w:val="000000"/>
                <w:szCs w:val="21"/>
                <w:u w:val="single"/>
              </w:rPr>
              <w:t>　0.1　</w:t>
            </w:r>
            <w:r>
              <w:rPr>
                <w:rFonts w:hint="eastAsia" w:ascii="宋体" w:hAnsi="宋体"/>
                <w:color w:val="000000"/>
                <w:szCs w:val="21"/>
              </w:rPr>
              <w:t>分。</w:t>
            </w:r>
          </w:p>
          <w:p>
            <w:pPr>
              <w:spacing w:line="360" w:lineRule="auto"/>
              <w:ind w:firstLine="480"/>
              <w:rPr>
                <w:rFonts w:ascii="宋体" w:hAnsi="宋体"/>
                <w:szCs w:val="21"/>
              </w:rPr>
            </w:pPr>
            <w:r>
              <w:rPr>
                <w:rFonts w:hint="eastAsia" w:ascii="宋体" w:hAnsi="宋体"/>
                <w:szCs w:val="21"/>
              </w:rPr>
              <w:t>竞标价</w:t>
            </w:r>
            <w:r>
              <w:rPr>
                <w:rFonts w:ascii="宋体" w:hAnsi="宋体"/>
                <w:szCs w:val="21"/>
              </w:rPr>
              <w:t>得分用</w:t>
            </w:r>
            <w:r>
              <w:rPr>
                <w:rFonts w:hint="eastAsia" w:ascii="宋体" w:hAnsi="宋体"/>
                <w:szCs w:val="21"/>
              </w:rPr>
              <w:t>公</w:t>
            </w:r>
            <w:r>
              <w:rPr>
                <w:rFonts w:ascii="宋体" w:hAnsi="宋体"/>
                <w:szCs w:val="21"/>
              </w:rPr>
              <w:t>式表示如下：</w:t>
            </w:r>
          </w:p>
          <w:p>
            <w:pPr>
              <w:spacing w:line="360" w:lineRule="auto"/>
              <w:ind w:firstLine="480"/>
              <w:jc w:val="center"/>
              <w:rPr>
                <w:rFonts w:ascii="宋体" w:hAnsi="宋体"/>
                <w:szCs w:val="21"/>
              </w:rPr>
            </w:pPr>
            <w:r>
              <w:rPr>
                <w:rFonts w:ascii="宋体" w:hAnsi="宋体"/>
                <w:szCs w:val="21"/>
              </w:rPr>
              <w:object>
                <v:shape id="_x0000_i1025" o:spt="75" type="#_x0000_t75" style="height:31.8pt;width:139.8pt;" o:ole="t" fillcolor="#595959"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p>
          <w:p>
            <w:pPr>
              <w:spacing w:line="360" w:lineRule="auto"/>
              <w:ind w:firstLine="480"/>
              <w:rPr>
                <w:rFonts w:ascii="宋体" w:hAnsi="宋体"/>
                <w:szCs w:val="21"/>
              </w:rPr>
            </w:pPr>
            <w:r>
              <w:rPr>
                <w:rFonts w:ascii="宋体" w:hAnsi="宋体"/>
                <w:szCs w:val="21"/>
              </w:rPr>
              <w:t>式中：F</w:t>
            </w:r>
            <w:r>
              <w:rPr>
                <w:rFonts w:ascii="宋体" w:hAnsi="宋体"/>
                <w:szCs w:val="21"/>
                <w:vertAlign w:val="subscript"/>
              </w:rPr>
              <w:t>1</w:t>
            </w:r>
            <w:r>
              <w:rPr>
                <w:rFonts w:ascii="宋体" w:hAnsi="宋体"/>
                <w:szCs w:val="21"/>
              </w:rPr>
              <w:t>=</w:t>
            </w:r>
            <w:r>
              <w:rPr>
                <w:rFonts w:hint="eastAsia" w:ascii="宋体" w:hAnsi="宋体"/>
                <w:szCs w:val="21"/>
              </w:rPr>
              <w:t>竞标价</w:t>
            </w:r>
            <w:r>
              <w:rPr>
                <w:rFonts w:ascii="宋体" w:hAnsi="宋体"/>
                <w:szCs w:val="21"/>
              </w:rPr>
              <w:t>得分；</w:t>
            </w:r>
          </w:p>
          <w:p>
            <w:pPr>
              <w:tabs>
                <w:tab w:val="left" w:pos="5060"/>
              </w:tabs>
              <w:spacing w:line="360" w:lineRule="auto"/>
              <w:ind w:firstLine="480"/>
              <w:rPr>
                <w:rFonts w:ascii="宋体" w:hAnsi="宋体"/>
                <w:szCs w:val="21"/>
              </w:rPr>
            </w:pPr>
            <w:r>
              <w:rPr>
                <w:rFonts w:ascii="宋体" w:hAnsi="宋体"/>
                <w:szCs w:val="21"/>
              </w:rPr>
              <w:t>F=</w:t>
            </w:r>
            <w:r>
              <w:rPr>
                <w:rFonts w:hint="eastAsia" w:ascii="宋体" w:hAnsi="宋体"/>
                <w:szCs w:val="21"/>
              </w:rPr>
              <w:t>70</w:t>
            </w:r>
            <w:r>
              <w:rPr>
                <w:rFonts w:ascii="宋体" w:hAnsi="宋体"/>
                <w:szCs w:val="21"/>
              </w:rPr>
              <w:t>；</w:t>
            </w:r>
          </w:p>
          <w:p>
            <w:pPr>
              <w:spacing w:line="360" w:lineRule="auto"/>
              <w:ind w:firstLine="480"/>
              <w:rPr>
                <w:rFonts w:ascii="宋体" w:hAnsi="宋体"/>
                <w:szCs w:val="21"/>
              </w:rPr>
            </w:pPr>
            <w:r>
              <w:rPr>
                <w:rFonts w:ascii="宋体" w:hAnsi="宋体"/>
                <w:szCs w:val="21"/>
              </w:rPr>
              <w:t>D</w:t>
            </w:r>
            <w:r>
              <w:rPr>
                <w:rFonts w:ascii="宋体" w:hAnsi="宋体"/>
                <w:szCs w:val="21"/>
                <w:vertAlign w:val="subscript"/>
              </w:rPr>
              <w:t>1</w:t>
            </w:r>
            <w:r>
              <w:rPr>
                <w:rFonts w:ascii="宋体" w:hAnsi="宋体"/>
                <w:szCs w:val="21"/>
              </w:rPr>
              <w:t>=</w:t>
            </w:r>
            <w:r>
              <w:rPr>
                <w:rFonts w:hint="eastAsia" w:ascii="宋体" w:hAnsi="宋体"/>
                <w:szCs w:val="21"/>
              </w:rPr>
              <w:t>比选申请人</w:t>
            </w:r>
            <w:r>
              <w:rPr>
                <w:rFonts w:ascii="宋体" w:hAnsi="宋体"/>
                <w:szCs w:val="21"/>
              </w:rPr>
              <w:t>的</w:t>
            </w:r>
            <w:r>
              <w:rPr>
                <w:rFonts w:hint="eastAsia" w:ascii="宋体" w:hAnsi="宋体"/>
                <w:szCs w:val="21"/>
              </w:rPr>
              <w:t>竞标价</w:t>
            </w:r>
            <w:r>
              <w:rPr>
                <w:rFonts w:ascii="宋体" w:hAnsi="宋体"/>
                <w:szCs w:val="21"/>
              </w:rPr>
              <w:t>；</w:t>
            </w:r>
          </w:p>
          <w:p>
            <w:pPr>
              <w:spacing w:line="360" w:lineRule="auto"/>
              <w:ind w:firstLine="480"/>
              <w:rPr>
                <w:rFonts w:ascii="宋体" w:hAnsi="宋体"/>
                <w:szCs w:val="21"/>
              </w:rPr>
            </w:pPr>
            <w:r>
              <w:rPr>
                <w:rFonts w:ascii="宋体" w:hAnsi="宋体"/>
                <w:szCs w:val="21"/>
              </w:rPr>
              <w:t>D=评标基准价。</w:t>
            </w:r>
          </w:p>
          <w:p>
            <w:pPr>
              <w:tabs>
                <w:tab w:val="left" w:pos="5920"/>
              </w:tabs>
              <w:snapToGrid w:val="0"/>
              <w:spacing w:line="360" w:lineRule="auto"/>
              <w:ind w:firstLine="480"/>
              <w:rPr>
                <w:rFonts w:ascii="宋体" w:hAnsi="宋体"/>
                <w:szCs w:val="21"/>
              </w:rPr>
            </w:pPr>
            <w:r>
              <w:rPr>
                <w:rFonts w:ascii="宋体" w:hAnsi="宋体"/>
                <w:szCs w:val="21"/>
              </w:rPr>
              <w:t>若D</w:t>
            </w:r>
            <w:r>
              <w:rPr>
                <w:rFonts w:ascii="宋体" w:hAnsi="宋体"/>
                <w:szCs w:val="21"/>
                <w:vertAlign w:val="subscript"/>
              </w:rPr>
              <w:t>1</w:t>
            </w:r>
            <w:r>
              <w:rPr>
                <w:rFonts w:hint="eastAsia" w:ascii="宋体" w:hAnsi="宋体"/>
                <w:sz w:val="36"/>
                <w:szCs w:val="36"/>
                <w:vertAlign w:val="subscript"/>
              </w:rPr>
              <w:t>＞</w:t>
            </w:r>
            <w:r>
              <w:rPr>
                <w:rFonts w:ascii="宋体" w:hAnsi="宋体"/>
                <w:szCs w:val="21"/>
              </w:rPr>
              <w:t>D，则E=</w:t>
            </w:r>
            <w:r>
              <w:rPr>
                <w:rFonts w:hint="eastAsia" w:ascii="宋体" w:hAnsi="宋体"/>
                <w:szCs w:val="21"/>
              </w:rPr>
              <w:t>0.2</w:t>
            </w:r>
            <w:r>
              <w:rPr>
                <w:rFonts w:ascii="宋体" w:hAnsi="宋体"/>
                <w:szCs w:val="21"/>
              </w:rPr>
              <w:t>；若D</w:t>
            </w:r>
            <w:r>
              <w:rPr>
                <w:rFonts w:ascii="宋体" w:hAnsi="宋体"/>
                <w:szCs w:val="21"/>
                <w:vertAlign w:val="subscript"/>
              </w:rPr>
              <w:t>1</w:t>
            </w:r>
            <w:r>
              <w:rPr>
                <w:rFonts w:ascii="宋体" w:hAnsi="宋体"/>
                <w:szCs w:val="21"/>
              </w:rPr>
              <w:t>&lt;D，则E=</w:t>
            </w:r>
            <w:r>
              <w:rPr>
                <w:rFonts w:hint="eastAsia" w:ascii="宋体" w:hAnsi="宋体"/>
                <w:szCs w:val="21"/>
              </w:rPr>
              <w:t>0.1</w:t>
            </w:r>
            <w:r>
              <w:rPr>
                <w:rFonts w:ascii="宋体" w:hAnsi="宋体"/>
                <w:szCs w:val="21"/>
              </w:rPr>
              <w:t>。</w:t>
            </w:r>
          </w:p>
          <w:p>
            <w:pPr>
              <w:spacing w:line="324" w:lineRule="auto"/>
              <w:rPr>
                <w:rFonts w:ascii="宋体" w:hAnsi="宋体" w:cs="宋体"/>
                <w:kern w:val="0"/>
                <w:szCs w:val="21"/>
              </w:rPr>
            </w:pPr>
            <w:r>
              <w:rPr>
                <w:rFonts w:hint="eastAsia" w:ascii="宋体" w:hAnsi="宋体"/>
                <w:szCs w:val="21"/>
              </w:rPr>
              <w:t>即使某竞争性比选申请文件竞标报价未通过初步评审及资格审查，如其报价处于参与评标基准价的计算的投标报价的有效范围以内，其报价仍应参与评标基准价的计算。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233" w:type="dxa"/>
            <w:gridSpan w:val="5"/>
            <w:vAlign w:val="center"/>
          </w:tcPr>
          <w:p>
            <w:pPr>
              <w:spacing w:line="324" w:lineRule="auto"/>
              <w:rPr>
                <w:szCs w:val="21"/>
              </w:rPr>
            </w:pPr>
            <w:r>
              <w:rPr>
                <w:rFonts w:hint="eastAsia"/>
                <w:szCs w:val="21"/>
              </w:rPr>
              <w:t>成交候选人最终得分</w:t>
            </w:r>
          </w:p>
        </w:tc>
        <w:tc>
          <w:tcPr>
            <w:tcW w:w="6050" w:type="dxa"/>
            <w:gridSpan w:val="2"/>
            <w:vAlign w:val="center"/>
          </w:tcPr>
          <w:p>
            <w:pPr>
              <w:spacing w:line="324" w:lineRule="auto"/>
              <w:rPr>
                <w:rFonts w:ascii="宋体" w:hAnsi="宋体" w:cs="宋体"/>
                <w:kern w:val="0"/>
                <w:szCs w:val="21"/>
              </w:rPr>
            </w:pPr>
            <w:r>
              <w:rPr>
                <w:rFonts w:hint="eastAsia" w:ascii="宋体" w:hAnsi="宋体"/>
                <w:szCs w:val="21"/>
              </w:rPr>
              <w:t>竞争性比选申请人评标得分＝综合得分（竞标</w:t>
            </w:r>
            <w:r>
              <w:rPr>
                <w:rFonts w:hint="eastAsia" w:ascii="宋体" w:hAnsi="宋体"/>
                <w:color w:val="000000"/>
              </w:rPr>
              <w:t>报价</w:t>
            </w:r>
            <w:r>
              <w:rPr>
                <w:rFonts w:hint="eastAsia" w:ascii="宋体" w:hAnsi="宋体" w:cs="宋体"/>
                <w:color w:val="000000"/>
                <w:kern w:val="0"/>
              </w:rPr>
              <w:t>得分</w:t>
            </w:r>
            <w:r>
              <w:rPr>
                <w:rFonts w:hint="eastAsia" w:ascii="宋体" w:hAnsi="宋体"/>
                <w:szCs w:val="21"/>
              </w:rPr>
              <w:t>+</w:t>
            </w:r>
            <w:r>
              <w:rPr>
                <w:rFonts w:hint="eastAsia" w:ascii="宋体" w:hAnsi="宋体" w:cs="宋体"/>
                <w:color w:val="000000"/>
                <w:kern w:val="0"/>
                <w:szCs w:val="21"/>
              </w:rPr>
              <w:t>服务方案得分</w:t>
            </w:r>
            <w:r>
              <w:rPr>
                <w:rFonts w:hint="eastAsia" w:ascii="宋体" w:hAnsi="宋体"/>
                <w:szCs w:val="21"/>
              </w:rPr>
              <w:t>）</w:t>
            </w:r>
          </w:p>
        </w:tc>
      </w:tr>
    </w:tbl>
    <w:p>
      <w:pPr>
        <w:pStyle w:val="13"/>
        <w:tabs>
          <w:tab w:val="right" w:leader="dot" w:pos="8805"/>
        </w:tabs>
        <w:rPr>
          <w:rFonts w:ascii="宋体" w:hAnsi="宋体" w:cs="宋体"/>
          <w:color w:val="000000"/>
          <w:kern w:val="0"/>
          <w:sz w:val="32"/>
          <w:szCs w:val="32"/>
          <w:lang w:bidi="ar"/>
        </w:rPr>
      </w:pPr>
    </w:p>
    <w:p/>
    <w:p/>
    <w:p>
      <w:pPr>
        <w:pStyle w:val="2"/>
        <w:keepLines w:val="0"/>
        <w:tabs>
          <w:tab w:val="left" w:pos="1530"/>
          <w:tab w:val="left" w:pos="3360"/>
          <w:tab w:val="left" w:pos="4082"/>
        </w:tabs>
        <w:snapToGrid w:val="0"/>
        <w:spacing w:before="0" w:after="0" w:line="360" w:lineRule="auto"/>
        <w:ind w:firstLine="663" w:firstLineChars="150"/>
        <w:jc w:val="center"/>
        <w:rPr>
          <w:rFonts w:ascii="宋体" w:hAnsi="宋体"/>
          <w:shd w:val="clear" w:color="auto" w:fill="FFFFFF"/>
        </w:rPr>
      </w:pPr>
    </w:p>
    <w:p>
      <w:pPr>
        <w:pStyle w:val="2"/>
        <w:keepLines w:val="0"/>
        <w:tabs>
          <w:tab w:val="left" w:pos="1530"/>
          <w:tab w:val="left" w:pos="3360"/>
          <w:tab w:val="left" w:pos="4082"/>
        </w:tabs>
        <w:snapToGrid w:val="0"/>
        <w:spacing w:before="0" w:after="0" w:line="360" w:lineRule="auto"/>
        <w:ind w:firstLine="663" w:firstLineChars="150"/>
        <w:jc w:val="center"/>
        <w:rPr>
          <w:rFonts w:ascii="宋体" w:hAnsi="宋体"/>
          <w:shd w:val="clear" w:color="auto" w:fill="FFFFFF"/>
        </w:rPr>
      </w:pPr>
    </w:p>
    <w:p>
      <w:pPr>
        <w:pStyle w:val="2"/>
        <w:keepLines w:val="0"/>
        <w:tabs>
          <w:tab w:val="left" w:pos="1530"/>
          <w:tab w:val="left" w:pos="3360"/>
          <w:tab w:val="left" w:pos="4082"/>
        </w:tabs>
        <w:snapToGrid w:val="0"/>
        <w:spacing w:before="0" w:after="0" w:line="360" w:lineRule="auto"/>
        <w:rPr>
          <w:rFonts w:ascii="宋体" w:hAnsi="宋体"/>
          <w:shd w:val="clear" w:color="auto" w:fill="FFFFFF"/>
        </w:rPr>
      </w:pPr>
    </w:p>
    <w:p>
      <w:pPr>
        <w:rPr>
          <w:rFonts w:ascii="宋体" w:hAnsi="宋体"/>
          <w:shd w:val="clear" w:color="auto" w:fill="FFFFFF"/>
        </w:rPr>
      </w:pPr>
    </w:p>
    <w:p>
      <w:pPr>
        <w:pStyle w:val="23"/>
        <w:rPr>
          <w:rFonts w:ascii="宋体" w:hAnsi="宋体"/>
          <w:shd w:val="clear" w:color="auto" w:fill="FFFFFF"/>
        </w:rPr>
      </w:pPr>
    </w:p>
    <w:p>
      <w:pPr>
        <w:pStyle w:val="23"/>
        <w:rPr>
          <w:rFonts w:ascii="宋体" w:hAnsi="宋体"/>
          <w:shd w:val="clear" w:color="auto" w:fill="FFFFFF"/>
        </w:rPr>
      </w:pPr>
    </w:p>
    <w:p>
      <w:pPr>
        <w:pStyle w:val="2"/>
        <w:keepLines w:val="0"/>
        <w:tabs>
          <w:tab w:val="left" w:pos="1530"/>
          <w:tab w:val="left" w:pos="3360"/>
          <w:tab w:val="left" w:pos="4082"/>
        </w:tabs>
        <w:snapToGrid w:val="0"/>
        <w:spacing w:before="0" w:after="0" w:line="360" w:lineRule="auto"/>
        <w:ind w:firstLine="663" w:firstLineChars="150"/>
        <w:jc w:val="center"/>
        <w:rPr>
          <w:rFonts w:ascii="宋体" w:hAnsi="宋体"/>
          <w:shd w:val="clear" w:color="auto" w:fill="FFFFFF"/>
        </w:rPr>
      </w:pPr>
      <w:r>
        <w:rPr>
          <w:rFonts w:hint="eastAsia" w:ascii="宋体" w:hAnsi="宋体"/>
          <w:shd w:val="clear" w:color="auto" w:fill="FFFFFF"/>
        </w:rPr>
        <w:t>第</w:t>
      </w:r>
      <w:r>
        <w:rPr>
          <w:rFonts w:ascii="宋体" w:hAnsi="宋体"/>
          <w:shd w:val="clear" w:color="auto" w:fill="FFFFFF"/>
        </w:rPr>
        <w:t>四篇</w:t>
      </w:r>
      <w:r>
        <w:rPr>
          <w:rFonts w:hint="eastAsia" w:ascii="宋体" w:hAnsi="宋体"/>
          <w:shd w:val="clear" w:color="auto" w:fill="FFFFFF"/>
        </w:rPr>
        <w:t xml:space="preserve"> 合</w:t>
      </w:r>
      <w:r>
        <w:rPr>
          <w:rFonts w:ascii="宋体" w:hAnsi="宋体"/>
          <w:shd w:val="clear" w:color="auto" w:fill="FFFFFF"/>
        </w:rPr>
        <w:t>同协议书</w:t>
      </w:r>
    </w:p>
    <w:p>
      <w:pPr>
        <w:rPr>
          <w:rFonts w:ascii="宋体" w:hAnsi="宋体"/>
          <w:color w:val="000000"/>
          <w:sz w:val="28"/>
          <w:szCs w:val="28"/>
        </w:rPr>
      </w:pPr>
    </w:p>
    <w:p>
      <w:pPr>
        <w:pStyle w:val="23"/>
        <w:sectPr>
          <w:pgSz w:w="11906" w:h="16838"/>
          <w:pgMar w:top="567" w:right="1797" w:bottom="1276" w:left="1797" w:header="851" w:footer="992" w:gutter="0"/>
          <w:cols w:space="720" w:num="1"/>
          <w:docGrid w:type="lines" w:linePitch="312" w:charSpace="0"/>
        </w:sectPr>
      </w:pPr>
      <w:r>
        <w:rPr>
          <w:rFonts w:hint="eastAsia" w:ascii="宋体" w:hAnsi="宋体"/>
          <w:sz w:val="28"/>
          <w:szCs w:val="28"/>
        </w:rPr>
        <w:t xml:space="preserve">                         （中标后签订）</w:t>
      </w:r>
    </w:p>
    <w:p>
      <w:pPr>
        <w:pStyle w:val="2"/>
        <w:keepLines w:val="0"/>
        <w:tabs>
          <w:tab w:val="left" w:pos="1530"/>
          <w:tab w:val="left" w:pos="3360"/>
          <w:tab w:val="left" w:pos="4082"/>
        </w:tabs>
        <w:snapToGrid w:val="0"/>
        <w:spacing w:before="0" w:after="0" w:line="360" w:lineRule="auto"/>
        <w:ind w:firstLine="663" w:firstLineChars="150"/>
        <w:jc w:val="center"/>
        <w:rPr>
          <w:rFonts w:ascii="宋体" w:hAnsi="宋体"/>
          <w:shd w:val="clear" w:color="auto" w:fill="FFFFFF"/>
        </w:rPr>
      </w:pPr>
      <w:r>
        <w:rPr>
          <w:rFonts w:hint="eastAsia" w:ascii="宋体" w:hAnsi="宋体"/>
          <w:shd w:val="clear" w:color="auto" w:fill="FFFFFF"/>
        </w:rPr>
        <w:t>第五篇  竞争性比选申请</w:t>
      </w:r>
      <w:r>
        <w:rPr>
          <w:rFonts w:ascii="宋体" w:hAnsi="宋体"/>
          <w:shd w:val="clear" w:color="auto" w:fill="FFFFFF"/>
        </w:rPr>
        <w:t>文件格式</w:t>
      </w:r>
    </w:p>
    <w:p>
      <w:pPr>
        <w:jc w:val="center"/>
        <w:rPr>
          <w:rFonts w:ascii="宋体" w:hAnsi="宋体"/>
          <w:b/>
          <w:kern w:val="1"/>
          <w:sz w:val="24"/>
          <w:shd w:val="clear" w:color="auto" w:fill="FFFFFF"/>
        </w:rPr>
      </w:pPr>
    </w:p>
    <w:p>
      <w:pPr>
        <w:jc w:val="center"/>
        <w:outlineLvl w:val="0"/>
        <w:rPr>
          <w:rFonts w:ascii="宋体" w:hAnsi="宋体"/>
          <w:b/>
          <w:kern w:val="1"/>
          <w:sz w:val="24"/>
          <w:shd w:val="clear" w:color="auto" w:fill="FFFFFF"/>
        </w:rPr>
      </w:pPr>
      <w:r>
        <w:rPr>
          <w:rFonts w:hint="eastAsia" w:ascii="宋体" w:hAnsi="宋体"/>
          <w:b/>
          <w:kern w:val="1"/>
          <w:sz w:val="24"/>
          <w:shd w:val="clear" w:color="auto" w:fill="FFFFFF"/>
        </w:rPr>
        <w:t>竞争性比选申请</w:t>
      </w:r>
      <w:r>
        <w:rPr>
          <w:rFonts w:ascii="宋体" w:hAnsi="宋体"/>
          <w:b/>
          <w:kern w:val="1"/>
          <w:sz w:val="24"/>
          <w:shd w:val="clear" w:color="auto" w:fill="FFFFFF"/>
        </w:rPr>
        <w:t>文件封面</w:t>
      </w:r>
    </w:p>
    <w:p>
      <w:pPr>
        <w:jc w:val="center"/>
        <w:rPr>
          <w:rFonts w:ascii="宋体" w:hAnsi="宋体"/>
          <w:b/>
          <w:kern w:val="1"/>
          <w:sz w:val="24"/>
          <w:shd w:val="clear" w:color="auto" w:fill="FFFFFF"/>
        </w:rPr>
        <w:sectPr>
          <w:pgSz w:w="11906" w:h="16838"/>
          <w:pgMar w:top="567" w:right="1797" w:bottom="1276" w:left="1797" w:header="851" w:footer="992" w:gutter="0"/>
          <w:cols w:space="720" w:num="1"/>
          <w:docGrid w:type="lines" w:linePitch="312" w:charSpace="0"/>
        </w:sectPr>
      </w:pPr>
      <w:r>
        <w:rPr>
          <w:rFonts w:ascii="宋体" w:hAnsi="宋体"/>
          <w:b/>
          <w:kern w:val="1"/>
          <w:sz w:val="24"/>
          <w:shd w:val="clear" w:color="auto" w:fill="FFFFFF"/>
        </w:rPr>
        <w:t>（以下内容为示例）</w:t>
      </w:r>
    </w:p>
    <w:p>
      <w:pPr>
        <w:ind w:left="-199" w:leftChars="-95"/>
        <w:jc w:val="center"/>
        <w:rPr>
          <w:b/>
          <w:sz w:val="36"/>
          <w:szCs w:val="36"/>
        </w:rPr>
      </w:pPr>
      <w:r>
        <w:rPr>
          <w:rFonts w:hint="eastAsia" w:ascii="宋体" w:hAnsi="宋体" w:cs="宋体"/>
          <w:b/>
          <w:spacing w:val="21"/>
          <w:kern w:val="1"/>
          <w:sz w:val="36"/>
          <w:szCs w:val="36"/>
          <w:shd w:val="clear" w:color="auto" w:fill="FFFFFF"/>
        </w:rPr>
        <w:t>合长高速石船</w:t>
      </w:r>
      <w:r>
        <w:rPr>
          <w:rFonts w:hint="eastAsia"/>
          <w:b/>
          <w:sz w:val="36"/>
          <w:szCs w:val="36"/>
        </w:rPr>
        <w:t>服务区（左、右）加油加气站</w:t>
      </w:r>
    </w:p>
    <w:p>
      <w:pPr>
        <w:ind w:left="-199" w:leftChars="-95"/>
        <w:jc w:val="center"/>
        <w:rPr>
          <w:b/>
          <w:sz w:val="36"/>
          <w:szCs w:val="36"/>
        </w:rPr>
      </w:pPr>
      <w:r>
        <w:rPr>
          <w:rFonts w:hint="eastAsia"/>
          <w:b/>
          <w:sz w:val="36"/>
          <w:szCs w:val="36"/>
        </w:rPr>
        <w:t>环保技术服务项目</w:t>
      </w:r>
    </w:p>
    <w:p>
      <w:pPr>
        <w:pStyle w:val="23"/>
        <w:jc w:val="center"/>
        <w:rPr>
          <w:rFonts w:ascii="宋体" w:hAnsi="宋体" w:eastAsia="宋体" w:cs="Times New Roman"/>
          <w:b/>
          <w:bCs/>
          <w:kern w:val="1"/>
          <w:sz w:val="36"/>
          <w:szCs w:val="36"/>
          <w:shd w:val="clear" w:color="auto" w:fill="FFFFFF"/>
        </w:rPr>
      </w:pPr>
    </w:p>
    <w:p>
      <w:pPr>
        <w:pStyle w:val="23"/>
        <w:jc w:val="center"/>
        <w:rPr>
          <w:rFonts w:ascii="宋体" w:hAnsi="宋体" w:eastAsia="宋体" w:cs="Times New Roman"/>
          <w:b/>
          <w:bCs/>
          <w:kern w:val="1"/>
          <w:sz w:val="36"/>
          <w:szCs w:val="36"/>
          <w:shd w:val="clear" w:color="auto" w:fill="FFFFFF"/>
        </w:rPr>
      </w:pPr>
    </w:p>
    <w:p>
      <w:pPr>
        <w:pStyle w:val="23"/>
        <w:jc w:val="center"/>
      </w:pPr>
    </w:p>
    <w:p>
      <w:pPr>
        <w:pStyle w:val="23"/>
      </w:pPr>
    </w:p>
    <w:p>
      <w:pPr>
        <w:pStyle w:val="23"/>
      </w:pPr>
    </w:p>
    <w:p>
      <w:pPr>
        <w:pStyle w:val="23"/>
      </w:pPr>
    </w:p>
    <w:p>
      <w:pPr>
        <w:pStyle w:val="23"/>
      </w:pPr>
    </w:p>
    <w:p>
      <w:pPr>
        <w:pStyle w:val="23"/>
      </w:pPr>
    </w:p>
    <w:p>
      <w:pPr>
        <w:pStyle w:val="23"/>
      </w:pPr>
    </w:p>
    <w:p>
      <w:pPr>
        <w:pStyle w:val="23"/>
      </w:pPr>
    </w:p>
    <w:p>
      <w:pPr>
        <w:pStyle w:val="23"/>
      </w:pPr>
    </w:p>
    <w:p>
      <w:pPr>
        <w:jc w:val="center"/>
        <w:rPr>
          <w:rFonts w:ascii="宋体" w:hAnsi="宋体"/>
          <w:kern w:val="1"/>
          <w:sz w:val="32"/>
          <w:szCs w:val="32"/>
          <w:shd w:val="clear" w:color="auto" w:fill="FFFFFF"/>
        </w:rPr>
      </w:pPr>
      <w:r>
        <w:rPr>
          <w:rFonts w:hint="eastAsia" w:ascii="宋体" w:hAnsi="宋体"/>
          <w:kern w:val="1"/>
          <w:sz w:val="32"/>
          <w:szCs w:val="32"/>
          <w:shd w:val="clear" w:color="auto" w:fill="FFFFFF"/>
        </w:rPr>
        <w:t>竞争性比选申请</w:t>
      </w:r>
      <w:r>
        <w:rPr>
          <w:rFonts w:ascii="宋体" w:hAnsi="宋体"/>
          <w:kern w:val="1"/>
          <w:sz w:val="32"/>
          <w:szCs w:val="32"/>
          <w:shd w:val="clear" w:color="auto" w:fill="FFFFFF"/>
        </w:rPr>
        <w:t>文件</w:t>
      </w: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pStyle w:val="3"/>
      </w:pPr>
    </w:p>
    <w:p>
      <w:pPr>
        <w:jc w:val="center"/>
        <w:rPr>
          <w:rFonts w:ascii="宋体" w:hAnsi="宋体"/>
          <w:kern w:val="1"/>
          <w:sz w:val="32"/>
          <w:szCs w:val="32"/>
          <w:shd w:val="clear" w:color="auto" w:fill="FFFFFF"/>
        </w:rPr>
      </w:pPr>
    </w:p>
    <w:p>
      <w:pPr>
        <w:jc w:val="center"/>
        <w:rPr>
          <w:rFonts w:ascii="宋体" w:hAnsi="宋体"/>
          <w:kern w:val="1"/>
          <w:sz w:val="32"/>
          <w:szCs w:val="32"/>
          <w:u w:val="single"/>
          <w:shd w:val="clear" w:color="auto" w:fill="FFFFFF"/>
        </w:rPr>
      </w:pPr>
      <w:r>
        <w:rPr>
          <w:rFonts w:hint="eastAsia" w:ascii="宋体" w:hAnsi="宋体"/>
          <w:kern w:val="1"/>
          <w:sz w:val="32"/>
          <w:szCs w:val="32"/>
          <w:u w:val="single"/>
          <w:shd w:val="clear" w:color="auto" w:fill="FFFFFF"/>
        </w:rPr>
        <w:t>比选申请人名称</w:t>
      </w:r>
      <w:r>
        <w:rPr>
          <w:rFonts w:ascii="宋体" w:hAnsi="宋体"/>
          <w:kern w:val="1"/>
          <w:sz w:val="32"/>
          <w:szCs w:val="32"/>
          <w:u w:val="single"/>
          <w:shd w:val="clear" w:color="auto" w:fill="FFFFFF"/>
        </w:rPr>
        <w:t>全称（盖单位公章）</w:t>
      </w:r>
    </w:p>
    <w:p>
      <w:pPr>
        <w:jc w:val="center"/>
        <w:rPr>
          <w:rFonts w:ascii="宋体" w:hAnsi="宋体"/>
          <w:kern w:val="1"/>
          <w:sz w:val="32"/>
          <w:szCs w:val="32"/>
          <w:u w:val="single"/>
          <w:shd w:val="clear" w:color="auto" w:fill="FFFFFF"/>
        </w:rPr>
      </w:pPr>
      <w:r>
        <w:rPr>
          <w:rFonts w:hint="eastAsia" w:ascii="宋体" w:hAnsi="宋体"/>
          <w:kern w:val="1"/>
          <w:sz w:val="32"/>
          <w:szCs w:val="32"/>
          <w:u w:val="single"/>
          <w:shd w:val="clear" w:color="auto" w:fill="FFFFFF"/>
        </w:rPr>
        <w:t>2021年   月   日</w:t>
      </w:r>
    </w:p>
    <w:p>
      <w:pPr>
        <w:jc w:val="center"/>
        <w:rPr>
          <w:rFonts w:ascii="宋体" w:hAnsi="宋体"/>
          <w:kern w:val="1"/>
          <w:sz w:val="32"/>
          <w:szCs w:val="32"/>
          <w:u w:val="single"/>
          <w:shd w:val="clear" w:color="auto" w:fill="FFFFFF"/>
        </w:rPr>
      </w:pPr>
    </w:p>
    <w:p>
      <w:pPr>
        <w:jc w:val="center"/>
        <w:rPr>
          <w:rFonts w:ascii="宋体" w:hAnsi="宋体"/>
          <w:kern w:val="1"/>
          <w:sz w:val="32"/>
          <w:szCs w:val="32"/>
          <w:u w:val="single"/>
          <w:shd w:val="clear" w:color="auto" w:fill="FFFFFF"/>
        </w:rPr>
      </w:pPr>
    </w:p>
    <w:p>
      <w:pPr>
        <w:jc w:val="center"/>
        <w:rPr>
          <w:rFonts w:ascii="宋体" w:hAnsi="宋体"/>
          <w:kern w:val="1"/>
          <w:sz w:val="32"/>
          <w:szCs w:val="32"/>
          <w:u w:val="single"/>
          <w:shd w:val="clear" w:color="auto" w:fill="FFFFFF"/>
        </w:rPr>
        <w:sectPr>
          <w:headerReference r:id="rId4" w:type="default"/>
          <w:pgSz w:w="11906" w:h="16838"/>
          <w:pgMar w:top="1440" w:right="1800" w:bottom="1440" w:left="1800" w:header="851" w:footer="992" w:gutter="0"/>
          <w:cols w:space="720" w:num="1"/>
        </w:sectPr>
      </w:pPr>
    </w:p>
    <w:p>
      <w:pPr>
        <w:tabs>
          <w:tab w:val="left" w:pos="900"/>
          <w:tab w:val="left" w:pos="1080"/>
        </w:tabs>
        <w:spacing w:line="300" w:lineRule="auto"/>
        <w:jc w:val="center"/>
        <w:outlineLvl w:val="0"/>
        <w:rPr>
          <w:rFonts w:ascii="宋体" w:hAnsi="宋体" w:cs="Arial"/>
          <w:b/>
          <w:kern w:val="1"/>
          <w:sz w:val="24"/>
          <w:shd w:val="clear" w:color="auto" w:fill="FFFFFF"/>
        </w:rPr>
      </w:pPr>
      <w:r>
        <w:rPr>
          <w:rFonts w:ascii="宋体" w:hAnsi="宋体" w:cs="Arial"/>
          <w:b/>
          <w:kern w:val="1"/>
          <w:sz w:val="24"/>
          <w:shd w:val="clear" w:color="auto" w:fill="FFFFFF"/>
        </w:rPr>
        <w:t>目录</w:t>
      </w:r>
    </w:p>
    <w:p>
      <w:pPr>
        <w:tabs>
          <w:tab w:val="left" w:pos="900"/>
          <w:tab w:val="left" w:pos="1080"/>
        </w:tabs>
        <w:spacing w:line="300" w:lineRule="auto"/>
        <w:jc w:val="center"/>
        <w:outlineLvl w:val="0"/>
        <w:rPr>
          <w:rFonts w:ascii="宋体" w:hAnsi="宋体" w:cs="Arial"/>
          <w:b/>
          <w:kern w:val="1"/>
          <w:sz w:val="24"/>
          <w:shd w:val="clear" w:color="auto" w:fill="FFFFFF"/>
        </w:rPr>
      </w:pPr>
    </w:p>
    <w:p>
      <w:pPr>
        <w:spacing w:line="360" w:lineRule="auto"/>
        <w:rPr>
          <w:rFonts w:ascii="宋体" w:hAnsi="宋体"/>
          <w:b/>
          <w:kern w:val="1"/>
          <w:sz w:val="24"/>
          <w:shd w:val="clear" w:color="auto" w:fill="FFFFFF"/>
        </w:rPr>
      </w:pPr>
      <w:r>
        <w:rPr>
          <w:rFonts w:ascii="宋体" w:hAnsi="宋体"/>
          <w:b/>
          <w:kern w:val="1"/>
          <w:sz w:val="24"/>
          <w:shd w:val="clear" w:color="auto" w:fill="FFFFFF"/>
        </w:rPr>
        <w:t>一、</w:t>
      </w:r>
      <w:r>
        <w:rPr>
          <w:rFonts w:hint="eastAsia" w:ascii="宋体" w:hAnsi="宋体" w:cs="Arial"/>
          <w:b/>
          <w:kern w:val="1"/>
          <w:sz w:val="24"/>
          <w:shd w:val="clear" w:color="auto" w:fill="FFFFFF"/>
        </w:rPr>
        <w:t>报价函</w:t>
      </w:r>
    </w:p>
    <w:p>
      <w:pPr>
        <w:spacing w:line="360" w:lineRule="auto"/>
        <w:rPr>
          <w:rFonts w:ascii="宋体" w:hAnsi="宋体"/>
          <w:b/>
          <w:kern w:val="1"/>
          <w:sz w:val="24"/>
          <w:shd w:val="clear" w:color="auto" w:fill="FFFFFF"/>
        </w:rPr>
      </w:pPr>
      <w:r>
        <w:rPr>
          <w:rFonts w:ascii="宋体" w:hAnsi="宋体"/>
          <w:b/>
          <w:kern w:val="1"/>
          <w:sz w:val="24"/>
          <w:shd w:val="clear" w:color="auto" w:fill="FFFFFF"/>
        </w:rPr>
        <w:t>二、法定代表人身份证明及授权委托书</w:t>
      </w:r>
    </w:p>
    <w:p>
      <w:pPr>
        <w:spacing w:line="360" w:lineRule="auto"/>
        <w:rPr>
          <w:rFonts w:ascii="宋体" w:hAnsi="宋体"/>
          <w:b/>
          <w:kern w:val="1"/>
          <w:sz w:val="24"/>
          <w:shd w:val="clear" w:color="auto" w:fill="FFFFFF"/>
        </w:rPr>
      </w:pPr>
      <w:r>
        <w:rPr>
          <w:rFonts w:ascii="宋体" w:hAnsi="宋体"/>
          <w:b/>
          <w:kern w:val="1"/>
          <w:sz w:val="24"/>
          <w:shd w:val="clear" w:color="auto" w:fill="FFFFFF"/>
        </w:rPr>
        <w:t>三、有效</w:t>
      </w:r>
      <w:r>
        <w:rPr>
          <w:rFonts w:hint="eastAsia" w:ascii="宋体" w:hAnsi="宋体"/>
          <w:b/>
          <w:kern w:val="1"/>
          <w:sz w:val="24"/>
          <w:shd w:val="clear" w:color="auto" w:fill="FFFFFF"/>
        </w:rPr>
        <w:t>的</w:t>
      </w:r>
      <w:r>
        <w:rPr>
          <w:rFonts w:ascii="宋体" w:hAnsi="宋体"/>
          <w:b/>
          <w:kern w:val="1"/>
          <w:sz w:val="24"/>
          <w:shd w:val="clear" w:color="auto" w:fill="FFFFFF"/>
        </w:rPr>
        <w:t>营业执照</w:t>
      </w:r>
    </w:p>
    <w:p>
      <w:pPr>
        <w:spacing w:line="360" w:lineRule="auto"/>
        <w:rPr>
          <w:rFonts w:ascii="宋体" w:hAnsi="宋体"/>
          <w:b/>
          <w:kern w:val="1"/>
          <w:sz w:val="24"/>
          <w:shd w:val="clear" w:color="auto" w:fill="FFFFFF"/>
        </w:rPr>
      </w:pPr>
      <w:r>
        <w:rPr>
          <w:rFonts w:hint="eastAsia" w:ascii="宋体" w:hAnsi="宋体"/>
          <w:b/>
          <w:kern w:val="1"/>
          <w:sz w:val="24"/>
          <w:shd w:val="clear" w:color="auto" w:fill="FFFFFF"/>
        </w:rPr>
        <w:t>四</w:t>
      </w:r>
      <w:r>
        <w:rPr>
          <w:rFonts w:ascii="宋体" w:hAnsi="宋体"/>
          <w:b/>
          <w:kern w:val="1"/>
          <w:sz w:val="24"/>
          <w:shd w:val="clear" w:color="auto" w:fill="FFFFFF"/>
        </w:rPr>
        <w:t>、有效</w:t>
      </w:r>
      <w:r>
        <w:rPr>
          <w:rFonts w:hint="eastAsia" w:ascii="宋体" w:hAnsi="宋体"/>
          <w:b/>
          <w:kern w:val="1"/>
          <w:sz w:val="24"/>
          <w:shd w:val="clear" w:color="auto" w:fill="FFFFFF"/>
        </w:rPr>
        <w:t>的资质证书</w:t>
      </w:r>
    </w:p>
    <w:p>
      <w:pPr>
        <w:spacing w:line="360" w:lineRule="auto"/>
        <w:rPr>
          <w:rFonts w:ascii="宋体" w:hAnsi="宋体"/>
          <w:b/>
          <w:kern w:val="1"/>
          <w:sz w:val="24"/>
          <w:shd w:val="clear" w:color="auto" w:fill="FFFFFF"/>
        </w:rPr>
      </w:pPr>
      <w:r>
        <w:rPr>
          <w:rFonts w:hint="eastAsia" w:ascii="宋体" w:hAnsi="宋体"/>
          <w:b/>
          <w:kern w:val="1"/>
          <w:sz w:val="24"/>
          <w:shd w:val="clear" w:color="auto" w:fill="FFFFFF"/>
        </w:rPr>
        <w:t>五、业绩证明</w:t>
      </w:r>
    </w:p>
    <w:p>
      <w:pPr>
        <w:spacing w:line="360" w:lineRule="auto"/>
        <w:rPr>
          <w:rFonts w:ascii="宋体" w:hAnsi="宋体"/>
          <w:b/>
          <w:kern w:val="1"/>
          <w:sz w:val="24"/>
          <w:shd w:val="clear" w:color="auto" w:fill="FFFFFF"/>
        </w:rPr>
      </w:pPr>
      <w:r>
        <w:rPr>
          <w:rFonts w:hint="eastAsia" w:ascii="宋体" w:hAnsi="宋体"/>
          <w:b/>
          <w:kern w:val="1"/>
          <w:sz w:val="24"/>
          <w:shd w:val="clear" w:color="auto" w:fill="FFFFFF"/>
        </w:rPr>
        <w:t>六、技术部分</w:t>
      </w:r>
    </w:p>
    <w:p>
      <w:pPr>
        <w:tabs>
          <w:tab w:val="left" w:pos="900"/>
          <w:tab w:val="left" w:pos="1080"/>
        </w:tabs>
        <w:spacing w:line="300" w:lineRule="auto"/>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spacing w:line="440" w:lineRule="exact"/>
        <w:ind w:firstLine="2003"/>
        <w:outlineLvl w:val="1"/>
        <w:rPr>
          <w:rFonts w:ascii="宋体" w:hAnsi="宋体"/>
          <w:b/>
          <w:kern w:val="1"/>
          <w:shd w:val="clear" w:color="auto" w:fill="FFFFFF"/>
        </w:rPr>
        <w:sectPr>
          <w:pgSz w:w="11906" w:h="16838"/>
          <w:pgMar w:top="1440" w:right="1800" w:bottom="1440" w:left="1800" w:header="851" w:footer="992" w:gutter="0"/>
          <w:cols w:space="720" w:num="1"/>
        </w:sectPr>
      </w:pPr>
    </w:p>
    <w:p>
      <w:pPr>
        <w:tabs>
          <w:tab w:val="left" w:pos="900"/>
          <w:tab w:val="left" w:pos="1080"/>
        </w:tabs>
        <w:spacing w:line="300" w:lineRule="auto"/>
        <w:jc w:val="center"/>
        <w:outlineLvl w:val="0"/>
        <w:rPr>
          <w:rFonts w:ascii="宋体" w:hAnsi="宋体" w:cs="Arial"/>
          <w:b/>
          <w:kern w:val="1"/>
          <w:sz w:val="32"/>
          <w:szCs w:val="22"/>
          <w:shd w:val="clear" w:color="auto" w:fill="FFFFFF"/>
        </w:rPr>
      </w:pPr>
      <w:r>
        <w:rPr>
          <w:rFonts w:hint="eastAsia" w:ascii="宋体" w:hAnsi="宋体" w:cs="Arial"/>
          <w:b/>
          <w:kern w:val="1"/>
          <w:sz w:val="32"/>
          <w:szCs w:val="22"/>
          <w:shd w:val="clear" w:color="auto" w:fill="FFFFFF"/>
        </w:rPr>
        <w:t>一、报价函</w:t>
      </w:r>
    </w:p>
    <w:p>
      <w:pPr>
        <w:pStyle w:val="15"/>
        <w:jc w:val="both"/>
        <w:rPr>
          <w:u w:val="single"/>
          <w:shd w:val="clear" w:color="auto" w:fill="FFFFFF"/>
        </w:rPr>
      </w:pPr>
    </w:p>
    <w:p>
      <w:pPr>
        <w:spacing w:line="360" w:lineRule="auto"/>
        <w:rPr>
          <w:rFonts w:ascii="宋体" w:hAnsi="宋体"/>
          <w:b/>
          <w:szCs w:val="21"/>
        </w:rPr>
      </w:pPr>
      <w:r>
        <w:rPr>
          <w:rFonts w:hint="eastAsia"/>
          <w:szCs w:val="21"/>
        </w:rPr>
        <w:t>重庆高速中油富渝能源发展有限公司</w:t>
      </w:r>
      <w:r>
        <w:rPr>
          <w:rFonts w:ascii="宋体" w:hAnsi="宋体"/>
          <w:b/>
          <w:szCs w:val="21"/>
        </w:rPr>
        <w:t>：</w:t>
      </w:r>
    </w:p>
    <w:p>
      <w:pPr>
        <w:spacing w:line="360" w:lineRule="auto"/>
        <w:ind w:firstLine="420" w:firstLineChars="200"/>
        <w:rPr>
          <w:rFonts w:ascii="宋体" w:hAnsi="宋体"/>
          <w:szCs w:val="21"/>
        </w:rPr>
      </w:pPr>
      <w:r>
        <w:rPr>
          <w:rFonts w:ascii="宋体" w:hAnsi="宋体"/>
          <w:szCs w:val="21"/>
        </w:rPr>
        <w:t>1．我方已仔细研究了</w:t>
      </w:r>
      <w:r>
        <w:rPr>
          <w:rFonts w:hint="eastAsia" w:ascii="宋体" w:hAnsi="宋体"/>
          <w:b/>
          <w:bCs/>
          <w:szCs w:val="21"/>
          <w:u w:val="single"/>
        </w:rPr>
        <w:t>合长高速石船服务区（左、右）加油加气站环保技术服务项目</w:t>
      </w:r>
    </w:p>
    <w:p>
      <w:pPr>
        <w:spacing w:line="360" w:lineRule="auto"/>
        <w:rPr>
          <w:rFonts w:ascii="宋体" w:hAnsi="宋体"/>
          <w:szCs w:val="21"/>
        </w:rPr>
      </w:pPr>
      <w:r>
        <w:rPr>
          <w:rFonts w:hint="eastAsia" w:ascii="宋体" w:hAnsi="宋体"/>
          <w:szCs w:val="21"/>
        </w:rPr>
        <w:t>竞争性比选文件</w:t>
      </w:r>
      <w:r>
        <w:rPr>
          <w:rFonts w:ascii="宋体" w:hAnsi="宋体"/>
          <w:szCs w:val="21"/>
        </w:rPr>
        <w:t>的全部内容，愿意以人民币（大写）</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）的</w:t>
      </w:r>
      <w:r>
        <w:rPr>
          <w:rFonts w:hint="eastAsia" w:ascii="宋体" w:hAnsi="宋体"/>
          <w:szCs w:val="21"/>
        </w:rPr>
        <w:t>竞标</w:t>
      </w:r>
      <w:r>
        <w:rPr>
          <w:rFonts w:ascii="宋体" w:hAnsi="宋体"/>
          <w:szCs w:val="21"/>
        </w:rPr>
        <w:t>总报价</w:t>
      </w:r>
      <w:r>
        <w:rPr>
          <w:rFonts w:hint="eastAsia" w:ascii="宋体" w:hAnsi="宋体"/>
          <w:szCs w:val="21"/>
        </w:rPr>
        <w:t>，</w:t>
      </w:r>
      <w:r>
        <w:rPr>
          <w:rFonts w:ascii="宋体" w:hAnsi="宋体"/>
          <w:szCs w:val="21"/>
        </w:rPr>
        <w:t>按合同约定实施和完成承包工程。</w:t>
      </w:r>
    </w:p>
    <w:p>
      <w:pPr>
        <w:spacing w:line="360" w:lineRule="auto"/>
        <w:ind w:firstLine="420" w:firstLineChars="200"/>
        <w:rPr>
          <w:rFonts w:ascii="宋体" w:hAnsi="宋体"/>
          <w:szCs w:val="21"/>
        </w:rPr>
      </w:pPr>
      <w:r>
        <w:rPr>
          <w:rFonts w:hint="eastAsia" w:ascii="宋体" w:hAnsi="宋体"/>
          <w:szCs w:val="21"/>
        </w:rPr>
        <w:t>2.我方承诺在竞争性比选文件规定的竞标有效期内不修改、撤销竞争性比选申请文件。</w:t>
      </w:r>
    </w:p>
    <w:p>
      <w:pPr>
        <w:spacing w:line="360" w:lineRule="auto"/>
        <w:rPr>
          <w:rFonts w:ascii="宋体" w:hAnsi="宋体"/>
          <w:szCs w:val="21"/>
        </w:rPr>
      </w:pPr>
    </w:p>
    <w:p>
      <w:pPr>
        <w:spacing w:line="360" w:lineRule="auto"/>
        <w:jc w:val="right"/>
        <w:rPr>
          <w:rFonts w:ascii="宋体" w:hAnsi="宋体"/>
          <w:szCs w:val="21"/>
        </w:rPr>
      </w:pPr>
      <w:r>
        <w:rPr>
          <w:rFonts w:hint="eastAsia" w:ascii="宋体" w:hAnsi="宋体"/>
          <w:szCs w:val="21"/>
        </w:rPr>
        <w:t xml:space="preserve"> 竞争性比选申请</w:t>
      </w:r>
      <w:r>
        <w:rPr>
          <w:rFonts w:ascii="宋体" w:hAnsi="宋体"/>
          <w:szCs w:val="21"/>
        </w:rPr>
        <w:t>人：</w:t>
      </w:r>
      <w:r>
        <w:rPr>
          <w:rFonts w:ascii="宋体" w:hAnsi="宋体"/>
          <w:szCs w:val="21"/>
          <w:u w:val="single"/>
        </w:rPr>
        <w:t xml:space="preserve">                      </w:t>
      </w:r>
      <w:r>
        <w:rPr>
          <w:rFonts w:ascii="宋体" w:hAnsi="宋体"/>
          <w:szCs w:val="21"/>
        </w:rPr>
        <w:t>（盖单位章）</w:t>
      </w:r>
    </w:p>
    <w:p>
      <w:pPr>
        <w:spacing w:line="360" w:lineRule="auto"/>
        <w:jc w:val="right"/>
        <w:rPr>
          <w:rFonts w:ascii="宋体" w:hAnsi="宋体"/>
          <w:szCs w:val="21"/>
        </w:rPr>
      </w:pPr>
      <w:r>
        <w:rPr>
          <w:rFonts w:ascii="宋体" w:hAnsi="宋体"/>
          <w:szCs w:val="21"/>
        </w:rPr>
        <w:t>法定代表人或其委托代理人：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（签字）</w:t>
      </w:r>
    </w:p>
    <w:p>
      <w:pPr>
        <w:spacing w:line="360" w:lineRule="auto"/>
        <w:jc w:val="right"/>
        <w:rPr>
          <w:rFonts w:ascii="宋体" w:hAnsi="宋体"/>
          <w:szCs w:val="21"/>
        </w:rPr>
        <w:sectPr>
          <w:pgSz w:w="11906" w:h="16838"/>
          <w:pgMar w:top="1440" w:right="1800" w:bottom="1440" w:left="1800" w:header="851" w:footer="992" w:gutter="0"/>
          <w:cols w:space="720" w:num="1"/>
        </w:sectPr>
      </w:pPr>
      <w:r>
        <w:rPr>
          <w:rFonts w:hint="eastAsia" w:ascii="宋体" w:hAnsi="宋体"/>
          <w:szCs w:val="21"/>
          <w:u w:val="single"/>
        </w:rPr>
        <w:t xml:space="preserve">        </w:t>
      </w:r>
      <w:r>
        <w:rPr>
          <w:rFonts w:ascii="宋体" w:hAnsi="宋体"/>
          <w:szCs w:val="21"/>
        </w:rPr>
        <w:t>年</w:t>
      </w:r>
      <w:r>
        <w:rPr>
          <w:rFonts w:hint="eastAsia" w:ascii="宋体" w:hAnsi="宋体"/>
          <w:szCs w:val="21"/>
          <w:u w:val="single"/>
        </w:rPr>
        <w:t xml:space="preserve">        </w:t>
      </w:r>
      <w:r>
        <w:rPr>
          <w:rFonts w:ascii="宋体" w:hAnsi="宋体"/>
          <w:szCs w:val="21"/>
        </w:rPr>
        <w:t>月</w:t>
      </w:r>
      <w:r>
        <w:rPr>
          <w:rFonts w:hint="eastAsia" w:ascii="宋体" w:hAnsi="宋体"/>
          <w:szCs w:val="21"/>
          <w:u w:val="single"/>
        </w:rPr>
        <w:t xml:space="preserve">        </w:t>
      </w:r>
      <w:r>
        <w:rPr>
          <w:rFonts w:ascii="宋体" w:hAnsi="宋体"/>
          <w:szCs w:val="21"/>
        </w:rPr>
        <w:t>日</w:t>
      </w:r>
    </w:p>
    <w:p>
      <w:pPr>
        <w:tabs>
          <w:tab w:val="left" w:pos="900"/>
          <w:tab w:val="left" w:pos="1080"/>
        </w:tabs>
        <w:spacing w:line="300" w:lineRule="auto"/>
        <w:jc w:val="center"/>
        <w:outlineLvl w:val="0"/>
        <w:rPr>
          <w:rFonts w:ascii="宋体" w:hAnsi="宋体" w:cs="Arial"/>
          <w:b/>
          <w:kern w:val="1"/>
          <w:sz w:val="32"/>
          <w:szCs w:val="22"/>
          <w:shd w:val="clear" w:color="auto" w:fill="FFFFFF"/>
        </w:rPr>
      </w:pPr>
      <w:r>
        <w:rPr>
          <w:rFonts w:hint="eastAsia" w:ascii="宋体" w:hAnsi="宋体" w:cs="Arial"/>
          <w:b/>
          <w:kern w:val="1"/>
          <w:sz w:val="32"/>
          <w:szCs w:val="22"/>
          <w:shd w:val="clear" w:color="auto" w:fill="FFFFFF"/>
        </w:rPr>
        <w:t>二</w:t>
      </w:r>
      <w:r>
        <w:rPr>
          <w:rFonts w:ascii="宋体" w:hAnsi="宋体" w:cs="Arial"/>
          <w:b/>
          <w:kern w:val="1"/>
          <w:sz w:val="32"/>
          <w:szCs w:val="22"/>
          <w:shd w:val="clear" w:color="auto" w:fill="FFFFFF"/>
        </w:rPr>
        <w:t>、</w:t>
      </w:r>
      <w:r>
        <w:rPr>
          <w:rFonts w:hint="eastAsia" w:ascii="宋体" w:hAnsi="宋体" w:cs="Arial"/>
          <w:b/>
          <w:kern w:val="1"/>
          <w:sz w:val="32"/>
          <w:szCs w:val="22"/>
          <w:shd w:val="clear" w:color="auto" w:fill="FFFFFF"/>
        </w:rPr>
        <w:t>法定代表人身份证明及授权委托书</w:t>
      </w:r>
    </w:p>
    <w:p>
      <w:pPr>
        <w:spacing w:line="440" w:lineRule="exact"/>
        <w:rPr>
          <w:rFonts w:ascii="宋体" w:hAnsi="宋体"/>
          <w:kern w:val="1"/>
          <w:sz w:val="24"/>
          <w:shd w:val="clear" w:color="auto" w:fill="FFFFFF"/>
        </w:rPr>
      </w:pPr>
    </w:p>
    <w:p>
      <w:pPr>
        <w:spacing w:line="440" w:lineRule="exact"/>
        <w:ind w:firstLine="482"/>
        <w:jc w:val="center"/>
        <w:outlineLvl w:val="2"/>
        <w:rPr>
          <w:rFonts w:ascii="宋体" w:hAnsi="宋体"/>
          <w:b/>
          <w:kern w:val="1"/>
          <w:sz w:val="24"/>
          <w:shd w:val="clear" w:color="auto" w:fill="FFFFFF"/>
        </w:rPr>
      </w:pPr>
      <w:bookmarkStart w:id="25" w:name="_Toc262547328"/>
      <w:bookmarkEnd w:id="25"/>
      <w:r>
        <w:rPr>
          <w:rFonts w:hint="eastAsia" w:ascii="宋体" w:hAnsi="宋体"/>
          <w:b/>
          <w:kern w:val="1"/>
          <w:sz w:val="24"/>
          <w:shd w:val="clear" w:color="auto" w:fill="FFFFFF"/>
        </w:rPr>
        <w:t>（一）法定代表人身份证明</w:t>
      </w:r>
    </w:p>
    <w:p>
      <w:pPr>
        <w:spacing w:line="440" w:lineRule="exact"/>
        <w:rPr>
          <w:rFonts w:ascii="宋体" w:hAnsi="宋体"/>
          <w:kern w:val="1"/>
          <w:szCs w:val="21"/>
          <w:shd w:val="clear" w:color="auto" w:fill="FFFFFF"/>
        </w:rPr>
      </w:pPr>
      <w:r>
        <w:rPr>
          <w:rFonts w:hint="eastAsia" w:ascii="宋体" w:hAnsi="宋体"/>
          <w:kern w:val="1"/>
          <w:szCs w:val="21"/>
          <w:shd w:val="clear" w:color="auto" w:fill="FFFFFF"/>
        </w:rPr>
        <w:t>竞争性比选申请人名称：</w:t>
      </w:r>
      <w:r>
        <w:rPr>
          <w:rFonts w:ascii="宋体" w:hAnsi="宋体"/>
          <w:kern w:val="1"/>
          <w:szCs w:val="21"/>
          <w:u w:val="single"/>
          <w:shd w:val="clear" w:color="auto" w:fill="FFFFFF"/>
        </w:rPr>
        <w:t xml:space="preserve">                          </w:t>
      </w:r>
      <w:r>
        <w:rPr>
          <w:rFonts w:hint="eastAsia" w:ascii="宋体" w:hAnsi="宋体"/>
          <w:kern w:val="1"/>
          <w:szCs w:val="21"/>
          <w:u w:val="single"/>
          <w:shd w:val="clear" w:color="auto" w:fill="FFFFFF"/>
        </w:rPr>
        <w:t xml:space="preserve"> </w:t>
      </w:r>
      <w:r>
        <w:rPr>
          <w:rFonts w:ascii="宋体" w:hAnsi="宋体"/>
          <w:kern w:val="1"/>
          <w:szCs w:val="21"/>
          <w:u w:val="single"/>
          <w:shd w:val="clear" w:color="auto" w:fill="FFFFFF"/>
        </w:rPr>
        <w:t xml:space="preserve">  </w:t>
      </w:r>
      <w:r>
        <w:rPr>
          <w:rFonts w:ascii="宋体" w:hAnsi="宋体"/>
          <w:kern w:val="1"/>
          <w:szCs w:val="21"/>
          <w:shd w:val="clear" w:color="auto" w:fill="FFFFFF"/>
        </w:rPr>
        <w:t xml:space="preserve"> </w:t>
      </w:r>
    </w:p>
    <w:p>
      <w:pPr>
        <w:spacing w:line="440" w:lineRule="exact"/>
        <w:rPr>
          <w:rFonts w:ascii="宋体" w:hAnsi="宋体"/>
          <w:kern w:val="1"/>
          <w:szCs w:val="21"/>
          <w:shd w:val="clear" w:color="auto" w:fill="FFFFFF"/>
        </w:rPr>
      </w:pPr>
      <w:r>
        <w:rPr>
          <w:rFonts w:hint="eastAsia" w:ascii="宋体" w:hAnsi="宋体"/>
          <w:kern w:val="1"/>
          <w:szCs w:val="21"/>
          <w:shd w:val="clear" w:color="auto" w:fill="FFFFFF"/>
        </w:rPr>
        <w:t>单位性质：</w:t>
      </w:r>
      <w:r>
        <w:rPr>
          <w:rFonts w:ascii="宋体" w:hAnsi="宋体"/>
          <w:kern w:val="1"/>
          <w:szCs w:val="21"/>
          <w:u w:val="single"/>
          <w:shd w:val="clear" w:color="auto" w:fill="FFFFFF"/>
        </w:rPr>
        <w:t xml:space="preserve">                               </w:t>
      </w:r>
      <w:r>
        <w:rPr>
          <w:rFonts w:ascii="宋体" w:hAnsi="宋体"/>
          <w:kern w:val="1"/>
          <w:szCs w:val="21"/>
          <w:shd w:val="clear" w:color="auto" w:fill="FFFFFF"/>
        </w:rPr>
        <w:t xml:space="preserve"> </w:t>
      </w:r>
    </w:p>
    <w:p>
      <w:pPr>
        <w:spacing w:line="440" w:lineRule="exact"/>
        <w:rPr>
          <w:rFonts w:ascii="宋体" w:hAnsi="宋体"/>
          <w:kern w:val="1"/>
          <w:szCs w:val="21"/>
          <w:shd w:val="clear" w:color="auto" w:fill="FFFFFF"/>
        </w:rPr>
      </w:pPr>
      <w:r>
        <w:rPr>
          <w:rFonts w:hint="eastAsia" w:ascii="宋体" w:hAnsi="宋体"/>
          <w:kern w:val="1"/>
          <w:szCs w:val="21"/>
          <w:shd w:val="clear" w:color="auto" w:fill="FFFFFF"/>
        </w:rPr>
        <w:t>地址：</w:t>
      </w:r>
      <w:r>
        <w:rPr>
          <w:rFonts w:ascii="宋体" w:hAnsi="宋体"/>
          <w:kern w:val="1"/>
          <w:szCs w:val="21"/>
          <w:u w:val="single"/>
          <w:shd w:val="clear" w:color="auto" w:fill="FFFFFF"/>
        </w:rPr>
        <w:t xml:space="preserve">                                   </w:t>
      </w:r>
    </w:p>
    <w:p>
      <w:pPr>
        <w:spacing w:line="440" w:lineRule="exact"/>
        <w:rPr>
          <w:rFonts w:ascii="宋体" w:hAnsi="宋体"/>
          <w:kern w:val="1"/>
          <w:szCs w:val="21"/>
          <w:shd w:val="clear" w:color="auto" w:fill="FFFFFF"/>
        </w:rPr>
      </w:pPr>
      <w:r>
        <w:rPr>
          <w:rFonts w:hint="eastAsia" w:ascii="宋体" w:hAnsi="宋体"/>
          <w:kern w:val="1"/>
          <w:szCs w:val="21"/>
          <w:shd w:val="clear" w:color="auto" w:fill="FFFFFF"/>
        </w:rPr>
        <w:t>成立时间：</w:t>
      </w:r>
      <w:r>
        <w:rPr>
          <w:rFonts w:ascii="宋体" w:hAnsi="宋体"/>
          <w:kern w:val="1"/>
          <w:szCs w:val="21"/>
          <w:u w:val="single"/>
          <w:shd w:val="clear" w:color="auto" w:fill="FFFFFF"/>
        </w:rPr>
        <w:t xml:space="preserve">         </w:t>
      </w:r>
      <w:r>
        <w:rPr>
          <w:rFonts w:ascii="宋体" w:hAnsi="宋体"/>
          <w:kern w:val="1"/>
          <w:szCs w:val="21"/>
          <w:shd w:val="clear" w:color="auto" w:fill="FFFFFF"/>
        </w:rPr>
        <w:t xml:space="preserve"> </w:t>
      </w:r>
      <w:r>
        <w:rPr>
          <w:rFonts w:hint="eastAsia" w:ascii="宋体" w:hAnsi="宋体"/>
          <w:kern w:val="1"/>
          <w:szCs w:val="21"/>
          <w:shd w:val="clear" w:color="auto" w:fill="FFFFFF"/>
        </w:rPr>
        <w:t>年</w:t>
      </w:r>
      <w:r>
        <w:rPr>
          <w:rFonts w:ascii="宋体" w:hAnsi="宋体"/>
          <w:kern w:val="1"/>
          <w:szCs w:val="21"/>
          <w:u w:val="single"/>
          <w:shd w:val="clear" w:color="auto" w:fill="FFFFFF"/>
        </w:rPr>
        <w:t xml:space="preserve">       </w:t>
      </w:r>
      <w:r>
        <w:rPr>
          <w:rFonts w:ascii="宋体" w:hAnsi="宋体"/>
          <w:kern w:val="1"/>
          <w:szCs w:val="21"/>
          <w:shd w:val="clear" w:color="auto" w:fill="FFFFFF"/>
        </w:rPr>
        <w:t xml:space="preserve"> </w:t>
      </w:r>
      <w:r>
        <w:rPr>
          <w:rFonts w:hint="eastAsia" w:ascii="宋体" w:hAnsi="宋体"/>
          <w:kern w:val="1"/>
          <w:szCs w:val="21"/>
          <w:shd w:val="clear" w:color="auto" w:fill="FFFFFF"/>
        </w:rPr>
        <w:t>月</w:t>
      </w:r>
      <w:r>
        <w:rPr>
          <w:rFonts w:ascii="宋体" w:hAnsi="宋体"/>
          <w:kern w:val="1"/>
          <w:szCs w:val="21"/>
          <w:u w:val="single"/>
          <w:shd w:val="clear" w:color="auto" w:fill="FFFFFF"/>
        </w:rPr>
        <w:t xml:space="preserve">       </w:t>
      </w:r>
      <w:r>
        <w:rPr>
          <w:rFonts w:ascii="宋体" w:hAnsi="宋体"/>
          <w:kern w:val="1"/>
          <w:szCs w:val="21"/>
          <w:shd w:val="clear" w:color="auto" w:fill="FFFFFF"/>
        </w:rPr>
        <w:t xml:space="preserve"> </w:t>
      </w:r>
      <w:r>
        <w:rPr>
          <w:rFonts w:hint="eastAsia" w:ascii="宋体" w:hAnsi="宋体"/>
          <w:kern w:val="1"/>
          <w:szCs w:val="21"/>
          <w:shd w:val="clear" w:color="auto" w:fill="FFFFFF"/>
        </w:rPr>
        <w:t>日</w:t>
      </w:r>
    </w:p>
    <w:p>
      <w:pPr>
        <w:spacing w:line="440" w:lineRule="exact"/>
        <w:rPr>
          <w:rFonts w:ascii="宋体" w:hAnsi="宋体"/>
          <w:kern w:val="1"/>
          <w:szCs w:val="21"/>
          <w:shd w:val="clear" w:color="auto" w:fill="FFFFFF"/>
        </w:rPr>
      </w:pPr>
      <w:r>
        <w:rPr>
          <w:rFonts w:hint="eastAsia" w:ascii="宋体" w:hAnsi="宋体"/>
          <w:kern w:val="1"/>
          <w:szCs w:val="21"/>
          <w:shd w:val="clear" w:color="auto" w:fill="FFFFFF"/>
        </w:rPr>
        <w:t>经营期限：</w:t>
      </w:r>
      <w:r>
        <w:rPr>
          <w:rFonts w:ascii="宋体" w:hAnsi="宋体"/>
          <w:kern w:val="1"/>
          <w:szCs w:val="21"/>
          <w:u w:val="single"/>
          <w:shd w:val="clear" w:color="auto" w:fill="FFFFFF"/>
        </w:rPr>
        <w:t xml:space="preserve">                               </w:t>
      </w:r>
    </w:p>
    <w:p>
      <w:pPr>
        <w:spacing w:line="440" w:lineRule="exact"/>
        <w:rPr>
          <w:rFonts w:ascii="宋体" w:hAnsi="宋体"/>
          <w:kern w:val="1"/>
          <w:szCs w:val="21"/>
          <w:shd w:val="clear" w:color="auto" w:fill="FFFFFF"/>
        </w:rPr>
      </w:pPr>
      <w:r>
        <w:rPr>
          <w:rFonts w:hint="eastAsia" w:ascii="宋体" w:hAnsi="宋体"/>
          <w:kern w:val="1"/>
          <w:szCs w:val="21"/>
          <w:shd w:val="clear" w:color="auto" w:fill="FFFFFF"/>
        </w:rPr>
        <w:t>姓名：</w:t>
      </w:r>
      <w:r>
        <w:rPr>
          <w:rFonts w:ascii="宋体" w:hAnsi="宋体"/>
          <w:kern w:val="1"/>
          <w:szCs w:val="21"/>
          <w:shd w:val="clear" w:color="auto" w:fill="FFFFFF"/>
        </w:rPr>
        <w:t xml:space="preserve"> </w:t>
      </w:r>
      <w:r>
        <w:rPr>
          <w:rFonts w:ascii="宋体" w:hAnsi="宋体"/>
          <w:kern w:val="1"/>
          <w:szCs w:val="21"/>
          <w:u w:val="single"/>
          <w:shd w:val="clear" w:color="auto" w:fill="FFFFFF"/>
        </w:rPr>
        <w:t xml:space="preserve">        </w:t>
      </w:r>
      <w:r>
        <w:rPr>
          <w:rFonts w:hint="eastAsia" w:ascii="宋体" w:hAnsi="宋体"/>
          <w:kern w:val="1"/>
          <w:szCs w:val="21"/>
          <w:u w:val="single"/>
          <w:shd w:val="clear" w:color="auto" w:fill="FFFFFF"/>
        </w:rPr>
        <w:t xml:space="preserve">   （法人手签）</w:t>
      </w:r>
      <w:r>
        <w:rPr>
          <w:rFonts w:ascii="宋体" w:hAnsi="宋体"/>
          <w:kern w:val="1"/>
          <w:szCs w:val="21"/>
          <w:shd w:val="clear" w:color="auto" w:fill="FFFFFF"/>
        </w:rPr>
        <w:t xml:space="preserve"> </w:t>
      </w:r>
      <w:r>
        <w:rPr>
          <w:rFonts w:hint="eastAsia" w:ascii="宋体" w:hAnsi="宋体"/>
          <w:kern w:val="1"/>
          <w:szCs w:val="21"/>
          <w:shd w:val="clear" w:color="auto" w:fill="FFFFFF"/>
        </w:rPr>
        <w:t>性别：</w:t>
      </w:r>
      <w:r>
        <w:rPr>
          <w:rFonts w:ascii="宋体" w:hAnsi="宋体"/>
          <w:kern w:val="1"/>
          <w:szCs w:val="21"/>
          <w:u w:val="single"/>
          <w:shd w:val="clear" w:color="auto" w:fill="FFFFFF"/>
        </w:rPr>
        <w:t xml:space="preserve">         </w:t>
      </w:r>
      <w:r>
        <w:rPr>
          <w:rFonts w:ascii="宋体" w:hAnsi="宋体"/>
          <w:kern w:val="1"/>
          <w:szCs w:val="21"/>
          <w:shd w:val="clear" w:color="auto" w:fill="FFFFFF"/>
        </w:rPr>
        <w:t xml:space="preserve"> </w:t>
      </w:r>
      <w:r>
        <w:rPr>
          <w:rFonts w:hint="eastAsia" w:ascii="宋体" w:hAnsi="宋体"/>
          <w:kern w:val="1"/>
          <w:szCs w:val="21"/>
          <w:shd w:val="clear" w:color="auto" w:fill="FFFFFF"/>
        </w:rPr>
        <w:t>年龄：</w:t>
      </w:r>
      <w:r>
        <w:rPr>
          <w:rFonts w:ascii="宋体" w:hAnsi="宋体"/>
          <w:kern w:val="1"/>
          <w:szCs w:val="21"/>
          <w:u w:val="single"/>
          <w:shd w:val="clear" w:color="auto" w:fill="FFFFFF"/>
        </w:rPr>
        <w:t xml:space="preserve">        </w:t>
      </w:r>
      <w:r>
        <w:rPr>
          <w:rFonts w:hint="eastAsia" w:ascii="宋体" w:hAnsi="宋体"/>
          <w:kern w:val="1"/>
          <w:szCs w:val="21"/>
          <w:shd w:val="clear" w:color="auto" w:fill="FFFFFF"/>
        </w:rPr>
        <w:t>职务：</w:t>
      </w:r>
      <w:r>
        <w:rPr>
          <w:rFonts w:ascii="宋体" w:hAnsi="宋体"/>
          <w:kern w:val="1"/>
          <w:szCs w:val="21"/>
          <w:u w:val="single"/>
          <w:shd w:val="clear" w:color="auto" w:fill="FFFFFF"/>
        </w:rPr>
        <w:t xml:space="preserve">        </w:t>
      </w:r>
    </w:p>
    <w:p>
      <w:pPr>
        <w:spacing w:line="440" w:lineRule="exact"/>
        <w:rPr>
          <w:rFonts w:ascii="宋体" w:hAnsi="宋体"/>
          <w:kern w:val="1"/>
          <w:szCs w:val="21"/>
          <w:shd w:val="clear" w:color="auto" w:fill="FFFFFF"/>
        </w:rPr>
      </w:pPr>
      <w:r>
        <w:rPr>
          <w:rFonts w:hint="eastAsia" w:ascii="宋体" w:hAnsi="宋体"/>
          <w:kern w:val="1"/>
          <w:szCs w:val="21"/>
          <w:shd w:val="clear" w:color="auto" w:fill="FFFFFF"/>
        </w:rPr>
        <w:t>系</w:t>
      </w:r>
      <w:r>
        <w:rPr>
          <w:rFonts w:ascii="宋体" w:hAnsi="宋体"/>
          <w:kern w:val="1"/>
          <w:szCs w:val="21"/>
          <w:u w:val="single"/>
          <w:shd w:val="clear" w:color="auto" w:fill="FFFFFF"/>
        </w:rPr>
        <w:t xml:space="preserve">                             </w:t>
      </w:r>
      <w:r>
        <w:rPr>
          <w:rFonts w:ascii="宋体" w:hAnsi="宋体"/>
          <w:kern w:val="1"/>
          <w:szCs w:val="21"/>
          <w:shd w:val="clear" w:color="auto" w:fill="FFFFFF"/>
        </w:rPr>
        <w:t xml:space="preserve"> </w:t>
      </w:r>
      <w:r>
        <w:rPr>
          <w:rFonts w:hint="eastAsia" w:ascii="宋体" w:hAnsi="宋体"/>
          <w:kern w:val="1"/>
          <w:szCs w:val="21"/>
          <w:shd w:val="clear" w:color="auto" w:fill="FFFFFF"/>
        </w:rPr>
        <w:t>（竞争性比选申请人名称）的法定代表人。</w:t>
      </w:r>
    </w:p>
    <w:p>
      <w:pPr>
        <w:spacing w:line="440" w:lineRule="exact"/>
        <w:ind w:firstLine="480"/>
        <w:rPr>
          <w:rFonts w:ascii="宋体" w:hAnsi="宋体"/>
          <w:kern w:val="1"/>
          <w:szCs w:val="21"/>
          <w:shd w:val="clear" w:color="auto" w:fill="FFFFFF"/>
        </w:rPr>
      </w:pPr>
      <w:r>
        <w:rPr>
          <w:rFonts w:hint="eastAsia" w:ascii="宋体" w:hAnsi="宋体"/>
          <w:kern w:val="1"/>
          <w:szCs w:val="21"/>
          <w:shd w:val="clear" w:color="auto" w:fill="FFFFFF"/>
        </w:rPr>
        <w:t>特此证明。</w:t>
      </w:r>
    </w:p>
    <w:p>
      <w:pPr>
        <w:spacing w:line="440" w:lineRule="exact"/>
        <w:rPr>
          <w:rFonts w:ascii="宋体" w:hAnsi="宋体"/>
          <w:kern w:val="1"/>
          <w:szCs w:val="21"/>
          <w:shd w:val="clear" w:color="auto" w:fill="FFFFFF"/>
        </w:rPr>
      </w:pPr>
    </w:p>
    <w:p>
      <w:pPr>
        <w:spacing w:line="440" w:lineRule="exact"/>
        <w:rPr>
          <w:rFonts w:ascii="宋体" w:hAnsi="宋体"/>
          <w:kern w:val="1"/>
          <w:szCs w:val="21"/>
          <w:shd w:val="clear" w:color="auto" w:fill="FFFFFF"/>
        </w:rPr>
      </w:pPr>
    </w:p>
    <w:p>
      <w:pPr>
        <w:spacing w:line="440" w:lineRule="exact"/>
        <w:rPr>
          <w:rFonts w:ascii="宋体" w:hAnsi="宋体"/>
          <w:kern w:val="1"/>
          <w:szCs w:val="21"/>
          <w:shd w:val="clear" w:color="auto" w:fill="FFFFFF"/>
        </w:rPr>
      </w:pPr>
      <w:r>
        <w:rPr>
          <w:rFonts w:ascii="宋体" w:hAnsi="宋体"/>
          <w:kern w:val="1"/>
          <w:szCs w:val="21"/>
          <w:shd w:val="clear" w:color="auto" w:fill="FFFFFF"/>
        </w:rPr>
        <w:t xml:space="preserve">                         </w:t>
      </w:r>
      <w:r>
        <w:rPr>
          <w:rFonts w:hint="eastAsia" w:ascii="宋体" w:hAnsi="宋体"/>
          <w:kern w:val="1"/>
          <w:szCs w:val="21"/>
          <w:shd w:val="clear" w:color="auto" w:fill="FFFFFF"/>
        </w:rPr>
        <w:t>竞争性比选申请人</w:t>
      </w:r>
      <w:r>
        <w:rPr>
          <w:rFonts w:ascii="宋体" w:hAnsi="宋体"/>
          <w:kern w:val="1"/>
          <w:szCs w:val="21"/>
          <w:shd w:val="clear" w:color="auto" w:fill="FFFFFF"/>
        </w:rPr>
        <w:t xml:space="preserve"> </w:t>
      </w:r>
      <w:r>
        <w:rPr>
          <w:rFonts w:hint="eastAsia" w:ascii="宋体" w:hAnsi="宋体"/>
          <w:kern w:val="1"/>
          <w:szCs w:val="21"/>
          <w:shd w:val="clear" w:color="auto" w:fill="FFFFFF"/>
        </w:rPr>
        <w:t>：</w:t>
      </w:r>
      <w:r>
        <w:rPr>
          <w:rFonts w:ascii="宋体" w:hAnsi="宋体"/>
          <w:kern w:val="1"/>
          <w:szCs w:val="21"/>
          <w:u w:val="single"/>
          <w:shd w:val="clear" w:color="auto" w:fill="FFFFFF"/>
        </w:rPr>
        <w:t xml:space="preserve">                 </w:t>
      </w:r>
      <w:r>
        <w:rPr>
          <w:rFonts w:hint="eastAsia" w:ascii="宋体" w:hAnsi="宋体"/>
          <w:kern w:val="1"/>
          <w:szCs w:val="21"/>
          <w:shd w:val="clear" w:color="auto" w:fill="FFFFFF"/>
        </w:rPr>
        <w:t>（盖单位章）</w:t>
      </w:r>
    </w:p>
    <w:p>
      <w:pPr>
        <w:spacing w:line="440" w:lineRule="exact"/>
        <w:rPr>
          <w:rFonts w:ascii="宋体" w:hAnsi="宋体"/>
          <w:kern w:val="1"/>
          <w:szCs w:val="21"/>
          <w:shd w:val="clear" w:color="auto" w:fill="FFFFFF"/>
        </w:rPr>
      </w:pPr>
      <w:r>
        <w:rPr>
          <w:rFonts w:ascii="宋体" w:hAnsi="宋体"/>
          <w:kern w:val="1"/>
          <w:szCs w:val="21"/>
          <w:shd w:val="clear" w:color="auto" w:fill="FFFFFF"/>
        </w:rPr>
        <w:t xml:space="preserve">                                   </w:t>
      </w:r>
      <w:r>
        <w:rPr>
          <w:rFonts w:ascii="宋体" w:hAnsi="宋体"/>
          <w:kern w:val="1"/>
          <w:szCs w:val="21"/>
          <w:u w:val="single"/>
          <w:shd w:val="clear" w:color="auto" w:fill="FFFFFF"/>
        </w:rPr>
        <w:t xml:space="preserve">       </w:t>
      </w:r>
      <w:r>
        <w:rPr>
          <w:rFonts w:hint="eastAsia" w:ascii="宋体" w:hAnsi="宋体"/>
          <w:kern w:val="1"/>
          <w:szCs w:val="21"/>
          <w:shd w:val="clear" w:color="auto" w:fill="FFFFFF"/>
        </w:rPr>
        <w:t>年</w:t>
      </w:r>
      <w:r>
        <w:rPr>
          <w:rFonts w:ascii="宋体" w:hAnsi="宋体"/>
          <w:kern w:val="1"/>
          <w:szCs w:val="21"/>
          <w:u w:val="single"/>
          <w:shd w:val="clear" w:color="auto" w:fill="FFFFFF"/>
        </w:rPr>
        <w:t xml:space="preserve">       </w:t>
      </w:r>
      <w:r>
        <w:rPr>
          <w:rFonts w:hint="eastAsia" w:ascii="宋体" w:hAnsi="宋体"/>
          <w:kern w:val="1"/>
          <w:szCs w:val="21"/>
          <w:shd w:val="clear" w:color="auto" w:fill="FFFFFF"/>
        </w:rPr>
        <w:t>月</w:t>
      </w:r>
      <w:r>
        <w:rPr>
          <w:rFonts w:ascii="宋体" w:hAnsi="宋体"/>
          <w:kern w:val="1"/>
          <w:szCs w:val="21"/>
          <w:u w:val="single"/>
          <w:shd w:val="clear" w:color="auto" w:fill="FFFFFF"/>
        </w:rPr>
        <w:t xml:space="preserve">       </w:t>
      </w:r>
      <w:r>
        <w:rPr>
          <w:rFonts w:hint="eastAsia" w:ascii="宋体" w:hAnsi="宋体"/>
          <w:kern w:val="1"/>
          <w:szCs w:val="21"/>
          <w:shd w:val="clear" w:color="auto" w:fill="FFFFFF"/>
        </w:rPr>
        <w:t>日</w:t>
      </w:r>
      <w:r>
        <w:rPr>
          <w:rFonts w:ascii="宋体" w:hAnsi="宋体"/>
          <w:kern w:val="1"/>
          <w:szCs w:val="21"/>
          <w:shd w:val="clear" w:color="auto" w:fill="FFFFFF"/>
        </w:rPr>
        <w:t xml:space="preserve">           </w:t>
      </w:r>
    </w:p>
    <w:p>
      <w:pPr>
        <w:ind w:firstLine="105"/>
        <w:rPr>
          <w:rFonts w:ascii="宋体" w:hAnsi="宋体" w:cs="宋体"/>
          <w:kern w:val="1"/>
          <w:szCs w:val="21"/>
          <w:shd w:val="clear" w:color="auto" w:fill="FFFFFF"/>
        </w:rPr>
      </w:pPr>
    </w:p>
    <w:p>
      <w:pPr>
        <w:spacing w:line="440" w:lineRule="exact"/>
        <w:ind w:firstLine="400"/>
        <w:jc w:val="center"/>
        <w:outlineLvl w:val="2"/>
        <w:rPr>
          <w:rFonts w:ascii="宋体" w:hAnsi="宋体"/>
          <w:b/>
          <w:kern w:val="1"/>
          <w:sz w:val="24"/>
          <w:shd w:val="clear" w:color="auto" w:fill="FFFFFF"/>
        </w:rPr>
      </w:pPr>
      <w:r>
        <w:rPr>
          <w:rFonts w:ascii="宋体" w:hAnsi="宋体" w:cs="宋体"/>
          <w:kern w:val="1"/>
          <w:szCs w:val="21"/>
          <w:shd w:val="clear" w:color="auto" w:fill="FFFFFF"/>
        </w:rPr>
        <w:br w:type="page"/>
      </w:r>
      <w:bookmarkStart w:id="26" w:name="_Toc262547329"/>
      <w:bookmarkEnd w:id="26"/>
      <w:r>
        <w:rPr>
          <w:rFonts w:ascii="宋体" w:hAnsi="宋体"/>
          <w:kern w:val="1"/>
          <w:sz w:val="24"/>
          <w:shd w:val="clear" w:color="auto" w:fill="FFFFFF"/>
        </w:rPr>
        <w:t>（二）</w:t>
      </w:r>
      <w:r>
        <w:rPr>
          <w:rFonts w:ascii="宋体" w:hAnsi="宋体"/>
          <w:b/>
          <w:kern w:val="1"/>
          <w:sz w:val="24"/>
          <w:shd w:val="clear" w:color="auto" w:fill="FFFFFF"/>
        </w:rPr>
        <w:t xml:space="preserve">授权委托书 </w:t>
      </w:r>
    </w:p>
    <w:p>
      <w:pPr>
        <w:spacing w:line="360" w:lineRule="auto"/>
        <w:jc w:val="left"/>
        <w:rPr>
          <w:rFonts w:ascii="宋体" w:hAnsi="宋体" w:cs="PMingLiU-ExtB"/>
          <w:sz w:val="12"/>
          <w:szCs w:val="12"/>
          <w:shd w:val="clear" w:color="auto" w:fill="FFFFFF"/>
        </w:rPr>
      </w:pPr>
    </w:p>
    <w:p>
      <w:pPr>
        <w:spacing w:line="360" w:lineRule="auto"/>
        <w:jc w:val="left"/>
        <w:rPr>
          <w:rFonts w:ascii="宋体" w:hAnsi="宋体" w:cs="PMingLiU-ExtB"/>
          <w:sz w:val="20"/>
          <w:shd w:val="clear" w:color="auto" w:fill="FFFFFF"/>
        </w:rPr>
      </w:pPr>
    </w:p>
    <w:p>
      <w:pPr>
        <w:tabs>
          <w:tab w:val="left" w:pos="1680"/>
          <w:tab w:val="left" w:pos="4215"/>
          <w:tab w:val="left" w:pos="4305"/>
          <w:tab w:val="left" w:pos="8000"/>
        </w:tabs>
        <w:spacing w:line="360" w:lineRule="auto"/>
        <w:ind w:firstLine="420"/>
        <w:rPr>
          <w:rFonts w:ascii="宋体" w:hAnsi="宋体" w:cs="PMingLiU-ExtB"/>
          <w:szCs w:val="21"/>
          <w:shd w:val="clear" w:color="auto" w:fill="FFFFFF"/>
        </w:rPr>
      </w:pPr>
      <w:r>
        <w:rPr>
          <w:rFonts w:ascii="宋体" w:hAnsi="宋体" w:cs="PMingLiU-ExtB"/>
          <w:szCs w:val="21"/>
          <w:shd w:val="clear" w:color="auto" w:fill="FFFFFF"/>
        </w:rPr>
        <w:t>本人</w:t>
      </w:r>
      <w:r>
        <w:rPr>
          <w:rFonts w:ascii="宋体" w:hAnsi="宋体" w:cs="PMingLiU-ExtB"/>
          <w:w w:val="200"/>
          <w:szCs w:val="21"/>
          <w:u w:val="single"/>
          <w:shd w:val="clear" w:color="auto" w:fill="FFFFFF"/>
        </w:rPr>
        <w:t xml:space="preserve"> </w:t>
      </w:r>
      <w:r>
        <w:rPr>
          <w:rFonts w:ascii="宋体" w:hAnsi="宋体" w:cs="宋体"/>
          <w:szCs w:val="21"/>
          <w:u w:val="single"/>
          <w:shd w:val="clear" w:color="auto" w:fill="FFFFFF"/>
        </w:rPr>
        <w:tab/>
      </w:r>
      <w:r>
        <w:rPr>
          <w:rFonts w:ascii="宋体" w:hAnsi="宋体" w:cs="PMingLiU-ExtB"/>
          <w:szCs w:val="21"/>
          <w:shd w:val="clear" w:color="auto" w:fill="FFFFFF"/>
        </w:rPr>
        <w:t>（姓名）系</w:t>
      </w:r>
      <w:r>
        <w:rPr>
          <w:rFonts w:ascii="宋体" w:hAnsi="宋体" w:cs="PMingLiU-ExtB"/>
          <w:w w:val="200"/>
          <w:szCs w:val="21"/>
          <w:u w:val="single"/>
          <w:shd w:val="clear" w:color="auto" w:fill="FFFFFF"/>
        </w:rPr>
        <w:t xml:space="preserve"> </w:t>
      </w:r>
      <w:r>
        <w:rPr>
          <w:rFonts w:ascii="宋体" w:hAnsi="宋体" w:cs="宋体"/>
          <w:szCs w:val="21"/>
          <w:u w:val="single"/>
          <w:shd w:val="clear" w:color="auto" w:fill="FFFFFF"/>
        </w:rPr>
        <w:tab/>
      </w:r>
      <w:r>
        <w:rPr>
          <w:rFonts w:ascii="宋体" w:hAnsi="宋体" w:cs="PMingLiU-ExtB"/>
          <w:szCs w:val="21"/>
          <w:shd w:val="clear" w:color="auto" w:fill="FFFFFF"/>
        </w:rPr>
        <w:t>（</w:t>
      </w:r>
      <w:r>
        <w:rPr>
          <w:rFonts w:hint="eastAsia" w:ascii="宋体" w:hAnsi="宋体"/>
          <w:kern w:val="1"/>
          <w:szCs w:val="21"/>
          <w:shd w:val="clear" w:color="auto" w:fill="FFFFFF"/>
        </w:rPr>
        <w:t>竞争性比选申请人</w:t>
      </w:r>
      <w:r>
        <w:rPr>
          <w:rFonts w:ascii="宋体" w:hAnsi="宋体" w:cs="PMingLiU-ExtB"/>
          <w:szCs w:val="21"/>
          <w:shd w:val="clear" w:color="auto" w:fill="FFFFFF"/>
        </w:rPr>
        <w:t>名称</w:t>
      </w:r>
      <w:r>
        <w:rPr>
          <w:rFonts w:ascii="宋体" w:hAnsi="宋体" w:cs="PMingLiU-ExtB"/>
          <w:spacing w:val="1"/>
          <w:szCs w:val="21"/>
          <w:shd w:val="clear" w:color="auto" w:fill="FFFFFF"/>
        </w:rPr>
        <w:t>）</w:t>
      </w:r>
      <w:r>
        <w:rPr>
          <w:rFonts w:ascii="宋体" w:hAnsi="宋体" w:cs="PMingLiU-ExtB"/>
          <w:szCs w:val="21"/>
          <w:shd w:val="clear" w:color="auto" w:fill="FFFFFF"/>
        </w:rPr>
        <w:t>的法定代</w:t>
      </w:r>
      <w:r>
        <w:rPr>
          <w:rFonts w:ascii="宋体" w:hAnsi="宋体" w:cs="PMingLiU-ExtB"/>
          <w:spacing w:val="1"/>
          <w:szCs w:val="21"/>
          <w:shd w:val="clear" w:color="auto" w:fill="FFFFFF"/>
        </w:rPr>
        <w:t>表</w:t>
      </w:r>
      <w:r>
        <w:rPr>
          <w:rFonts w:ascii="宋体" w:hAnsi="宋体" w:cs="PMingLiU-ExtB"/>
          <w:szCs w:val="21"/>
          <w:shd w:val="clear" w:color="auto" w:fill="FFFFFF"/>
        </w:rPr>
        <w:t>人，现委托</w:t>
      </w:r>
      <w:r>
        <w:rPr>
          <w:rFonts w:ascii="宋体" w:hAnsi="宋体" w:cs="PMingLiU-ExtB"/>
          <w:w w:val="200"/>
          <w:szCs w:val="21"/>
          <w:u w:val="single"/>
          <w:shd w:val="clear" w:color="auto" w:fill="FFFFFF"/>
        </w:rPr>
        <w:t xml:space="preserve"> </w:t>
      </w:r>
      <w:r>
        <w:rPr>
          <w:rFonts w:ascii="宋体" w:hAnsi="宋体" w:cs="宋体"/>
          <w:szCs w:val="21"/>
          <w:u w:val="single"/>
          <w:shd w:val="clear" w:color="auto" w:fill="FFFFFF"/>
        </w:rPr>
        <w:tab/>
      </w:r>
      <w:r>
        <w:rPr>
          <w:rFonts w:ascii="宋体" w:hAnsi="宋体" w:cs="PMingLiU-ExtB"/>
          <w:szCs w:val="21"/>
          <w:shd w:val="clear" w:color="auto" w:fill="FFFFFF"/>
        </w:rPr>
        <w:t>（姓</w:t>
      </w:r>
      <w:r>
        <w:rPr>
          <w:rFonts w:ascii="宋体" w:hAnsi="宋体" w:cs="宋体"/>
          <w:szCs w:val="21"/>
          <w:shd w:val="clear" w:color="auto" w:fill="FFFFFF"/>
        </w:rPr>
        <w:t xml:space="preserve"> </w:t>
      </w:r>
      <w:r>
        <w:rPr>
          <w:rFonts w:ascii="宋体" w:hAnsi="宋体" w:cs="PMingLiU-ExtB"/>
          <w:szCs w:val="21"/>
          <w:shd w:val="clear" w:color="auto" w:fill="FFFFFF"/>
        </w:rPr>
        <w:t>名）为我方代理人。代理人根据授权，以我方名义签署、澄清、说明、补正、递交、撤回、</w:t>
      </w:r>
      <w:r>
        <w:rPr>
          <w:rFonts w:ascii="宋体" w:hAnsi="宋体" w:cs="宋体"/>
          <w:szCs w:val="21"/>
          <w:shd w:val="clear" w:color="auto" w:fill="FFFFFF"/>
        </w:rPr>
        <w:t xml:space="preserve"> </w:t>
      </w:r>
      <w:r>
        <w:rPr>
          <w:rFonts w:ascii="宋体" w:hAnsi="宋体" w:cs="PMingLiU-ExtB"/>
          <w:szCs w:val="21"/>
          <w:shd w:val="clear" w:color="auto" w:fill="FFFFFF"/>
        </w:rPr>
        <w:t>修改《</w:t>
      </w:r>
      <w:r>
        <w:rPr>
          <w:rFonts w:hint="eastAsia" w:ascii="宋体" w:hAnsi="宋体" w:cs="PMingLiU-ExtB"/>
          <w:b/>
          <w:bCs/>
          <w:szCs w:val="21"/>
          <w:u w:val="single"/>
          <w:shd w:val="clear" w:color="auto" w:fill="FFFFFF"/>
        </w:rPr>
        <w:t>合长高速石船服务区（左、右）加油加气站环保技术服务项目</w:t>
      </w:r>
      <w:r>
        <w:rPr>
          <w:rFonts w:ascii="宋体" w:hAnsi="宋体" w:cs="PMingLiU-ExtB"/>
          <w:szCs w:val="21"/>
          <w:shd w:val="clear" w:color="auto" w:fill="FFFFFF"/>
        </w:rPr>
        <w:t>》报价文件、签订合同和处理有关事宜，</w:t>
      </w:r>
      <w:r>
        <w:rPr>
          <w:rFonts w:ascii="宋体" w:hAnsi="宋体" w:cs="宋体"/>
          <w:szCs w:val="21"/>
          <w:shd w:val="clear" w:color="auto" w:fill="FFFFFF"/>
        </w:rPr>
        <w:t xml:space="preserve"> </w:t>
      </w:r>
      <w:r>
        <w:rPr>
          <w:rFonts w:ascii="宋体" w:hAnsi="宋体" w:cs="PMingLiU-ExtB"/>
          <w:szCs w:val="21"/>
          <w:shd w:val="clear" w:color="auto" w:fill="FFFFFF"/>
        </w:rPr>
        <w:t>其法律后果由我方承担。</w:t>
      </w:r>
    </w:p>
    <w:p>
      <w:pPr>
        <w:tabs>
          <w:tab w:val="left" w:pos="1680"/>
          <w:tab w:val="left" w:pos="4215"/>
          <w:tab w:val="left" w:pos="4305"/>
          <w:tab w:val="left" w:pos="8000"/>
        </w:tabs>
        <w:spacing w:line="360" w:lineRule="auto"/>
        <w:ind w:firstLine="420"/>
        <w:rPr>
          <w:rFonts w:ascii="宋体" w:hAnsi="宋体" w:cs="宋体"/>
          <w:szCs w:val="21"/>
          <w:shd w:val="clear" w:color="auto" w:fill="FFFFFF"/>
        </w:rPr>
      </w:pPr>
      <w:r>
        <w:rPr>
          <w:rFonts w:ascii="宋体" w:hAnsi="宋体" w:cs="PMingLiU-ExtB"/>
          <w:szCs w:val="21"/>
          <w:shd w:val="clear" w:color="auto" w:fill="FFFFFF"/>
        </w:rPr>
        <w:t>委托</w:t>
      </w:r>
      <w:r>
        <w:rPr>
          <w:rFonts w:ascii="宋体" w:hAnsi="宋体" w:cs="PMingLiU-ExtB"/>
          <w:spacing w:val="-1"/>
          <w:szCs w:val="21"/>
          <w:shd w:val="clear" w:color="auto" w:fill="FFFFFF"/>
        </w:rPr>
        <w:t>期</w:t>
      </w:r>
      <w:r>
        <w:rPr>
          <w:rFonts w:ascii="宋体" w:hAnsi="宋体" w:cs="PMingLiU-ExtB"/>
          <w:szCs w:val="21"/>
          <w:shd w:val="clear" w:color="auto" w:fill="FFFFFF"/>
        </w:rPr>
        <w:t>限：</w:t>
      </w:r>
      <w:r>
        <w:rPr>
          <w:rFonts w:ascii="宋体" w:hAnsi="宋体" w:cs="PMingLiU-ExtB"/>
          <w:w w:val="200"/>
          <w:szCs w:val="21"/>
          <w:shd w:val="clear" w:color="auto" w:fill="FFFFFF"/>
        </w:rPr>
        <w:t xml:space="preserve"> </w:t>
      </w:r>
      <w:r>
        <w:rPr>
          <w:rFonts w:ascii="宋体" w:hAnsi="宋体" w:cs="PMingLiU-ExtB"/>
          <w:szCs w:val="21"/>
          <w:u w:val="single"/>
          <w:shd w:val="clear" w:color="auto" w:fill="FFFFFF"/>
        </w:rPr>
        <w:t xml:space="preserve">                                   </w:t>
      </w:r>
    </w:p>
    <w:p>
      <w:pPr>
        <w:tabs>
          <w:tab w:val="left" w:pos="1680"/>
          <w:tab w:val="left" w:pos="4215"/>
          <w:tab w:val="left" w:pos="4305"/>
          <w:tab w:val="left" w:pos="8000"/>
        </w:tabs>
        <w:spacing w:line="360" w:lineRule="auto"/>
        <w:ind w:firstLine="420"/>
        <w:rPr>
          <w:rFonts w:ascii="宋体" w:hAnsi="宋体" w:cs="PMingLiU-ExtB"/>
          <w:szCs w:val="21"/>
          <w:shd w:val="clear" w:color="auto" w:fill="FFFFFF"/>
        </w:rPr>
      </w:pPr>
      <w:r>
        <w:rPr>
          <w:rFonts w:ascii="宋体" w:hAnsi="宋体" w:cs="PMingLiU-ExtB"/>
          <w:szCs w:val="21"/>
          <w:shd w:val="clear" w:color="auto" w:fill="FFFFFF"/>
        </w:rPr>
        <w:t>代理人无转委托权。</w:t>
      </w:r>
    </w:p>
    <w:p>
      <w:pPr>
        <w:tabs>
          <w:tab w:val="left" w:pos="1680"/>
          <w:tab w:val="left" w:pos="4215"/>
          <w:tab w:val="left" w:pos="4305"/>
          <w:tab w:val="left" w:pos="8000"/>
        </w:tabs>
        <w:spacing w:line="360" w:lineRule="auto"/>
        <w:ind w:firstLine="420"/>
        <w:rPr>
          <w:rFonts w:ascii="宋体" w:hAnsi="宋体" w:cs="PMingLiU-ExtB"/>
          <w:szCs w:val="21"/>
          <w:shd w:val="clear" w:color="auto" w:fill="FFFFFF"/>
        </w:rPr>
      </w:pPr>
      <w:r>
        <w:rPr>
          <w:rFonts w:ascii="宋体" w:hAnsi="宋体" w:cs="PMingLiU-ExtB"/>
          <w:szCs w:val="21"/>
          <w:shd w:val="clear" w:color="auto" w:fill="FFFFFF"/>
        </w:rPr>
        <w:t>附：法定代表人身份证明。</w:t>
      </w:r>
    </w:p>
    <w:p>
      <w:pPr>
        <w:spacing w:line="360" w:lineRule="auto"/>
        <w:jc w:val="left"/>
        <w:rPr>
          <w:rFonts w:ascii="宋体" w:hAnsi="宋体" w:cs="PMingLiU-ExtB"/>
          <w:sz w:val="24"/>
          <w:shd w:val="clear" w:color="auto" w:fill="FFFFFF"/>
        </w:rPr>
      </w:pPr>
    </w:p>
    <w:p>
      <w:pPr>
        <w:spacing w:line="360" w:lineRule="auto"/>
        <w:jc w:val="left"/>
        <w:rPr>
          <w:rFonts w:ascii="宋体" w:hAnsi="宋体" w:cs="PMingLiU-ExtB"/>
          <w:sz w:val="24"/>
          <w:shd w:val="clear" w:color="auto" w:fill="FFFFFF"/>
        </w:rPr>
      </w:pPr>
    </w:p>
    <w:p>
      <w:pPr>
        <w:tabs>
          <w:tab w:val="left" w:pos="4200"/>
          <w:tab w:val="left" w:pos="4620"/>
        </w:tabs>
        <w:spacing w:line="360" w:lineRule="auto"/>
        <w:ind w:firstLine="1694"/>
        <w:jc w:val="left"/>
        <w:rPr>
          <w:rFonts w:ascii="宋体" w:hAnsi="宋体" w:cs="宋体"/>
          <w:szCs w:val="21"/>
          <w:shd w:val="clear" w:color="auto" w:fill="FFFFFF"/>
        </w:rPr>
      </w:pPr>
      <w:r>
        <w:rPr>
          <w:rFonts w:hint="eastAsia" w:ascii="宋体" w:hAnsi="宋体"/>
          <w:kern w:val="1"/>
          <w:szCs w:val="21"/>
          <w:shd w:val="clear" w:color="auto" w:fill="FFFFFF"/>
        </w:rPr>
        <w:t>竞争性比选申请人</w:t>
      </w:r>
      <w:r>
        <w:rPr>
          <w:rFonts w:ascii="宋体" w:hAnsi="宋体" w:cs="PMingLiU-ExtB"/>
          <w:szCs w:val="21"/>
          <w:shd w:val="clear" w:color="auto" w:fill="FFFFFF"/>
        </w:rPr>
        <w:t>：</w:t>
      </w:r>
      <w:r>
        <w:rPr>
          <w:rFonts w:ascii="宋体" w:hAnsi="宋体" w:cs="PMingLiU-ExtB"/>
          <w:w w:val="200"/>
          <w:szCs w:val="21"/>
          <w:u w:val="single"/>
          <w:shd w:val="clear" w:color="auto" w:fill="FFFFFF"/>
        </w:rPr>
        <w:t xml:space="preserve">           </w:t>
      </w:r>
      <w:r>
        <w:rPr>
          <w:rFonts w:ascii="宋体" w:hAnsi="宋体" w:cs="宋体"/>
          <w:szCs w:val="21"/>
          <w:u w:val="single"/>
          <w:shd w:val="clear" w:color="auto" w:fill="FFFFFF"/>
        </w:rPr>
        <w:t xml:space="preserve"> </w:t>
      </w:r>
      <w:r>
        <w:rPr>
          <w:rFonts w:ascii="宋体" w:hAnsi="宋体" w:cs="PMingLiU-ExtB"/>
          <w:szCs w:val="21"/>
          <w:shd w:val="clear" w:color="auto" w:fill="FFFFFF"/>
        </w:rPr>
        <w:t>（</w:t>
      </w:r>
      <w:r>
        <w:rPr>
          <w:rFonts w:ascii="宋体" w:hAnsi="宋体" w:cs="PMingLiU-ExtB"/>
          <w:spacing w:val="-1"/>
          <w:szCs w:val="21"/>
          <w:shd w:val="clear" w:color="auto" w:fill="FFFFFF"/>
        </w:rPr>
        <w:t>盖</w:t>
      </w:r>
      <w:r>
        <w:rPr>
          <w:rFonts w:ascii="宋体" w:hAnsi="宋体" w:cs="PMingLiU-ExtB"/>
          <w:szCs w:val="21"/>
          <w:shd w:val="clear" w:color="auto" w:fill="FFFFFF"/>
        </w:rPr>
        <w:t>单位公章）</w:t>
      </w:r>
      <w:r>
        <w:rPr>
          <w:rFonts w:ascii="宋体" w:hAnsi="宋体" w:cs="宋体"/>
          <w:szCs w:val="21"/>
          <w:shd w:val="clear" w:color="auto" w:fill="FFFFFF"/>
        </w:rPr>
        <w:t xml:space="preserve"> </w:t>
      </w:r>
    </w:p>
    <w:p>
      <w:pPr>
        <w:tabs>
          <w:tab w:val="left" w:pos="6300"/>
        </w:tabs>
        <w:spacing w:line="360" w:lineRule="auto"/>
        <w:ind w:firstLine="1680"/>
        <w:jc w:val="left"/>
        <w:rPr>
          <w:rFonts w:ascii="宋体" w:hAnsi="宋体" w:cs="PMingLiU-ExtB"/>
          <w:szCs w:val="21"/>
          <w:shd w:val="clear" w:color="auto" w:fill="FFFFFF"/>
        </w:rPr>
      </w:pPr>
      <w:r>
        <w:rPr>
          <w:rFonts w:ascii="宋体" w:hAnsi="宋体" w:cs="PMingLiU-ExtB"/>
          <w:szCs w:val="21"/>
          <w:shd w:val="clear" w:color="auto" w:fill="FFFFFF"/>
        </w:rPr>
        <w:t>法定代表人：</w:t>
      </w:r>
      <w:r>
        <w:rPr>
          <w:rFonts w:ascii="宋体" w:hAnsi="宋体" w:cs="PMingLiU-ExtB"/>
          <w:w w:val="200"/>
          <w:szCs w:val="21"/>
          <w:u w:val="single"/>
          <w:shd w:val="clear" w:color="auto" w:fill="FFFFFF"/>
        </w:rPr>
        <w:t xml:space="preserve"> </w:t>
      </w:r>
      <w:r>
        <w:rPr>
          <w:rFonts w:ascii="宋体" w:hAnsi="宋体" w:cs="宋体"/>
          <w:szCs w:val="21"/>
          <w:u w:val="single"/>
          <w:shd w:val="clear" w:color="auto" w:fill="FFFFFF"/>
        </w:rPr>
        <w:tab/>
      </w:r>
      <w:r>
        <w:rPr>
          <w:rFonts w:ascii="宋体" w:hAnsi="宋体" w:cs="宋体"/>
          <w:szCs w:val="21"/>
          <w:u w:val="single"/>
          <w:shd w:val="clear" w:color="auto" w:fill="FFFFFF"/>
        </w:rPr>
        <w:t xml:space="preserve">   </w:t>
      </w:r>
      <w:r>
        <w:rPr>
          <w:rFonts w:ascii="宋体" w:hAnsi="宋体" w:cs="PMingLiU-ExtB"/>
          <w:szCs w:val="21"/>
          <w:shd w:val="clear" w:color="auto" w:fill="FFFFFF"/>
        </w:rPr>
        <w:t>（签字）</w:t>
      </w:r>
    </w:p>
    <w:p>
      <w:pPr>
        <w:tabs>
          <w:tab w:val="left" w:pos="5260"/>
        </w:tabs>
        <w:spacing w:line="360" w:lineRule="auto"/>
        <w:ind w:firstLine="1680"/>
        <w:jc w:val="left"/>
        <w:rPr>
          <w:rFonts w:ascii="宋体" w:hAnsi="宋体" w:cs="PMingLiU-ExtB"/>
          <w:szCs w:val="21"/>
          <w:shd w:val="clear" w:color="auto" w:fill="FFFFFF"/>
        </w:rPr>
      </w:pPr>
      <w:r>
        <w:rPr>
          <w:rFonts w:ascii="宋体" w:hAnsi="宋体" w:cs="PMingLiU-ExtB"/>
          <w:szCs w:val="21"/>
          <w:shd w:val="clear" w:color="auto" w:fill="FFFFFF"/>
        </w:rPr>
        <w:t>身份证号码：</w:t>
      </w:r>
      <w:r>
        <w:rPr>
          <w:rFonts w:ascii="宋体" w:hAnsi="宋体" w:cs="PMingLiU-ExtB"/>
          <w:w w:val="200"/>
          <w:szCs w:val="21"/>
          <w:u w:val="single"/>
          <w:shd w:val="clear" w:color="auto" w:fill="FFFFFF"/>
        </w:rPr>
        <w:t xml:space="preserve">                 </w:t>
      </w:r>
      <w:r>
        <w:rPr>
          <w:rFonts w:ascii="宋体" w:hAnsi="宋体" w:cs="宋体"/>
          <w:szCs w:val="21"/>
          <w:u w:val="single"/>
          <w:shd w:val="clear" w:color="auto" w:fill="FFFFFF"/>
        </w:rPr>
        <w:tab/>
      </w:r>
    </w:p>
    <w:p>
      <w:pPr>
        <w:tabs>
          <w:tab w:val="left" w:pos="6720"/>
        </w:tabs>
        <w:spacing w:line="360" w:lineRule="auto"/>
        <w:ind w:firstLine="1680"/>
        <w:jc w:val="left"/>
        <w:rPr>
          <w:rFonts w:ascii="宋体" w:hAnsi="宋体" w:cs="PMingLiU-ExtB"/>
          <w:szCs w:val="21"/>
          <w:shd w:val="clear" w:color="auto" w:fill="FFFFFF"/>
        </w:rPr>
      </w:pPr>
      <w:r>
        <w:rPr>
          <w:rFonts w:ascii="宋体" w:hAnsi="宋体" w:cs="PMingLiU-ExtB"/>
          <w:szCs w:val="21"/>
          <w:shd w:val="clear" w:color="auto" w:fill="FFFFFF"/>
        </w:rPr>
        <w:t>委托代理人：</w:t>
      </w:r>
      <w:r>
        <w:rPr>
          <w:rFonts w:ascii="宋体" w:hAnsi="宋体" w:cs="PMingLiU-ExtB"/>
          <w:w w:val="200"/>
          <w:szCs w:val="21"/>
          <w:u w:val="single"/>
          <w:shd w:val="clear" w:color="auto" w:fill="FFFFFF"/>
        </w:rPr>
        <w:t xml:space="preserve"> </w:t>
      </w:r>
      <w:r>
        <w:rPr>
          <w:rFonts w:ascii="宋体" w:hAnsi="宋体" w:cs="宋体"/>
          <w:szCs w:val="21"/>
          <w:u w:val="single"/>
          <w:shd w:val="clear" w:color="auto" w:fill="FFFFFF"/>
        </w:rPr>
        <w:tab/>
      </w:r>
      <w:r>
        <w:rPr>
          <w:rFonts w:ascii="宋体" w:hAnsi="宋体" w:cs="PMingLiU-ExtB"/>
          <w:szCs w:val="21"/>
          <w:shd w:val="clear" w:color="auto" w:fill="FFFFFF"/>
        </w:rPr>
        <w:t>（签</w:t>
      </w:r>
      <w:r>
        <w:rPr>
          <w:rFonts w:ascii="宋体" w:hAnsi="宋体" w:cs="PMingLiU-ExtB"/>
          <w:spacing w:val="-1"/>
          <w:szCs w:val="21"/>
          <w:shd w:val="clear" w:color="auto" w:fill="FFFFFF"/>
        </w:rPr>
        <w:t>字</w:t>
      </w:r>
      <w:r>
        <w:rPr>
          <w:rFonts w:ascii="宋体" w:hAnsi="宋体" w:cs="PMingLiU-ExtB"/>
          <w:szCs w:val="21"/>
          <w:shd w:val="clear" w:color="auto" w:fill="FFFFFF"/>
        </w:rPr>
        <w:t>）</w:t>
      </w:r>
    </w:p>
    <w:p>
      <w:pPr>
        <w:tabs>
          <w:tab w:val="left" w:pos="6825"/>
        </w:tabs>
        <w:spacing w:line="360" w:lineRule="auto"/>
        <w:ind w:firstLine="1680"/>
        <w:jc w:val="left"/>
        <w:rPr>
          <w:rFonts w:ascii="宋体" w:hAnsi="宋体" w:cs="PMingLiU-ExtB"/>
          <w:szCs w:val="21"/>
          <w:shd w:val="clear" w:color="auto" w:fill="FFFFFF"/>
        </w:rPr>
      </w:pPr>
      <w:r>
        <w:rPr>
          <w:rFonts w:ascii="宋体" w:hAnsi="宋体" w:cs="PMingLiU-ExtB"/>
          <w:szCs w:val="21"/>
          <w:shd w:val="clear" w:color="auto" w:fill="FFFFFF"/>
        </w:rPr>
        <w:t>身份证号码：</w:t>
      </w:r>
      <w:r>
        <w:rPr>
          <w:rFonts w:ascii="宋体" w:hAnsi="宋体" w:cs="PMingLiU-ExtB"/>
          <w:w w:val="200"/>
          <w:szCs w:val="21"/>
          <w:u w:val="single"/>
          <w:shd w:val="clear" w:color="auto" w:fill="FFFFFF"/>
        </w:rPr>
        <w:t xml:space="preserve"> </w:t>
      </w:r>
      <w:r>
        <w:rPr>
          <w:rFonts w:ascii="宋体" w:hAnsi="宋体" w:cs="宋体"/>
          <w:szCs w:val="21"/>
          <w:u w:val="single"/>
          <w:shd w:val="clear" w:color="auto" w:fill="FFFFFF"/>
        </w:rPr>
        <w:tab/>
      </w:r>
    </w:p>
    <w:p>
      <w:pPr>
        <w:spacing w:line="360" w:lineRule="auto"/>
        <w:jc w:val="left"/>
        <w:rPr>
          <w:rFonts w:ascii="宋体" w:hAnsi="宋体" w:cs="PMingLiU-ExtB"/>
          <w:sz w:val="20"/>
          <w:shd w:val="clear" w:color="auto" w:fill="FFFFFF"/>
        </w:rPr>
      </w:pPr>
    </w:p>
    <w:p>
      <w:pPr>
        <w:spacing w:line="360" w:lineRule="auto"/>
        <w:jc w:val="left"/>
        <w:rPr>
          <w:rFonts w:ascii="宋体" w:hAnsi="宋体" w:cs="PMingLiU-ExtB"/>
          <w:sz w:val="20"/>
          <w:shd w:val="clear" w:color="auto" w:fill="FFFFFF"/>
        </w:rPr>
      </w:pPr>
    </w:p>
    <w:p>
      <w:pPr>
        <w:spacing w:line="360" w:lineRule="auto"/>
        <w:jc w:val="left"/>
        <w:rPr>
          <w:rFonts w:ascii="宋体" w:hAnsi="宋体" w:cs="PMingLiU-ExtB"/>
          <w:sz w:val="20"/>
          <w:shd w:val="clear" w:color="auto" w:fill="FFFFFF"/>
        </w:rPr>
      </w:pPr>
    </w:p>
    <w:p>
      <w:pPr>
        <w:spacing w:line="360" w:lineRule="auto"/>
        <w:jc w:val="left"/>
        <w:rPr>
          <w:rFonts w:ascii="宋体" w:hAnsi="宋体" w:cs="PMingLiU-ExtB"/>
          <w:sz w:val="28"/>
          <w:szCs w:val="28"/>
          <w:shd w:val="clear" w:color="auto" w:fill="FFFFFF"/>
        </w:rPr>
      </w:pPr>
    </w:p>
    <w:p>
      <w:pPr>
        <w:tabs>
          <w:tab w:val="left" w:pos="4005"/>
          <w:tab w:val="left" w:pos="4100"/>
          <w:tab w:val="left" w:pos="5040"/>
        </w:tabs>
        <w:spacing w:line="360" w:lineRule="auto"/>
        <w:ind w:firstLine="3780"/>
        <w:jc w:val="right"/>
        <w:rPr>
          <w:rFonts w:ascii="宋体" w:hAnsi="宋体" w:cs="PMingLiU-ExtB"/>
          <w:sz w:val="24"/>
          <w:shd w:val="clear" w:color="auto" w:fill="FFFFFF"/>
        </w:rPr>
      </w:pPr>
      <w:r>
        <w:rPr>
          <w:rFonts w:ascii="宋体" w:hAnsi="宋体" w:cs="PMingLiU-ExtB"/>
          <w:w w:val="200"/>
          <w:sz w:val="24"/>
          <w:u w:val="single"/>
          <w:shd w:val="clear" w:color="auto" w:fill="FFFFFF"/>
        </w:rPr>
        <w:t xml:space="preserve">     </w:t>
      </w:r>
      <w:r>
        <w:rPr>
          <w:rFonts w:ascii="宋体" w:hAnsi="宋体" w:cs="宋体"/>
          <w:sz w:val="24"/>
          <w:u w:val="single"/>
          <w:shd w:val="clear" w:color="auto" w:fill="FFFFFF"/>
        </w:rPr>
        <w:tab/>
      </w:r>
      <w:r>
        <w:rPr>
          <w:rFonts w:ascii="宋体" w:hAnsi="宋体" w:cs="PMingLiU-ExtB"/>
          <w:sz w:val="24"/>
          <w:shd w:val="clear" w:color="auto" w:fill="FFFFFF"/>
        </w:rPr>
        <w:t>年</w:t>
      </w:r>
      <w:r>
        <w:rPr>
          <w:rFonts w:ascii="宋体" w:hAnsi="宋体" w:cs="PMingLiU-ExtB"/>
          <w:w w:val="200"/>
          <w:sz w:val="24"/>
          <w:u w:val="single"/>
          <w:shd w:val="clear" w:color="auto" w:fill="FFFFFF"/>
        </w:rPr>
        <w:t xml:space="preserve">  </w:t>
      </w:r>
      <w:r>
        <w:rPr>
          <w:rFonts w:ascii="宋体" w:hAnsi="宋体" w:cs="宋体"/>
          <w:sz w:val="24"/>
          <w:u w:val="single"/>
          <w:shd w:val="clear" w:color="auto" w:fill="FFFFFF"/>
        </w:rPr>
        <w:tab/>
      </w:r>
      <w:r>
        <w:rPr>
          <w:rFonts w:ascii="宋体" w:hAnsi="宋体" w:cs="PMingLiU-ExtB"/>
          <w:sz w:val="24"/>
          <w:shd w:val="clear" w:color="auto" w:fill="FFFFFF"/>
        </w:rPr>
        <w:t>月</w:t>
      </w:r>
      <w:r>
        <w:rPr>
          <w:rFonts w:ascii="宋体" w:hAnsi="宋体" w:cs="PMingLiU-ExtB"/>
          <w:w w:val="200"/>
          <w:sz w:val="24"/>
          <w:u w:val="single"/>
          <w:shd w:val="clear" w:color="auto" w:fill="FFFFFF"/>
        </w:rPr>
        <w:t xml:space="preserve"> </w:t>
      </w:r>
      <w:r>
        <w:rPr>
          <w:rFonts w:ascii="宋体" w:hAnsi="宋体" w:cs="宋体"/>
          <w:sz w:val="24"/>
          <w:u w:val="single"/>
          <w:shd w:val="clear" w:color="auto" w:fill="FFFFFF"/>
        </w:rPr>
        <w:tab/>
      </w:r>
      <w:r>
        <w:rPr>
          <w:rFonts w:ascii="宋体" w:hAnsi="宋体" w:cs="PMingLiU-ExtB"/>
          <w:sz w:val="24"/>
          <w:shd w:val="clear" w:color="auto" w:fill="FFFFFF"/>
        </w:rPr>
        <w:t>日</w:t>
      </w:r>
    </w:p>
    <w:p>
      <w:pPr>
        <w:spacing w:line="360" w:lineRule="auto"/>
        <w:jc w:val="left"/>
        <w:rPr>
          <w:rFonts w:ascii="宋体" w:hAnsi="宋体" w:cs="宋体"/>
          <w:shd w:val="clear" w:color="auto" w:fill="FFFFFF"/>
        </w:rPr>
      </w:pPr>
    </w:p>
    <w:p>
      <w:pPr>
        <w:rPr>
          <w:rFonts w:ascii="宋体" w:hAnsi="宋体"/>
          <w:kern w:val="1"/>
          <w:shd w:val="clear" w:color="auto" w:fill="FFFFFF"/>
        </w:rPr>
      </w:pPr>
    </w:p>
    <w:p>
      <w:pPr>
        <w:spacing w:line="600" w:lineRule="exact"/>
        <w:rPr>
          <w:rFonts w:ascii="宋体" w:hAnsi="宋体"/>
          <w:kern w:val="1"/>
          <w:sz w:val="28"/>
          <w:szCs w:val="28"/>
          <w:shd w:val="clear" w:color="auto" w:fill="FFFFFF"/>
        </w:rPr>
      </w:pPr>
    </w:p>
    <w:p>
      <w:pPr>
        <w:spacing w:line="600" w:lineRule="exact"/>
        <w:jc w:val="center"/>
        <w:rPr>
          <w:rFonts w:ascii="宋体" w:hAnsi="宋体" w:cs="Arial"/>
          <w:b/>
          <w:kern w:val="1"/>
          <w:sz w:val="32"/>
          <w:szCs w:val="22"/>
          <w:shd w:val="clear" w:color="auto" w:fill="FFFFFF"/>
        </w:rPr>
      </w:pPr>
      <w:r>
        <w:rPr>
          <w:rFonts w:ascii="宋体" w:hAnsi="宋体"/>
          <w:kern w:val="1"/>
          <w:sz w:val="28"/>
          <w:szCs w:val="28"/>
          <w:shd w:val="clear" w:color="auto" w:fill="FFFFFF"/>
        </w:rPr>
        <w:br w:type="page"/>
      </w:r>
      <w:r>
        <w:rPr>
          <w:rFonts w:hint="eastAsia" w:ascii="宋体" w:hAnsi="宋体" w:cs="Arial"/>
          <w:b/>
          <w:kern w:val="1"/>
          <w:sz w:val="32"/>
          <w:szCs w:val="22"/>
          <w:shd w:val="clear" w:color="auto" w:fill="FFFFFF"/>
        </w:rPr>
        <w:t>三</w:t>
      </w:r>
      <w:r>
        <w:rPr>
          <w:rFonts w:ascii="宋体" w:hAnsi="宋体" w:cs="Arial"/>
          <w:b/>
          <w:kern w:val="1"/>
          <w:sz w:val="32"/>
          <w:szCs w:val="22"/>
          <w:shd w:val="clear" w:color="auto" w:fill="FFFFFF"/>
        </w:rPr>
        <w:t>、</w:t>
      </w:r>
      <w:r>
        <w:rPr>
          <w:rFonts w:hint="eastAsia" w:ascii="宋体" w:hAnsi="宋体" w:cs="Arial"/>
          <w:b/>
          <w:kern w:val="1"/>
          <w:sz w:val="32"/>
          <w:szCs w:val="22"/>
          <w:shd w:val="clear" w:color="auto" w:fill="FFFFFF"/>
        </w:rPr>
        <w:t>有效的</w:t>
      </w:r>
      <w:r>
        <w:rPr>
          <w:rFonts w:ascii="宋体" w:hAnsi="宋体" w:cs="Arial"/>
          <w:b/>
          <w:kern w:val="1"/>
          <w:sz w:val="32"/>
          <w:szCs w:val="22"/>
          <w:shd w:val="clear" w:color="auto" w:fill="FFFFFF"/>
        </w:rPr>
        <w:t>营业执照</w:t>
      </w: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spacing w:line="600" w:lineRule="exact"/>
        <w:jc w:val="center"/>
        <w:rPr>
          <w:rFonts w:ascii="宋体" w:hAnsi="宋体" w:cs="Arial"/>
          <w:b/>
          <w:kern w:val="1"/>
          <w:sz w:val="32"/>
          <w:szCs w:val="22"/>
          <w:shd w:val="clear" w:color="auto" w:fill="FFFFFF"/>
        </w:rPr>
        <w:sectPr>
          <w:pgSz w:w="11906" w:h="16838"/>
          <w:pgMar w:top="567" w:right="1797" w:bottom="1276" w:left="1797" w:header="851" w:footer="992" w:gutter="0"/>
          <w:cols w:space="720" w:num="1"/>
          <w:docGrid w:type="lines" w:linePitch="312" w:charSpace="0"/>
        </w:sectPr>
      </w:pPr>
      <w:r>
        <w:rPr>
          <w:rFonts w:ascii="宋体" w:hAnsi="宋体" w:cs="Arial"/>
          <w:b/>
          <w:kern w:val="1"/>
          <w:sz w:val="24"/>
          <w:shd w:val="clear" w:color="auto" w:fill="FFFFFF"/>
        </w:rPr>
        <w:br w:type="page"/>
      </w:r>
      <w:r>
        <w:rPr>
          <w:rFonts w:hint="eastAsia" w:ascii="宋体" w:hAnsi="宋体" w:cs="Arial"/>
          <w:b/>
          <w:kern w:val="1"/>
          <w:sz w:val="32"/>
          <w:szCs w:val="22"/>
          <w:shd w:val="clear" w:color="auto" w:fill="FFFFFF"/>
        </w:rPr>
        <w:t>四</w:t>
      </w:r>
      <w:r>
        <w:rPr>
          <w:rFonts w:ascii="宋体" w:hAnsi="宋体" w:cs="Arial"/>
          <w:b/>
          <w:kern w:val="1"/>
          <w:sz w:val="32"/>
          <w:szCs w:val="22"/>
          <w:shd w:val="clear" w:color="auto" w:fill="FFFFFF"/>
        </w:rPr>
        <w:t>、</w:t>
      </w:r>
      <w:r>
        <w:rPr>
          <w:rFonts w:hint="eastAsia" w:ascii="宋体" w:hAnsi="宋体" w:cs="Arial"/>
          <w:b/>
          <w:kern w:val="1"/>
          <w:sz w:val="32"/>
          <w:szCs w:val="22"/>
          <w:shd w:val="clear" w:color="auto" w:fill="FFFFFF"/>
        </w:rPr>
        <w:t>有效的资质证书</w:t>
      </w:r>
    </w:p>
    <w:p>
      <w:pPr>
        <w:spacing w:line="360" w:lineRule="auto"/>
        <w:jc w:val="center"/>
        <w:rPr>
          <w:rFonts w:ascii="宋体" w:hAnsi="宋体" w:cs="Arial"/>
          <w:b/>
          <w:kern w:val="1"/>
          <w:sz w:val="32"/>
          <w:szCs w:val="22"/>
          <w:shd w:val="clear" w:color="auto" w:fill="FFFFFF"/>
        </w:rPr>
      </w:pPr>
      <w:r>
        <w:rPr>
          <w:rFonts w:hint="eastAsia" w:ascii="宋体" w:hAnsi="宋体" w:cs="Arial"/>
          <w:b/>
          <w:kern w:val="1"/>
          <w:sz w:val="32"/>
          <w:szCs w:val="22"/>
          <w:shd w:val="clear" w:color="auto" w:fill="FFFFFF"/>
        </w:rPr>
        <w:t>五、业绩证明</w:t>
      </w: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numPr>
          <w:ilvl w:val="0"/>
          <w:numId w:val="5"/>
        </w:numPr>
        <w:spacing w:line="360" w:lineRule="auto"/>
        <w:jc w:val="center"/>
        <w:rPr>
          <w:rFonts w:ascii="宋体" w:hAnsi="宋体" w:cs="Arial"/>
          <w:b/>
          <w:kern w:val="1"/>
          <w:sz w:val="32"/>
          <w:szCs w:val="22"/>
          <w:shd w:val="clear" w:color="auto" w:fill="FFFFFF"/>
        </w:rPr>
      </w:pPr>
      <w:r>
        <w:rPr>
          <w:rFonts w:hint="eastAsia" w:ascii="宋体" w:hAnsi="宋体" w:cs="Arial"/>
          <w:b/>
          <w:kern w:val="1"/>
          <w:sz w:val="32"/>
          <w:szCs w:val="22"/>
          <w:shd w:val="clear" w:color="auto" w:fill="FFFFFF"/>
        </w:rPr>
        <w:t>技术部分</w:t>
      </w:r>
    </w:p>
    <w:p>
      <w:pPr>
        <w:pStyle w:val="13"/>
      </w:pPr>
    </w:p>
    <w:p/>
    <w:p>
      <w:pPr>
        <w:pStyle w:val="13"/>
      </w:pPr>
    </w:p>
    <w:p/>
    <w:p>
      <w:pPr>
        <w:pStyle w:val="13"/>
      </w:pPr>
    </w:p>
    <w:p/>
    <w:p>
      <w:pPr>
        <w:pStyle w:val="13"/>
      </w:pPr>
    </w:p>
    <w:p/>
    <w:p>
      <w:pPr>
        <w:pStyle w:val="13"/>
      </w:pPr>
    </w:p>
    <w:p/>
    <w:p>
      <w:pPr>
        <w:pStyle w:val="13"/>
      </w:pPr>
    </w:p>
    <w:p/>
    <w:p>
      <w:pPr>
        <w:pStyle w:val="13"/>
      </w:pPr>
    </w:p>
    <w:p/>
    <w:p>
      <w:pPr>
        <w:pStyle w:val="13"/>
      </w:pPr>
    </w:p>
    <w:p/>
    <w:p>
      <w:pPr>
        <w:pStyle w:val="13"/>
      </w:pPr>
    </w:p>
    <w:p/>
    <w:p>
      <w:pPr>
        <w:pStyle w:val="13"/>
      </w:pPr>
    </w:p>
    <w:p/>
    <w:p>
      <w:pPr>
        <w:pStyle w:val="13"/>
      </w:pPr>
    </w:p>
    <w:p/>
    <w:p>
      <w:pPr>
        <w:pStyle w:val="13"/>
      </w:pPr>
    </w:p>
    <w:p/>
    <w:p>
      <w:pPr>
        <w:pStyle w:val="13"/>
      </w:pPr>
    </w:p>
    <w:p/>
    <w:p>
      <w:pPr>
        <w:pStyle w:val="13"/>
      </w:pPr>
    </w:p>
    <w:p/>
    <w:p>
      <w:pPr>
        <w:pStyle w:val="13"/>
      </w:pPr>
    </w:p>
    <w:p/>
    <w:p>
      <w:pPr>
        <w:pStyle w:val="23"/>
        <w:rPr>
          <w:szCs w:val="21"/>
        </w:rPr>
      </w:pPr>
    </w:p>
    <w:p>
      <w:pPr>
        <w:pStyle w:val="13"/>
      </w:pPr>
    </w:p>
    <w:sectPr>
      <w:pgSz w:w="11906" w:h="16838"/>
      <w:pgMar w:top="567" w:right="1797" w:bottom="1276"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PMingLiU-ExtB">
    <w:panose1 w:val="02020500000000000000"/>
    <w:charset w:val="88"/>
    <w:family w:val="roman"/>
    <w:pitch w:val="default"/>
    <w:sig w:usb0="8000002F" w:usb1="02000008" w:usb2="00000000" w:usb3="00000000" w:csb0="001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right" w:pos="8305"/>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84E864"/>
    <w:multiLevelType w:val="singleLevel"/>
    <w:tmpl w:val="C784E864"/>
    <w:lvl w:ilvl="0" w:tentative="0">
      <w:start w:val="1"/>
      <w:numFmt w:val="decimal"/>
      <w:suff w:val="nothing"/>
      <w:lvlText w:val="%1、"/>
      <w:lvlJc w:val="left"/>
    </w:lvl>
  </w:abstractNum>
  <w:abstractNum w:abstractNumId="1">
    <w:nsid w:val="D915E08D"/>
    <w:multiLevelType w:val="singleLevel"/>
    <w:tmpl w:val="D915E08D"/>
    <w:lvl w:ilvl="0" w:tentative="0">
      <w:start w:val="6"/>
      <w:numFmt w:val="chineseCounting"/>
      <w:suff w:val="nothing"/>
      <w:lvlText w:val="%1、"/>
      <w:lvlJc w:val="left"/>
      <w:rPr>
        <w:rFonts w:hint="eastAsia"/>
      </w:rPr>
    </w:lvl>
  </w:abstractNum>
  <w:abstractNum w:abstractNumId="2">
    <w:nsid w:val="F8904572"/>
    <w:multiLevelType w:val="singleLevel"/>
    <w:tmpl w:val="F8904572"/>
    <w:lvl w:ilvl="0" w:tentative="0">
      <w:start w:val="1"/>
      <w:numFmt w:val="decimal"/>
      <w:suff w:val="nothing"/>
      <w:lvlText w:val="%1、"/>
      <w:lvlJc w:val="left"/>
    </w:lvl>
  </w:abstractNum>
  <w:abstractNum w:abstractNumId="3">
    <w:nsid w:val="2E482E59"/>
    <w:multiLevelType w:val="multilevel"/>
    <w:tmpl w:val="2E482E5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1DFB6AE"/>
    <w:multiLevelType w:val="singleLevel"/>
    <w:tmpl w:val="41DFB6AE"/>
    <w:lvl w:ilvl="0" w:tentative="0">
      <w:start w:val="3"/>
      <w:numFmt w:val="chineseCounting"/>
      <w:suff w:val="space"/>
      <w:lvlText w:val="第%1篇"/>
      <w:lvlJc w:val="left"/>
      <w:rPr>
        <w:rFonts w:hint="eastAsia"/>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gutterAtTop/>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43B3"/>
    <w:rsid w:val="00172A27"/>
    <w:rsid w:val="001B2396"/>
    <w:rsid w:val="001D5FD4"/>
    <w:rsid w:val="002931B1"/>
    <w:rsid w:val="005927C7"/>
    <w:rsid w:val="00652392"/>
    <w:rsid w:val="00743D73"/>
    <w:rsid w:val="007E58D1"/>
    <w:rsid w:val="00814279"/>
    <w:rsid w:val="00AF1E78"/>
    <w:rsid w:val="00C429F9"/>
    <w:rsid w:val="00C65E07"/>
    <w:rsid w:val="00C67970"/>
    <w:rsid w:val="00DC1B44"/>
    <w:rsid w:val="00E8470F"/>
    <w:rsid w:val="00EC1581"/>
    <w:rsid w:val="00F6750A"/>
    <w:rsid w:val="081663F3"/>
    <w:rsid w:val="094D6E25"/>
    <w:rsid w:val="0D441CBC"/>
    <w:rsid w:val="1AA64081"/>
    <w:rsid w:val="1B244771"/>
    <w:rsid w:val="223F6F38"/>
    <w:rsid w:val="2BBC3AEB"/>
    <w:rsid w:val="2CCB30CC"/>
    <w:rsid w:val="32E47FB6"/>
    <w:rsid w:val="33381582"/>
    <w:rsid w:val="35ED78DF"/>
    <w:rsid w:val="36081665"/>
    <w:rsid w:val="3D6B7051"/>
    <w:rsid w:val="485C1F79"/>
    <w:rsid w:val="4E09180D"/>
    <w:rsid w:val="56A553BB"/>
    <w:rsid w:val="5AE30DDA"/>
    <w:rsid w:val="604A39F1"/>
    <w:rsid w:val="63D46F31"/>
    <w:rsid w:val="66AD3DD8"/>
    <w:rsid w:val="694777B6"/>
    <w:rsid w:val="70865EA2"/>
    <w:rsid w:val="72B24530"/>
    <w:rsid w:val="742E786B"/>
    <w:rsid w:val="75D755D5"/>
    <w:rsid w:val="77B87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6"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6"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6" w:semiHidden="0" w:name="Body Text"/>
    <w:lsdException w:qFormat="1" w:unhideWhenUsed="0" w:uiPriority="6"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7"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6"/>
    <w:pPr>
      <w:keepNext/>
      <w:keepLines/>
      <w:spacing w:before="340" w:after="330" w:line="576" w:lineRule="auto"/>
      <w:outlineLvl w:val="0"/>
    </w:pPr>
    <w:rPr>
      <w:b/>
      <w:sz w:val="44"/>
      <w:szCs w:val="44"/>
    </w:rPr>
  </w:style>
  <w:style w:type="paragraph" w:styleId="3">
    <w:name w:val="heading 3"/>
    <w:basedOn w:val="1"/>
    <w:next w:val="1"/>
    <w:link w:val="22"/>
    <w:qFormat/>
    <w:uiPriority w:val="0"/>
    <w:pPr>
      <w:tabs>
        <w:tab w:val="left" w:pos="2160"/>
      </w:tabs>
      <w:autoSpaceDE w:val="0"/>
      <w:autoSpaceDN w:val="0"/>
      <w:adjustRightInd w:val="0"/>
      <w:spacing w:before="16"/>
      <w:ind w:left="2160" w:hanging="720"/>
      <w:jc w:val="left"/>
      <w:outlineLvl w:val="2"/>
    </w:pPr>
    <w:rPr>
      <w:rFonts w:ascii="仿宋_GB2312" w:eastAsia="仿宋_GB2312"/>
      <w:b/>
      <w:sz w:val="24"/>
      <w:szCs w:val="28"/>
    </w:rPr>
  </w:style>
  <w:style w:type="character" w:default="1" w:styleId="18">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4">
    <w:name w:val="Document Map"/>
    <w:basedOn w:val="1"/>
    <w:link w:val="21"/>
    <w:qFormat/>
    <w:uiPriority w:val="0"/>
    <w:rPr>
      <w:rFonts w:ascii="宋体"/>
      <w:sz w:val="18"/>
      <w:szCs w:val="18"/>
    </w:rPr>
  </w:style>
  <w:style w:type="paragraph" w:styleId="5">
    <w:name w:val="annotation text"/>
    <w:basedOn w:val="1"/>
    <w:qFormat/>
    <w:uiPriority w:val="0"/>
    <w:pPr>
      <w:jc w:val="left"/>
    </w:pPr>
  </w:style>
  <w:style w:type="paragraph" w:styleId="6">
    <w:name w:val="Body Text"/>
    <w:basedOn w:val="1"/>
    <w:qFormat/>
    <w:uiPriority w:val="6"/>
    <w:pPr>
      <w:spacing w:after="120"/>
    </w:pPr>
    <w:rPr>
      <w:kern w:val="1"/>
    </w:rPr>
  </w:style>
  <w:style w:type="paragraph" w:styleId="7">
    <w:name w:val="Body Text Indent"/>
    <w:basedOn w:val="1"/>
    <w:qFormat/>
    <w:uiPriority w:val="6"/>
    <w:pPr>
      <w:spacing w:after="120"/>
      <w:ind w:left="420"/>
    </w:pPr>
    <w:rPr>
      <w:kern w:val="1"/>
    </w:rPr>
  </w:style>
  <w:style w:type="paragraph" w:styleId="8">
    <w:name w:val="Plain Text"/>
    <w:basedOn w:val="1"/>
    <w:unhideWhenUsed/>
    <w:qFormat/>
    <w:uiPriority w:val="99"/>
    <w:rPr>
      <w:rFonts w:ascii="宋体" w:hAnsi="Courier New"/>
      <w:szCs w:val="21"/>
    </w:rPr>
  </w:style>
  <w:style w:type="paragraph" w:styleId="9">
    <w:name w:val="Date"/>
    <w:basedOn w:val="1"/>
    <w:next w:val="1"/>
    <w:qFormat/>
    <w:uiPriority w:val="7"/>
    <w:pPr>
      <w:ind w:left="100"/>
    </w:pPr>
    <w:rPr>
      <w:kern w:val="1"/>
    </w:rPr>
  </w:style>
  <w:style w:type="paragraph" w:styleId="10">
    <w:name w:val="Balloon Text"/>
    <w:basedOn w:val="1"/>
    <w:semiHidden/>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120" w:after="120"/>
      <w:jc w:val="left"/>
    </w:pPr>
    <w:rPr>
      <w:rFonts w:ascii="Calibri" w:hAnsi="Calibri"/>
      <w:b/>
      <w:bCs/>
      <w:caps/>
      <w:sz w:val="20"/>
      <w:szCs w:val="20"/>
    </w:rPr>
  </w:style>
  <w:style w:type="paragraph" w:styleId="14">
    <w:name w:val="HTML Preformatted"/>
    <w:basedOn w:val="1"/>
    <w:link w:val="2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5">
    <w:name w:val="index 1"/>
    <w:basedOn w:val="1"/>
    <w:next w:val="1"/>
    <w:qFormat/>
    <w:uiPriority w:val="6"/>
    <w:pPr>
      <w:spacing w:line="360" w:lineRule="auto"/>
      <w:jc w:val="center"/>
    </w:pPr>
    <w:rPr>
      <w:rFonts w:ascii="宋体" w:hAnsi="宋体" w:cs="Arial"/>
      <w:b/>
      <w:kern w:val="1"/>
      <w:sz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unhideWhenUsed/>
    <w:qFormat/>
    <w:uiPriority w:val="99"/>
    <w:rPr>
      <w:color w:val="0000FF"/>
      <w:u w:val="single"/>
    </w:rPr>
  </w:style>
  <w:style w:type="character" w:customStyle="1" w:styleId="20">
    <w:name w:val="HTML 预设格式 Char"/>
    <w:link w:val="14"/>
    <w:qFormat/>
    <w:uiPriority w:val="99"/>
    <w:rPr>
      <w:rFonts w:ascii="宋体" w:hAnsi="宋体" w:cs="宋体"/>
      <w:sz w:val="24"/>
      <w:szCs w:val="24"/>
    </w:rPr>
  </w:style>
  <w:style w:type="character" w:customStyle="1" w:styleId="21">
    <w:name w:val="文档结构图 Char"/>
    <w:link w:val="4"/>
    <w:qFormat/>
    <w:uiPriority w:val="0"/>
    <w:rPr>
      <w:rFonts w:ascii="宋体"/>
      <w:kern w:val="2"/>
      <w:sz w:val="18"/>
      <w:szCs w:val="18"/>
    </w:rPr>
  </w:style>
  <w:style w:type="character" w:customStyle="1" w:styleId="22">
    <w:name w:val="标题 3 Char"/>
    <w:link w:val="3"/>
    <w:qFormat/>
    <w:uiPriority w:val="0"/>
    <w:rPr>
      <w:rFonts w:ascii="仿宋_GB2312" w:eastAsia="仿宋_GB2312" w:cs="MingLiU"/>
      <w:b/>
      <w:kern w:val="2"/>
      <w:sz w:val="24"/>
      <w:szCs w:val="28"/>
    </w:rPr>
  </w:style>
  <w:style w:type="paragraph" w:customStyle="1" w:styleId="23">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4">
    <w:name w:val="6'"/>
    <w:basedOn w:val="1"/>
    <w:qFormat/>
    <w:uiPriority w:val="0"/>
    <w:pPr>
      <w:spacing w:line="320" w:lineRule="exact"/>
      <w:jc w:val="center"/>
    </w:pPr>
    <w:rPr>
      <w:spacing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4831</Words>
  <Characters>1477</Characters>
  <Lines>12</Lines>
  <Paragraphs>12</Paragraphs>
  <TotalTime>7</TotalTime>
  <ScaleCrop>false</ScaleCrop>
  <LinksUpToDate>false</LinksUpToDate>
  <CharactersWithSpaces>6296</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2020-04-14T08:54:00Z</dcterms:created>
  <dc:creator>微软用户</dc:creator>
  <cp:lastModifiedBy>WPS_1606287783</cp:lastModifiedBy>
  <cp:lastPrinted>2020-04-02T08:14:00Z</cp:lastPrinted>
  <dcterms:modified xsi:type="dcterms:W3CDTF">2021-07-06T03:45:49Z</dcterms:modified>
  <dc:title>重庆市北碚交通建设发展有限公司</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