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spacing w:line="400" w:lineRule="exact"/>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首讯公司四公里业务基地污水整治工程</w:t>
      </w:r>
    </w:p>
    <w:p>
      <w:pPr>
        <w:rPr>
          <w:rFonts w:hint="eastAsia" w:ascii="宋体" w:hAnsi="宋体" w:cs="宋体"/>
          <w:sz w:val="28"/>
          <w:szCs w:val="2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9</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246996898"/>
      <w:bookmarkStart w:id="1" w:name="_Toc507428442"/>
      <w:bookmarkStart w:id="2" w:name="_Toc296602400"/>
      <w:bookmarkStart w:id="3" w:name="_Toc507319889"/>
      <w:bookmarkStart w:id="4" w:name="_Toc247085669"/>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第八章  竞争性比选响应文件格式</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rPr>
          <w:highlight w:val="none"/>
        </w:rPr>
      </w:pPr>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4"/>
        <w:spacing w:before="0" w:after="0" w:line="360" w:lineRule="auto"/>
        <w:jc w:val="center"/>
        <w:rPr>
          <w:rFonts w:hint="eastAsia" w:ascii="宋体" w:hAnsi="宋体" w:cs="宋体"/>
          <w:highlight w:val="none"/>
        </w:rPr>
      </w:pPr>
      <w:bookmarkStart w:id="5" w:name="_Toc246996157"/>
      <w:bookmarkStart w:id="6" w:name="_Toc144974479"/>
      <w:bookmarkStart w:id="7" w:name="_Toc247096243"/>
      <w:bookmarkStart w:id="8" w:name="_Toc507319890"/>
      <w:bookmarkStart w:id="9" w:name="_Toc179632527"/>
      <w:bookmarkStart w:id="10" w:name="_Toc2000404"/>
      <w:bookmarkStart w:id="11" w:name="_Toc152045511"/>
      <w:bookmarkStart w:id="12" w:name="_Toc247085671"/>
      <w:bookmarkStart w:id="13" w:name="_Toc152042287"/>
      <w:bookmarkStart w:id="14" w:name="_Toc246996900"/>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5"/>
        <w:spacing w:before="0" w:after="0" w:line="360" w:lineRule="auto"/>
        <w:rPr>
          <w:rFonts w:hint="eastAsia" w:ascii="宋体" w:hAnsi="宋体" w:eastAsia="宋体" w:cs="宋体"/>
          <w:highlight w:val="none"/>
        </w:rPr>
      </w:pPr>
      <w:bookmarkStart w:id="18" w:name="_Toc507319891"/>
      <w:bookmarkStart w:id="19" w:name="_Toc24874"/>
      <w:bookmarkStart w:id="20" w:name="_Toc247085672"/>
      <w:bookmarkStart w:id="21" w:name="_Toc10076"/>
      <w:bookmarkStart w:id="22" w:name="_Toc246996158"/>
      <w:bookmarkStart w:id="23" w:name="_Toc152045512"/>
      <w:bookmarkStart w:id="24" w:name="_Toc144974480"/>
      <w:bookmarkStart w:id="25" w:name="_Toc179632528"/>
      <w:bookmarkStart w:id="26" w:name="_Toc152042288"/>
      <w:bookmarkStart w:id="27" w:name="_Toc11329213"/>
      <w:bookmarkStart w:id="28" w:name="_Toc6549"/>
      <w:bookmarkStart w:id="29" w:name="_Toc246996901"/>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首讯公司四公里业务基地污水整治工程</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5"/>
        <w:spacing w:before="120" w:after="0" w:line="360" w:lineRule="auto"/>
        <w:rPr>
          <w:rFonts w:hint="eastAsia" w:ascii="宋体" w:hAnsi="宋体" w:eastAsia="宋体" w:cs="宋体"/>
          <w:highlight w:val="none"/>
        </w:rPr>
      </w:pPr>
      <w:bookmarkStart w:id="30" w:name="_Toc152045513"/>
      <w:bookmarkStart w:id="31" w:name="_Toc507319892"/>
      <w:bookmarkStart w:id="32" w:name="_Toc179632529"/>
      <w:bookmarkStart w:id="33" w:name="_Toc246996159"/>
      <w:bookmarkStart w:id="34" w:name="_Toc144974481"/>
      <w:bookmarkStart w:id="35" w:name="_Toc21343"/>
      <w:bookmarkStart w:id="36" w:name="_Toc11329214"/>
      <w:bookmarkStart w:id="37" w:name="_Toc247085673"/>
      <w:bookmarkStart w:id="38" w:name="_Toc246996902"/>
      <w:bookmarkStart w:id="39" w:name="_Toc10952"/>
      <w:bookmarkStart w:id="40" w:name="_Toc18109"/>
      <w:bookmarkStart w:id="41" w:name="_Toc152042289"/>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szCs w:val="21"/>
          <w:highlight w:val="none"/>
          <w:u w:val="single"/>
          <w:lang w:eastAsia="zh-CN"/>
        </w:rPr>
        <w:t>重庆市南岸区四公里内环入口</w:t>
      </w:r>
      <w:r>
        <w:rPr>
          <w:rFonts w:hint="eastAsia" w:ascii="宋体" w:hAnsi="宋体" w:cs="宋体"/>
          <w:szCs w:val="21"/>
          <w:highlight w:val="none"/>
          <w:u w:val="single"/>
          <w:lang w:val="en-US" w:eastAsia="zh-CN"/>
        </w:rPr>
        <w:t>200米处</w:t>
      </w:r>
      <w:r>
        <w:rPr>
          <w:rFonts w:hint="eastAsia" w:ascii="宋体" w:hAnsi="宋体" w:cs="宋体"/>
          <w:highlight w:val="none"/>
          <w:lang w:eastAsia="zh-CN"/>
        </w:rPr>
        <w:t>。</w:t>
      </w:r>
    </w:p>
    <w:p>
      <w:pPr>
        <w:pStyle w:val="14"/>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szCs w:val="21"/>
          <w:highlight w:val="none"/>
          <w:lang w:eastAsia="zh-CN"/>
        </w:rPr>
        <w:t>首讯公司四公里业务基地</w:t>
      </w:r>
      <w:r>
        <w:rPr>
          <w:rFonts w:hint="eastAsia" w:ascii="宋体" w:hAnsi="宋体" w:cs="宋体"/>
          <w:szCs w:val="21"/>
          <w:highlight w:val="none"/>
        </w:rPr>
        <w:t>卫生间盥洗废水及食堂餐厨排放废水20m³/天</w:t>
      </w:r>
      <w:r>
        <w:rPr>
          <w:rFonts w:hint="eastAsia" w:ascii="宋体" w:hAnsi="宋体" w:cs="宋体"/>
          <w:szCs w:val="21"/>
          <w:highlight w:val="none"/>
          <w:lang w:eastAsia="zh-CN"/>
        </w:rPr>
        <w:t>，</w:t>
      </w:r>
      <w:r>
        <w:rPr>
          <w:rFonts w:hint="eastAsia" w:ascii="宋体" w:hAnsi="宋体" w:cs="宋体"/>
          <w:szCs w:val="21"/>
          <w:highlight w:val="none"/>
          <w:lang w:val="en-US" w:eastAsia="zh-CN"/>
        </w:rPr>
        <w:t>需增加相关污水处理设施，包括但不限于</w:t>
      </w:r>
      <w:r>
        <w:rPr>
          <w:rFonts w:hint="eastAsia" w:ascii="宋体" w:hAnsi="宋体" w:cs="宋体"/>
          <w:szCs w:val="21"/>
          <w:highlight w:val="none"/>
        </w:rPr>
        <w:t>生活污水处理一体化设备</w:t>
      </w:r>
      <w:r>
        <w:rPr>
          <w:rFonts w:hint="eastAsia" w:ascii="宋体" w:hAnsi="宋体" w:cs="宋体"/>
          <w:szCs w:val="21"/>
          <w:highlight w:val="none"/>
          <w:lang w:val="en-US" w:eastAsia="zh-CN"/>
        </w:rPr>
        <w:t>供货及安装</w:t>
      </w:r>
      <w:r>
        <w:rPr>
          <w:rFonts w:hint="eastAsia" w:ascii="宋体" w:hAnsi="宋体" w:cs="宋体"/>
          <w:szCs w:val="21"/>
          <w:highlight w:val="none"/>
          <w:lang w:eastAsia="zh-CN"/>
        </w:rPr>
        <w:t>、</w:t>
      </w:r>
      <w:r>
        <w:rPr>
          <w:rFonts w:hint="eastAsia" w:ascii="宋体" w:hAnsi="宋体" w:cs="宋体"/>
          <w:szCs w:val="21"/>
          <w:highlight w:val="none"/>
        </w:rPr>
        <w:t>污水处理站内的工艺、设备、</w:t>
      </w:r>
      <w:r>
        <w:rPr>
          <w:rFonts w:hint="eastAsia" w:ascii="宋体" w:hAnsi="宋体" w:cs="宋体"/>
          <w:szCs w:val="21"/>
          <w:highlight w:val="none"/>
          <w:lang w:val="en-US" w:eastAsia="zh-CN"/>
        </w:rPr>
        <w:t>设备基础、</w:t>
      </w:r>
      <w:r>
        <w:rPr>
          <w:rFonts w:hint="eastAsia" w:ascii="宋体" w:hAnsi="宋体" w:cs="宋体"/>
          <w:szCs w:val="21"/>
          <w:highlight w:val="none"/>
        </w:rPr>
        <w:t>电控</w:t>
      </w:r>
      <w:r>
        <w:rPr>
          <w:rFonts w:hint="eastAsia" w:ascii="宋体" w:hAnsi="宋体" w:cs="宋体"/>
          <w:szCs w:val="21"/>
          <w:highlight w:val="none"/>
          <w:lang w:eastAsia="zh-CN"/>
        </w:rPr>
        <w:t>、</w:t>
      </w:r>
      <w:r>
        <w:rPr>
          <w:rFonts w:hint="eastAsia" w:ascii="宋体" w:hAnsi="宋体" w:cs="宋体"/>
          <w:szCs w:val="21"/>
          <w:highlight w:val="none"/>
        </w:rPr>
        <w:t>管线</w:t>
      </w:r>
      <w:r>
        <w:rPr>
          <w:rFonts w:hint="eastAsia" w:ascii="宋体" w:hAnsi="宋体" w:cs="宋体"/>
          <w:szCs w:val="21"/>
          <w:highlight w:val="none"/>
          <w:lang w:eastAsia="zh-CN"/>
        </w:rPr>
        <w:t>、</w:t>
      </w:r>
      <w:r>
        <w:rPr>
          <w:rFonts w:hint="eastAsia" w:ascii="宋体" w:hAnsi="宋体" w:cs="宋体"/>
          <w:szCs w:val="21"/>
          <w:highlight w:val="none"/>
          <w:lang w:val="en-US" w:eastAsia="zh-CN"/>
        </w:rPr>
        <w:t>管沟</w:t>
      </w:r>
      <w:r>
        <w:rPr>
          <w:rFonts w:hint="eastAsia" w:ascii="宋体" w:hAnsi="宋体" w:cs="宋体"/>
          <w:szCs w:val="21"/>
          <w:highlight w:val="none"/>
        </w:rPr>
        <w:t>等工程及完工前后的第三方检测报告</w:t>
      </w:r>
      <w:r>
        <w:rPr>
          <w:rFonts w:hint="eastAsia" w:ascii="宋体" w:hAnsi="宋体" w:cs="宋体"/>
          <w:szCs w:val="21"/>
          <w:highlight w:val="none"/>
          <w:lang w:eastAsia="zh-CN"/>
        </w:rPr>
        <w:t>（</w:t>
      </w:r>
      <w:r>
        <w:rPr>
          <w:rFonts w:hint="eastAsia" w:ascii="宋体" w:hAnsi="宋体" w:cs="宋体"/>
          <w:szCs w:val="21"/>
          <w:highlight w:val="none"/>
          <w:lang w:val="en-US" w:eastAsia="zh-CN"/>
        </w:rPr>
        <w:t>第三方检测机构需符合相关主管部门要求</w:t>
      </w:r>
      <w:r>
        <w:rPr>
          <w:rFonts w:hint="eastAsia" w:ascii="宋体" w:hAnsi="宋体" w:cs="宋体"/>
          <w:szCs w:val="21"/>
          <w:highlight w:val="none"/>
          <w:lang w:eastAsia="zh-CN"/>
        </w:rPr>
        <w:t>）</w:t>
      </w:r>
      <w:r>
        <w:rPr>
          <w:rFonts w:hint="eastAsia" w:ascii="宋体" w:hAnsi="宋体" w:cs="宋体"/>
          <w:szCs w:val="21"/>
          <w:highlight w:val="none"/>
        </w:rPr>
        <w:t>。要求项目完工后，污水进入污水处理站，处理达《污水综合排放标准》（GB8978-1996 ）一级标准后排放。</w:t>
      </w:r>
    </w:p>
    <w:p>
      <w:pPr>
        <w:pStyle w:val="14"/>
        <w:adjustRightInd w:val="0"/>
        <w:spacing w:line="400" w:lineRule="exact"/>
        <w:rPr>
          <w:rFonts w:hint="eastAsia" w:ascii="宋体" w:hAnsi="宋体" w:eastAsia="宋体" w:cs="宋体"/>
          <w:szCs w:val="21"/>
          <w:highlight w:val="none"/>
          <w:lang w:val="en-US" w:eastAsia="zh-CN"/>
        </w:rPr>
      </w:pPr>
      <w:r>
        <w:rPr>
          <w:rFonts w:hint="eastAsia" w:ascii="宋体" w:hAnsi="宋体" w:cs="宋体"/>
          <w:highlight w:val="none"/>
        </w:rPr>
        <w:t>2.3 比选范围：</w:t>
      </w:r>
      <w:r>
        <w:rPr>
          <w:rFonts w:hint="eastAsia" w:ascii="宋体" w:hAnsi="宋体" w:cs="宋体"/>
          <w:szCs w:val="21"/>
          <w:highlight w:val="none"/>
          <w:lang w:val="en-US" w:eastAsia="zh-CN"/>
        </w:rPr>
        <w:t>以甲方指令的关于本工程的设计、工艺标准、图纸会审纪要、变更通知、通知单等为依据，由乙方承担以下任务，包括但不限于本工程施工图设计、</w:t>
      </w:r>
      <w:r>
        <w:rPr>
          <w:rFonts w:hint="eastAsia" w:ascii="宋体" w:hAnsi="宋体" w:cs="宋体"/>
          <w:szCs w:val="21"/>
          <w:highlight w:val="none"/>
        </w:rPr>
        <w:t>生活污水处理一体化设备</w:t>
      </w:r>
      <w:r>
        <w:rPr>
          <w:rFonts w:hint="eastAsia" w:ascii="宋体" w:hAnsi="宋体" w:cs="宋体"/>
          <w:szCs w:val="21"/>
          <w:highlight w:val="none"/>
          <w:lang w:val="en-US" w:eastAsia="zh-CN"/>
        </w:rPr>
        <w:t>供货及安装</w:t>
      </w:r>
      <w:r>
        <w:rPr>
          <w:rFonts w:hint="eastAsia" w:ascii="宋体" w:hAnsi="宋体" w:cs="宋体"/>
          <w:szCs w:val="21"/>
          <w:highlight w:val="none"/>
          <w:lang w:eastAsia="zh-CN"/>
        </w:rPr>
        <w:t>、</w:t>
      </w:r>
      <w:r>
        <w:rPr>
          <w:rFonts w:hint="eastAsia" w:ascii="宋体" w:hAnsi="宋体" w:cs="宋体"/>
          <w:szCs w:val="21"/>
          <w:highlight w:val="none"/>
        </w:rPr>
        <w:t>污水处理站内的工艺</w:t>
      </w:r>
      <w:r>
        <w:rPr>
          <w:rFonts w:hint="eastAsia" w:ascii="宋体" w:hAnsi="宋体" w:cs="宋体"/>
          <w:szCs w:val="21"/>
          <w:highlight w:val="none"/>
          <w:lang w:val="en-US" w:eastAsia="zh-CN"/>
        </w:rPr>
        <w:t>、</w:t>
      </w:r>
      <w:r>
        <w:rPr>
          <w:rFonts w:hint="eastAsia" w:ascii="宋体" w:hAnsi="宋体" w:cs="宋体"/>
          <w:szCs w:val="21"/>
          <w:highlight w:val="none"/>
        </w:rPr>
        <w:t>电控</w:t>
      </w:r>
      <w:r>
        <w:rPr>
          <w:rFonts w:hint="eastAsia" w:ascii="宋体" w:hAnsi="宋体" w:cs="宋体"/>
          <w:szCs w:val="21"/>
          <w:highlight w:val="none"/>
          <w:lang w:eastAsia="zh-CN"/>
        </w:rPr>
        <w:t>、</w:t>
      </w:r>
      <w:r>
        <w:rPr>
          <w:rFonts w:hint="eastAsia" w:ascii="宋体" w:hAnsi="宋体" w:cs="宋体"/>
          <w:szCs w:val="21"/>
          <w:highlight w:val="none"/>
        </w:rPr>
        <w:t>管线、设备</w:t>
      </w:r>
      <w:r>
        <w:rPr>
          <w:rFonts w:hint="eastAsia" w:ascii="宋体" w:hAnsi="宋体" w:cs="宋体"/>
          <w:szCs w:val="21"/>
          <w:highlight w:val="none"/>
          <w:lang w:val="en-US" w:eastAsia="zh-CN"/>
        </w:rPr>
        <w:t>配套土建及供配电</w:t>
      </w:r>
      <w:r>
        <w:rPr>
          <w:rFonts w:hint="eastAsia" w:ascii="宋体" w:hAnsi="宋体" w:cs="宋体"/>
          <w:szCs w:val="21"/>
          <w:highlight w:val="none"/>
        </w:rPr>
        <w:t>等工程</w:t>
      </w:r>
      <w:r>
        <w:rPr>
          <w:rFonts w:hint="eastAsia" w:ascii="宋体" w:hAnsi="宋体" w:cs="宋体"/>
          <w:szCs w:val="21"/>
          <w:highlight w:val="none"/>
          <w:lang w:eastAsia="zh-CN"/>
        </w:rPr>
        <w:t>、</w:t>
      </w:r>
      <w:r>
        <w:rPr>
          <w:rFonts w:hint="eastAsia" w:ascii="宋体" w:hAnsi="宋体" w:cs="宋体"/>
          <w:szCs w:val="21"/>
          <w:highlight w:val="none"/>
          <w:lang w:val="en-US" w:eastAsia="zh-CN"/>
        </w:rPr>
        <w:t>完成项目在相关主管部门的备案验收工作</w:t>
      </w:r>
      <w:r>
        <w:rPr>
          <w:rFonts w:hint="eastAsia" w:ascii="宋体" w:hAnsi="宋体" w:cs="宋体"/>
          <w:szCs w:val="21"/>
          <w:highlight w:val="none"/>
        </w:rPr>
        <w:t>及完工前后的第三方检测报告</w:t>
      </w:r>
      <w:r>
        <w:rPr>
          <w:rFonts w:hint="eastAsia" w:ascii="宋体" w:hAnsi="宋体" w:cs="宋体"/>
          <w:szCs w:val="21"/>
          <w:highlight w:val="none"/>
          <w:lang w:eastAsia="zh-CN"/>
        </w:rPr>
        <w:t>（</w:t>
      </w:r>
      <w:r>
        <w:rPr>
          <w:rFonts w:hint="eastAsia" w:ascii="宋体" w:hAnsi="宋体" w:cs="宋体"/>
          <w:szCs w:val="21"/>
          <w:highlight w:val="none"/>
          <w:lang w:val="en-US" w:eastAsia="zh-CN"/>
        </w:rPr>
        <w:t>第三方检测机构需符合相关主管部门要求</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作业人员的组织和机构设置、安全生产教育、现场文明施工和标准化建设、参加甲方组织的会议等一切与乙方相关联的工作亦属承包范围。承包方式：实行施工承包人包工、包料、包质量、包安装、包工期、包安全施工、包文明管理的一揽子承包方式。 </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w:t>
      </w:r>
      <w:r>
        <w:rPr>
          <w:rFonts w:hint="eastAsia" w:ascii="宋体" w:hAnsi="宋体" w:eastAsia="宋体" w:cs="宋体"/>
          <w:b w:val="0"/>
          <w:bCs w:val="0"/>
          <w:kern w:val="2"/>
          <w:sz w:val="21"/>
          <w:szCs w:val="24"/>
          <w:highlight w:val="none"/>
          <w:lang w:val="en-US" w:eastAsia="zh-CN" w:bidi="ar-SA"/>
        </w:rPr>
        <w:t>开工日期：以甲方实际下达的开工通知为准</w:t>
      </w:r>
      <w:r>
        <w:rPr>
          <w:rFonts w:hint="eastAsia" w:ascii="宋体" w:hAnsi="宋体" w:cs="宋体"/>
          <w:b w:val="0"/>
          <w:bCs w:val="0"/>
          <w:kern w:val="2"/>
          <w:sz w:val="21"/>
          <w:szCs w:val="24"/>
          <w:highlight w:val="none"/>
          <w:lang w:val="en-US" w:eastAsia="zh-CN" w:bidi="ar-SA"/>
        </w:rPr>
        <w:t>；</w:t>
      </w:r>
      <w:r>
        <w:rPr>
          <w:rFonts w:hint="eastAsia" w:ascii="宋体" w:hAnsi="宋体" w:eastAsia="宋体" w:cs="宋体"/>
          <w:b w:val="0"/>
          <w:bCs w:val="0"/>
          <w:kern w:val="2"/>
          <w:sz w:val="21"/>
          <w:szCs w:val="24"/>
          <w:highlight w:val="none"/>
          <w:lang w:val="en-US" w:eastAsia="zh-CN" w:bidi="ar-SA"/>
        </w:rPr>
        <w:t>完</w:t>
      </w:r>
      <w:r>
        <w:rPr>
          <w:rFonts w:hint="eastAsia" w:ascii="宋体" w:hAnsi="宋体" w:cs="宋体"/>
          <w:b w:val="0"/>
          <w:bCs w:val="0"/>
          <w:kern w:val="2"/>
          <w:sz w:val="21"/>
          <w:szCs w:val="24"/>
          <w:highlight w:val="none"/>
          <w:lang w:val="en-US" w:eastAsia="zh-CN" w:bidi="ar-SA"/>
        </w:rPr>
        <w:t>工</w:t>
      </w:r>
      <w:r>
        <w:rPr>
          <w:rFonts w:hint="eastAsia" w:ascii="宋体" w:hAnsi="宋体" w:eastAsia="宋体" w:cs="宋体"/>
          <w:b w:val="0"/>
          <w:bCs w:val="0"/>
          <w:kern w:val="2"/>
          <w:sz w:val="21"/>
          <w:szCs w:val="24"/>
          <w:highlight w:val="none"/>
          <w:lang w:val="en-US" w:eastAsia="zh-CN" w:bidi="ar-SA"/>
        </w:rPr>
        <w:t>日期：2022</w:t>
      </w:r>
      <w:r>
        <w:rPr>
          <w:rFonts w:hint="eastAsia" w:ascii="宋体" w:hAnsi="宋体" w:cs="宋体"/>
          <w:b w:val="0"/>
          <w:bCs w:val="0"/>
          <w:kern w:val="2"/>
          <w:sz w:val="21"/>
          <w:szCs w:val="24"/>
          <w:highlight w:val="none"/>
          <w:lang w:val="en-US" w:eastAsia="zh-CN" w:bidi="ar-SA"/>
        </w:rPr>
        <w:t>年</w:t>
      </w:r>
      <w:r>
        <w:rPr>
          <w:rFonts w:hint="eastAsia" w:ascii="宋体" w:hAnsi="宋体" w:eastAsia="宋体" w:cs="宋体"/>
          <w:b w:val="0"/>
          <w:bCs w:val="0"/>
          <w:kern w:val="2"/>
          <w:sz w:val="21"/>
          <w:szCs w:val="24"/>
          <w:highlight w:val="none"/>
          <w:lang w:val="en-US" w:eastAsia="zh-CN" w:bidi="ar-SA"/>
        </w:rPr>
        <w:t>1</w:t>
      </w:r>
      <w:r>
        <w:rPr>
          <w:rFonts w:hint="eastAsia" w:ascii="宋体" w:hAnsi="宋体" w:cs="宋体"/>
          <w:b w:val="0"/>
          <w:bCs w:val="0"/>
          <w:kern w:val="2"/>
          <w:sz w:val="21"/>
          <w:szCs w:val="24"/>
          <w:highlight w:val="none"/>
          <w:lang w:val="en-US" w:eastAsia="zh-CN" w:bidi="ar-SA"/>
        </w:rPr>
        <w:t>0月</w:t>
      </w:r>
      <w:r>
        <w:rPr>
          <w:rFonts w:hint="eastAsia" w:ascii="宋体" w:hAnsi="宋体" w:eastAsia="宋体" w:cs="宋体"/>
          <w:b w:val="0"/>
          <w:bCs w:val="0"/>
          <w:kern w:val="2"/>
          <w:sz w:val="21"/>
          <w:szCs w:val="24"/>
          <w:highlight w:val="none"/>
          <w:lang w:val="en-US" w:eastAsia="zh-CN" w:bidi="ar-SA"/>
        </w:rPr>
        <w:t>15</w:t>
      </w:r>
      <w:r>
        <w:rPr>
          <w:rFonts w:hint="eastAsia" w:ascii="宋体" w:hAnsi="宋体" w:cs="宋体"/>
          <w:b w:val="0"/>
          <w:bCs w:val="0"/>
          <w:kern w:val="2"/>
          <w:sz w:val="21"/>
          <w:szCs w:val="24"/>
          <w:highlight w:val="none"/>
          <w:lang w:val="en-US" w:eastAsia="zh-CN" w:bidi="ar-SA"/>
        </w:rPr>
        <w:t>日</w:t>
      </w:r>
      <w:r>
        <w:rPr>
          <w:rFonts w:hint="eastAsia" w:ascii="宋体" w:hAnsi="宋体" w:eastAsia="宋体" w:cs="宋体"/>
          <w:b w:val="0"/>
          <w:bCs w:val="0"/>
          <w:kern w:val="2"/>
          <w:sz w:val="21"/>
          <w:szCs w:val="24"/>
          <w:highlight w:val="none"/>
          <w:lang w:val="en-US" w:eastAsia="zh-CN" w:bidi="ar-SA"/>
        </w:rPr>
        <w:t>。</w:t>
      </w:r>
    </w:p>
    <w:p>
      <w:pPr>
        <w:spacing w:line="400" w:lineRule="exact"/>
        <w:ind w:firstLine="420" w:firstLineChars="200"/>
        <w:rPr>
          <w:rFonts w:hint="default" w:ascii="宋体" w:hAnsi="宋体" w:cs="宋体"/>
          <w:b w:val="0"/>
          <w:bCs w:val="0"/>
          <w:kern w:val="2"/>
          <w:sz w:val="21"/>
          <w:szCs w:val="24"/>
          <w:highlight w:val="none"/>
          <w:lang w:val="en-US" w:eastAsia="zh-CN" w:bidi="ar-SA"/>
        </w:rPr>
      </w:pPr>
    </w:p>
    <w:p>
      <w:pPr>
        <w:pStyle w:val="5"/>
        <w:spacing w:before="120" w:after="0" w:line="360" w:lineRule="auto"/>
        <w:rPr>
          <w:rFonts w:hint="eastAsia" w:ascii="宋体" w:hAnsi="宋体" w:eastAsia="宋体" w:cs="宋体"/>
          <w:highlight w:val="none"/>
        </w:rPr>
      </w:pPr>
      <w:bookmarkStart w:id="43" w:name="_Toc7065"/>
      <w:bookmarkStart w:id="44" w:name="_Toc144974482"/>
      <w:bookmarkStart w:id="45" w:name="_Toc507319893"/>
      <w:bookmarkStart w:id="46" w:name="_Toc11329215"/>
      <w:bookmarkStart w:id="47" w:name="_Toc247085674"/>
      <w:bookmarkStart w:id="48" w:name="_Toc30356"/>
      <w:bookmarkStart w:id="49" w:name="_Toc152042290"/>
      <w:bookmarkStart w:id="50" w:name="_Toc246996903"/>
      <w:bookmarkStart w:id="51" w:name="_Toc10171"/>
      <w:bookmarkStart w:id="52" w:name="_Toc246996160"/>
      <w:bookmarkStart w:id="53" w:name="_Toc179632530"/>
      <w:bookmarkStart w:id="54" w:name="_Toc152045514"/>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152045515"/>
      <w:bookmarkStart w:id="56" w:name="_Toc179632531"/>
      <w:bookmarkStart w:id="57" w:name="_Toc144974483"/>
      <w:bookmarkStart w:id="58" w:name="_Toc152042291"/>
      <w:bookmarkStart w:id="59" w:name="_Toc246996161"/>
      <w:bookmarkStart w:id="60" w:name="_Toc247085675"/>
      <w:bookmarkStart w:id="61" w:name="_Toc246996904"/>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具备独立法人资格，</w:t>
      </w:r>
      <w:r>
        <w:rPr>
          <w:rFonts w:hint="eastAsia" w:ascii="宋体" w:hAnsi="宋体" w:cs="宋体"/>
          <w:szCs w:val="21"/>
          <w:highlight w:val="none"/>
          <w:shd w:val="clear" w:color="auto" w:fill="FFFFFF"/>
        </w:rPr>
        <w:t>具有有效的营业执照；</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）具备有效的安全生产许可证</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rPr>
        <w:t>）具备</w:t>
      </w:r>
      <w:r>
        <w:rPr>
          <w:rFonts w:hint="eastAsia" w:ascii="宋体" w:hAnsi="宋体" w:cs="宋体"/>
          <w:szCs w:val="21"/>
          <w:highlight w:val="none"/>
          <w:shd w:val="clear" w:color="auto" w:fill="FFFFFF"/>
          <w:lang w:val="en-US" w:eastAsia="zh-CN"/>
        </w:rPr>
        <w:t>有效的市政公用工程施工总承包叁级及以上资质</w:t>
      </w:r>
      <w:r>
        <w:rPr>
          <w:rFonts w:hint="eastAsia" w:ascii="宋体" w:hAnsi="宋体" w:cs="宋体"/>
          <w:szCs w:val="21"/>
          <w:highlight w:val="none"/>
          <w:shd w:val="clear" w:color="auto" w:fill="FFFFFF"/>
          <w:lang w:eastAsia="zh-CN"/>
        </w:rPr>
        <w:t>；</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业绩要求：近三年至少具备一项10万及以上</w:t>
      </w:r>
      <w:r>
        <w:rPr>
          <w:rFonts w:hint="eastAsia" w:ascii="宋体" w:hAnsi="宋体" w:cs="宋体"/>
          <w:szCs w:val="21"/>
          <w:highlight w:val="none"/>
        </w:rPr>
        <w:t>生活污水处理</w:t>
      </w:r>
      <w:r>
        <w:rPr>
          <w:rFonts w:hint="eastAsia" w:ascii="宋体" w:hAnsi="宋体" w:cs="宋体"/>
          <w:szCs w:val="21"/>
          <w:highlight w:val="none"/>
          <w:shd w:val="clear" w:color="auto" w:fill="FFFFFF"/>
          <w:lang w:val="en-US" w:eastAsia="zh-CN"/>
        </w:rPr>
        <w:t>项目业绩。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bookmarkEnd w:id="55"/>
    <w:bookmarkEnd w:id="56"/>
    <w:bookmarkEnd w:id="57"/>
    <w:bookmarkEnd w:id="58"/>
    <w:bookmarkEnd w:id="59"/>
    <w:bookmarkEnd w:id="60"/>
    <w:bookmarkEnd w:id="61"/>
    <w:p>
      <w:pPr>
        <w:pStyle w:val="5"/>
        <w:spacing w:before="120" w:after="0" w:line="400" w:lineRule="exact"/>
        <w:rPr>
          <w:rFonts w:ascii="宋体" w:hAnsi="宋体" w:eastAsia="宋体" w:cs="宋体"/>
          <w:highlight w:val="none"/>
        </w:rPr>
      </w:pPr>
      <w:bookmarkStart w:id="62" w:name="_Toc557"/>
      <w:bookmarkStart w:id="63" w:name="_Toc507319894"/>
      <w:bookmarkStart w:id="64" w:name="_Toc850"/>
      <w:bookmarkStart w:id="65" w:name="_Toc25619"/>
      <w:bookmarkStart w:id="66" w:name="_Toc17747"/>
      <w:bookmarkStart w:id="67" w:name="_Toc6126"/>
      <w:bookmarkStart w:id="68" w:name="_Toc11329216"/>
      <w:bookmarkStart w:id="69" w:name="_Toc14361"/>
      <w:bookmarkStart w:id="70" w:name="_Toc12460"/>
      <w:r>
        <w:rPr>
          <w:rFonts w:hint="eastAsia" w:ascii="宋体" w:hAnsi="宋体" w:eastAsia="宋体" w:cs="宋体"/>
          <w:highlight w:val="none"/>
        </w:rPr>
        <w:t>4. 比选文件的获取</w:t>
      </w:r>
      <w:bookmarkEnd w:id="62"/>
      <w:bookmarkEnd w:id="63"/>
      <w:bookmarkEnd w:id="64"/>
      <w:bookmarkEnd w:id="65"/>
      <w:bookmarkEnd w:id="66"/>
      <w:bookmarkEnd w:id="67"/>
      <w:bookmarkEnd w:id="68"/>
      <w:bookmarkEnd w:id="69"/>
      <w:bookmarkEnd w:id="70"/>
    </w:p>
    <w:p>
      <w:pPr>
        <w:spacing w:line="400" w:lineRule="exact"/>
        <w:ind w:firstLine="420" w:firstLineChars="200"/>
        <w:rPr>
          <w:rFonts w:ascii="宋体" w:hAnsi="宋体"/>
          <w:szCs w:val="21"/>
          <w:highlight w:val="none"/>
        </w:rPr>
      </w:pPr>
      <w:bookmarkStart w:id="71" w:name="_Toc246996162"/>
      <w:bookmarkStart w:id="72" w:name="_Toc507319895"/>
      <w:bookmarkStart w:id="73" w:name="_Toc246996905"/>
      <w:bookmarkStart w:id="74" w:name="_Toc152042292"/>
      <w:bookmarkStart w:id="75" w:name="_Toc179632532"/>
      <w:bookmarkStart w:id="76" w:name="_Toc152045516"/>
      <w:bookmarkStart w:id="77" w:name="_Toc11329217"/>
      <w:bookmarkStart w:id="78" w:name="_Toc144974484"/>
      <w:bookmarkStart w:id="79" w:name="_Toc247085676"/>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 xml:space="preserve"> 2022 </w:t>
      </w:r>
      <w:r>
        <w:rPr>
          <w:rFonts w:hint="eastAsia" w:ascii="宋体" w:hAnsi="宋体"/>
          <w:szCs w:val="21"/>
          <w:highlight w:val="none"/>
        </w:rPr>
        <w:t>年</w:t>
      </w:r>
      <w:r>
        <w:rPr>
          <w:rFonts w:hint="eastAsia" w:ascii="宋体" w:hAnsi="宋体"/>
          <w:szCs w:val="21"/>
          <w:highlight w:val="none"/>
          <w:u w:val="single"/>
        </w:rPr>
        <w:t xml:space="preserve"> 9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30</w:t>
      </w:r>
      <w:r>
        <w:rPr>
          <w:rFonts w:hint="eastAsia" w:ascii="宋体" w:hAnsi="宋体"/>
          <w:szCs w:val="21"/>
          <w:highlight w:val="none"/>
          <w:u w:val="single"/>
        </w:rPr>
        <w:t xml:space="preserve"> </w:t>
      </w:r>
      <w:r>
        <w:rPr>
          <w:rFonts w:hint="eastAsia" w:ascii="宋体" w:hAnsi="宋体"/>
          <w:szCs w:val="21"/>
          <w:highlight w:val="none"/>
        </w:rPr>
        <w:t>日下午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w:t>
      </w:r>
      <w:r>
        <w:rPr>
          <w:rFonts w:hint="eastAsia" w:ascii="宋体" w:hAnsi="宋体"/>
          <w:szCs w:val="21"/>
          <w:highlight w:val="none"/>
        </w:rPr>
        <w:t>前在重庆高速集团官网平台上获取比选文件，各报价人应随时关注网上发布的竞争性比选文件答疑、补遗、澄清等文件内容，不管报价人是否下载，均视为已知晓竞争性比选文件的全部内容和有关事宜。</w:t>
      </w:r>
    </w:p>
    <w:p>
      <w:pPr>
        <w:pStyle w:val="5"/>
        <w:spacing w:before="120" w:after="0" w:line="400" w:lineRule="exact"/>
        <w:rPr>
          <w:rFonts w:ascii="宋体" w:hAnsi="宋体" w:eastAsia="宋体" w:cs="宋体"/>
          <w:highlight w:val="none"/>
        </w:rPr>
      </w:pPr>
      <w:bookmarkStart w:id="80" w:name="_Toc16686"/>
      <w:bookmarkStart w:id="81" w:name="_Toc9131"/>
      <w:bookmarkStart w:id="82" w:name="_Toc27512"/>
      <w:bookmarkStart w:id="83" w:name="_Toc3356"/>
      <w:bookmarkStart w:id="84" w:name="_Toc17845"/>
      <w:bookmarkStart w:id="85" w:name="_Toc31493"/>
      <w:bookmarkStart w:id="86" w:name="_Toc2547"/>
      <w:r>
        <w:rPr>
          <w:rFonts w:hint="eastAsia" w:ascii="宋体" w:hAnsi="宋体" w:eastAsia="宋体" w:cs="宋体"/>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bookmarkEnd w:id="84"/>
      <w:bookmarkEnd w:id="85"/>
      <w:bookmarkEnd w:id="86"/>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 xml:space="preserve"> 2022 </w:t>
      </w:r>
      <w:r>
        <w:rPr>
          <w:rFonts w:hint="eastAsia" w:ascii="宋体" w:hAnsi="宋体"/>
          <w:szCs w:val="21"/>
          <w:highlight w:val="none"/>
        </w:rPr>
        <w:t>年</w:t>
      </w:r>
      <w:r>
        <w:rPr>
          <w:rFonts w:hint="eastAsia" w:ascii="宋体" w:hAnsi="宋体"/>
          <w:szCs w:val="21"/>
          <w:highlight w:val="none"/>
          <w:u w:val="single"/>
        </w:rPr>
        <w:t xml:space="preserve"> 9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30</w:t>
      </w:r>
      <w:r>
        <w:rPr>
          <w:rFonts w:hint="eastAsia" w:ascii="宋体" w:hAnsi="宋体"/>
          <w:szCs w:val="21"/>
          <w:highlight w:val="none"/>
          <w:u w:val="single"/>
        </w:rPr>
        <w:t xml:space="preserve"> </w:t>
      </w:r>
      <w:r>
        <w:rPr>
          <w:rFonts w:hint="eastAsia" w:ascii="宋体" w:hAnsi="宋体"/>
          <w:szCs w:val="21"/>
          <w:highlight w:val="none"/>
        </w:rPr>
        <w:t>日下午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5.2报价的递交：重庆市渝北区龙溪街道新南路52号东界龙湖一楼</w:t>
      </w:r>
      <w:r>
        <w:rPr>
          <w:rFonts w:hint="eastAsia" w:ascii="宋体" w:hAnsi="宋体"/>
          <w:szCs w:val="21"/>
          <w:highlight w:val="none"/>
        </w:rPr>
        <w:t>。</w:t>
      </w:r>
    </w:p>
    <w:p>
      <w:pPr>
        <w:tabs>
          <w:tab w:val="left" w:pos="360"/>
        </w:tabs>
        <w:spacing w:line="400" w:lineRule="exact"/>
        <w:ind w:firstLine="420" w:firstLineChars="200"/>
        <w:rPr>
          <w:rFonts w:ascii="宋体" w:hAnsi="宋体"/>
          <w:szCs w:val="21"/>
          <w:highlight w:val="none"/>
        </w:rPr>
      </w:pPr>
      <w:r>
        <w:rPr>
          <w:rFonts w:hint="eastAsia" w:ascii="宋体" w:hAnsi="宋体" w:cs="宋体"/>
          <w:szCs w:val="21"/>
          <w:highlight w:val="none"/>
        </w:rPr>
        <w:t>5.3逾期送达，或未送达指定地点，或未密封的竞争性比选响应文件，采购人不予受理</w:t>
      </w:r>
      <w:r>
        <w:rPr>
          <w:rFonts w:hint="eastAsia" w:ascii="宋体" w:hAnsi="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5.4文件递交方式：</w:t>
      </w:r>
      <w:r>
        <w:rPr>
          <w:rFonts w:hint="eastAsia" w:ascii="宋体" w:hAnsi="宋体" w:cs="宋体"/>
          <w:szCs w:val="21"/>
          <w:highlight w:val="none"/>
          <w:lang w:val="en-US" w:eastAsia="zh-CN"/>
        </w:rPr>
        <w:t>现场递交，</w:t>
      </w:r>
      <w:r>
        <w:rPr>
          <w:rFonts w:hint="eastAsia" w:ascii="宋体" w:hAnsi="宋体" w:cs="宋体"/>
          <w:szCs w:val="21"/>
          <w:highlight w:val="none"/>
        </w:rPr>
        <w:t>在投标截止当天将比选响应文件送达并参与现场开标。</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5.5</w:t>
      </w:r>
      <w:r>
        <w:rPr>
          <w:rFonts w:ascii="宋体" w:hAnsi="宋体" w:cs="宋体"/>
          <w:szCs w:val="21"/>
          <w:highlight w:val="none"/>
        </w:rPr>
        <w:t>采购人不组织现场踏勘，不召开报价预备会。</w:t>
      </w:r>
    </w:p>
    <w:p>
      <w:pPr>
        <w:tabs>
          <w:tab w:val="left" w:pos="360"/>
        </w:tabs>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5.6</w:t>
      </w:r>
      <w:r>
        <w:rPr>
          <w:rFonts w:hint="eastAsia" w:hAnsi="宋体"/>
          <w:b/>
          <w:bCs/>
          <w:szCs w:val="21"/>
          <w:highlight w:val="none"/>
        </w:rPr>
        <w:t>报价人现场报价人员需提供行程码、健康码及48小时内核酸检测报告（请提前打印相关资料，可打印到一页纸上）</w:t>
      </w:r>
      <w:r>
        <w:rPr>
          <w:rFonts w:ascii="宋体" w:hAnsi="宋体" w:cs="宋体"/>
          <w:b/>
          <w:bCs/>
          <w:szCs w:val="21"/>
          <w:highlight w:val="none"/>
        </w:rPr>
        <w:t>。</w:t>
      </w:r>
    </w:p>
    <w:p>
      <w:pPr>
        <w:pStyle w:val="5"/>
        <w:spacing w:before="120" w:after="0" w:line="400" w:lineRule="exact"/>
        <w:rPr>
          <w:rFonts w:hint="eastAsia" w:ascii="宋体" w:hAnsi="宋体" w:eastAsia="宋体" w:cs="宋体"/>
          <w:highlight w:val="none"/>
        </w:rPr>
      </w:pPr>
      <w:bookmarkStart w:id="87" w:name="_Toc179632534"/>
      <w:bookmarkStart w:id="88" w:name="_Toc152045517"/>
      <w:bookmarkStart w:id="89" w:name="_Toc246996164"/>
      <w:bookmarkStart w:id="90" w:name="_Toc144974485"/>
      <w:bookmarkStart w:id="91" w:name="_Toc393"/>
      <w:bookmarkStart w:id="92" w:name="_Toc247085678"/>
      <w:bookmarkStart w:id="93" w:name="_Toc246996907"/>
      <w:bookmarkStart w:id="94" w:name="_Toc18402"/>
      <w:bookmarkStart w:id="95" w:name="_Toc21615"/>
      <w:bookmarkStart w:id="96" w:name="_Toc152042293"/>
      <w:bookmarkStart w:id="97" w:name="_Toc507319897"/>
      <w:bookmarkStart w:id="98" w:name="_Toc11329219"/>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87"/>
      <w:bookmarkEnd w:id="88"/>
      <w:bookmarkEnd w:id="89"/>
      <w:bookmarkEnd w:id="90"/>
      <w:bookmarkEnd w:id="91"/>
      <w:bookmarkEnd w:id="92"/>
      <w:bookmarkEnd w:id="93"/>
      <w:bookmarkEnd w:id="94"/>
      <w:bookmarkEnd w:id="95"/>
      <w:bookmarkEnd w:id="96"/>
      <w:bookmarkEnd w:id="97"/>
      <w:bookmarkEnd w:id="98"/>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重庆市渝北区龙溪街道新南路52号东界龙湖三楼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黄老师  </w:t>
            </w:r>
            <w:r>
              <w:rPr>
                <w:rFonts w:hint="eastAsia" w:ascii="宋体" w:hAnsi="宋体" w:cs="宋体"/>
                <w:szCs w:val="21"/>
                <w:highlight w:val="none"/>
              </w:rPr>
              <w:t>电 话：</w:t>
            </w:r>
            <w:r>
              <w:rPr>
                <w:rFonts w:hint="eastAsia" w:ascii="宋体" w:hAnsi="宋体" w:cs="宋体"/>
                <w:szCs w:val="21"/>
                <w:highlight w:val="none"/>
                <w:lang w:val="en-US" w:eastAsia="zh-CN"/>
              </w:rPr>
              <w:t>15823672420</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18523055172</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9"/>
        <w:rPr>
          <w:highlight w:val="none"/>
        </w:rPr>
      </w:pPr>
    </w:p>
    <w:p>
      <w:pPr>
        <w:rPr>
          <w:highlight w:val="none"/>
        </w:rPr>
      </w:pPr>
    </w:p>
    <w:p>
      <w:pPr>
        <w:pStyle w:val="29"/>
        <w:rPr>
          <w:highlight w:val="none"/>
        </w:rPr>
      </w:pPr>
    </w:p>
    <w:p>
      <w:pPr>
        <w:pStyle w:val="29"/>
        <w:rPr>
          <w:highlight w:val="none"/>
        </w:rPr>
      </w:pPr>
    </w:p>
    <w:bookmarkEnd w:id="16"/>
    <w:bookmarkEnd w:id="17"/>
    <w:p>
      <w:pPr>
        <w:pStyle w:val="4"/>
        <w:spacing w:before="0" w:after="0" w:line="360" w:lineRule="auto"/>
        <w:jc w:val="center"/>
        <w:rPr>
          <w:rFonts w:hint="eastAsia" w:ascii="宋体" w:hAnsi="宋体" w:cs="宋体"/>
          <w:highlight w:val="none"/>
        </w:rPr>
      </w:pPr>
      <w:bookmarkStart w:id="99" w:name="_Toc21719"/>
      <w:bookmarkStart w:id="100" w:name="_Toc246996916"/>
      <w:bookmarkStart w:id="101" w:name="_Toc152045527"/>
      <w:bookmarkStart w:id="102" w:name="_Toc246996173"/>
      <w:bookmarkStart w:id="103" w:name="_Toc247085687"/>
      <w:bookmarkStart w:id="104" w:name="_Toc507319898"/>
      <w:bookmarkStart w:id="105" w:name="_Toc2000405"/>
      <w:bookmarkStart w:id="106" w:name="_Toc144974495"/>
      <w:bookmarkStart w:id="107" w:name="_Toc152042303"/>
      <w:bookmarkStart w:id="108" w:name="_Toc179632544"/>
      <w:r>
        <w:rPr>
          <w:rFonts w:hint="eastAsia" w:ascii="宋体" w:hAnsi="宋体" w:cs="宋体"/>
          <w:highlight w:val="none"/>
        </w:rPr>
        <w:br w:type="page"/>
      </w:r>
      <w:r>
        <w:rPr>
          <w:rFonts w:hint="eastAsia" w:ascii="宋体" w:hAnsi="宋体" w:cs="宋体"/>
          <w:highlight w:val="none"/>
        </w:rPr>
        <w:t>第二章 报价人须知</w:t>
      </w:r>
      <w:bookmarkEnd w:id="99"/>
      <w:bookmarkEnd w:id="100"/>
      <w:bookmarkEnd w:id="101"/>
      <w:bookmarkEnd w:id="102"/>
      <w:bookmarkEnd w:id="103"/>
      <w:bookmarkEnd w:id="104"/>
      <w:bookmarkEnd w:id="105"/>
      <w:bookmarkEnd w:id="106"/>
      <w:bookmarkEnd w:id="107"/>
      <w:bookmarkEnd w:id="108"/>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9"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highlight w:val="none"/>
                <w:lang w:eastAsia="zh-CN"/>
              </w:rPr>
              <w:t>重庆市渝北区龙溪街道新南路52号东界龙湖三楼</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蒋先生</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首讯公司四公里业务基地污水整治工程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r>
              <w:rPr>
                <w:rFonts w:hint="eastAsia" w:ascii="宋体" w:hAnsi="宋体" w:cs="宋体"/>
                <w:szCs w:val="21"/>
                <w:highlight w:val="none"/>
                <w:lang w:val="en-US" w:eastAsia="zh-CN"/>
              </w:rPr>
              <w:t>质量保证期</w:t>
            </w:r>
            <w:r>
              <w:rPr>
                <w:rFonts w:hint="eastAsia" w:ascii="宋体" w:hAnsi="宋体" w:cs="宋体"/>
                <w:szCs w:val="21"/>
                <w:highlight w:val="none"/>
              </w:rPr>
              <w:t>为</w:t>
            </w:r>
            <w:r>
              <w:rPr>
                <w:rFonts w:hint="eastAsia" w:ascii="宋体" w:hAnsi="宋体" w:cs="宋体"/>
                <w:szCs w:val="21"/>
                <w:highlight w:val="none"/>
                <w:lang w:val="en-US" w:eastAsia="zh-CN"/>
              </w:rPr>
              <w:t>24个月</w:t>
            </w:r>
            <w:r>
              <w:rPr>
                <w:rFonts w:hint="eastAsia" w:ascii="宋体" w:hAnsi="宋体" w:cs="宋体"/>
                <w:szCs w:val="21"/>
                <w:highlight w:val="none"/>
              </w:rPr>
              <w:t>，并在质保期内提供每月不少1次的维保。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10" w:name="_Hlt227984024"/>
            <w:bookmarkEnd w:id="110"/>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最高投标限</w:t>
            </w:r>
            <w:r>
              <w:rPr>
                <w:rFonts w:hint="eastAsia" w:ascii="宋体" w:hAnsi="宋体" w:cs="宋体"/>
                <w:kern w:val="0"/>
                <w:szCs w:val="21"/>
                <w:highlight w:val="none"/>
                <w:lang w:val="en-US" w:eastAsia="zh-CN"/>
              </w:rPr>
              <w:t>折扣率</w:t>
            </w:r>
          </w:p>
        </w:tc>
        <w:tc>
          <w:tcPr>
            <w:tcW w:w="7104" w:type="dxa"/>
            <w:tcBorders>
              <w:bottom w:val="single" w:color="auto" w:sz="4" w:space="0"/>
            </w:tcBorders>
            <w:vAlign w:val="center"/>
          </w:tcPr>
          <w:p>
            <w:pPr>
              <w:spacing w:line="400" w:lineRule="exact"/>
              <w:ind w:firstLine="422" w:firstLineChars="200"/>
              <w:jc w:val="center"/>
              <w:rPr>
                <w:rFonts w:hint="eastAsia"/>
                <w:b/>
                <w:bCs/>
                <w:highlight w:val="none"/>
              </w:rPr>
            </w:pPr>
            <w:r>
              <w:rPr>
                <w:rFonts w:hint="eastAsia"/>
                <w:b/>
                <w:bCs/>
                <w:highlight w:val="none"/>
                <w:lang w:val="en-US" w:eastAsia="zh-CN"/>
              </w:rPr>
              <w:t>本项目最高限折扣率为</w:t>
            </w:r>
            <w:r>
              <w:rPr>
                <w:rFonts w:hint="eastAsia"/>
                <w:b/>
                <w:bCs/>
                <w:highlight w:val="none"/>
                <w:u w:val="single"/>
                <w:lang w:val="en-US" w:eastAsia="zh-CN"/>
              </w:rPr>
              <w:t>100.00%</w:t>
            </w:r>
            <w:r>
              <w:rPr>
                <w:rFonts w:hint="eastAsia"/>
                <w:b/>
                <w:bCs/>
                <w:highlight w:val="none"/>
              </w:rPr>
              <w:t>。</w:t>
            </w:r>
          </w:p>
          <w:p>
            <w:pPr>
              <w:spacing w:line="400" w:lineRule="exact"/>
              <w:ind w:firstLine="420" w:firstLineChars="200"/>
              <w:jc w:val="left"/>
              <w:rPr>
                <w:rFonts w:hint="eastAsia"/>
                <w:sz w:val="21"/>
                <w:szCs w:val="21"/>
                <w:highlight w:val="none"/>
                <w:lang w:eastAsia="zh-CN"/>
              </w:rPr>
            </w:pPr>
            <w:r>
              <w:rPr>
                <w:rFonts w:hint="eastAsia"/>
                <w:sz w:val="21"/>
                <w:szCs w:val="21"/>
                <w:highlight w:val="none"/>
                <w:lang w:val="en-US" w:eastAsia="zh-CN"/>
              </w:rPr>
              <w:t>中标方式：</w:t>
            </w:r>
            <w:r>
              <w:rPr>
                <w:rFonts w:hint="eastAsia"/>
                <w:sz w:val="21"/>
                <w:szCs w:val="21"/>
                <w:highlight w:val="none"/>
                <w:lang w:eastAsia="zh-CN"/>
              </w:rPr>
              <w:t xml:space="preserve">由报价人按愿意承诺的折扣率针对本项目进行报价，最低折扣率中标（若采购人认定报价人有非合理低价折扣，则采购人有权不接受报价人的报价折扣）。 </w:t>
            </w:r>
          </w:p>
          <w:p>
            <w:pPr>
              <w:spacing w:line="400" w:lineRule="exact"/>
              <w:ind w:firstLine="420" w:firstLineChars="200"/>
              <w:jc w:val="left"/>
              <w:rPr>
                <w:rFonts w:hint="eastAsia" w:eastAsia="宋体"/>
                <w:highlight w:val="none"/>
                <w:lang w:eastAsia="zh-CN"/>
              </w:rPr>
            </w:pPr>
            <w:r>
              <w:rPr>
                <w:rFonts w:hint="eastAsia"/>
                <w:sz w:val="21"/>
                <w:szCs w:val="21"/>
                <w:highlight w:val="none"/>
                <w:lang w:eastAsia="zh-CN"/>
              </w:rPr>
              <w:t>举例：中标人报价折扣率为95.00%（保留小数点后两位），采购人最终对中标人实施的工作内容按计价原则审价为100万，则采购人最终按95万元与报价人签订合同。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（1）项目实施完成并经交工验收合格后按照甲方定额计价原则审定且按乙方承诺的折扣率下浮后，支付到合同结算价款的97%；</w:t>
            </w:r>
          </w:p>
          <w:p>
            <w:pPr>
              <w:spacing w:line="400" w:lineRule="exact"/>
              <w:ind w:firstLine="420" w:firstLineChars="200"/>
              <w:rPr>
                <w:rFonts w:hint="eastAsia"/>
                <w:highlight w:val="none"/>
                <w:lang w:val="en-US" w:eastAsia="zh-CN"/>
              </w:rPr>
            </w:pPr>
            <w:r>
              <w:rPr>
                <w:rFonts w:hint="eastAsia"/>
                <w:highlight w:val="none"/>
                <w:lang w:val="en-US" w:eastAsia="zh-CN"/>
              </w:rPr>
              <w:t>（2）双方已确认的结算价款的3%作为质量保证金，缺陷责任期（或质保期）两年（从本工程竣（交）工验收合格之日起计算）届满后，由乙方主动提出书面申请，经甲方业务部门确认后，30个工作日内全额支付（质量保证金不计任何利息），若乙方未提出书面申请，则相应的延迟责任由乙方自行承担；</w:t>
            </w:r>
          </w:p>
          <w:p>
            <w:pPr>
              <w:spacing w:line="400" w:lineRule="exact"/>
              <w:ind w:firstLine="420" w:firstLineChars="200"/>
              <w:rPr>
                <w:rFonts w:hint="eastAsia"/>
                <w:highlight w:val="none"/>
              </w:rPr>
            </w:pPr>
            <w:r>
              <w:rPr>
                <w:rFonts w:hint="eastAsia"/>
                <w:highlight w:val="none"/>
                <w:lang w:val="en-US" w:eastAsia="zh-CN"/>
              </w:rPr>
              <w:t>（3）乙方应于甲方每次付款（预付款除外）前提供等额增值税专用发票给甲方。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numPr>
                <w:ilvl w:val="0"/>
                <w:numId w:val="2"/>
              </w:numPr>
              <w:spacing w:line="400" w:lineRule="exact"/>
              <w:ind w:firstLine="420" w:firstLineChars="200"/>
              <w:rPr>
                <w:rFonts w:hint="eastAsia"/>
                <w:highlight w:val="none"/>
                <w:lang w:val="en-US" w:eastAsia="zh-CN"/>
              </w:rPr>
            </w:pPr>
            <w:r>
              <w:rPr>
                <w:rFonts w:hint="eastAsia"/>
                <w:highlight w:val="none"/>
                <w:lang w:val="en-US" w:eastAsia="zh-CN"/>
              </w:rPr>
              <w:t>乙方在本项目工作开展期间，其项目经理、项目安全负责人必须驻施工现场开展工作，其在岗驻场工作时间按计划工期的工作日天数按实计量，若不在岗将处以1千元/人·天的违约处理。若离开必须书面向业主请假，未经批准擅自离开，按1千元/人·天处违约处理。</w:t>
            </w:r>
          </w:p>
          <w:p>
            <w:pPr>
              <w:numPr>
                <w:ilvl w:val="0"/>
                <w:numId w:val="2"/>
              </w:numPr>
              <w:spacing w:line="400" w:lineRule="exact"/>
              <w:ind w:firstLine="420" w:firstLineChars="200"/>
              <w:rPr>
                <w:rFonts w:hint="eastAsia"/>
                <w:highlight w:val="none"/>
                <w:lang w:val="en-US" w:eastAsia="zh-CN"/>
              </w:rPr>
            </w:pPr>
            <w:r>
              <w:rPr>
                <w:rFonts w:hint="eastAsia"/>
                <w:highlight w:val="none"/>
                <w:lang w:val="en-US" w:eastAsia="zh-CN"/>
              </w:rPr>
              <w:t>乙方在本项目工作开展期间，更换项目经理，甲方按5万元/人进行违约处理；更换安全负责人，甲方按2万元/人进行违约处理。新更换的人员不低于比选文件人员资质要求。</w:t>
            </w:r>
          </w:p>
          <w:p>
            <w:pPr>
              <w:numPr>
                <w:ilvl w:val="0"/>
                <w:numId w:val="2"/>
              </w:numPr>
              <w:spacing w:line="400" w:lineRule="exact"/>
              <w:ind w:firstLine="420" w:firstLineChars="200"/>
              <w:rPr>
                <w:rFonts w:hint="eastAsia"/>
                <w:highlight w:val="none"/>
                <w:lang w:val="en-US" w:eastAsia="zh-CN"/>
              </w:rPr>
            </w:pPr>
            <w:r>
              <w:rPr>
                <w:rFonts w:hint="eastAsia"/>
                <w:highlight w:val="none"/>
                <w:lang w:val="en-US" w:eastAsia="zh-CN"/>
              </w:rPr>
              <w:t>乙方分包的工程项目，不得再行转包或分包，否则将无条件被认为乙方违约，由此引起的一切责任、事故和损失由乙方负责。此外，乙方还应当向甲方支付 1 万元违约金，甲方有权终止或解除合同。</w:t>
            </w:r>
          </w:p>
          <w:p>
            <w:pPr>
              <w:numPr>
                <w:ilvl w:val="0"/>
                <w:numId w:val="2"/>
              </w:numPr>
              <w:spacing w:line="400" w:lineRule="exact"/>
              <w:ind w:firstLine="420" w:firstLineChars="200"/>
              <w:rPr>
                <w:rFonts w:hint="eastAsia"/>
                <w:highlight w:val="none"/>
                <w:lang w:val="en-US" w:eastAsia="zh-CN"/>
              </w:rPr>
            </w:pPr>
            <w:r>
              <w:rPr>
                <w:rFonts w:hint="eastAsia"/>
                <w:highlight w:val="none"/>
                <w:lang w:val="en-US" w:eastAsia="zh-CN"/>
              </w:rPr>
              <w:t>在施工过程中由乙方分包的工程项目质量经检验达不到验收规范和评定标准，不能保证工程质量，或因乙方分包的工程项目进度不能满足发包人和甲方制定的进度目标要求，则甲方有权终止合同，由此造成的损失由乙方承担。此外，乙方还应当向甲方支付  1 万元违约金。</w:t>
            </w:r>
          </w:p>
          <w:p>
            <w:pPr>
              <w:numPr>
                <w:ilvl w:val="0"/>
                <w:numId w:val="2"/>
              </w:numPr>
              <w:spacing w:line="400" w:lineRule="exact"/>
              <w:ind w:firstLine="420" w:firstLineChars="200"/>
              <w:rPr>
                <w:rFonts w:hint="eastAsia"/>
                <w:highlight w:val="none"/>
                <w:lang w:val="en-US" w:eastAsia="zh-CN"/>
              </w:rPr>
            </w:pPr>
            <w:r>
              <w:rPr>
                <w:rFonts w:hint="eastAsia"/>
                <w:highlight w:val="none"/>
                <w:lang w:val="en-US" w:eastAsia="zh-CN"/>
              </w:rPr>
              <w:t>除上一条款外，合同签订后，不经双方协商同意，任何一方不得随意变更或解除。如乙方未经甲方同意，单方解除合同时（如中途未征得甲方同意无故退场），甲方将按照乙方完成工作量的80%进行结算，同时乙方还需支付甲方  1 万元违约金，并且由乙方赔偿甲方因影响施工计划造成的经济损失；如甲方中途无故解除合同，按乙方完成工作量的100%进行结算，应赔偿乙方因此造成的经济损失。</w:t>
            </w:r>
          </w:p>
          <w:p>
            <w:pPr>
              <w:numPr>
                <w:ilvl w:val="0"/>
                <w:numId w:val="2"/>
              </w:numPr>
              <w:spacing w:line="400" w:lineRule="exact"/>
              <w:ind w:firstLine="420" w:firstLineChars="200"/>
              <w:rPr>
                <w:rFonts w:hint="eastAsia"/>
                <w:highlight w:val="none"/>
                <w:lang w:val="en-US" w:eastAsia="zh-CN"/>
              </w:rPr>
            </w:pPr>
            <w:r>
              <w:rPr>
                <w:rFonts w:hint="eastAsia"/>
                <w:highlight w:val="none"/>
                <w:lang w:val="en-US" w:eastAsia="zh-CN"/>
              </w:rPr>
              <w:t>因乙方原因，出现下列情况之一的，甲方有权采取认为合理的一切措施进行处理，由此引起的损失由乙方承担。</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6.1乙方的主要人员、机械设备及流动资金不能按时到位的，严重制约了工程的施工；</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6.2进度滞后该工程总体进度计划的10％或落到工程管理曲线下线以下的；</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6.3不按施工技术规范和标准要求施工，造成工程质量低劣的达不到验收标准的；</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6. 4不遵守甲方的管理，不能服从发包人和监理人的指令，造成工程不能管理无法推进。</w:t>
            </w:r>
          </w:p>
          <w:p>
            <w:pPr>
              <w:spacing w:line="400" w:lineRule="exact"/>
              <w:ind w:firstLine="420" w:firstLineChars="200"/>
              <w:rPr>
                <w:rFonts w:hint="eastAsia"/>
                <w:highlight w:val="none"/>
                <w:lang w:val="en-US" w:eastAsia="zh-CN"/>
              </w:rPr>
            </w:pPr>
            <w:r>
              <w:rPr>
                <w:rFonts w:hint="eastAsia"/>
                <w:highlight w:val="none"/>
                <w:lang w:val="en-US" w:eastAsia="zh-CN"/>
              </w:rPr>
              <w:t>7.乙方应按本合同规定的工期及质量要求完成，否则应偿付给甲方10000元/天的逾期违约金，并承担甲方项目部延期完成任务以后后续发生的管理费用，限额为5万元。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rPr>
              <w:t>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8"/>
              <w:spacing w:line="400" w:lineRule="exact"/>
              <w:rPr>
                <w:rFonts w:hint="default" w:hAnsi="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重庆首讯科技股份有限公司风险管理部</w:t>
            </w:r>
          </w:p>
          <w:p>
            <w:pPr>
              <w:pStyle w:val="14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重庆市渝北区龙溪街道新南路52号东界龙湖三楼</w:t>
            </w:r>
          </w:p>
          <w:p>
            <w:pPr>
              <w:pStyle w:val="14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eastAsia" w:hAnsi="宋体" w:cs="宋体"/>
                <w:color w:val="auto"/>
                <w:sz w:val="21"/>
                <w:szCs w:val="21"/>
                <w:highlight w:val="none"/>
                <w:lang w:val="en-US" w:eastAsia="zh-CN" w:bidi="ar-SA"/>
              </w:rPr>
            </w:pPr>
            <w:r>
              <w:rPr>
                <w:rFonts w:hint="eastAsia" w:hAnsi="宋体"/>
                <w:color w:val="auto"/>
                <w:sz w:val="21"/>
                <w:szCs w:val="21"/>
                <w:highlight w:val="none"/>
              </w:rPr>
              <w:t>22</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48"/>
              <w:spacing w:line="400" w:lineRule="exact"/>
              <w:rPr>
                <w:rFonts w:hAnsi="宋体"/>
                <w:color w:val="auto"/>
                <w:kern w:val="2"/>
                <w:sz w:val="21"/>
                <w:szCs w:val="21"/>
                <w:highlight w:val="none"/>
              </w:rPr>
            </w:pPr>
            <w:r>
              <w:rPr>
                <w:rFonts w:hint="eastAsia" w:hAnsi="宋体"/>
                <w:color w:val="auto"/>
                <w:kern w:val="2"/>
                <w:sz w:val="21"/>
                <w:szCs w:val="21"/>
                <w:highlight w:val="none"/>
              </w:rPr>
              <w:t xml:space="preserve">   1.竞争性比选文件需加盖报价人的公章，竞争性比选响应文件提交正本1份，副本1份，副本可为正本的复印件，竞争性比选响应文件需装订成册；报价人应提供竞争性比选响应文件（盖章版）扫描版PDF电子文件1份（U盘1份，电子文件内容须包括竞争性比选响应文件全部内容）。当电子文件与纸质版竞争性比选响应文件不一致时，以纸质版竞争性比选响应文件为准，当正本与副本不一致时，以正本为准。</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2.竞争性比选响应声明书、报价函、资格要求材料、报价人认为需要提供的其他相关文件（注：以上所有文件均须逐页加盖报价人的公章）。</w:t>
            </w:r>
          </w:p>
          <w:p>
            <w:pPr>
              <w:pStyle w:val="148"/>
              <w:spacing w:line="400" w:lineRule="exact"/>
              <w:ind w:firstLine="420" w:firstLineChars="200"/>
              <w:rPr>
                <w:rFonts w:hAnsi="宋体"/>
                <w:color w:val="auto"/>
                <w:sz w:val="21"/>
                <w:szCs w:val="21"/>
                <w:highlight w:val="none"/>
              </w:rPr>
            </w:pPr>
            <w:r>
              <w:rPr>
                <w:rFonts w:hint="eastAsia" w:hAnsi="宋体"/>
                <w:color w:val="auto"/>
                <w:sz w:val="21"/>
                <w:szCs w:val="21"/>
                <w:highlight w:val="none"/>
              </w:rPr>
              <w:t>3.密封要求：</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u w:val="single"/>
              </w:rPr>
              <w:t>首讯公司四公里业务基地污水整治工程竞争性比选响应文件</w:t>
            </w:r>
            <w:r>
              <w:rPr>
                <w:rFonts w:hint="eastAsia" w:hAnsi="宋体"/>
                <w:color w:val="auto"/>
                <w:kern w:val="2"/>
                <w:sz w:val="21"/>
                <w:szCs w:val="21"/>
                <w:highlight w:val="none"/>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sz w:val="21"/>
                <w:szCs w:val="21"/>
                <w:highlight w:val="none"/>
              </w:rPr>
              <w:t>23</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sz w:val="21"/>
                <w:szCs w:val="21"/>
                <w:highlight w:val="none"/>
              </w:rPr>
              <w:t>中标候选人公示</w:t>
            </w:r>
          </w:p>
        </w:tc>
        <w:tc>
          <w:tcPr>
            <w:tcW w:w="7104" w:type="dxa"/>
            <w:vAlign w:val="center"/>
          </w:tcPr>
          <w:p>
            <w:pPr>
              <w:pStyle w:val="148"/>
              <w:spacing w:line="400" w:lineRule="exact"/>
              <w:ind w:firstLine="420" w:firstLineChars="200"/>
              <w:rPr>
                <w:highlight w:val="none"/>
              </w:rPr>
            </w:pPr>
            <w:r>
              <w:rPr>
                <w:rFonts w:hint="eastAsia" w:hAnsi="宋体"/>
                <w:color w:val="auto"/>
                <w:sz w:val="21"/>
                <w:szCs w:val="21"/>
                <w:highlight w:val="none"/>
              </w:rPr>
              <w:t>评标结果将在</w:t>
            </w:r>
            <w:r>
              <w:rPr>
                <w:rFonts w:hint="eastAsia" w:hAnsi="宋体"/>
                <w:color w:val="auto"/>
                <w:sz w:val="21"/>
                <w:szCs w:val="21"/>
                <w:highlight w:val="none"/>
                <w:u w:val="single"/>
              </w:rPr>
              <w:t>重庆高速集团官网（http://www.cegc.com.cn）</w:t>
            </w:r>
            <w:r>
              <w:rPr>
                <w:rFonts w:hint="eastAsia" w:hAnsi="宋体"/>
                <w:color w:val="auto"/>
                <w:sz w:val="21"/>
                <w:szCs w:val="21"/>
                <w:highlight w:val="none"/>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24</w:t>
            </w:r>
          </w:p>
        </w:tc>
        <w:tc>
          <w:tcPr>
            <w:tcW w:w="9210" w:type="dxa"/>
            <w:gridSpan w:val="2"/>
            <w:vAlign w:val="center"/>
          </w:tcPr>
          <w:p>
            <w:pPr>
              <w:pStyle w:val="148"/>
              <w:spacing w:line="400" w:lineRule="exact"/>
              <w:ind w:firstLine="482" w:firstLineChars="200"/>
              <w:jc w:val="center"/>
              <w:rPr>
                <w:rFonts w:hAnsi="宋体"/>
                <w:b/>
                <w:bCs/>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24.1</w:t>
            </w:r>
          </w:p>
        </w:tc>
        <w:tc>
          <w:tcPr>
            <w:tcW w:w="9210" w:type="dxa"/>
            <w:gridSpan w:val="2"/>
            <w:vAlign w:val="center"/>
          </w:tcPr>
          <w:p>
            <w:pPr>
              <w:pStyle w:val="148"/>
              <w:spacing w:line="400" w:lineRule="exact"/>
              <w:ind w:firstLine="420" w:firstLineChars="200"/>
              <w:rPr>
                <w:rFonts w:hint="eastAsia" w:hAnsi="宋体" w:eastAsia="宋体"/>
                <w:sz w:val="21"/>
                <w:szCs w:val="21"/>
                <w:highlight w:val="none"/>
                <w:lang w:eastAsia="zh-CN"/>
              </w:rPr>
            </w:pPr>
            <w:r>
              <w:rPr>
                <w:rFonts w:hint="eastAsia" w:hAnsi="宋体"/>
                <w:sz w:val="21"/>
                <w:szCs w:val="21"/>
                <w:highlight w:val="none"/>
              </w:rPr>
              <w:t>本项目要求完工后，污水进入污水处理站，处理达《污水综合排放标准》（GB8978-1996 ）一级标准后排放。处理的工艺技术要求先进可靠、经济合理、高效节能，在确保污水处理效果前提下，最大限度减少日常运行费用。生活污水一体化处理设施使用寿命在 5 年以上。在其保证的使用年限内，无泄露等质量问题的出现。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24.2</w:t>
            </w:r>
          </w:p>
        </w:tc>
        <w:tc>
          <w:tcPr>
            <w:tcW w:w="9210" w:type="dxa"/>
            <w:gridSpan w:val="2"/>
            <w:vAlign w:val="center"/>
          </w:tcPr>
          <w:p>
            <w:pPr>
              <w:pStyle w:val="148"/>
              <w:spacing w:line="400" w:lineRule="exact"/>
              <w:ind w:firstLine="422" w:firstLineChars="200"/>
              <w:rPr>
                <w:rFonts w:hint="default" w:hAnsi="宋体" w:eastAsia="宋体"/>
                <w:sz w:val="21"/>
                <w:szCs w:val="21"/>
                <w:highlight w:val="none"/>
                <w:lang w:val="en-US" w:eastAsia="zh-CN"/>
              </w:rPr>
            </w:pPr>
            <w:r>
              <w:rPr>
                <w:rFonts w:hint="eastAsia" w:hAnsi="宋体"/>
                <w:b/>
                <w:bCs/>
                <w:sz w:val="21"/>
                <w:szCs w:val="21"/>
                <w:highlight w:val="none"/>
                <w:lang w:val="en-US" w:eastAsia="zh-CN"/>
              </w:rPr>
              <w:t>本项目合同最终结算金额不得超过195000.00元。</w:t>
            </w:r>
          </w:p>
        </w:tc>
      </w:tr>
      <w:bookmarkEnd w:id="109"/>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5"/>
        <w:jc w:val="center"/>
        <w:rPr>
          <w:rFonts w:hint="eastAsia" w:ascii="宋体" w:hAnsi="宋体" w:eastAsia="宋体" w:cs="宋体"/>
          <w:bCs w:val="0"/>
          <w:sz w:val="28"/>
          <w:szCs w:val="28"/>
          <w:highlight w:val="none"/>
        </w:rPr>
      </w:pPr>
      <w:bookmarkStart w:id="111" w:name="_Toc30198"/>
      <w:bookmarkStart w:id="112" w:name="_Toc17532"/>
      <w:bookmarkStart w:id="113" w:name="_Toc11329222"/>
      <w:bookmarkStart w:id="114" w:name="_Toc11284"/>
      <w:r>
        <w:rPr>
          <w:rFonts w:hint="eastAsia" w:ascii="宋体" w:hAnsi="宋体" w:eastAsia="宋体" w:cs="宋体"/>
          <w:sz w:val="28"/>
          <w:szCs w:val="28"/>
          <w:highlight w:val="none"/>
        </w:rPr>
        <w:t xml:space="preserve">附录1  </w:t>
      </w:r>
      <w:bookmarkEnd w:id="111"/>
      <w:bookmarkEnd w:id="112"/>
      <w:bookmarkEnd w:id="113"/>
      <w:bookmarkEnd w:id="114"/>
      <w:bookmarkStart w:id="115" w:name="_Toc12773"/>
      <w:bookmarkStart w:id="116" w:name="_Toc27096"/>
      <w:bookmarkStart w:id="117" w:name="_Toc25591"/>
      <w:bookmarkStart w:id="118" w:name="_Toc11329226"/>
      <w:r>
        <w:rPr>
          <w:rFonts w:hint="eastAsia" w:ascii="宋体" w:hAnsi="宋体" w:eastAsia="宋体" w:cs="宋体"/>
          <w:bCs w:val="0"/>
          <w:sz w:val="28"/>
          <w:szCs w:val="28"/>
          <w:highlight w:val="none"/>
        </w:rPr>
        <w:t>资格审查文件（项目主要管理人员最低要求）</w:t>
      </w:r>
      <w:bookmarkEnd w:id="115"/>
      <w:bookmarkEnd w:id="116"/>
      <w:bookmarkEnd w:id="117"/>
      <w:bookmarkEnd w:id="118"/>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2"/>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9" w:name="_Toc388534043"/>
            <w:bookmarkStart w:id="120"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项目经理</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具备中级及以上职称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技术负责人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具备中级及以上职称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现场安全员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持安全C证</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Times New Roman" w:hAnsi="宋体" w:cs="Times New Roman"/>
          <w:b/>
          <w:bCs/>
          <w:color w:val="auto"/>
          <w:sz w:val="21"/>
          <w:szCs w:val="21"/>
          <w:highlight w:val="none"/>
          <w:lang w:val="en-US" w:eastAsia="zh-CN"/>
        </w:rPr>
        <w:t>注：以上人员不得</w:t>
      </w:r>
      <w:r>
        <w:rPr>
          <w:rFonts w:hint="eastAsia" w:hAnsi="宋体" w:cs="Times New Roman"/>
          <w:b/>
          <w:bCs/>
          <w:color w:val="auto"/>
          <w:sz w:val="21"/>
          <w:szCs w:val="21"/>
          <w:highlight w:val="none"/>
          <w:lang w:val="en-US" w:eastAsia="zh-CN"/>
        </w:rPr>
        <w:t>在其他项目</w:t>
      </w:r>
      <w:r>
        <w:rPr>
          <w:rFonts w:hint="eastAsia" w:ascii="Times New Roman" w:hAnsi="宋体" w:cs="Times New Roman"/>
          <w:b/>
          <w:bCs/>
          <w:color w:val="auto"/>
          <w:sz w:val="21"/>
          <w:szCs w:val="21"/>
          <w:highlight w:val="none"/>
          <w:lang w:val="en-US" w:eastAsia="zh-CN"/>
        </w:rPr>
        <w:t>重复任职</w:t>
      </w:r>
      <w:r>
        <w:rPr>
          <w:rFonts w:hint="eastAsia" w:hAnsi="宋体" w:cs="Times New Roman"/>
          <w:b/>
          <w:bCs/>
          <w:color w:val="auto"/>
          <w:sz w:val="21"/>
          <w:szCs w:val="21"/>
          <w:highlight w:val="none"/>
          <w:lang w:val="en-US" w:eastAsia="zh-CN"/>
        </w:rPr>
        <w:t>（自行承诺）</w:t>
      </w:r>
      <w:r>
        <w:rPr>
          <w:rFonts w:hint="eastAsia" w:ascii="Times New Roman" w:hAnsi="宋体" w:cs="Times New Roman"/>
          <w:b/>
          <w:bCs/>
          <w:color w:val="auto"/>
          <w:sz w:val="21"/>
          <w:szCs w:val="21"/>
          <w:highlight w:val="none"/>
          <w:lang w:val="en-US" w:eastAsia="zh-CN"/>
        </w:rPr>
        <w:t>。需提供项目主要管理人员</w:t>
      </w:r>
      <w:r>
        <w:rPr>
          <w:rFonts w:hint="eastAsia" w:hAnsi="宋体" w:cs="Times New Roman"/>
          <w:b/>
          <w:bCs/>
          <w:color w:val="auto"/>
          <w:sz w:val="21"/>
          <w:szCs w:val="21"/>
          <w:highlight w:val="none"/>
          <w:lang w:val="en-US" w:eastAsia="zh-CN"/>
        </w:rPr>
        <w:t>名单（表格形式），</w:t>
      </w:r>
      <w:r>
        <w:rPr>
          <w:rFonts w:hint="eastAsia" w:ascii="Times New Roman" w:hAnsi="宋体" w:cs="Times New Roman"/>
          <w:b/>
          <w:bCs/>
          <w:color w:val="auto"/>
          <w:sz w:val="21"/>
          <w:szCs w:val="21"/>
          <w:highlight w:val="none"/>
          <w:lang w:val="en-US" w:eastAsia="zh-CN"/>
        </w:rPr>
        <w:t>以上人员相关资质证件</w:t>
      </w:r>
      <w:r>
        <w:rPr>
          <w:rFonts w:hint="eastAsia" w:hAnsi="宋体" w:cs="Times New Roman"/>
          <w:b/>
          <w:bCs/>
          <w:color w:val="auto"/>
          <w:sz w:val="21"/>
          <w:szCs w:val="21"/>
          <w:highlight w:val="none"/>
          <w:lang w:val="en-US" w:eastAsia="zh-CN"/>
        </w:rPr>
        <w:t>、</w:t>
      </w:r>
      <w:r>
        <w:rPr>
          <w:rFonts w:hint="eastAsia" w:ascii="Times New Roman" w:hAnsi="宋体" w:cs="Times New Roman"/>
          <w:b/>
          <w:bCs/>
          <w:color w:val="auto"/>
          <w:sz w:val="21"/>
          <w:szCs w:val="21"/>
          <w:highlight w:val="none"/>
          <w:lang w:val="en-US" w:eastAsia="zh-CN"/>
        </w:rPr>
        <w:t>身份证复印件</w:t>
      </w:r>
      <w:r>
        <w:rPr>
          <w:rFonts w:hint="eastAsia" w:hAnsi="宋体" w:cs="Times New Roman"/>
          <w:b/>
          <w:bCs/>
          <w:color w:val="auto"/>
          <w:sz w:val="21"/>
          <w:szCs w:val="21"/>
          <w:highlight w:val="none"/>
          <w:lang w:val="en-US" w:eastAsia="zh-CN"/>
        </w:rPr>
        <w:t>及由社保局出具的报价人为以上人员缴纳近三个月的养老保险证明（带有社保部门公章或社保部门的有效电子印章）</w:t>
      </w:r>
      <w:r>
        <w:rPr>
          <w:rFonts w:hint="eastAsia" w:hAnsi="宋体"/>
          <w:b/>
          <w:bCs/>
          <w:color w:val="auto"/>
          <w:sz w:val="21"/>
          <w:szCs w:val="21"/>
          <w:highlight w:val="none"/>
        </w:rPr>
        <w:t>，</w:t>
      </w:r>
      <w:r>
        <w:rPr>
          <w:rFonts w:hint="eastAsia" w:hAnsi="宋体"/>
          <w:b/>
          <w:bCs/>
          <w:color w:val="auto"/>
          <w:sz w:val="21"/>
          <w:szCs w:val="21"/>
          <w:highlight w:val="none"/>
          <w:lang w:val="en-US" w:eastAsia="zh-CN"/>
        </w:rPr>
        <w:t>并</w:t>
      </w:r>
      <w:r>
        <w:rPr>
          <w:rFonts w:hint="eastAsia" w:hAnsi="宋体"/>
          <w:b/>
          <w:bCs/>
          <w:color w:val="auto"/>
          <w:sz w:val="21"/>
          <w:szCs w:val="21"/>
          <w:highlight w:val="none"/>
        </w:rPr>
        <w:t>加盖单位鲜公章。</w:t>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5"/>
        <w:jc w:val="center"/>
        <w:rPr>
          <w:rFonts w:hint="eastAsia" w:ascii="宋体" w:hAnsi="宋体" w:eastAsia="宋体" w:cs="宋体"/>
          <w:bCs w:val="0"/>
          <w:sz w:val="28"/>
          <w:szCs w:val="28"/>
          <w:highlight w:val="none"/>
        </w:rPr>
      </w:pPr>
      <w:bookmarkStart w:id="121" w:name="_Toc27148"/>
      <w:bookmarkStart w:id="122" w:name="_Toc11329227"/>
      <w:bookmarkStart w:id="123" w:name="_Toc21487"/>
      <w:bookmarkStart w:id="124" w:name="_Toc8293"/>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21"/>
      <w:bookmarkEnd w:id="122"/>
      <w:bookmarkEnd w:id="123"/>
      <w:bookmarkEnd w:id="124"/>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25" w:name="_Toc413241584"/>
            <w:bookmarkStart w:id="126" w:name="_Toc23696"/>
            <w:bookmarkStart w:id="127" w:name="_Toc507319900"/>
            <w:r>
              <w:rPr>
                <w:rFonts w:hint="eastAsia" w:ascii="宋体" w:hAnsi="宋体" w:cs="宋体"/>
                <w:szCs w:val="21"/>
                <w:highlight w:val="none"/>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kern w:val="0"/>
                <w:szCs w:val="21"/>
                <w:highlight w:val="none"/>
                <w:lang w:val="en-US" w:eastAsia="zh-CN"/>
              </w:rPr>
              <w:t>从事相关特种作业人员需持证上岗，要求至少有</w:t>
            </w:r>
            <w:r>
              <w:rPr>
                <w:rFonts w:hint="eastAsia" w:ascii="宋体" w:hAnsi="宋体" w:eastAsia="宋体" w:cs="宋体"/>
                <w:bCs/>
                <w:color w:val="auto"/>
                <w:kern w:val="0"/>
                <w:szCs w:val="21"/>
                <w:highlight w:val="none"/>
                <w:u w:val="single"/>
                <w:lang w:val="en-US" w:eastAsia="zh-CN"/>
              </w:rPr>
              <w:t>1</w:t>
            </w:r>
            <w:r>
              <w:rPr>
                <w:rFonts w:hint="eastAsia" w:ascii="宋体" w:hAnsi="宋体" w:eastAsia="宋体" w:cs="宋体"/>
                <w:bCs/>
                <w:color w:val="auto"/>
                <w:kern w:val="0"/>
                <w:szCs w:val="21"/>
                <w:highlight w:val="none"/>
                <w:lang w:val="en-US" w:eastAsia="zh-CN"/>
              </w:rPr>
              <w:t>名电工证持证人员，且</w:t>
            </w:r>
            <w:r>
              <w:rPr>
                <w:rFonts w:hint="eastAsia" w:ascii="宋体" w:hAnsi="宋体" w:eastAsia="宋体" w:cs="宋体"/>
                <w:color w:val="auto"/>
                <w:highlight w:val="none"/>
              </w:rPr>
              <w:t>必须为报价人</w:t>
            </w:r>
            <w:r>
              <w:rPr>
                <w:rFonts w:hint="eastAsia" w:ascii="宋体" w:hAnsi="宋体" w:eastAsia="宋体" w:cs="宋体"/>
                <w:b/>
                <w:color w:val="auto"/>
                <w:highlight w:val="none"/>
              </w:rPr>
              <w:t>自有员工</w:t>
            </w:r>
            <w:r>
              <w:rPr>
                <w:rFonts w:hint="eastAsia" w:ascii="宋体" w:hAnsi="宋体" w:eastAsia="宋体" w:cs="宋体"/>
                <w:bCs/>
                <w:color w:val="auto"/>
                <w:kern w:val="0"/>
                <w:szCs w:val="21"/>
                <w:highlight w:val="none"/>
              </w:rPr>
              <w:t>。</w:t>
            </w:r>
          </w:p>
          <w:p>
            <w:pPr>
              <w:ind w:firstLine="420" w:firstLineChars="200"/>
              <w:rPr>
                <w:rFonts w:hint="eastAsia" w:ascii="宋体" w:hAnsi="宋体" w:eastAsia="宋体" w:cs="宋体"/>
                <w:caps/>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施工劳务人员，</w:t>
            </w:r>
            <w:r>
              <w:rPr>
                <w:rFonts w:hint="eastAsia" w:ascii="宋体" w:hAnsi="宋体" w:eastAsia="宋体" w:cs="宋体"/>
                <w:bCs/>
                <w:color w:val="auto"/>
                <w:kern w:val="0"/>
                <w:szCs w:val="21"/>
                <w:highlight w:val="none"/>
              </w:rPr>
              <w:t>最低</w:t>
            </w:r>
            <w:r>
              <w:rPr>
                <w:rFonts w:hint="eastAsia" w:ascii="宋体" w:hAnsi="宋体" w:eastAsia="宋体" w:cs="宋体"/>
                <w:bCs/>
                <w:color w:val="auto"/>
                <w:kern w:val="0"/>
                <w:szCs w:val="21"/>
                <w:highlight w:val="none"/>
                <w:u w:val="single"/>
                <w:lang w:val="en-US" w:eastAsia="zh-CN"/>
              </w:rPr>
              <w:t>1</w:t>
            </w:r>
            <w:r>
              <w:rPr>
                <w:rFonts w:hint="eastAsia" w:ascii="宋体" w:hAnsi="宋体" w:eastAsia="宋体" w:cs="宋体"/>
                <w:bCs/>
                <w:color w:val="auto"/>
                <w:kern w:val="0"/>
                <w:szCs w:val="21"/>
                <w:highlight w:val="none"/>
              </w:rPr>
              <w:t>个组，每个组至少</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u w:val="single"/>
                <w:lang w:val="en-US" w:eastAsia="zh-CN"/>
              </w:rPr>
              <w:t>3</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人，</w:t>
            </w:r>
            <w:r>
              <w:rPr>
                <w:rFonts w:hint="eastAsia" w:ascii="宋体" w:hAnsi="宋体" w:eastAsia="宋体" w:cs="宋体"/>
                <w:color w:val="auto"/>
                <w:highlight w:val="none"/>
              </w:rPr>
              <w:t>必须为报价人</w:t>
            </w:r>
            <w:r>
              <w:rPr>
                <w:rFonts w:hint="eastAsia" w:ascii="宋体" w:hAnsi="宋体" w:eastAsia="宋体" w:cs="宋体"/>
                <w:b/>
                <w:color w:val="auto"/>
                <w:highlight w:val="none"/>
              </w:rPr>
              <w:t>自有员工或者劳务派遣员工</w:t>
            </w:r>
            <w:r>
              <w:rPr>
                <w:rFonts w:hint="eastAsia" w:ascii="宋体" w:hAnsi="宋体" w:eastAsia="宋体" w:cs="宋体"/>
                <w:b/>
                <w:color w:val="auto"/>
                <w:highlight w:val="none"/>
                <w:lang w:eastAsia="zh-CN"/>
              </w:rPr>
              <w:t>（报价人自行承诺即可，无需提供相关证明材料）</w:t>
            </w:r>
            <w:r>
              <w:rPr>
                <w:rFonts w:hint="eastAsia" w:ascii="宋体" w:hAnsi="宋体" w:eastAsia="宋体" w:cs="宋体"/>
                <w:bCs/>
                <w:color w:val="auto"/>
                <w:kern w:val="0"/>
                <w:szCs w:val="21"/>
                <w:highlight w:val="none"/>
              </w:rPr>
              <w:t>。</w:t>
            </w:r>
            <w:r>
              <w:rPr>
                <w:rFonts w:hint="eastAsia" w:ascii="宋体" w:hAnsi="宋体" w:eastAsia="宋体" w:cs="宋体"/>
                <w:caps/>
                <w:szCs w:val="21"/>
                <w:highlight w:val="none"/>
              </w:rPr>
              <w:t xml:space="preserve"> </w:t>
            </w:r>
          </w:p>
          <w:p>
            <w:pPr>
              <w:ind w:firstLine="420" w:firstLineChars="200"/>
              <w:rPr>
                <w:rFonts w:hint="eastAsia" w:ascii="宋体" w:hAnsi="宋体" w:eastAsia="宋体" w:cs="宋体"/>
                <w:caps/>
                <w:szCs w:val="21"/>
                <w:highlight w:val="none"/>
                <w:lang w:val="en-US" w:eastAsia="zh-CN"/>
              </w:rPr>
            </w:pPr>
            <w:r>
              <w:rPr>
                <w:rFonts w:hint="eastAsia" w:ascii="宋体" w:hAnsi="宋体" w:eastAsia="宋体" w:cs="宋体"/>
                <w:caps/>
                <w:szCs w:val="21"/>
                <w:highlight w:val="none"/>
                <w:lang w:val="en-US" w:eastAsia="zh-CN"/>
              </w:rPr>
              <w:t>3.资料员1名</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必须为报价人</w:t>
            </w:r>
            <w:r>
              <w:rPr>
                <w:rFonts w:hint="eastAsia" w:ascii="宋体" w:hAnsi="宋体" w:eastAsia="宋体" w:cs="宋体"/>
                <w:b/>
                <w:color w:val="auto"/>
                <w:highlight w:val="none"/>
              </w:rPr>
              <w:t>自有员工或者劳务派遣员工</w:t>
            </w:r>
            <w:r>
              <w:rPr>
                <w:rFonts w:hint="eastAsia" w:ascii="宋体" w:hAnsi="宋体" w:eastAsia="宋体" w:cs="宋体"/>
                <w:b/>
                <w:color w:val="auto"/>
                <w:highlight w:val="none"/>
                <w:lang w:eastAsia="zh-CN"/>
              </w:rPr>
              <w:t>（报价人自行承诺即可，无需提供相关证明材料）</w:t>
            </w:r>
            <w:r>
              <w:rPr>
                <w:rFonts w:hint="eastAsia" w:ascii="宋体" w:hAnsi="宋体" w:eastAsia="宋体" w:cs="宋体"/>
                <w:caps/>
                <w:szCs w:val="21"/>
                <w:highlight w:val="none"/>
                <w:lang w:val="en-US" w:eastAsia="zh-CN"/>
              </w:rPr>
              <w:t>。</w:t>
            </w:r>
          </w:p>
          <w:p>
            <w:pPr>
              <w:ind w:firstLine="420" w:firstLineChars="200"/>
              <w:rPr>
                <w:rFonts w:hint="eastAsia" w:eastAsia="宋体"/>
                <w:highlight w:val="none"/>
                <w:lang w:val="en-US" w:eastAsia="zh-CN"/>
              </w:rPr>
            </w:pPr>
            <w:r>
              <w:rPr>
                <w:rFonts w:hint="eastAsia" w:ascii="宋体" w:hAnsi="宋体" w:eastAsia="宋体" w:cs="宋体"/>
                <w:highlight w:val="none"/>
                <w:lang w:val="en-US" w:eastAsia="zh-CN"/>
              </w:rPr>
              <w:t>4.</w:t>
            </w:r>
            <w:r>
              <w:rPr>
                <w:rFonts w:hint="eastAsia" w:ascii="宋体" w:hAnsi="宋体" w:eastAsia="宋体" w:cs="宋体"/>
                <w:caps/>
                <w:szCs w:val="21"/>
                <w:highlight w:val="none"/>
              </w:rPr>
              <w:t>另需根据项目实际施工进度情况及时增加</w:t>
            </w:r>
            <w:r>
              <w:rPr>
                <w:rFonts w:hint="eastAsia" w:ascii="宋体" w:hAnsi="宋体" w:eastAsia="宋体" w:cs="宋体"/>
                <w:caps/>
                <w:szCs w:val="21"/>
                <w:highlight w:val="none"/>
                <w:lang w:val="en-US" w:eastAsia="zh-CN"/>
              </w:rPr>
              <w:t>人员</w:t>
            </w:r>
            <w:r>
              <w:rPr>
                <w:rFonts w:hint="eastAsia" w:ascii="宋体" w:hAnsi="宋体" w:eastAsia="宋体" w:cs="宋体"/>
                <w:b/>
                <w:color w:val="auto"/>
                <w:highlight w:val="none"/>
                <w:lang w:eastAsia="zh-CN"/>
              </w:rPr>
              <w:t>（报价人自行承诺即可，无需提供相关证明材料）</w:t>
            </w:r>
            <w:r>
              <w:rPr>
                <w:rFonts w:hint="eastAsia" w:ascii="宋体" w:hAnsi="宋体" w:eastAsia="宋体" w:cs="宋体"/>
                <w:caps/>
                <w:szCs w:val="21"/>
                <w:highlight w:val="none"/>
                <w:lang w:val="en-US" w:eastAsia="zh-CN"/>
              </w:rPr>
              <w:t>。</w:t>
            </w:r>
          </w:p>
        </w:tc>
      </w:tr>
    </w:tbl>
    <w:p>
      <w:pPr>
        <w:pStyle w:val="148"/>
        <w:adjustRightInd/>
        <w:spacing w:line="360" w:lineRule="auto"/>
        <w:jc w:val="both"/>
        <w:rPr>
          <w:rFonts w:hint="eastAsia" w:hAnsi="宋体"/>
          <w:b w:val="0"/>
          <w:bCs w:val="0"/>
          <w:color w:val="FF0000"/>
          <w:sz w:val="21"/>
          <w:szCs w:val="21"/>
          <w:highlight w:val="none"/>
        </w:rPr>
      </w:pPr>
      <w:r>
        <w:rPr>
          <w:rFonts w:hint="eastAsia" w:hAnsi="宋体"/>
          <w:b w:val="0"/>
          <w:bCs w:val="0"/>
          <w:color w:val="auto"/>
          <w:sz w:val="21"/>
          <w:szCs w:val="21"/>
          <w:highlight w:val="none"/>
        </w:rPr>
        <w:t>注：</w:t>
      </w:r>
      <w:r>
        <w:rPr>
          <w:rFonts w:hint="eastAsia" w:ascii="Times New Roman" w:hAnsi="宋体" w:cs="Times New Roman"/>
          <w:b w:val="0"/>
          <w:bCs w:val="0"/>
          <w:color w:val="auto"/>
          <w:sz w:val="21"/>
          <w:szCs w:val="21"/>
          <w:highlight w:val="none"/>
          <w:lang w:val="en-US" w:eastAsia="zh-CN"/>
        </w:rPr>
        <w:t>以上人员不得</w:t>
      </w:r>
      <w:r>
        <w:rPr>
          <w:rFonts w:hint="eastAsia" w:hAnsi="宋体" w:cs="Times New Roman"/>
          <w:b w:val="0"/>
          <w:bCs w:val="0"/>
          <w:color w:val="auto"/>
          <w:sz w:val="21"/>
          <w:szCs w:val="21"/>
          <w:highlight w:val="none"/>
          <w:lang w:val="en-US" w:eastAsia="zh-CN"/>
        </w:rPr>
        <w:t>在其他项目</w:t>
      </w:r>
      <w:r>
        <w:rPr>
          <w:rFonts w:hint="eastAsia" w:ascii="Times New Roman" w:hAnsi="宋体" w:cs="Times New Roman"/>
          <w:b w:val="0"/>
          <w:bCs w:val="0"/>
          <w:color w:val="auto"/>
          <w:sz w:val="21"/>
          <w:szCs w:val="21"/>
          <w:highlight w:val="none"/>
          <w:lang w:val="en-US" w:eastAsia="zh-CN"/>
        </w:rPr>
        <w:t>重复任职。需提供以上人员相关资质证件及身份证复印件</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bookmarkEnd w:id="125"/>
    <w:bookmarkEnd w:id="126"/>
    <w:bookmarkEnd w:id="127"/>
    <w:p>
      <w:pPr>
        <w:pStyle w:val="5"/>
        <w:rPr>
          <w:rStyle w:val="76"/>
          <w:rFonts w:hint="eastAsia" w:ascii="宋体" w:hAnsi="宋体" w:eastAsia="宋体" w:cs="宋体"/>
          <w:b w:val="0"/>
          <w:bCs w:val="0"/>
          <w:sz w:val="28"/>
          <w:szCs w:val="28"/>
          <w:highlight w:val="none"/>
        </w:rPr>
      </w:pPr>
    </w:p>
    <w:p>
      <w:pPr>
        <w:pStyle w:val="5"/>
        <w:rPr>
          <w:rFonts w:hint="eastAsia" w:hAnsi="宋体"/>
          <w:b w:val="0"/>
          <w:sz w:val="28"/>
          <w:szCs w:val="28"/>
          <w:highlight w:val="none"/>
        </w:rPr>
      </w:pPr>
      <w:bookmarkStart w:id="128" w:name="_Toc6096"/>
      <w:bookmarkStart w:id="129" w:name="_Toc17384"/>
      <w:bookmarkStart w:id="130" w:name="_Toc4169"/>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8"/>
      <w:bookmarkEnd w:id="129"/>
      <w:bookmarkEnd w:id="130"/>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rFonts w:hint="eastAsia"/>
                <w:highlight w:val="none"/>
              </w:rPr>
            </w:pPr>
            <w:r>
              <w:rPr>
                <w:rFonts w:hint="eastAsia" w:ascii="宋体" w:hAnsi="宋体" w:cs="宋体"/>
                <w:caps/>
                <w:szCs w:val="21"/>
                <w:highlight w:val="none"/>
                <w:lang w:val="en-US" w:eastAsia="zh-CN"/>
              </w:rPr>
              <w:t>工程车最低</w:t>
            </w:r>
            <w:r>
              <w:rPr>
                <w:rFonts w:hint="eastAsia" w:ascii="宋体" w:hAnsi="宋体" w:cs="宋体"/>
                <w:caps/>
                <w:szCs w:val="21"/>
                <w:highlight w:val="none"/>
                <w:u w:val="single"/>
                <w:lang w:val="en-US" w:eastAsia="zh-CN"/>
              </w:rPr>
              <w:t>1</w:t>
            </w:r>
            <w:r>
              <w:rPr>
                <w:rFonts w:hint="eastAsia" w:ascii="宋体" w:hAnsi="宋体" w:cs="宋体"/>
                <w:caps/>
                <w:szCs w:val="21"/>
                <w:highlight w:val="none"/>
                <w:lang w:val="en-US" w:eastAsia="zh-CN"/>
              </w:rPr>
              <w:t>台</w:t>
            </w:r>
            <w:r>
              <w:rPr>
                <w:rFonts w:hint="eastAsia" w:ascii="宋体" w:hAnsi="宋体" w:cs="宋体"/>
                <w:caps/>
                <w:szCs w:val="21"/>
                <w:highlight w:val="none"/>
                <w:lang w:eastAsia="zh-CN"/>
              </w:rPr>
              <w:t>，</w:t>
            </w:r>
            <w:r>
              <w:rPr>
                <w:rFonts w:hint="eastAsia" w:ascii="宋体" w:hAnsi="宋体" w:cs="宋体"/>
                <w:caps/>
                <w:szCs w:val="21"/>
                <w:highlight w:val="none"/>
              </w:rPr>
              <w:t xml:space="preserve">另需根据项目实际施工进度情况及时增加车辆和设备，拟推进项目顺利实施。 </w:t>
            </w:r>
          </w:p>
        </w:tc>
      </w:tr>
    </w:tbl>
    <w:p>
      <w:pPr>
        <w:spacing w:line="400" w:lineRule="exact"/>
        <w:ind w:firstLine="420"/>
        <w:rPr>
          <w:rFonts w:hint="eastAsia" w:ascii="宋体" w:hAnsi="宋体" w:cs="宋体"/>
          <w:color w:val="auto"/>
          <w:kern w:val="0"/>
          <w:szCs w:val="21"/>
          <w:highlight w:val="none"/>
        </w:rPr>
      </w:pPr>
      <w:r>
        <w:rPr>
          <w:rFonts w:hint="eastAsia" w:ascii="宋体" w:hAnsi="宋体" w:cs="宋体"/>
          <w:bCs/>
          <w:kern w:val="0"/>
          <w:szCs w:val="21"/>
          <w:highlight w:val="none"/>
        </w:rPr>
        <w:t>注：</w:t>
      </w:r>
      <w:r>
        <w:rPr>
          <w:rFonts w:hint="eastAsia" w:ascii="宋体" w:hAnsi="宋体" w:cs="宋体"/>
          <w:bCs/>
          <w:color w:val="auto"/>
          <w:kern w:val="0"/>
          <w:szCs w:val="21"/>
          <w:highlight w:val="none"/>
        </w:rPr>
        <w:t>以上设备</w:t>
      </w:r>
      <w:r>
        <w:rPr>
          <w:rFonts w:hint="eastAsia" w:ascii="宋体" w:hAnsi="宋体" w:cs="宋体"/>
          <w:color w:val="auto"/>
          <w:kern w:val="0"/>
          <w:highlight w:val="none"/>
        </w:rPr>
        <w:t>由报价人</w:t>
      </w:r>
      <w:r>
        <w:rPr>
          <w:rFonts w:hint="eastAsia" w:ascii="宋体" w:hAnsi="宋体" w:cs="宋体"/>
          <w:b/>
          <w:color w:val="auto"/>
          <w:kern w:val="0"/>
          <w:highlight w:val="none"/>
        </w:rPr>
        <w:t>自行承诺</w:t>
      </w:r>
      <w:r>
        <w:rPr>
          <w:rFonts w:hint="eastAsia" w:ascii="宋体" w:hAnsi="宋体" w:cs="宋体"/>
          <w:color w:val="auto"/>
          <w:kern w:val="0"/>
          <w:highlight w:val="none"/>
        </w:rPr>
        <w:t>，</w:t>
      </w:r>
      <w:r>
        <w:rPr>
          <w:rFonts w:hint="eastAsia" w:ascii="宋体" w:hAnsi="宋体" w:cs="宋体"/>
          <w:color w:val="auto"/>
          <w:kern w:val="0"/>
          <w:szCs w:val="21"/>
          <w:highlight w:val="none"/>
        </w:rPr>
        <w:t>无需提供有关证明资料，并加盖单位鲜公章。</w:t>
      </w:r>
    </w:p>
    <w:p>
      <w:pPr>
        <w:pStyle w:val="148"/>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3</w:t>
      </w:r>
      <w:r>
        <w:rPr>
          <w:rFonts w:hint="eastAsia" w:hAnsi="宋体"/>
          <w:b/>
          <w:bCs/>
          <w:color w:val="auto"/>
          <w:sz w:val="21"/>
          <w:szCs w:val="21"/>
          <w:highlight w:val="none"/>
        </w:rPr>
        <w:t>中的资格审查）的要求均为强制性条件，其中任何一条不满足要求，则按否决报价处理。</w:t>
      </w:r>
    </w:p>
    <w:p>
      <w:pPr>
        <w:pStyle w:val="148"/>
        <w:adjustRightInd/>
        <w:spacing w:line="360" w:lineRule="auto"/>
        <w:jc w:val="both"/>
        <w:rPr>
          <w:rFonts w:hint="eastAsia" w:hAnsi="宋体"/>
          <w:bCs/>
          <w:color w:val="auto"/>
          <w:sz w:val="21"/>
          <w:szCs w:val="21"/>
          <w:highlight w:val="none"/>
        </w:rPr>
      </w:pPr>
    </w:p>
    <w:bookmarkEnd w:id="119"/>
    <w:bookmarkEnd w:id="120"/>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4"/>
        <w:spacing w:before="0" w:after="0" w:line="360" w:lineRule="auto"/>
        <w:jc w:val="center"/>
        <w:rPr>
          <w:rFonts w:hint="eastAsia" w:ascii="宋体" w:hAnsi="宋体" w:cs="宋体"/>
          <w:highlight w:val="none"/>
        </w:rPr>
      </w:pPr>
      <w:bookmarkStart w:id="131" w:name="_Toc7682"/>
      <w:bookmarkStart w:id="132" w:name="_Toc144974554"/>
      <w:bookmarkStart w:id="133" w:name="_Toc152045587"/>
      <w:bookmarkStart w:id="134" w:name="_Toc2000406"/>
      <w:bookmarkStart w:id="135" w:name="_Toc247085745"/>
      <w:bookmarkStart w:id="136" w:name="_Toc246996230"/>
      <w:bookmarkStart w:id="137" w:name="_Toc152042364"/>
      <w:bookmarkStart w:id="138" w:name="_Toc507319957"/>
      <w:bookmarkStart w:id="139" w:name="_Toc179632605"/>
      <w:bookmarkStart w:id="140" w:name="_Toc246996973"/>
      <w:r>
        <w:rPr>
          <w:rFonts w:hint="eastAsia" w:ascii="宋体" w:hAnsi="宋体" w:cs="宋体"/>
          <w:highlight w:val="none"/>
        </w:rPr>
        <w:t>第三章 评标办法（经评审的最低投标价法）</w:t>
      </w:r>
      <w:bookmarkEnd w:id="131"/>
      <w:bookmarkEnd w:id="132"/>
      <w:bookmarkEnd w:id="133"/>
      <w:bookmarkEnd w:id="134"/>
      <w:bookmarkEnd w:id="135"/>
      <w:bookmarkEnd w:id="136"/>
      <w:bookmarkEnd w:id="137"/>
      <w:bookmarkEnd w:id="138"/>
      <w:bookmarkEnd w:id="139"/>
      <w:bookmarkEnd w:id="140"/>
    </w:p>
    <w:p>
      <w:pPr>
        <w:rPr>
          <w:rFonts w:hint="eastAsia"/>
          <w:highlight w:val="none"/>
        </w:rPr>
      </w:pP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w:t>
            </w:r>
            <w:r>
              <w:rPr>
                <w:rFonts w:hint="eastAsia"/>
                <w:highlight w:val="none"/>
                <w:lang w:val="en-US" w:eastAsia="zh-CN"/>
              </w:rPr>
              <w:t>要求</w:t>
            </w:r>
            <w:r>
              <w:rPr>
                <w:highlight w:val="none"/>
              </w:rPr>
              <w:t>，</w:t>
            </w:r>
            <w:r>
              <w:rPr>
                <w:rFonts w:hint="eastAsia"/>
                <w:highlight w:val="none"/>
              </w:rPr>
              <w:t>由报价人按愿意承诺的折扣率针对本项目进行报价</w:t>
            </w:r>
            <w:r>
              <w:rPr>
                <w:highlight w:val="none"/>
              </w:rPr>
              <w:t>，但也不得低于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w:t>
            </w:r>
            <w:r>
              <w:rPr>
                <w:highlight w:val="none"/>
              </w:rPr>
              <w:t>形式评审</w:t>
            </w:r>
            <w:r>
              <w:t>、</w:t>
            </w:r>
            <w:r>
              <w:rPr>
                <w:highlight w:val="none"/>
              </w:rPr>
              <w:t>资格评审</w:t>
            </w:r>
            <w:r>
              <w:rPr>
                <w:rFonts w:hint="eastAsia"/>
                <w:highlight w:val="none"/>
                <w:lang w:eastAsia="zh-CN"/>
              </w:rPr>
              <w:t>、</w:t>
            </w:r>
            <w:r>
              <w:rPr>
                <w:highlight w:val="none"/>
              </w:rPr>
              <w:t>响应性评审</w:t>
            </w:r>
            <w:r>
              <w:t>的</w:t>
            </w:r>
            <w:r>
              <w:rPr>
                <w:rFonts w:hint="eastAsia"/>
              </w:rPr>
              <w:t>报价</w:t>
            </w:r>
            <w:r>
              <w:t>人按照</w:t>
            </w:r>
            <w:r>
              <w:rPr>
                <w:rFonts w:hint="eastAsia"/>
                <w:lang w:val="en-US" w:eastAsia="zh-CN"/>
              </w:rPr>
              <w:t>折扣率</w:t>
            </w:r>
            <w:r>
              <w:t>从低到高的先后顺序，</w:t>
            </w:r>
            <w:bookmarkStart w:id="272" w:name="_GoBack"/>
            <w:bookmarkEnd w:id="272"/>
            <w:r>
              <w:t>推荐</w:t>
            </w:r>
            <w:r>
              <w:rPr>
                <w:rFonts w:hint="eastAsia"/>
                <w:lang w:val="en-US" w:eastAsia="zh-CN"/>
              </w:rPr>
              <w:t>2</w:t>
            </w:r>
            <w:r>
              <w:t>名中标候选人。</w:t>
            </w:r>
          </w:p>
          <w:p>
            <w:pPr>
              <w:pStyle w:val="2"/>
              <w:ind w:left="0" w:leftChars="0" w:firstLine="0" w:firstLineChars="0"/>
              <w:rPr>
                <w:rFonts w:hint="default" w:eastAsia="宋体"/>
                <w:lang w:val="en-US" w:eastAsia="zh-CN"/>
              </w:rPr>
            </w:pPr>
            <w:r>
              <w:rPr>
                <w:rFonts w:hint="eastAsia"/>
                <w:highlight w:val="none"/>
                <w:lang w:val="en-US" w:eastAsia="zh-CN"/>
              </w:rPr>
              <w:t xml:space="preserve">    有效报价人不足三家流标处理。</w:t>
            </w:r>
          </w:p>
        </w:tc>
      </w:tr>
    </w:tbl>
    <w:p>
      <w:pPr>
        <w:rPr>
          <w:rFonts w:hint="eastAsia" w:ascii="宋体" w:hAnsi="宋体" w:cs="宋体"/>
          <w:highlight w:val="none"/>
        </w:rPr>
      </w:pPr>
    </w:p>
    <w:p>
      <w:pPr>
        <w:pStyle w:val="29"/>
        <w:numPr>
          <w:ilvl w:val="0"/>
          <w:numId w:val="0"/>
        </w:numPr>
        <w:jc w:val="center"/>
        <w:rPr>
          <w:rFonts w:hint="default"/>
          <w:highlight w:val="none"/>
          <w:lang w:val="en-US" w:eastAsia="zh-CN"/>
        </w:rPr>
      </w:pPr>
      <w:r>
        <w:rPr>
          <w:rFonts w:hint="eastAsia"/>
          <w:highlight w:val="none"/>
        </w:rPr>
        <w:br w:type="page"/>
      </w:r>
      <w:bookmarkStart w:id="141" w:name="_Toc13787"/>
      <w:r>
        <w:rPr>
          <w:rStyle w:val="81"/>
          <w:rFonts w:hint="eastAsia"/>
          <w:b/>
          <w:bCs/>
          <w:highlight w:val="none"/>
          <w:lang w:val="en-US" w:eastAsia="zh-CN"/>
        </w:rPr>
        <w:t>第四章 报价说明</w:t>
      </w:r>
      <w:bookmarkEnd w:id="141"/>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ascii="宋体" w:hAnsi="宋体" w:cs="宋体"/>
          <w:b w:val="0"/>
          <w:bCs w:val="0"/>
          <w:sz w:val="21"/>
          <w:szCs w:val="21"/>
          <w:highlight w:val="none"/>
          <w:lang w:val="en-US" w:eastAsia="zh-CN"/>
        </w:rPr>
        <w:t>报价人应综合考虑</w:t>
      </w:r>
      <w:r>
        <w:rPr>
          <w:rFonts w:hint="eastAsia" w:ascii="宋体" w:hAnsi="宋体" w:eastAsia="宋体" w:cs="宋体"/>
          <w:b w:val="0"/>
          <w:bCs w:val="0"/>
          <w:sz w:val="21"/>
          <w:szCs w:val="21"/>
          <w:highlight w:val="none"/>
          <w:lang w:val="en-US" w:eastAsia="zh-CN"/>
        </w:rPr>
        <w:t>完成本项目的一切费用（即安全生产费</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人工费、材料设备及采管费和二次转运费</w:t>
      </w:r>
      <w:r>
        <w:rPr>
          <w:rFonts w:hint="eastAsia" w:ascii="宋体" w:hAnsi="宋体" w:cs="宋体"/>
          <w:b w:val="0"/>
          <w:bCs w:val="0"/>
          <w:sz w:val="21"/>
          <w:szCs w:val="21"/>
          <w:highlight w:val="none"/>
          <w:lang w:val="en-US" w:eastAsia="zh-CN"/>
        </w:rPr>
        <w:t>、交通组织费</w:t>
      </w:r>
      <w:r>
        <w:rPr>
          <w:rFonts w:hint="eastAsia" w:ascii="宋体" w:hAnsi="宋体" w:eastAsia="宋体" w:cs="宋体"/>
          <w:b w:val="0"/>
          <w:bCs w:val="0"/>
          <w:sz w:val="21"/>
          <w:szCs w:val="21"/>
          <w:highlight w:val="none"/>
          <w:lang w:val="en-US" w:eastAsia="zh-CN"/>
        </w:rPr>
        <w:t>、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3、报价人应结合施工现场实际和现在的市场情况、自身技术及管理水平、经营状况、机械设备及制定的施工方案的要求自行报价，该报价不低于报价人完成该项目的成本。</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r>
        <w:rPr>
          <w:rFonts w:hint="eastAsia" w:ascii="宋体" w:hAnsi="宋体" w:cs="宋体"/>
          <w:b w:val="0"/>
          <w:bCs w:val="0"/>
          <w:sz w:val="21"/>
          <w:szCs w:val="21"/>
          <w:highlight w:val="none"/>
          <w:lang w:val="en-US" w:eastAsia="zh-CN"/>
        </w:rPr>
        <w:t>报价折扣率</w:t>
      </w:r>
      <w:r>
        <w:rPr>
          <w:rFonts w:hint="eastAsia" w:ascii="宋体" w:hAnsi="宋体" w:eastAsia="宋体" w:cs="宋体"/>
          <w:b w:val="0"/>
          <w:bCs w:val="0"/>
          <w:sz w:val="21"/>
          <w:szCs w:val="21"/>
          <w:highlight w:val="none"/>
          <w:lang w:val="en-US" w:eastAsia="zh-CN"/>
        </w:rPr>
        <w:t>保留小数点后两位。</w:t>
      </w:r>
    </w:p>
    <w:p>
      <w:pPr>
        <w:pStyle w:val="29"/>
        <w:keepNext w:val="0"/>
        <w:keepLines w:val="0"/>
        <w:pageBreakBefore w:val="0"/>
        <w:widowControl w:val="0"/>
        <w:kinsoku/>
        <w:wordWrap/>
        <w:overflowPunct/>
        <w:topLinePunct w:val="0"/>
        <w:autoSpaceDE/>
        <w:autoSpaceDN/>
        <w:bidi w:val="0"/>
        <w:adjustRightInd/>
        <w:snapToGrid/>
        <w:spacing w:line="380" w:lineRule="exact"/>
        <w:ind w:firstLine="402" w:firstLineChars="200"/>
        <w:textAlignment w:val="auto"/>
        <w:rPr>
          <w:rFonts w:cs="Times New Roman"/>
          <w:highlight w:val="none"/>
        </w:rPr>
      </w:pPr>
      <w:r>
        <w:rPr>
          <w:rFonts w:cs="Times New Roman"/>
          <w:highlight w:val="none"/>
        </w:rPr>
        <w:t xml:space="preserve"> </w:t>
      </w:r>
    </w:p>
    <w:p>
      <w:pPr>
        <w:pStyle w:val="29"/>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42" w:name="_Toc246997097"/>
      <w:bookmarkStart w:id="143" w:name="_Toc246996354"/>
      <w:bookmarkStart w:id="144" w:name="_Toc179632806"/>
      <w:bookmarkStart w:id="145" w:name="_Toc152045786"/>
      <w:bookmarkStart w:id="146" w:name="_Toc152042575"/>
      <w:bookmarkStart w:id="147" w:name="_Toc144974855"/>
      <w:bookmarkStart w:id="148" w:name="_Toc247085872"/>
    </w:p>
    <w:p>
      <w:pPr>
        <w:pStyle w:val="4"/>
        <w:spacing w:before="0" w:after="0" w:line="360" w:lineRule="auto"/>
        <w:jc w:val="center"/>
        <w:rPr>
          <w:rFonts w:hint="eastAsia" w:ascii="宋体" w:hAnsi="宋体" w:cs="宋体"/>
          <w:highlight w:val="none"/>
        </w:rPr>
      </w:pPr>
      <w:bookmarkStart w:id="149" w:name="_Toc24503"/>
      <w:bookmarkStart w:id="150" w:name="_Toc152042554"/>
      <w:bookmarkStart w:id="151" w:name="_Toc247085855"/>
      <w:bookmarkStart w:id="152" w:name="_Toc246997083"/>
      <w:bookmarkStart w:id="153" w:name="_Toc144974834"/>
      <w:bookmarkStart w:id="154" w:name="_Toc152045772"/>
      <w:bookmarkStart w:id="155" w:name="_Toc514858705"/>
      <w:bookmarkStart w:id="156" w:name="_Toc179632789"/>
      <w:bookmarkStart w:id="157" w:name="_Toc246996340"/>
      <w:bookmarkStart w:id="158" w:name="_Toc2000409"/>
      <w:r>
        <w:rPr>
          <w:rFonts w:hint="eastAsia" w:ascii="宋体" w:hAnsi="宋体" w:cs="宋体"/>
          <w:highlight w:val="none"/>
        </w:rPr>
        <w:t>第五章  工程量清单</w:t>
      </w:r>
      <w:bookmarkEnd w:id="149"/>
      <w:bookmarkEnd w:id="150"/>
      <w:bookmarkEnd w:id="151"/>
      <w:bookmarkEnd w:id="152"/>
      <w:bookmarkEnd w:id="153"/>
      <w:bookmarkEnd w:id="154"/>
      <w:bookmarkEnd w:id="155"/>
      <w:bookmarkEnd w:id="156"/>
      <w:bookmarkEnd w:id="157"/>
      <w:bookmarkEnd w:id="158"/>
    </w:p>
    <w:p>
      <w:pPr>
        <w:ind w:firstLine="420"/>
        <w:jc w:val="left"/>
        <w:rPr>
          <w:rFonts w:hint="eastAsia" w:ascii="宋体" w:hAnsi="宋体" w:cs="宋体"/>
          <w:b/>
          <w:highlight w:val="none"/>
        </w:rPr>
      </w:pPr>
      <w:bookmarkStart w:id="159" w:name="_Toc247096438"/>
      <w:bookmarkStart w:id="160" w:name="_Toc246997093"/>
      <w:bookmarkStart w:id="161" w:name="_Toc152045782"/>
      <w:bookmarkStart w:id="162" w:name="_Toc247085866"/>
      <w:bookmarkStart w:id="163" w:name="_Toc179632800"/>
      <w:bookmarkStart w:id="164" w:name="_Toc246996350"/>
      <w:bookmarkStart w:id="165" w:name="_Toc152042571"/>
      <w:bookmarkStart w:id="166" w:name="_Toc144974851"/>
    </w:p>
    <w:p>
      <w:pPr>
        <w:jc w:val="center"/>
        <w:rPr>
          <w:rFonts w:hint="eastAsia"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jc w:val="center"/>
        <w:rPr>
          <w:rFonts w:hint="eastAsia" w:ascii="宋体" w:hAnsi="宋体" w:cs="宋体"/>
          <w:b/>
          <w:highlight w:val="none"/>
        </w:rPr>
      </w:pPr>
    </w:p>
    <w:p>
      <w:pPr>
        <w:jc w:val="left"/>
        <w:rPr>
          <w:rFonts w:hint="eastAsia" w:ascii="宋体" w:hAnsi="宋体" w:cs="宋体"/>
          <w:color w:val="auto"/>
          <w:szCs w:val="21"/>
          <w:highlight w:val="none"/>
          <w:lang w:val="en-US" w:eastAsia="zh-CN"/>
        </w:rPr>
      </w:pPr>
    </w:p>
    <w:p>
      <w:pPr>
        <w:pStyle w:val="29"/>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bCs/>
          <w:sz w:val="21"/>
          <w:szCs w:val="21"/>
          <w:highlight w:val="none"/>
          <w:lang w:val="en-US" w:eastAsia="zh-CN"/>
        </w:rPr>
        <w:t>机电工程计价原则：</w:t>
      </w:r>
      <w:r>
        <w:rPr>
          <w:rFonts w:hint="eastAsia" w:ascii="宋体" w:hAnsi="宋体" w:cs="宋体"/>
          <w:b w:val="0"/>
          <w:bCs w:val="0"/>
          <w:sz w:val="21"/>
          <w:szCs w:val="21"/>
          <w:highlight w:val="none"/>
          <w:lang w:val="en-US" w:eastAsia="zh-CN"/>
        </w:rPr>
        <w:t>《重庆市建设工程工程量清单计价规则》（CQJJGZ-2013）、《重庆市房屋建筑与装饰工程计价定额》（2018）、《重庆市市政工程计价定额》（2018）、《重庆市通用安装工程计价定额》（2018）、《重庆市建设工程费用定额》（2018），人材机费用按合同签订时造价信息计取。</w:t>
      </w: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rPr>
          <w:rFonts w:hint="eastAsia" w:ascii="宋体" w:hAnsi="宋体" w:cs="宋体"/>
          <w:b/>
          <w:highlight w:val="none"/>
        </w:rPr>
      </w:pPr>
    </w:p>
    <w:p>
      <w:pPr>
        <w:jc w:val="center"/>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hint="eastAsia" w:ascii="宋体" w:hAnsi="宋体" w:cs="宋体"/>
          <w:b/>
          <w:highlight w:val="none"/>
        </w:rPr>
      </w:pPr>
    </w:p>
    <w:p>
      <w:pPr>
        <w:jc w:val="center"/>
        <w:rPr>
          <w:rFonts w:hint="eastAsia" w:ascii="宋体" w:hAnsi="宋体" w:cs="宋体"/>
          <w:b/>
          <w:highlight w:val="none"/>
        </w:rPr>
      </w:pPr>
    </w:p>
    <w:p>
      <w:pPr>
        <w:pStyle w:val="4"/>
        <w:spacing w:before="0" w:after="0" w:line="360" w:lineRule="auto"/>
        <w:jc w:val="center"/>
        <w:rPr>
          <w:rFonts w:hint="eastAsia" w:ascii="宋体" w:hAnsi="宋体" w:cs="宋体"/>
          <w:highlight w:val="none"/>
        </w:rPr>
      </w:pPr>
      <w:bookmarkStart w:id="167" w:name="_Toc513633963"/>
      <w:bookmarkStart w:id="168" w:name="_Toc12440"/>
      <w:bookmarkStart w:id="169" w:name="_Toc447827048"/>
      <w:bookmarkStart w:id="170" w:name="_Toc503951042"/>
      <w:bookmarkStart w:id="171" w:name="_Toc2000410"/>
      <w:bookmarkStart w:id="172" w:name="_Toc514858706"/>
      <w:r>
        <w:rPr>
          <w:rFonts w:hint="eastAsia" w:ascii="宋体" w:hAnsi="宋体" w:cs="宋体"/>
          <w:highlight w:val="none"/>
        </w:rPr>
        <w:t>第六章  图  纸</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jc w:val="center"/>
        <w:rPr>
          <w:rFonts w:hint="eastAsia"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hint="eastAsia" w:ascii="宋体" w:hAnsi="宋体" w:cs="宋体"/>
          <w:highlight w:val="none"/>
        </w:rPr>
      </w:pPr>
      <w:r>
        <w:rPr>
          <w:rFonts w:hint="eastAsia" w:ascii="宋体" w:hAnsi="宋体" w:cs="宋体"/>
          <w:highlight w:val="none"/>
        </w:rPr>
        <w:br w:type="page"/>
      </w:r>
      <w:bookmarkStart w:id="173" w:name="_Toc152045785"/>
      <w:bookmarkStart w:id="174" w:name="_Toc144974854"/>
      <w:bookmarkStart w:id="175" w:name="_Toc152042574"/>
    </w:p>
    <w:p>
      <w:pPr>
        <w:pStyle w:val="4"/>
        <w:spacing w:before="0" w:after="0" w:line="360" w:lineRule="auto"/>
        <w:jc w:val="center"/>
        <w:rPr>
          <w:rFonts w:hint="eastAsia" w:ascii="宋体" w:hAnsi="宋体" w:cs="宋体"/>
          <w:highlight w:val="none"/>
        </w:rPr>
      </w:pPr>
      <w:bookmarkStart w:id="176" w:name="_Toc513633964"/>
      <w:bookmarkStart w:id="177" w:name="_Toc246996353"/>
      <w:bookmarkStart w:id="178" w:name="_Toc2000411"/>
      <w:bookmarkStart w:id="179" w:name="_Toc10887"/>
      <w:bookmarkStart w:id="180" w:name="_Toc503951043"/>
      <w:bookmarkStart w:id="181" w:name="_Toc447827049"/>
      <w:bookmarkStart w:id="182" w:name="_Toc246997096"/>
      <w:bookmarkStart w:id="183" w:name="_Toc247085870"/>
      <w:bookmarkStart w:id="184" w:name="_Toc514858707"/>
      <w:bookmarkStart w:id="185" w:name="_Toc179632804"/>
      <w:r>
        <w:rPr>
          <w:rFonts w:hint="eastAsia" w:ascii="宋体" w:hAnsi="宋体" w:cs="宋体"/>
          <w:highlight w:val="none"/>
        </w:rPr>
        <w:t>第七章  技术标准和工作要求</w:t>
      </w:r>
      <w:bookmarkEnd w:id="173"/>
      <w:bookmarkEnd w:id="174"/>
      <w:bookmarkEnd w:id="175"/>
      <w:bookmarkEnd w:id="176"/>
      <w:bookmarkEnd w:id="177"/>
      <w:bookmarkEnd w:id="178"/>
      <w:bookmarkEnd w:id="179"/>
      <w:bookmarkEnd w:id="180"/>
      <w:bookmarkEnd w:id="181"/>
      <w:bookmarkEnd w:id="182"/>
      <w:bookmarkEnd w:id="183"/>
      <w:bookmarkEnd w:id="184"/>
      <w:bookmarkEnd w:id="185"/>
    </w:p>
    <w:bookmarkEnd w:id="142"/>
    <w:bookmarkEnd w:id="143"/>
    <w:bookmarkEnd w:id="144"/>
    <w:bookmarkEnd w:id="145"/>
    <w:bookmarkEnd w:id="146"/>
    <w:bookmarkEnd w:id="147"/>
    <w:bookmarkEnd w:id="148"/>
    <w:p>
      <w:pPr>
        <w:pStyle w:val="4"/>
        <w:spacing w:before="0" w:after="0" w:line="360" w:lineRule="auto"/>
        <w:jc w:val="left"/>
        <w:rPr>
          <w:rFonts w:hint="eastAsia"/>
          <w:b/>
          <w:bCs/>
          <w:sz w:val="24"/>
          <w:szCs w:val="24"/>
          <w:highlight w:val="none"/>
          <w:lang w:val="en-US" w:eastAsia="zh-CN"/>
        </w:rPr>
      </w:pPr>
      <w:bookmarkStart w:id="186" w:name="_Toc514858708"/>
      <w:bookmarkStart w:id="187" w:name="_Toc12089"/>
      <w:bookmarkStart w:id="188" w:name="_Toc514430114"/>
      <w:bookmarkStart w:id="189" w:name="_Toc2000412"/>
      <w:bookmarkStart w:id="190" w:name="_Toc152042576"/>
      <w:bookmarkStart w:id="191" w:name="_Toc246996355"/>
      <w:bookmarkStart w:id="192" w:name="_Toc179632807"/>
      <w:bookmarkStart w:id="193" w:name="_Toc152045787"/>
      <w:bookmarkStart w:id="194" w:name="_Toc507320039"/>
      <w:bookmarkStart w:id="195" w:name="_Toc247085873"/>
      <w:bookmarkStart w:id="196" w:name="_Toc246997098"/>
      <w:bookmarkStart w:id="197" w:name="_Toc144974856"/>
      <w:r>
        <w:rPr>
          <w:rFonts w:hint="eastAsia"/>
          <w:b/>
          <w:bCs/>
          <w:sz w:val="24"/>
          <w:szCs w:val="24"/>
          <w:highlight w:val="none"/>
          <w:lang w:val="en-US" w:eastAsia="zh-CN"/>
        </w:rPr>
        <w:t>一、生活污水产生情况</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生活污水主要为卫生间盥洗废水及食堂餐厨废水，排放量约为20m³/天。</w:t>
      </w:r>
    </w:p>
    <w:p>
      <w:pPr>
        <w:pStyle w:val="4"/>
        <w:spacing w:before="0" w:after="0" w:line="360" w:lineRule="auto"/>
        <w:jc w:val="left"/>
        <w:rPr>
          <w:rFonts w:hint="eastAsia"/>
          <w:b w:val="0"/>
          <w:bCs w:val="0"/>
          <w:sz w:val="24"/>
          <w:szCs w:val="24"/>
          <w:highlight w:val="none"/>
          <w:lang w:val="en-US" w:eastAsia="zh-CN"/>
        </w:rPr>
      </w:pPr>
      <w:r>
        <w:rPr>
          <w:rFonts w:hint="eastAsia"/>
          <w:b/>
          <w:bCs/>
          <w:sz w:val="24"/>
          <w:szCs w:val="24"/>
          <w:highlight w:val="none"/>
          <w:lang w:val="en-US" w:eastAsia="zh-CN"/>
        </w:rPr>
        <w:t>二、设计依据和设计范围</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2.1 设计依据</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1）招标文件提供的污水水质、水量等基础资料；</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2）建筑工程施工质量验收统一标准（GB50300-2001）；</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3）《室外排水设计规范》（GB50286-2006）；</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4）《生活杂用水水质标准》（CJ25.1-89）；</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 xml:space="preserve">5）《城市居民生活用水量标准》（GB/T50331-2002T）； </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6）《污水综合排放标准》（GB8978-1996 ）。</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2.2 设计范围</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本工程设计范围为污水处理站内的工艺、设备、电控及管线等工程内容。</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（1）从污水处理收集管网开始到处理站的排放口为止，不包括污水收集和污水处理后的排放管线；</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（2）污水处理工程的工艺流程图，工艺设备选型，工艺设备的结构布置，电器控制说明等工作；</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（3）污水处理工程的钢砼结构（不包括特殊基础处理，工程承压力要求 120kpa 以上），设备的施工、安装、调试等工作；</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（4）工程内容不包括站区道路、绿化、围墙及室内外照明；</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（5）污水处理站内用水，由业主将水源引至站内相关设备；</w:t>
      </w:r>
    </w:p>
    <w:p>
      <w:pPr>
        <w:pStyle w:val="4"/>
        <w:spacing w:before="0" w:after="0" w:line="360" w:lineRule="auto"/>
        <w:jc w:val="left"/>
        <w:rPr>
          <w:rFonts w:hint="eastAsia"/>
          <w:b/>
          <w:bCs/>
          <w:sz w:val="24"/>
          <w:szCs w:val="24"/>
          <w:highlight w:val="none"/>
          <w:lang w:val="en-US" w:eastAsia="zh-CN"/>
        </w:rPr>
      </w:pPr>
      <w:r>
        <w:rPr>
          <w:rFonts w:hint="eastAsia"/>
          <w:b/>
          <w:bCs/>
          <w:sz w:val="24"/>
          <w:szCs w:val="24"/>
          <w:highlight w:val="none"/>
          <w:lang w:val="en-US" w:eastAsia="zh-CN"/>
        </w:rPr>
        <w:t>三、设计原则</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（1）严格保证污水处理的效果，达到设计出水水质要求；</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（2）执行国家关于环境保护方面的政策、符合国家有关法规、规范及标准；</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（3）选择的处理工艺力求技术先进可靠、经济合理、高效节能，在确保污水处理效果前提下，最大限度减少工程投资和日常运行费用；</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（4）选择的处理工艺应具有操作方便、寿命长、易于维护的特点，具有成功的运行实例；</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（5）尽量采取措施减小对周围环境的影响，合理控制噪声、气味，妥善处理与处置固体废弃物，避免二次污染；</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（6）在工艺合理的基础上尽可能降低工程造价。</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污水经处理后出水水质应达到《污水综合排放标准》GB8978-1996 一级标准，具体指标见下表。</w:t>
      </w:r>
    </w:p>
    <w:p>
      <w:pPr>
        <w:pStyle w:val="4"/>
        <w:spacing w:before="0" w:after="0" w:line="360" w:lineRule="auto"/>
        <w:jc w:val="left"/>
        <w:rPr>
          <w:highlight w:val="none"/>
        </w:rPr>
      </w:pPr>
      <w:r>
        <w:rPr>
          <w:highlight w:val="none"/>
        </w:rPr>
        <w:drawing>
          <wp:inline distT="0" distB="0" distL="114300" distR="114300">
            <wp:extent cx="5266690" cy="2008505"/>
            <wp:effectExtent l="0" t="0" r="10160"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266690" cy="2008505"/>
                    </a:xfrm>
                    <a:prstGeom prst="rect">
                      <a:avLst/>
                    </a:prstGeom>
                    <a:noFill/>
                    <a:ln>
                      <a:noFill/>
                    </a:ln>
                  </pic:spPr>
                </pic:pic>
              </a:graphicData>
            </a:graphic>
          </wp:inline>
        </w:drawing>
      </w:r>
    </w:p>
    <w:p>
      <w:pPr>
        <w:pStyle w:val="4"/>
        <w:spacing w:before="0" w:after="0" w:line="360" w:lineRule="auto"/>
        <w:jc w:val="left"/>
        <w:rPr>
          <w:rFonts w:hint="default"/>
          <w:b/>
          <w:bCs/>
          <w:sz w:val="24"/>
          <w:szCs w:val="24"/>
          <w:highlight w:val="none"/>
          <w:lang w:val="en-US" w:eastAsia="zh-CN"/>
        </w:rPr>
      </w:pPr>
      <w:r>
        <w:rPr>
          <w:rFonts w:hint="eastAsia"/>
          <w:b/>
          <w:bCs/>
          <w:sz w:val="24"/>
          <w:szCs w:val="24"/>
          <w:highlight w:val="none"/>
          <w:lang w:val="en-US" w:eastAsia="zh-CN"/>
        </w:rPr>
        <w:t>四、设备设施质量要求</w:t>
      </w:r>
    </w:p>
    <w:p>
      <w:pPr>
        <w:spacing w:line="360" w:lineRule="auto"/>
        <w:ind w:firstLine="480" w:firstLineChars="200"/>
        <w:jc w:val="left"/>
        <w:rPr>
          <w:rFonts w:hint="eastAsia" w:ascii="宋体" w:hAnsi="宋体" w:cs="宋体"/>
          <w:szCs w:val="21"/>
          <w:highlight w:val="none"/>
        </w:rPr>
      </w:pPr>
      <w:r>
        <w:rPr>
          <w:rFonts w:hint="eastAsia"/>
          <w:b w:val="0"/>
          <w:bCs w:val="0"/>
          <w:sz w:val="24"/>
          <w:szCs w:val="24"/>
          <w:highlight w:val="none"/>
          <w:lang w:val="en-US" w:eastAsia="zh-CN"/>
        </w:rPr>
        <w:t>生活污水一体化处理设施使用寿命在 5 年以上。在其保证的使用年限内，无泄露等质量问题的出现。</w:t>
      </w:r>
      <w:bookmarkEnd w:id="186"/>
      <w:bookmarkEnd w:id="187"/>
      <w:bookmarkEnd w:id="188"/>
      <w:bookmarkEnd w:id="189"/>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198" w:name="_Toc513633965"/>
    </w:p>
    <w:p>
      <w:pPr>
        <w:rPr>
          <w:rFonts w:hint="eastAsia" w:ascii="宋体" w:hAnsi="宋体" w:cs="宋体"/>
          <w:highlight w:val="none"/>
        </w:rPr>
      </w:pPr>
    </w:p>
    <w:p>
      <w:pPr>
        <w:pStyle w:val="4"/>
        <w:spacing w:before="0" w:after="0" w:line="360" w:lineRule="auto"/>
        <w:jc w:val="center"/>
        <w:rPr>
          <w:rFonts w:hint="eastAsia" w:ascii="宋体" w:hAnsi="宋体" w:cs="宋体"/>
          <w:highlight w:val="none"/>
        </w:rPr>
      </w:pPr>
      <w:bookmarkStart w:id="199" w:name="_Toc24853"/>
      <w:bookmarkStart w:id="200" w:name="_Toc514858709"/>
      <w:bookmarkStart w:id="201" w:name="_Toc2000413"/>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198"/>
      <w:bookmarkEnd w:id="199"/>
      <w:bookmarkEnd w:id="200"/>
      <w:bookmarkEnd w:id="201"/>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02" w:name="_Toc514858710"/>
      <w:bookmarkStart w:id="203" w:name="_Toc513646738"/>
      <w:bookmarkStart w:id="204" w:name="_Toc503971829"/>
      <w:bookmarkStart w:id="205" w:name="_Toc503951046"/>
      <w:bookmarkStart w:id="206" w:name="_Toc513633967"/>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02"/>
      <w:bookmarkEnd w:id="203"/>
      <w:bookmarkEnd w:id="204"/>
      <w:bookmarkEnd w:id="205"/>
      <w:bookmarkEnd w:id="206"/>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5"/>
        <w:jc w:val="center"/>
        <w:rPr>
          <w:rFonts w:hint="eastAsia" w:ascii="宋体" w:hAnsi="宋体" w:eastAsia="宋体" w:cs="宋体"/>
          <w:highlight w:val="none"/>
        </w:rPr>
      </w:pPr>
      <w:bookmarkStart w:id="207" w:name="_Toc1368"/>
      <w:bookmarkStart w:id="208" w:name="_Toc5459"/>
      <w:bookmarkStart w:id="209" w:name="_Toc11329273"/>
      <w:bookmarkStart w:id="210" w:name="_Toc28780"/>
      <w:r>
        <w:rPr>
          <w:rFonts w:hint="eastAsia" w:ascii="宋体" w:hAnsi="宋体" w:eastAsia="宋体" w:cs="宋体"/>
          <w:highlight w:val="none"/>
        </w:rPr>
        <w:t>目    录</w:t>
      </w:r>
      <w:bookmarkEnd w:id="190"/>
      <w:bookmarkEnd w:id="191"/>
      <w:bookmarkEnd w:id="192"/>
      <w:bookmarkEnd w:id="193"/>
      <w:bookmarkEnd w:id="194"/>
      <w:bookmarkEnd w:id="195"/>
      <w:bookmarkEnd w:id="196"/>
      <w:bookmarkEnd w:id="197"/>
      <w:bookmarkEnd w:id="207"/>
      <w:bookmarkEnd w:id="208"/>
      <w:bookmarkEnd w:id="209"/>
      <w:bookmarkEnd w:id="210"/>
    </w:p>
    <w:p>
      <w:pPr>
        <w:numPr>
          <w:ilvl w:val="0"/>
          <w:numId w:val="3"/>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3"/>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p>
    <w:p>
      <w:pPr>
        <w:pStyle w:val="29"/>
        <w:rPr>
          <w:rFonts w:hint="eastAsia" w:ascii="宋体" w:hAnsi="宋体" w:eastAsia="宋体" w:cs="宋体"/>
          <w:b w:val="0"/>
          <w:bCs w:val="0"/>
          <w:caps w:val="0"/>
          <w:kern w:val="2"/>
          <w:sz w:val="21"/>
          <w:szCs w:val="21"/>
          <w:highlight w:val="none"/>
          <w:lang w:val="en-US" w:eastAsia="zh-CN" w:bidi="ar-SA"/>
        </w:rPr>
      </w:pPr>
      <w:r>
        <w:rPr>
          <w:rFonts w:hint="eastAsia" w:ascii="宋体" w:hAnsi="宋体" w:cs="宋体"/>
          <w:b w:val="0"/>
          <w:bCs w:val="0"/>
          <w:caps w:val="0"/>
          <w:kern w:val="2"/>
          <w:sz w:val="21"/>
          <w:szCs w:val="21"/>
          <w:highlight w:val="none"/>
          <w:lang w:val="en-US" w:eastAsia="zh-CN" w:bidi="ar-SA"/>
        </w:rPr>
        <w:t>七、</w:t>
      </w:r>
      <w:r>
        <w:rPr>
          <w:rFonts w:hint="eastAsia" w:ascii="宋体" w:hAnsi="宋体" w:eastAsia="宋体" w:cs="宋体"/>
          <w:b w:val="0"/>
          <w:bCs w:val="0"/>
          <w:caps w:val="0"/>
          <w:kern w:val="2"/>
          <w:sz w:val="21"/>
          <w:szCs w:val="21"/>
          <w:highlight w:val="none"/>
          <w:lang w:val="en-US" w:eastAsia="zh-CN" w:bidi="ar-SA"/>
        </w:rPr>
        <w:t>现场安全负责人承诺书</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5"/>
        <w:spacing w:before="0" w:after="0" w:line="360" w:lineRule="auto"/>
        <w:jc w:val="center"/>
        <w:rPr>
          <w:rFonts w:hint="eastAsia" w:ascii="宋体" w:hAnsi="宋体" w:eastAsia="宋体" w:cs="宋体"/>
          <w:sz w:val="28"/>
          <w:highlight w:val="none"/>
        </w:rPr>
      </w:pPr>
      <w:bookmarkStart w:id="211" w:name="_Toc11329274"/>
      <w:bookmarkStart w:id="212" w:name="_Toc8870"/>
      <w:bookmarkStart w:id="213" w:name="_Toc25874"/>
      <w:bookmarkStart w:id="214" w:name="_Toc29547"/>
      <w:bookmarkStart w:id="215" w:name="_Toc15863"/>
      <w:bookmarkStart w:id="216" w:name="_Toc513633969"/>
      <w:bookmarkStart w:id="217" w:name="_Toc447827053"/>
      <w:bookmarkStart w:id="218" w:name="_Toc503951048"/>
      <w:r>
        <w:rPr>
          <w:rFonts w:hint="eastAsia" w:ascii="宋体" w:hAnsi="宋体" w:eastAsia="宋体" w:cs="宋体"/>
          <w:sz w:val="28"/>
          <w:highlight w:val="none"/>
        </w:rPr>
        <w:t>一、</w:t>
      </w:r>
      <w:bookmarkEnd w:id="211"/>
      <w:bookmarkEnd w:id="212"/>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13"/>
      <w:bookmarkEnd w:id="214"/>
      <w:bookmarkEnd w:id="215"/>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000000"/>
          <w:sz w:val="24"/>
          <w:highlight w:val="none"/>
          <w:u w:val="single"/>
          <w:lang w:val="en-US" w:eastAsia="zh-CN"/>
        </w:rPr>
        <w:t>首讯公司四公里业务基地污水整治工程</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我方愿根据报价一览表所列的报价，按照竞争性比选文件的要求，承担本次竞争性比选文件要求的工程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5"/>
        <w:jc w:val="center"/>
        <w:rPr>
          <w:rFonts w:hint="eastAsia" w:ascii="宋体" w:hAnsi="宋体" w:eastAsia="宋体" w:cs="宋体"/>
          <w:sz w:val="28"/>
          <w:szCs w:val="28"/>
          <w:highlight w:val="none"/>
        </w:rPr>
      </w:pPr>
      <w:bookmarkStart w:id="219" w:name="_Toc27815"/>
      <w:bookmarkStart w:id="220" w:name="_Toc491883232"/>
      <w:r>
        <w:rPr>
          <w:rFonts w:hint="eastAsia" w:ascii="宋体" w:hAnsi="宋体" w:eastAsia="宋体" w:cs="宋体"/>
          <w:sz w:val="28"/>
          <w:szCs w:val="28"/>
          <w:highlight w:val="none"/>
        </w:rPr>
        <w:t>二、法定代表人身份证明或法定代表人授权委托书</w:t>
      </w:r>
      <w:bookmarkEnd w:id="219"/>
    </w:p>
    <w:p>
      <w:pPr>
        <w:pStyle w:val="5"/>
        <w:jc w:val="center"/>
        <w:rPr>
          <w:rFonts w:hint="eastAsia" w:ascii="宋体" w:hAnsi="宋体" w:eastAsia="宋体" w:cs="宋体"/>
          <w:sz w:val="24"/>
          <w:szCs w:val="24"/>
          <w:highlight w:val="none"/>
        </w:rPr>
      </w:pPr>
      <w:bookmarkStart w:id="221" w:name="_Toc14141"/>
      <w:r>
        <w:rPr>
          <w:rFonts w:hint="eastAsia" w:ascii="宋体" w:hAnsi="宋体" w:eastAsia="宋体" w:cs="宋体"/>
          <w:sz w:val="24"/>
          <w:szCs w:val="24"/>
          <w:highlight w:val="none"/>
        </w:rPr>
        <w:t>（一）法定代表人身份证明</w:t>
      </w:r>
      <w:bookmarkEnd w:id="220"/>
      <w:bookmarkEnd w:id="221"/>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22" w:name="_Toc352691662"/>
      <w:bookmarkStart w:id="223" w:name="_Toc369531698"/>
      <w:bookmarkStart w:id="224" w:name="_Toc27897"/>
      <w:r>
        <w:rPr>
          <w:rFonts w:ascii="宋体" w:hAnsi="宋体"/>
          <w:highlight w:val="none"/>
          <w:u w:val="single"/>
        </w:rPr>
        <w:t xml:space="preserve">        </w:t>
      </w:r>
      <w:r>
        <w:rPr>
          <w:rFonts w:ascii="宋体" w:hAnsi="宋体"/>
          <w:highlight w:val="none"/>
        </w:rPr>
        <w:t>年</w:t>
      </w:r>
      <w:bookmarkEnd w:id="222"/>
      <w:bookmarkEnd w:id="223"/>
      <w:bookmarkEnd w:id="224"/>
      <w:r>
        <w:rPr>
          <w:rFonts w:ascii="宋体" w:hAnsi="宋体"/>
          <w:highlight w:val="none"/>
        </w:rPr>
        <w:t>龄</w:t>
      </w:r>
      <w:bookmarkStart w:id="225" w:name="_Toc15573"/>
      <w:bookmarkStart w:id="226" w:name="_Toc247527829"/>
      <w:bookmarkStart w:id="227" w:name="_Toc369531699"/>
      <w:bookmarkStart w:id="228" w:name="_Toc144974858"/>
      <w:bookmarkStart w:id="229" w:name="_Toc247514248"/>
      <w:bookmarkStart w:id="230" w:name="_Toc361508754"/>
      <w:bookmarkStart w:id="231" w:name="_Toc352691663"/>
      <w:bookmarkStart w:id="232" w:name="_Toc152042578"/>
      <w:bookmarkStart w:id="233" w:name="_Toc300835211"/>
      <w:bookmarkStart w:id="234" w:name="_Toc152045789"/>
      <w:bookmarkStart w:id="235" w:name="_Toc384308377"/>
      <w:r>
        <w:rPr>
          <w:rFonts w:ascii="宋体" w:hAnsi="宋体"/>
          <w:highlight w:val="none"/>
        </w:rPr>
        <w:t>：</w:t>
      </w:r>
      <w:bookmarkEnd w:id="225"/>
      <w:bookmarkEnd w:id="226"/>
      <w:bookmarkEnd w:id="227"/>
      <w:bookmarkEnd w:id="228"/>
      <w:bookmarkEnd w:id="229"/>
      <w:bookmarkEnd w:id="230"/>
      <w:bookmarkEnd w:id="231"/>
      <w:bookmarkEnd w:id="232"/>
      <w:bookmarkEnd w:id="233"/>
      <w:bookmarkEnd w:id="234"/>
      <w:bookmarkEnd w:id="235"/>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5"/>
        <w:jc w:val="center"/>
        <w:rPr>
          <w:rFonts w:ascii="宋体" w:hAnsi="宋体"/>
          <w:sz w:val="28"/>
          <w:szCs w:val="28"/>
          <w:highlight w:val="none"/>
        </w:rPr>
      </w:pPr>
      <w:bookmarkStart w:id="236" w:name="_Toc491883233"/>
      <w:bookmarkStart w:id="237" w:name="_Toc58"/>
      <w:r>
        <w:rPr>
          <w:rFonts w:hint="eastAsia" w:ascii="宋体" w:hAnsi="宋体" w:eastAsia="宋体" w:cs="宋体"/>
          <w:sz w:val="24"/>
          <w:szCs w:val="24"/>
          <w:highlight w:val="none"/>
        </w:rPr>
        <w:t>（二）</w:t>
      </w:r>
      <w:bookmarkEnd w:id="236"/>
      <w:r>
        <w:rPr>
          <w:rFonts w:hint="eastAsia" w:ascii="宋体" w:hAnsi="宋体" w:eastAsia="宋体" w:cs="宋体"/>
          <w:sz w:val="24"/>
          <w:szCs w:val="24"/>
          <w:highlight w:val="none"/>
        </w:rPr>
        <w:t>法定代表人授权委托书</w:t>
      </w:r>
      <w:bookmarkEnd w:id="237"/>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38"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16"/>
      <w:bookmarkEnd w:id="217"/>
      <w:bookmarkEnd w:id="218"/>
      <w:bookmarkEnd w:id="238"/>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9"/>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首讯公司四公里业务基地污水整治工程</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2"/>
        <w:gridCol w:w="2443"/>
        <w:gridCol w:w="4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80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000000"/>
                <w:sz w:val="24"/>
                <w:szCs w:val="24"/>
                <w:highlight w:val="none"/>
                <w:u w:val="none"/>
                <w:lang w:val="en-US"/>
              </w:rPr>
            </w:pPr>
            <w:r>
              <w:rPr>
                <w:rFonts w:hint="eastAsia" w:ascii="宋体" w:hAnsi="宋体" w:eastAsia="宋体" w:cs="宋体"/>
                <w:b/>
                <w:bCs/>
                <w:i w:val="0"/>
                <w:color w:val="000000"/>
                <w:kern w:val="0"/>
                <w:sz w:val="24"/>
                <w:szCs w:val="24"/>
                <w:highlight w:val="none"/>
                <w:u w:val="none"/>
                <w:lang w:val="en-US" w:eastAsia="zh-CN" w:bidi="ar"/>
              </w:rPr>
              <w:t>报价表</w:t>
            </w:r>
            <w:r>
              <w:rPr>
                <w:rFonts w:hint="eastAsia" w:ascii="宋体" w:hAnsi="宋体" w:cs="宋体"/>
                <w:b/>
                <w:bCs/>
                <w:i w:val="0"/>
                <w:color w:val="000000"/>
                <w:kern w:val="0"/>
                <w:sz w:val="24"/>
                <w:szCs w:val="24"/>
                <w:highlight w:val="none"/>
                <w:u w:val="none"/>
                <w:lang w:val="en-US" w:eastAsia="zh-CN" w:bidi="ar"/>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序号</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折扣比例报价</w:t>
            </w:r>
          </w:p>
        </w:tc>
        <w:tc>
          <w:tcPr>
            <w:tcW w:w="4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8"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highlight w:val="none"/>
                <w:u w:val="none"/>
              </w:rPr>
            </w:pPr>
          </w:p>
        </w:tc>
        <w:tc>
          <w:tcPr>
            <w:tcW w:w="4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报价保留小数点后两位，如报价人拟报价95折，则填写“</w:t>
            </w:r>
            <w:r>
              <w:rPr>
                <w:rFonts w:hint="eastAsia" w:ascii="宋体" w:hAnsi="宋体" w:eastAsia="宋体" w:cs="宋体"/>
                <w:b/>
                <w:bCs/>
                <w:i w:val="0"/>
                <w:color w:val="000000"/>
                <w:kern w:val="0"/>
                <w:sz w:val="22"/>
                <w:szCs w:val="22"/>
                <w:highlight w:val="none"/>
                <w:u w:val="none"/>
                <w:lang w:val="en-US" w:eastAsia="zh-CN" w:bidi="ar"/>
              </w:rPr>
              <w:t>95.00%</w:t>
            </w:r>
            <w:r>
              <w:rPr>
                <w:rFonts w:hint="eastAsia" w:ascii="宋体" w:hAnsi="宋体" w:eastAsia="宋体" w:cs="宋体"/>
                <w:i w:val="0"/>
                <w:color w:val="000000"/>
                <w:kern w:val="0"/>
                <w:sz w:val="22"/>
                <w:szCs w:val="22"/>
                <w:highlight w:val="none"/>
                <w:u w:val="none"/>
                <w:lang w:val="en-US" w:eastAsia="zh-CN" w:bidi="ar"/>
              </w:rPr>
              <w:t>”</w:t>
            </w:r>
          </w:p>
        </w:tc>
      </w:tr>
    </w:tbl>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562" w:firstLineChars="200"/>
        <w:jc w:val="both"/>
        <w:textAlignment w:val="auto"/>
        <w:rPr>
          <w:rFonts w:hint="eastAsia" w:ascii="宋体" w:hAnsi="宋体" w:cs="宋体"/>
          <w:b/>
          <w:kern w:val="0"/>
          <w:sz w:val="28"/>
          <w:szCs w:val="28"/>
          <w:highlight w:val="none"/>
        </w:rPr>
      </w:pP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5"/>
        <w:spacing w:before="0" w:after="0" w:line="360" w:lineRule="auto"/>
        <w:jc w:val="center"/>
        <w:rPr>
          <w:rFonts w:hint="eastAsia" w:ascii="宋体" w:hAnsi="宋体" w:eastAsia="宋体" w:cs="宋体"/>
          <w:sz w:val="28"/>
          <w:highlight w:val="none"/>
        </w:rPr>
      </w:pPr>
      <w:bookmarkStart w:id="239" w:name="_Toc503951050"/>
      <w:bookmarkStart w:id="240" w:name="_Toc11329278"/>
      <w:bookmarkStart w:id="241" w:name="_Toc513633971"/>
      <w:bookmarkStart w:id="242" w:name="_Toc246997112"/>
      <w:bookmarkStart w:id="243" w:name="_Toc152045803"/>
      <w:bookmarkStart w:id="244" w:name="_Toc152042592"/>
      <w:bookmarkStart w:id="245" w:name="_Toc447827058"/>
      <w:bookmarkStart w:id="246" w:name="_Toc247085887"/>
      <w:bookmarkStart w:id="247" w:name="_Toc246996369"/>
      <w:bookmarkStart w:id="248" w:name="_Toc179632823"/>
      <w:bookmarkStart w:id="249" w:name="_Toc144974871"/>
      <w:r>
        <w:rPr>
          <w:rFonts w:hint="eastAsia" w:ascii="宋体" w:hAnsi="宋体" w:eastAsia="宋体" w:cs="宋体"/>
          <w:sz w:val="28"/>
          <w:highlight w:val="none"/>
        </w:rPr>
        <w:br w:type="page"/>
      </w:r>
      <w:bookmarkStart w:id="250" w:name="_Toc12910"/>
      <w:bookmarkStart w:id="251" w:name="_Toc18757"/>
      <w:bookmarkStart w:id="252" w:name="_Toc11961"/>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39"/>
      <w:bookmarkEnd w:id="240"/>
      <w:bookmarkEnd w:id="241"/>
      <w:bookmarkEnd w:id="250"/>
      <w:bookmarkEnd w:id="251"/>
      <w:bookmarkEnd w:id="252"/>
    </w:p>
    <w:p>
      <w:pPr>
        <w:pStyle w:val="5"/>
        <w:spacing w:before="0" w:after="0" w:line="360" w:lineRule="auto"/>
        <w:jc w:val="center"/>
        <w:rPr>
          <w:rFonts w:hint="eastAsia" w:ascii="宋体" w:hAnsi="宋体" w:eastAsia="宋体" w:cs="宋体"/>
          <w:sz w:val="28"/>
          <w:highlight w:val="none"/>
          <w:lang w:eastAsia="zh-CN"/>
        </w:rPr>
      </w:pPr>
      <w:bookmarkStart w:id="253" w:name="_Toc17915"/>
      <w:bookmarkStart w:id="254" w:name="_Toc22003"/>
      <w:bookmarkStart w:id="255" w:name="_Toc32456"/>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营业执照、资质证书、项目人员资料等</w:t>
      </w:r>
      <w:r>
        <w:rPr>
          <w:rFonts w:hint="eastAsia" w:ascii="宋体" w:hAnsi="宋体" w:eastAsia="宋体" w:cs="宋体"/>
          <w:sz w:val="28"/>
          <w:highlight w:val="none"/>
          <w:lang w:eastAsia="zh-CN"/>
        </w:rPr>
        <w:t>）</w:t>
      </w:r>
      <w:bookmarkEnd w:id="253"/>
      <w:bookmarkEnd w:id="254"/>
      <w:bookmarkEnd w:id="255"/>
    </w:p>
    <w:p>
      <w:pPr>
        <w:jc w:val="center"/>
        <w:rPr>
          <w:rFonts w:hint="eastAsia" w:ascii="宋体" w:hAnsi="宋体" w:cs="宋体"/>
          <w:b/>
          <w:szCs w:val="21"/>
          <w:highlight w:val="none"/>
        </w:rPr>
      </w:pPr>
    </w:p>
    <w:p>
      <w:pPr>
        <w:jc w:val="center"/>
        <w:rPr>
          <w:rFonts w:hint="eastAsia" w:eastAsia="宋体"/>
          <w:highlight w:val="none"/>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bookmarkEnd w:id="242"/>
    <w:bookmarkEnd w:id="243"/>
    <w:bookmarkEnd w:id="244"/>
    <w:bookmarkEnd w:id="245"/>
    <w:bookmarkEnd w:id="246"/>
    <w:bookmarkEnd w:id="247"/>
    <w:bookmarkEnd w:id="248"/>
    <w:bookmarkEnd w:id="249"/>
    <w:tbl>
      <w:tblPr>
        <w:tblStyle w:val="42"/>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256" w:name="_Toc447827068"/>
            <w:bookmarkStart w:id="257" w:name="_Toc503951055"/>
            <w:bookmarkStart w:id="258" w:name="_Toc513633973"/>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项目经理</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技术负责人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安全负责人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bl>
    <w:p>
      <w:pPr>
        <w:pStyle w:val="148"/>
        <w:adjustRightInd/>
        <w:spacing w:line="360" w:lineRule="auto"/>
        <w:jc w:val="left"/>
        <w:rPr>
          <w:rFonts w:hint="eastAsia" w:ascii="Times New Roman" w:hAnsi="宋体" w:cs="Times New Roman"/>
          <w:b w:val="0"/>
          <w:bCs w:val="0"/>
          <w:color w:val="auto"/>
          <w:sz w:val="21"/>
          <w:szCs w:val="21"/>
          <w:highlight w:val="none"/>
          <w:lang w:val="en-US" w:eastAsia="zh-CN"/>
        </w:rPr>
      </w:pPr>
      <w:bookmarkStart w:id="259" w:name="_Toc11672"/>
      <w:bookmarkStart w:id="260" w:name="_Toc11329281"/>
      <w:r>
        <w:rPr>
          <w:rFonts w:hint="eastAsia" w:ascii="Times New Roman" w:hAnsi="宋体" w:cs="Times New Roman"/>
          <w:b w:val="0"/>
          <w:bCs w:val="0"/>
          <w:color w:val="auto"/>
          <w:sz w:val="21"/>
          <w:szCs w:val="21"/>
          <w:highlight w:val="none"/>
          <w:lang w:val="en-US" w:eastAsia="zh-CN"/>
        </w:rPr>
        <w:t>注：以上人员不得在其他项目重复任职。需提供项目主要管理人员名单（表格形式），以上人员相关资质证件、身份证复印件及由社保局出具的报价人为以上人员缴纳近三个月的养老保险证明（带有社保部门公章或社保部门的有效电子印章），并加盖单位鲜公章。</w:t>
      </w:r>
    </w:p>
    <w:p>
      <w:pPr>
        <w:pStyle w:val="5"/>
        <w:spacing w:before="0" w:after="0" w:line="360" w:lineRule="auto"/>
        <w:jc w:val="center"/>
        <w:rPr>
          <w:rFonts w:hint="eastAsia" w:ascii="宋体" w:hAnsi="宋体" w:eastAsia="宋体" w:cs="宋体"/>
          <w:sz w:val="28"/>
          <w:highlight w:val="none"/>
        </w:rPr>
      </w:pPr>
    </w:p>
    <w:p>
      <w:pPr>
        <w:jc w:val="center"/>
        <w:rPr>
          <w:rFonts w:hint="eastAsia" w:eastAsia="宋体"/>
          <w:highlight w:val="none"/>
          <w:lang w:eastAsia="zh-CN"/>
        </w:rPr>
      </w:pPr>
      <w:r>
        <w:rPr>
          <w:rFonts w:hint="eastAsia" w:ascii="宋体" w:hAnsi="宋体" w:cs="宋体"/>
          <w:b/>
          <w:szCs w:val="21"/>
          <w:highlight w:val="none"/>
          <w:lang w:val="en-US" w:eastAsia="zh-CN"/>
        </w:rPr>
        <w:t>其他</w:t>
      </w:r>
      <w:r>
        <w:rPr>
          <w:rFonts w:hint="eastAsia" w:ascii="宋体" w:hAnsi="宋体" w:cs="宋体"/>
          <w:b/>
          <w:szCs w:val="21"/>
          <w:highlight w:val="none"/>
        </w:rPr>
        <w:t>人员</w:t>
      </w:r>
      <w:r>
        <w:rPr>
          <w:rFonts w:hint="eastAsia" w:ascii="宋体" w:hAnsi="宋体" w:cs="宋体"/>
          <w:b/>
          <w:szCs w:val="21"/>
          <w:highlight w:val="none"/>
          <w:lang w:val="en-US" w:eastAsia="zh-CN"/>
        </w:rPr>
        <w:t>名单</w:t>
      </w:r>
    </w:p>
    <w:tbl>
      <w:tblPr>
        <w:tblStyle w:val="42"/>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如：电工</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bl>
    <w:p>
      <w:pPr>
        <w:pStyle w:val="148"/>
        <w:adjustRightInd/>
        <w:spacing w:line="360" w:lineRule="auto"/>
        <w:jc w:val="left"/>
        <w:rPr>
          <w:rFonts w:hint="eastAsia" w:hAnsi="宋体"/>
          <w:b w:val="0"/>
          <w:bCs w:val="0"/>
          <w:color w:val="FF0000"/>
          <w:sz w:val="21"/>
          <w:szCs w:val="21"/>
          <w:highlight w:val="none"/>
        </w:rPr>
      </w:pPr>
      <w:r>
        <w:rPr>
          <w:rFonts w:hint="eastAsia" w:hAnsi="宋体"/>
          <w:b w:val="0"/>
          <w:bCs w:val="0"/>
          <w:color w:val="auto"/>
          <w:sz w:val="21"/>
          <w:szCs w:val="21"/>
          <w:highlight w:val="none"/>
        </w:rPr>
        <w:t>注：</w:t>
      </w:r>
      <w:r>
        <w:rPr>
          <w:rFonts w:hint="eastAsia" w:ascii="Times New Roman" w:hAnsi="宋体" w:cs="Times New Roman"/>
          <w:b w:val="0"/>
          <w:bCs w:val="0"/>
          <w:color w:val="auto"/>
          <w:sz w:val="21"/>
          <w:szCs w:val="21"/>
          <w:highlight w:val="none"/>
          <w:lang w:val="en-US" w:eastAsia="zh-CN"/>
        </w:rPr>
        <w:t>以上人员不得</w:t>
      </w:r>
      <w:r>
        <w:rPr>
          <w:rFonts w:hint="eastAsia" w:hAnsi="宋体" w:cs="Times New Roman"/>
          <w:b w:val="0"/>
          <w:bCs w:val="0"/>
          <w:color w:val="auto"/>
          <w:sz w:val="21"/>
          <w:szCs w:val="21"/>
          <w:highlight w:val="none"/>
          <w:lang w:val="en-US" w:eastAsia="zh-CN"/>
        </w:rPr>
        <w:t>在其他项目</w:t>
      </w:r>
      <w:r>
        <w:rPr>
          <w:rFonts w:hint="eastAsia" w:ascii="Times New Roman" w:hAnsi="宋体" w:cs="Times New Roman"/>
          <w:b w:val="0"/>
          <w:bCs w:val="0"/>
          <w:color w:val="auto"/>
          <w:sz w:val="21"/>
          <w:szCs w:val="21"/>
          <w:highlight w:val="none"/>
          <w:lang w:val="en-US" w:eastAsia="zh-CN"/>
        </w:rPr>
        <w:t>重复任职。需提供以上人员相关资质证件及身份证复印件</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5"/>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61" w:name="_Toc29559"/>
      <w:bookmarkStart w:id="262" w:name="_Toc11243"/>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56"/>
      <w:bookmarkEnd w:id="257"/>
      <w:bookmarkEnd w:id="258"/>
      <w:r>
        <w:rPr>
          <w:rFonts w:hint="eastAsia" w:ascii="宋体" w:hAnsi="宋体" w:eastAsia="宋体" w:cs="宋体"/>
          <w:sz w:val="28"/>
          <w:highlight w:val="none"/>
        </w:rPr>
        <w:t>报价人须知前附表规定的材料</w:t>
      </w:r>
      <w:bookmarkEnd w:id="259"/>
      <w:bookmarkEnd w:id="260"/>
      <w:bookmarkEnd w:id="261"/>
      <w:bookmarkEnd w:id="262"/>
    </w:p>
    <w:p>
      <w:pPr>
        <w:pStyle w:val="6"/>
        <w:jc w:val="center"/>
        <w:rPr>
          <w:rFonts w:hint="eastAsia" w:ascii="宋体" w:hAnsi="宋体" w:cs="宋体"/>
          <w:sz w:val="28"/>
          <w:highlight w:val="none"/>
        </w:rPr>
      </w:pPr>
      <w:bookmarkStart w:id="263" w:name="bookmark81"/>
      <w:bookmarkStart w:id="264" w:name="_Toc503951058"/>
      <w:bookmarkStart w:id="265" w:name="_Toc513633974"/>
      <w:r>
        <w:rPr>
          <w:rFonts w:hint="eastAsia" w:ascii="宋体" w:hAnsi="宋体" w:cs="宋体"/>
          <w:sz w:val="28"/>
          <w:highlight w:val="none"/>
        </w:rPr>
        <w:t>（一）</w:t>
      </w:r>
      <w:bookmarkEnd w:id="263"/>
      <w:bookmarkStart w:id="266" w:name="_Toc507681700"/>
      <w:bookmarkStart w:id="267" w:name="_Toc507681488"/>
      <w:bookmarkStart w:id="268" w:name="_Toc504639215"/>
      <w:r>
        <w:rPr>
          <w:rFonts w:hint="eastAsia" w:ascii="宋体" w:hAnsi="宋体" w:cs="宋体"/>
          <w:sz w:val="28"/>
          <w:highlight w:val="none"/>
        </w:rPr>
        <w:t>报价人自行承诺部分</w:t>
      </w:r>
      <w:bookmarkEnd w:id="266"/>
      <w:bookmarkEnd w:id="267"/>
      <w:bookmarkEnd w:id="268"/>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6"/>
        <w:jc w:val="center"/>
        <w:rPr>
          <w:rFonts w:hint="eastAsia" w:ascii="宋体" w:hAnsi="宋体" w:cs="宋体"/>
          <w:sz w:val="28"/>
          <w:highlight w:val="none"/>
        </w:rPr>
      </w:pPr>
    </w:p>
    <w:p>
      <w:pPr>
        <w:pStyle w:val="6"/>
        <w:jc w:val="center"/>
        <w:rPr>
          <w:rFonts w:hint="eastAsia" w:ascii="宋体" w:hAnsi="宋体" w:cs="宋体"/>
          <w:sz w:val="28"/>
          <w:highlight w:val="none"/>
        </w:rPr>
      </w:pPr>
    </w:p>
    <w:p>
      <w:pPr>
        <w:pStyle w:val="5"/>
        <w:spacing w:before="0" w:after="0" w:line="360" w:lineRule="auto"/>
        <w:jc w:val="center"/>
        <w:rPr>
          <w:rFonts w:hint="eastAsia" w:ascii="宋体" w:hAnsi="宋体" w:eastAsia="宋体" w:cs="宋体"/>
          <w:sz w:val="28"/>
          <w:highlight w:val="none"/>
          <w:lang w:val="en-US" w:eastAsia="zh-CN"/>
        </w:rPr>
      </w:pP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6"/>
        <w:spacing w:before="0" w:after="0" w:line="360" w:lineRule="auto"/>
        <w:jc w:val="center"/>
        <w:rPr>
          <w:sz w:val="28"/>
          <w:szCs w:val="28"/>
          <w:highlight w:val="none"/>
        </w:rPr>
      </w:pPr>
      <w:bookmarkStart w:id="269" w:name="_Toc508110857"/>
      <w:bookmarkStart w:id="270" w:name="_Toc4375"/>
      <w:bookmarkStart w:id="271" w:name="_Toc45210713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69"/>
      <w:bookmarkEnd w:id="270"/>
      <w:bookmarkEnd w:id="271"/>
    </w:p>
    <w:p>
      <w:pPr>
        <w:pStyle w:val="27"/>
        <w:rPr>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w:t>
            </w:r>
          </w:p>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bl>
    <w:p>
      <w:pPr>
        <w:pStyle w:val="6"/>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rPr>
          <w:rFonts w:hint="default"/>
          <w:highlight w:val="none"/>
          <w:lang w:val="en-US" w:eastAsia="zh-CN"/>
        </w:rPr>
      </w:pPr>
    </w:p>
    <w:p>
      <w:pPr>
        <w:pStyle w:val="5"/>
        <w:numPr>
          <w:ilvl w:val="0"/>
          <w:numId w:val="0"/>
        </w:numPr>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lang w:val="en-US" w:eastAsia="zh-CN"/>
        </w:rPr>
        <w:t>七、现场安全负责人承诺</w:t>
      </w:r>
      <w:r>
        <w:rPr>
          <w:rFonts w:hint="eastAsia" w:ascii="宋体" w:hAnsi="宋体" w:eastAsia="宋体" w:cs="宋体"/>
          <w:sz w:val="28"/>
          <w:highlight w:val="none"/>
        </w:rPr>
        <w:t>书</w:t>
      </w:r>
    </w:p>
    <w:p>
      <w:pPr>
        <w:rPr>
          <w:rFonts w:hint="eastAsia"/>
          <w:highlight w:val="none"/>
        </w:rPr>
      </w:pPr>
    </w:p>
    <w:p>
      <w:pPr>
        <w:tabs>
          <w:tab w:val="left" w:pos="900"/>
        </w:tabs>
        <w:spacing w:line="300" w:lineRule="auto"/>
        <w:rPr>
          <w:rFonts w:hint="eastAsia" w:ascii="Arial" w:hAnsi="Arial" w:cs="Arial"/>
          <w:b/>
          <w:bCs/>
          <w:color w:val="000000"/>
          <w:sz w:val="24"/>
          <w:highlight w:val="none"/>
          <w:u w:val="single"/>
          <w:lang w:eastAsia="zh-CN"/>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highlight w:val="none"/>
          <w:lang w:val="en-US" w:eastAsia="zh-CN"/>
        </w:rPr>
      </w:pPr>
      <w:r>
        <w:rPr>
          <w:rFonts w:hint="eastAsia" w:ascii="Arial" w:hAnsi="Arial" w:cs="Arial"/>
          <w:color w:val="000000"/>
          <w:sz w:val="24"/>
          <w:highlight w:val="none"/>
        </w:rPr>
        <w:t>根据贵方为</w:t>
      </w:r>
      <w:r>
        <w:rPr>
          <w:rFonts w:hint="eastAsia" w:ascii="Arial" w:hAnsi="Arial" w:cs="Arial"/>
          <w:color w:val="000000"/>
          <w:sz w:val="24"/>
          <w:highlight w:val="none"/>
          <w:u w:val="single"/>
          <w:lang w:val="en-US" w:eastAsia="zh-CN"/>
        </w:rPr>
        <w:t>首讯公司四公里业务基地污水整治工程</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项目及服务的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w:t>
      </w:r>
      <w:r>
        <w:rPr>
          <w:rFonts w:hint="eastAsia" w:ascii="Arial" w:hAnsi="Arial" w:cs="Arial"/>
          <w:color w:val="000000"/>
          <w:sz w:val="24"/>
          <w:highlight w:val="none"/>
          <w:lang w:val="en-US" w:eastAsia="zh-CN"/>
        </w:rPr>
        <w:t xml:space="preserve"> </w:t>
      </w:r>
      <w:r>
        <w:rPr>
          <w:rFonts w:hint="eastAsia" w:ascii="Arial" w:hAnsi="Arial" w:cs="Arial"/>
          <w:color w:val="000000"/>
          <w:sz w:val="24"/>
          <w:highlight w:val="none"/>
          <w:u w:val="single"/>
          <w:lang w:val="en-US" w:eastAsia="zh-CN"/>
        </w:rPr>
        <w:t xml:space="preserve">（姓名） </w:t>
      </w:r>
      <w:r>
        <w:rPr>
          <w:rFonts w:hint="eastAsia" w:ascii="Arial" w:hAnsi="Arial" w:cs="Arial"/>
          <w:color w:val="000000"/>
          <w:sz w:val="24"/>
          <w:highlight w:val="none"/>
          <w:u w:val="none"/>
          <w:lang w:val="en-US" w:eastAsia="zh-CN"/>
        </w:rPr>
        <w:t>经正式任命为</w:t>
      </w:r>
      <w:r>
        <w:rPr>
          <w:rFonts w:hint="eastAsia" w:ascii="Arial" w:hAnsi="Arial" w:cs="Arial"/>
          <w:color w:val="000000"/>
          <w:sz w:val="24"/>
          <w:highlight w:val="none"/>
          <w:u w:val="single"/>
          <w:lang w:val="en-US" w:eastAsia="zh-CN"/>
        </w:rPr>
        <w:t>首讯公司四公里业务基地污水整治工程</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项目及服务</w:t>
      </w:r>
      <w:r>
        <w:rPr>
          <w:rFonts w:hint="eastAsia" w:ascii="Arial" w:hAnsi="Arial" w:cs="Arial"/>
          <w:color w:val="000000"/>
          <w:sz w:val="24"/>
          <w:highlight w:val="none"/>
          <w:lang w:val="en-US" w:eastAsia="zh-CN"/>
        </w:rPr>
        <w:t>现场安全负责人，严格遵守国家有关安全生产的法律法规及《首讯公司工程安全生产的违约处理细则》渝高速首讯文〔2019〕40 号等有关安全生产的规定，承诺施工期间在现场开展安全管理工作。</w:t>
      </w:r>
    </w:p>
    <w:p>
      <w:pPr>
        <w:tabs>
          <w:tab w:val="left" w:pos="540"/>
          <w:tab w:val="left" w:pos="900"/>
        </w:tabs>
        <w:spacing w:line="300" w:lineRule="auto"/>
        <w:rPr>
          <w:rFonts w:hint="eastAsia" w:ascii="Arial" w:hAnsi="Arial" w:cs="Arial"/>
          <w:color w:val="auto"/>
          <w:sz w:val="24"/>
          <w:highlight w:val="none"/>
          <w:lang w:val="en-US" w:eastAsia="zh-CN"/>
        </w:rPr>
      </w:pPr>
      <w:r>
        <w:rPr>
          <w:rFonts w:hint="eastAsia" w:ascii="Arial" w:hAnsi="Arial" w:cs="Arial"/>
          <w:color w:val="auto"/>
          <w:sz w:val="24"/>
          <w:highlight w:val="none"/>
          <w:lang w:val="en-US" w:eastAsia="zh-CN"/>
        </w:rPr>
        <w:t xml:space="preserve">    </w:t>
      </w:r>
    </w:p>
    <w:p>
      <w:pPr>
        <w:pStyle w:val="29"/>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9"/>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9"/>
        <w:jc w:val="both"/>
        <w:rPr>
          <w:rFonts w:hint="default" w:ascii="Arial" w:hAnsi="Arial" w:eastAsia="宋体" w:cs="Arial"/>
          <w:b/>
          <w:bCs/>
          <w:caps w:val="0"/>
          <w:color w:val="000000"/>
          <w:kern w:val="2"/>
          <w:sz w:val="24"/>
          <w:szCs w:val="24"/>
          <w:highlight w:val="none"/>
          <w:u w:val="singl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w:t>
      </w:r>
      <w:r>
        <w:rPr>
          <w:rFonts w:hint="eastAsia" w:ascii="Arial" w:hAnsi="Arial" w:cs="Arial"/>
          <w:b/>
          <w:bCs/>
          <w:caps w:val="0"/>
          <w:color w:val="000000"/>
          <w:kern w:val="2"/>
          <w:sz w:val="24"/>
          <w:szCs w:val="24"/>
          <w:highlight w:val="none"/>
          <w:lang w:val="en-US" w:eastAsia="zh-CN" w:bidi="ar-SA"/>
        </w:rPr>
        <w:t>现场安全负责人</w:t>
      </w:r>
      <w:r>
        <w:rPr>
          <w:rFonts w:hint="default" w:ascii="Arial" w:hAnsi="Arial" w:eastAsia="宋体" w:cs="Arial"/>
          <w:b/>
          <w:bCs/>
          <w:caps w:val="0"/>
          <w:color w:val="000000"/>
          <w:kern w:val="2"/>
          <w:sz w:val="24"/>
          <w:szCs w:val="24"/>
          <w:highlight w:val="none"/>
          <w:lang w:val="en-US" w:eastAsia="zh-CN" w:bidi="ar-SA"/>
        </w:rPr>
        <w:t>（签字）：</w:t>
      </w:r>
      <w:r>
        <w:rPr>
          <w:rFonts w:hint="eastAsia" w:ascii="Arial" w:hAnsi="Arial" w:cs="Arial"/>
          <w:b/>
          <w:bCs/>
          <w:caps w:val="0"/>
          <w:color w:val="000000"/>
          <w:kern w:val="2"/>
          <w:sz w:val="24"/>
          <w:szCs w:val="24"/>
          <w:highlight w:val="none"/>
          <w:u w:val="single"/>
          <w:lang w:val="en-US" w:eastAsia="zh-CN" w:bidi="ar-SA"/>
        </w:rPr>
        <w:t xml:space="preserve">               </w:t>
      </w:r>
    </w:p>
    <w:p>
      <w:pPr>
        <w:pStyle w:val="29"/>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竞争比选响应单位名称（加盖公章）：</w:t>
      </w:r>
    </w:p>
    <w:p>
      <w:pPr>
        <w:pStyle w:val="29"/>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日期：</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年</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月</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日</w:t>
      </w:r>
    </w:p>
    <w:p>
      <w:pPr>
        <w:pStyle w:val="29"/>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9"/>
        <w:rPr>
          <w:rFonts w:hint="default" w:ascii="Arial" w:hAnsi="Arial" w:eastAsia="宋体" w:cs="Arial"/>
          <w:b/>
          <w:bCs/>
          <w:caps w:val="0"/>
          <w:color w:val="000000"/>
          <w:kern w:val="2"/>
          <w:sz w:val="24"/>
          <w:szCs w:val="24"/>
          <w:highlight w:val="none"/>
          <w:lang w:val="en-US" w:eastAsia="zh-CN" w:bidi="ar-SA"/>
        </w:rPr>
      </w:pPr>
    </w:p>
    <w:p>
      <w:pPr>
        <w:pStyle w:val="29"/>
        <w:rPr>
          <w:rFonts w:hint="default" w:ascii="Arial" w:hAnsi="Arial" w:eastAsia="宋体" w:cs="Arial"/>
          <w:b/>
          <w:bCs/>
          <w:caps w:val="0"/>
          <w:color w:val="000000"/>
          <w:kern w:val="2"/>
          <w:sz w:val="24"/>
          <w:szCs w:val="24"/>
          <w:highlight w:val="none"/>
          <w:lang w:val="en-US" w:eastAsia="zh-CN" w:bidi="ar-SA"/>
        </w:rPr>
      </w:pPr>
    </w:p>
    <w:bookmarkEnd w:id="264"/>
    <w:bookmarkEnd w:id="265"/>
    <w:p>
      <w:pPr>
        <w:pStyle w:val="29"/>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DFBB8608-4A86-4E9F-A91E-50B7AFB1051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6A57B"/>
    <w:multiLevelType w:val="singleLevel"/>
    <w:tmpl w:val="FAD6A57B"/>
    <w:lvl w:ilvl="0" w:tentative="0">
      <w:start w:val="1"/>
      <w:numFmt w:val="decimal"/>
      <w:lvlText w:val="%1."/>
      <w:lvlJc w:val="left"/>
      <w:pPr>
        <w:tabs>
          <w:tab w:val="left" w:pos="312"/>
        </w:tabs>
      </w:pPr>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2DEE"/>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37C28"/>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12B3"/>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6D6AC7"/>
    <w:rsid w:val="01852BD3"/>
    <w:rsid w:val="018A6C3C"/>
    <w:rsid w:val="01A8609A"/>
    <w:rsid w:val="01DC4C26"/>
    <w:rsid w:val="01EC3E90"/>
    <w:rsid w:val="02195A53"/>
    <w:rsid w:val="025431CD"/>
    <w:rsid w:val="029D41FE"/>
    <w:rsid w:val="02A800C5"/>
    <w:rsid w:val="02C6499B"/>
    <w:rsid w:val="02C91CAA"/>
    <w:rsid w:val="032E3E67"/>
    <w:rsid w:val="037D0CD2"/>
    <w:rsid w:val="038B3366"/>
    <w:rsid w:val="03981B5E"/>
    <w:rsid w:val="03996EAD"/>
    <w:rsid w:val="03F60BFA"/>
    <w:rsid w:val="04023CC8"/>
    <w:rsid w:val="042674F4"/>
    <w:rsid w:val="042D3C13"/>
    <w:rsid w:val="04722D72"/>
    <w:rsid w:val="047A0BBC"/>
    <w:rsid w:val="04AB3B45"/>
    <w:rsid w:val="04BB7F4A"/>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3767D"/>
    <w:rsid w:val="06AE2ABA"/>
    <w:rsid w:val="06C75DF5"/>
    <w:rsid w:val="06DD02BB"/>
    <w:rsid w:val="06E71F51"/>
    <w:rsid w:val="06F965AD"/>
    <w:rsid w:val="07050666"/>
    <w:rsid w:val="071C4DB7"/>
    <w:rsid w:val="07362674"/>
    <w:rsid w:val="073B54B2"/>
    <w:rsid w:val="07537EF9"/>
    <w:rsid w:val="07815EE7"/>
    <w:rsid w:val="07D02C82"/>
    <w:rsid w:val="080A78AC"/>
    <w:rsid w:val="081748AE"/>
    <w:rsid w:val="08635851"/>
    <w:rsid w:val="086F75C9"/>
    <w:rsid w:val="08C2359B"/>
    <w:rsid w:val="08E43B13"/>
    <w:rsid w:val="09041814"/>
    <w:rsid w:val="0925770E"/>
    <w:rsid w:val="092D7BDC"/>
    <w:rsid w:val="09332D2B"/>
    <w:rsid w:val="093E2D64"/>
    <w:rsid w:val="09472203"/>
    <w:rsid w:val="098B1DA7"/>
    <w:rsid w:val="09907951"/>
    <w:rsid w:val="099F43E4"/>
    <w:rsid w:val="09A31A61"/>
    <w:rsid w:val="09BA7A85"/>
    <w:rsid w:val="09DE1094"/>
    <w:rsid w:val="09E2475B"/>
    <w:rsid w:val="0A3F34B7"/>
    <w:rsid w:val="0A4B11BE"/>
    <w:rsid w:val="0A680846"/>
    <w:rsid w:val="0A7B4003"/>
    <w:rsid w:val="0A8E5B8D"/>
    <w:rsid w:val="0AA240FA"/>
    <w:rsid w:val="0AAC0CBB"/>
    <w:rsid w:val="0AB03BF9"/>
    <w:rsid w:val="0AD84BD3"/>
    <w:rsid w:val="0AE941D3"/>
    <w:rsid w:val="0B1061C6"/>
    <w:rsid w:val="0B147AFF"/>
    <w:rsid w:val="0B2B08D5"/>
    <w:rsid w:val="0B59720D"/>
    <w:rsid w:val="0B971310"/>
    <w:rsid w:val="0BA35012"/>
    <w:rsid w:val="0BB825ED"/>
    <w:rsid w:val="0BC0647C"/>
    <w:rsid w:val="0BD7624B"/>
    <w:rsid w:val="0BD9318C"/>
    <w:rsid w:val="0BF26817"/>
    <w:rsid w:val="0C22464A"/>
    <w:rsid w:val="0C2B72AE"/>
    <w:rsid w:val="0C623EAC"/>
    <w:rsid w:val="0C946488"/>
    <w:rsid w:val="0CAD24AF"/>
    <w:rsid w:val="0CB27F34"/>
    <w:rsid w:val="0D0D3F93"/>
    <w:rsid w:val="0D12389F"/>
    <w:rsid w:val="0D277019"/>
    <w:rsid w:val="0D2820B7"/>
    <w:rsid w:val="0D662EE5"/>
    <w:rsid w:val="0D860EC5"/>
    <w:rsid w:val="0D9339BE"/>
    <w:rsid w:val="0D9E6A67"/>
    <w:rsid w:val="0D9F0DC4"/>
    <w:rsid w:val="0DC02AA1"/>
    <w:rsid w:val="0DDE695A"/>
    <w:rsid w:val="0DE00B75"/>
    <w:rsid w:val="0DF73A5B"/>
    <w:rsid w:val="0E164CA8"/>
    <w:rsid w:val="0E231949"/>
    <w:rsid w:val="0E2D072E"/>
    <w:rsid w:val="0E3B295D"/>
    <w:rsid w:val="0E47249B"/>
    <w:rsid w:val="0E551882"/>
    <w:rsid w:val="0E7306EC"/>
    <w:rsid w:val="0E8C41CA"/>
    <w:rsid w:val="0EB254B2"/>
    <w:rsid w:val="0EFB3F5D"/>
    <w:rsid w:val="0F041CC7"/>
    <w:rsid w:val="0F042317"/>
    <w:rsid w:val="0F1209F8"/>
    <w:rsid w:val="0F274759"/>
    <w:rsid w:val="0F4C19DA"/>
    <w:rsid w:val="0F4C7D05"/>
    <w:rsid w:val="0F4F31AF"/>
    <w:rsid w:val="0F5F17BD"/>
    <w:rsid w:val="0F90531D"/>
    <w:rsid w:val="0FAD64B5"/>
    <w:rsid w:val="0FB21FD4"/>
    <w:rsid w:val="0FFF5930"/>
    <w:rsid w:val="10351CF7"/>
    <w:rsid w:val="105477D0"/>
    <w:rsid w:val="10855BDB"/>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2490"/>
    <w:rsid w:val="129D6A95"/>
    <w:rsid w:val="12AF4046"/>
    <w:rsid w:val="12C2727A"/>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5FD4466"/>
    <w:rsid w:val="160B0227"/>
    <w:rsid w:val="16473933"/>
    <w:rsid w:val="16864176"/>
    <w:rsid w:val="16E04880"/>
    <w:rsid w:val="16F86032"/>
    <w:rsid w:val="17033CFE"/>
    <w:rsid w:val="17081A7A"/>
    <w:rsid w:val="17292C0C"/>
    <w:rsid w:val="176F50FE"/>
    <w:rsid w:val="17D10049"/>
    <w:rsid w:val="17D336D0"/>
    <w:rsid w:val="17DD0B49"/>
    <w:rsid w:val="17F1563C"/>
    <w:rsid w:val="17F23C73"/>
    <w:rsid w:val="180F3B80"/>
    <w:rsid w:val="181B1411"/>
    <w:rsid w:val="181C1400"/>
    <w:rsid w:val="18223BBF"/>
    <w:rsid w:val="18406E44"/>
    <w:rsid w:val="185C1918"/>
    <w:rsid w:val="1880349D"/>
    <w:rsid w:val="18D435BC"/>
    <w:rsid w:val="18E261BC"/>
    <w:rsid w:val="19193365"/>
    <w:rsid w:val="19261639"/>
    <w:rsid w:val="193A5276"/>
    <w:rsid w:val="193B28DE"/>
    <w:rsid w:val="195D5C0E"/>
    <w:rsid w:val="19B64CC2"/>
    <w:rsid w:val="19BA69A5"/>
    <w:rsid w:val="19C02CDC"/>
    <w:rsid w:val="19DF6D3F"/>
    <w:rsid w:val="19E24459"/>
    <w:rsid w:val="1A305FF4"/>
    <w:rsid w:val="1A3D7EBE"/>
    <w:rsid w:val="1A4353A0"/>
    <w:rsid w:val="1A557489"/>
    <w:rsid w:val="1AF45443"/>
    <w:rsid w:val="1B075A0C"/>
    <w:rsid w:val="1B67066F"/>
    <w:rsid w:val="1B7229E4"/>
    <w:rsid w:val="1B7A5EC7"/>
    <w:rsid w:val="1B8A679C"/>
    <w:rsid w:val="1B8E5EC0"/>
    <w:rsid w:val="1BA9179C"/>
    <w:rsid w:val="1C253579"/>
    <w:rsid w:val="1CB33990"/>
    <w:rsid w:val="1CF6260F"/>
    <w:rsid w:val="1CF83AEA"/>
    <w:rsid w:val="1CF911FC"/>
    <w:rsid w:val="1D3A1AFC"/>
    <w:rsid w:val="1D4D182F"/>
    <w:rsid w:val="1D6914D5"/>
    <w:rsid w:val="1D7C7A22"/>
    <w:rsid w:val="1D7E09CF"/>
    <w:rsid w:val="1D9F1A69"/>
    <w:rsid w:val="1DE41480"/>
    <w:rsid w:val="1E2139B7"/>
    <w:rsid w:val="1E7A14A8"/>
    <w:rsid w:val="1E7F32B0"/>
    <w:rsid w:val="1EBA058B"/>
    <w:rsid w:val="1EBB622E"/>
    <w:rsid w:val="1EEA13A6"/>
    <w:rsid w:val="1EFE64E9"/>
    <w:rsid w:val="1F3363A4"/>
    <w:rsid w:val="1F6207D0"/>
    <w:rsid w:val="1F923E71"/>
    <w:rsid w:val="1F9F1A13"/>
    <w:rsid w:val="1FE1627D"/>
    <w:rsid w:val="1FEA603B"/>
    <w:rsid w:val="1FF3470B"/>
    <w:rsid w:val="20133D98"/>
    <w:rsid w:val="20226856"/>
    <w:rsid w:val="20293E2F"/>
    <w:rsid w:val="20597EB3"/>
    <w:rsid w:val="20686E43"/>
    <w:rsid w:val="206E3E8E"/>
    <w:rsid w:val="207224C8"/>
    <w:rsid w:val="2076639A"/>
    <w:rsid w:val="2093114F"/>
    <w:rsid w:val="209B57AA"/>
    <w:rsid w:val="20A121FD"/>
    <w:rsid w:val="20C20004"/>
    <w:rsid w:val="20D83D6E"/>
    <w:rsid w:val="20DE5531"/>
    <w:rsid w:val="20E1180E"/>
    <w:rsid w:val="20EA531B"/>
    <w:rsid w:val="20EA6084"/>
    <w:rsid w:val="20F01139"/>
    <w:rsid w:val="20F1461D"/>
    <w:rsid w:val="212B522B"/>
    <w:rsid w:val="215F0F70"/>
    <w:rsid w:val="21736537"/>
    <w:rsid w:val="21977807"/>
    <w:rsid w:val="219A6D4B"/>
    <w:rsid w:val="21C2735E"/>
    <w:rsid w:val="21E57FA3"/>
    <w:rsid w:val="21FB5A74"/>
    <w:rsid w:val="21FE759C"/>
    <w:rsid w:val="226827C0"/>
    <w:rsid w:val="22717D6E"/>
    <w:rsid w:val="227C6EFF"/>
    <w:rsid w:val="22942795"/>
    <w:rsid w:val="22A10D06"/>
    <w:rsid w:val="22B665A5"/>
    <w:rsid w:val="22C925E0"/>
    <w:rsid w:val="22E46F4A"/>
    <w:rsid w:val="22F20159"/>
    <w:rsid w:val="23005537"/>
    <w:rsid w:val="233C2C53"/>
    <w:rsid w:val="23446A4C"/>
    <w:rsid w:val="23486890"/>
    <w:rsid w:val="236F1F61"/>
    <w:rsid w:val="23AB4CDF"/>
    <w:rsid w:val="23C37A75"/>
    <w:rsid w:val="24220F3E"/>
    <w:rsid w:val="2423604B"/>
    <w:rsid w:val="243A3F7E"/>
    <w:rsid w:val="24436391"/>
    <w:rsid w:val="2450121E"/>
    <w:rsid w:val="24765B0F"/>
    <w:rsid w:val="2487622C"/>
    <w:rsid w:val="24973094"/>
    <w:rsid w:val="24AD6D9A"/>
    <w:rsid w:val="24C42EA1"/>
    <w:rsid w:val="251418FC"/>
    <w:rsid w:val="25780997"/>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4A1318"/>
    <w:rsid w:val="29656DCE"/>
    <w:rsid w:val="298B4B23"/>
    <w:rsid w:val="29B02542"/>
    <w:rsid w:val="29B71FDB"/>
    <w:rsid w:val="29CF18DD"/>
    <w:rsid w:val="29D65D23"/>
    <w:rsid w:val="29D875FE"/>
    <w:rsid w:val="2A194E5D"/>
    <w:rsid w:val="2A21554B"/>
    <w:rsid w:val="2A594BC2"/>
    <w:rsid w:val="2A9F7561"/>
    <w:rsid w:val="2AA90FA0"/>
    <w:rsid w:val="2AB31CE2"/>
    <w:rsid w:val="2AB55266"/>
    <w:rsid w:val="2AFC4894"/>
    <w:rsid w:val="2B487382"/>
    <w:rsid w:val="2B552F60"/>
    <w:rsid w:val="2B7841A6"/>
    <w:rsid w:val="2BB367B9"/>
    <w:rsid w:val="2BE94E19"/>
    <w:rsid w:val="2BF37A45"/>
    <w:rsid w:val="2C0F3ACE"/>
    <w:rsid w:val="2C13380B"/>
    <w:rsid w:val="2C184D47"/>
    <w:rsid w:val="2C2E728C"/>
    <w:rsid w:val="2C796A89"/>
    <w:rsid w:val="2CBD3A96"/>
    <w:rsid w:val="2CC74339"/>
    <w:rsid w:val="2CCC23F7"/>
    <w:rsid w:val="2CCE1414"/>
    <w:rsid w:val="2CF93ABF"/>
    <w:rsid w:val="2D1E27A3"/>
    <w:rsid w:val="2D394FF5"/>
    <w:rsid w:val="2D766528"/>
    <w:rsid w:val="2E62055B"/>
    <w:rsid w:val="2E6A704D"/>
    <w:rsid w:val="2E8A6255"/>
    <w:rsid w:val="2F0B1048"/>
    <w:rsid w:val="2F141AAA"/>
    <w:rsid w:val="2FCA4353"/>
    <w:rsid w:val="2FE55D75"/>
    <w:rsid w:val="2FF23F99"/>
    <w:rsid w:val="30236367"/>
    <w:rsid w:val="30331BC6"/>
    <w:rsid w:val="303E7E03"/>
    <w:rsid w:val="304A182B"/>
    <w:rsid w:val="30700C52"/>
    <w:rsid w:val="30705B08"/>
    <w:rsid w:val="30757C00"/>
    <w:rsid w:val="307D5D65"/>
    <w:rsid w:val="30B34CE3"/>
    <w:rsid w:val="30CB1C83"/>
    <w:rsid w:val="30DA5678"/>
    <w:rsid w:val="30ED2830"/>
    <w:rsid w:val="316B2857"/>
    <w:rsid w:val="31832D29"/>
    <w:rsid w:val="319D5339"/>
    <w:rsid w:val="319F2F47"/>
    <w:rsid w:val="31D20CDE"/>
    <w:rsid w:val="31DE2F46"/>
    <w:rsid w:val="31F37E23"/>
    <w:rsid w:val="31FD161E"/>
    <w:rsid w:val="31FE689A"/>
    <w:rsid w:val="320209E2"/>
    <w:rsid w:val="32223DC6"/>
    <w:rsid w:val="325A02A1"/>
    <w:rsid w:val="328238D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DD36E9"/>
    <w:rsid w:val="34F3793E"/>
    <w:rsid w:val="35574E9C"/>
    <w:rsid w:val="35712E34"/>
    <w:rsid w:val="35E841C9"/>
    <w:rsid w:val="35ED793B"/>
    <w:rsid w:val="35F84740"/>
    <w:rsid w:val="36383125"/>
    <w:rsid w:val="366C082D"/>
    <w:rsid w:val="368C388A"/>
    <w:rsid w:val="36C90DD1"/>
    <w:rsid w:val="374634AB"/>
    <w:rsid w:val="375D490D"/>
    <w:rsid w:val="37704489"/>
    <w:rsid w:val="37710026"/>
    <w:rsid w:val="37925427"/>
    <w:rsid w:val="37A55DCC"/>
    <w:rsid w:val="37CA04FF"/>
    <w:rsid w:val="37D30771"/>
    <w:rsid w:val="37EC0BB8"/>
    <w:rsid w:val="38DF55E0"/>
    <w:rsid w:val="394C68A5"/>
    <w:rsid w:val="395E479A"/>
    <w:rsid w:val="39675804"/>
    <w:rsid w:val="39A36C2D"/>
    <w:rsid w:val="39A52824"/>
    <w:rsid w:val="39AA29B9"/>
    <w:rsid w:val="39E71AEC"/>
    <w:rsid w:val="39F60058"/>
    <w:rsid w:val="3A104089"/>
    <w:rsid w:val="3A8217DE"/>
    <w:rsid w:val="3A822B01"/>
    <w:rsid w:val="3AB8426E"/>
    <w:rsid w:val="3ACF765C"/>
    <w:rsid w:val="3AD278CD"/>
    <w:rsid w:val="3AFA4BE5"/>
    <w:rsid w:val="3B2A44B8"/>
    <w:rsid w:val="3B2B6476"/>
    <w:rsid w:val="3BBC038E"/>
    <w:rsid w:val="3BC93B08"/>
    <w:rsid w:val="3BFE3F02"/>
    <w:rsid w:val="3C2972FD"/>
    <w:rsid w:val="3C395948"/>
    <w:rsid w:val="3C5B4444"/>
    <w:rsid w:val="3C682C90"/>
    <w:rsid w:val="3C852047"/>
    <w:rsid w:val="3CA13116"/>
    <w:rsid w:val="3CA925AE"/>
    <w:rsid w:val="3CF877AB"/>
    <w:rsid w:val="3D306CB2"/>
    <w:rsid w:val="3D32729D"/>
    <w:rsid w:val="3D485E54"/>
    <w:rsid w:val="3D4C3459"/>
    <w:rsid w:val="3D667959"/>
    <w:rsid w:val="3D8230F2"/>
    <w:rsid w:val="3D886E2C"/>
    <w:rsid w:val="3D8A3F82"/>
    <w:rsid w:val="3DAA5519"/>
    <w:rsid w:val="3DC413E8"/>
    <w:rsid w:val="3DCA34BB"/>
    <w:rsid w:val="3DD83D60"/>
    <w:rsid w:val="3E044CAE"/>
    <w:rsid w:val="3E12201C"/>
    <w:rsid w:val="3E175A62"/>
    <w:rsid w:val="3E427218"/>
    <w:rsid w:val="3E971CA3"/>
    <w:rsid w:val="3EA72ABE"/>
    <w:rsid w:val="3EAD4174"/>
    <w:rsid w:val="3EAD7F9C"/>
    <w:rsid w:val="3EB32892"/>
    <w:rsid w:val="3EBC3336"/>
    <w:rsid w:val="3EDE79C6"/>
    <w:rsid w:val="3EF65530"/>
    <w:rsid w:val="3F064AE9"/>
    <w:rsid w:val="3F3B0C43"/>
    <w:rsid w:val="3F4C62B0"/>
    <w:rsid w:val="3F7279F0"/>
    <w:rsid w:val="3F850EA5"/>
    <w:rsid w:val="3F9717D1"/>
    <w:rsid w:val="3FB2485B"/>
    <w:rsid w:val="40104C12"/>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D47C2B"/>
    <w:rsid w:val="42DA32B5"/>
    <w:rsid w:val="433543AC"/>
    <w:rsid w:val="43420FE8"/>
    <w:rsid w:val="434513F0"/>
    <w:rsid w:val="43702851"/>
    <w:rsid w:val="43B753A5"/>
    <w:rsid w:val="43CA4F48"/>
    <w:rsid w:val="440C435C"/>
    <w:rsid w:val="4424604A"/>
    <w:rsid w:val="442967DE"/>
    <w:rsid w:val="442F0D9E"/>
    <w:rsid w:val="445014AB"/>
    <w:rsid w:val="44CE660D"/>
    <w:rsid w:val="4529315D"/>
    <w:rsid w:val="454F0B76"/>
    <w:rsid w:val="45795008"/>
    <w:rsid w:val="4579514B"/>
    <w:rsid w:val="457A2FCB"/>
    <w:rsid w:val="457E2BBE"/>
    <w:rsid w:val="457F72E8"/>
    <w:rsid w:val="45CF3980"/>
    <w:rsid w:val="45DE083B"/>
    <w:rsid w:val="45E076C0"/>
    <w:rsid w:val="45F36067"/>
    <w:rsid w:val="460C0745"/>
    <w:rsid w:val="463122D8"/>
    <w:rsid w:val="4632053D"/>
    <w:rsid w:val="46577675"/>
    <w:rsid w:val="4662415A"/>
    <w:rsid w:val="4662498C"/>
    <w:rsid w:val="466475E2"/>
    <w:rsid w:val="46A022D9"/>
    <w:rsid w:val="46A9554B"/>
    <w:rsid w:val="46B21457"/>
    <w:rsid w:val="46BB3975"/>
    <w:rsid w:val="46BE1A6C"/>
    <w:rsid w:val="46BE6647"/>
    <w:rsid w:val="46DD5122"/>
    <w:rsid w:val="46EE3897"/>
    <w:rsid w:val="471B3499"/>
    <w:rsid w:val="4730142A"/>
    <w:rsid w:val="477B0AA3"/>
    <w:rsid w:val="478E4BD2"/>
    <w:rsid w:val="47DD756D"/>
    <w:rsid w:val="48037A8A"/>
    <w:rsid w:val="481E5DAA"/>
    <w:rsid w:val="48377D23"/>
    <w:rsid w:val="486634EE"/>
    <w:rsid w:val="48807890"/>
    <w:rsid w:val="48A64B98"/>
    <w:rsid w:val="48AD52B1"/>
    <w:rsid w:val="48BC156D"/>
    <w:rsid w:val="48F765BE"/>
    <w:rsid w:val="490445F2"/>
    <w:rsid w:val="49320F23"/>
    <w:rsid w:val="49DC7B23"/>
    <w:rsid w:val="49DD73AE"/>
    <w:rsid w:val="49F95BD6"/>
    <w:rsid w:val="4A477482"/>
    <w:rsid w:val="4A6A1E68"/>
    <w:rsid w:val="4A9D4F24"/>
    <w:rsid w:val="4AA414CB"/>
    <w:rsid w:val="4AA73240"/>
    <w:rsid w:val="4AB72272"/>
    <w:rsid w:val="4AD703A4"/>
    <w:rsid w:val="4B305E1B"/>
    <w:rsid w:val="4B865D88"/>
    <w:rsid w:val="4B941C34"/>
    <w:rsid w:val="4BB92D8E"/>
    <w:rsid w:val="4BD05255"/>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4FE91137"/>
    <w:rsid w:val="50142DE1"/>
    <w:rsid w:val="5015687B"/>
    <w:rsid w:val="501926CA"/>
    <w:rsid w:val="503109FF"/>
    <w:rsid w:val="503F2D1F"/>
    <w:rsid w:val="505E3D68"/>
    <w:rsid w:val="50875D00"/>
    <w:rsid w:val="50D13748"/>
    <w:rsid w:val="5158332C"/>
    <w:rsid w:val="516A440A"/>
    <w:rsid w:val="51934373"/>
    <w:rsid w:val="51BA5A6F"/>
    <w:rsid w:val="51BC69A8"/>
    <w:rsid w:val="51C42E16"/>
    <w:rsid w:val="52391DA6"/>
    <w:rsid w:val="525351F4"/>
    <w:rsid w:val="525A6FBC"/>
    <w:rsid w:val="526130AB"/>
    <w:rsid w:val="526C0997"/>
    <w:rsid w:val="52855A65"/>
    <w:rsid w:val="52EF6B37"/>
    <w:rsid w:val="530D373C"/>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758A7"/>
    <w:rsid w:val="54DE0134"/>
    <w:rsid w:val="55055F70"/>
    <w:rsid w:val="553C46BA"/>
    <w:rsid w:val="55494082"/>
    <w:rsid w:val="557D5B60"/>
    <w:rsid w:val="55834A19"/>
    <w:rsid w:val="55B94FAC"/>
    <w:rsid w:val="55F27046"/>
    <w:rsid w:val="55F526C6"/>
    <w:rsid w:val="56066DC9"/>
    <w:rsid w:val="564E1228"/>
    <w:rsid w:val="56A6131D"/>
    <w:rsid w:val="56A82B00"/>
    <w:rsid w:val="56BC5AD0"/>
    <w:rsid w:val="56D00C68"/>
    <w:rsid w:val="57022BD1"/>
    <w:rsid w:val="57212B27"/>
    <w:rsid w:val="572809C2"/>
    <w:rsid w:val="57480C4D"/>
    <w:rsid w:val="574C27F3"/>
    <w:rsid w:val="576378C6"/>
    <w:rsid w:val="57895A45"/>
    <w:rsid w:val="57C5313B"/>
    <w:rsid w:val="57D807D4"/>
    <w:rsid w:val="57EA7969"/>
    <w:rsid w:val="57F740F4"/>
    <w:rsid w:val="57FA3D86"/>
    <w:rsid w:val="58750691"/>
    <w:rsid w:val="58AB575D"/>
    <w:rsid w:val="58BC728D"/>
    <w:rsid w:val="58DD0763"/>
    <w:rsid w:val="59445F91"/>
    <w:rsid w:val="59815208"/>
    <w:rsid w:val="59853B23"/>
    <w:rsid w:val="59AF4078"/>
    <w:rsid w:val="59F001A4"/>
    <w:rsid w:val="5A09705C"/>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F015CCB"/>
    <w:rsid w:val="5F3815EE"/>
    <w:rsid w:val="5F5C32D6"/>
    <w:rsid w:val="5FB10E83"/>
    <w:rsid w:val="600E788A"/>
    <w:rsid w:val="604130CF"/>
    <w:rsid w:val="60663C94"/>
    <w:rsid w:val="60687CFB"/>
    <w:rsid w:val="60794FD4"/>
    <w:rsid w:val="60814FEF"/>
    <w:rsid w:val="608E6CEF"/>
    <w:rsid w:val="60AE4E89"/>
    <w:rsid w:val="60D32F5A"/>
    <w:rsid w:val="610E2B4C"/>
    <w:rsid w:val="61344752"/>
    <w:rsid w:val="619945D7"/>
    <w:rsid w:val="61C24BFD"/>
    <w:rsid w:val="61DE43D4"/>
    <w:rsid w:val="61E06967"/>
    <w:rsid w:val="61ED083B"/>
    <w:rsid w:val="624216A0"/>
    <w:rsid w:val="626343A0"/>
    <w:rsid w:val="626736F9"/>
    <w:rsid w:val="626B4082"/>
    <w:rsid w:val="626B6B00"/>
    <w:rsid w:val="628E1BE9"/>
    <w:rsid w:val="628F18F9"/>
    <w:rsid w:val="62D06FF9"/>
    <w:rsid w:val="62D765EB"/>
    <w:rsid w:val="636B22CC"/>
    <w:rsid w:val="636C198B"/>
    <w:rsid w:val="63B65AC7"/>
    <w:rsid w:val="63C6697B"/>
    <w:rsid w:val="63D7428B"/>
    <w:rsid w:val="640C4C0D"/>
    <w:rsid w:val="643B5584"/>
    <w:rsid w:val="643C74D4"/>
    <w:rsid w:val="645830D7"/>
    <w:rsid w:val="64675414"/>
    <w:rsid w:val="647258C3"/>
    <w:rsid w:val="64AA2E73"/>
    <w:rsid w:val="64B8434A"/>
    <w:rsid w:val="64C5008F"/>
    <w:rsid w:val="64E8446E"/>
    <w:rsid w:val="65376B47"/>
    <w:rsid w:val="654042F5"/>
    <w:rsid w:val="654A0542"/>
    <w:rsid w:val="65F66C79"/>
    <w:rsid w:val="660447CA"/>
    <w:rsid w:val="665622BC"/>
    <w:rsid w:val="66653739"/>
    <w:rsid w:val="666757F8"/>
    <w:rsid w:val="666C4EE6"/>
    <w:rsid w:val="66792487"/>
    <w:rsid w:val="66FB0FDC"/>
    <w:rsid w:val="66FC5AFF"/>
    <w:rsid w:val="6709462E"/>
    <w:rsid w:val="6777196F"/>
    <w:rsid w:val="678A1ED0"/>
    <w:rsid w:val="67AB61F8"/>
    <w:rsid w:val="67BA7741"/>
    <w:rsid w:val="67E6170C"/>
    <w:rsid w:val="67FF2CF3"/>
    <w:rsid w:val="680D0CA5"/>
    <w:rsid w:val="68556DB7"/>
    <w:rsid w:val="689F03E4"/>
    <w:rsid w:val="68A45648"/>
    <w:rsid w:val="68A5668C"/>
    <w:rsid w:val="68B0223F"/>
    <w:rsid w:val="68D27297"/>
    <w:rsid w:val="6911241F"/>
    <w:rsid w:val="69216C99"/>
    <w:rsid w:val="69B67115"/>
    <w:rsid w:val="69B82DF4"/>
    <w:rsid w:val="69EF53B4"/>
    <w:rsid w:val="6A126DD2"/>
    <w:rsid w:val="6A420E56"/>
    <w:rsid w:val="6A924E32"/>
    <w:rsid w:val="6A94008C"/>
    <w:rsid w:val="6AA97BB1"/>
    <w:rsid w:val="6AC635A8"/>
    <w:rsid w:val="6AE60947"/>
    <w:rsid w:val="6AEF6EB8"/>
    <w:rsid w:val="6B0B374F"/>
    <w:rsid w:val="6B0E6D92"/>
    <w:rsid w:val="6B17074E"/>
    <w:rsid w:val="6B1F0CCB"/>
    <w:rsid w:val="6B6234E5"/>
    <w:rsid w:val="6BBD11F5"/>
    <w:rsid w:val="6BCE1834"/>
    <w:rsid w:val="6BD12800"/>
    <w:rsid w:val="6C022DB1"/>
    <w:rsid w:val="6C513046"/>
    <w:rsid w:val="6C5E02FC"/>
    <w:rsid w:val="6C721812"/>
    <w:rsid w:val="6C8B0F52"/>
    <w:rsid w:val="6CDD0DD0"/>
    <w:rsid w:val="6CFA7DB1"/>
    <w:rsid w:val="6D0127E4"/>
    <w:rsid w:val="6D135E16"/>
    <w:rsid w:val="6D1C168A"/>
    <w:rsid w:val="6D347A31"/>
    <w:rsid w:val="6D3668DD"/>
    <w:rsid w:val="6D471CAB"/>
    <w:rsid w:val="6DAC0977"/>
    <w:rsid w:val="6DB941BD"/>
    <w:rsid w:val="6DC5053A"/>
    <w:rsid w:val="6DC60F63"/>
    <w:rsid w:val="6E4C770B"/>
    <w:rsid w:val="6E5F1098"/>
    <w:rsid w:val="6E6F2793"/>
    <w:rsid w:val="6E703D8E"/>
    <w:rsid w:val="6E84323D"/>
    <w:rsid w:val="6E942A76"/>
    <w:rsid w:val="6EA41FA2"/>
    <w:rsid w:val="6EB44AD4"/>
    <w:rsid w:val="6F313FE8"/>
    <w:rsid w:val="6F381CAC"/>
    <w:rsid w:val="6F6128C1"/>
    <w:rsid w:val="6F9C6902"/>
    <w:rsid w:val="6F9E3EA7"/>
    <w:rsid w:val="6FA0729C"/>
    <w:rsid w:val="70100CA2"/>
    <w:rsid w:val="70393572"/>
    <w:rsid w:val="703E40E6"/>
    <w:rsid w:val="704E2A69"/>
    <w:rsid w:val="70A24D48"/>
    <w:rsid w:val="70BA64EF"/>
    <w:rsid w:val="70C900DF"/>
    <w:rsid w:val="70F80524"/>
    <w:rsid w:val="710A2419"/>
    <w:rsid w:val="71326D32"/>
    <w:rsid w:val="714C2CD0"/>
    <w:rsid w:val="714D023F"/>
    <w:rsid w:val="715A596A"/>
    <w:rsid w:val="715C2793"/>
    <w:rsid w:val="716C6E28"/>
    <w:rsid w:val="717C247D"/>
    <w:rsid w:val="717F26E4"/>
    <w:rsid w:val="71816B8E"/>
    <w:rsid w:val="71832D29"/>
    <w:rsid w:val="71907818"/>
    <w:rsid w:val="71B252F9"/>
    <w:rsid w:val="71DE56C0"/>
    <w:rsid w:val="71E95916"/>
    <w:rsid w:val="7203413E"/>
    <w:rsid w:val="7250588C"/>
    <w:rsid w:val="726F5278"/>
    <w:rsid w:val="727E786A"/>
    <w:rsid w:val="72887FD4"/>
    <w:rsid w:val="72BD0544"/>
    <w:rsid w:val="72C0472D"/>
    <w:rsid w:val="72D11D5C"/>
    <w:rsid w:val="72E85DAD"/>
    <w:rsid w:val="732303D9"/>
    <w:rsid w:val="73532CC9"/>
    <w:rsid w:val="73667ADF"/>
    <w:rsid w:val="73B01345"/>
    <w:rsid w:val="73CD0149"/>
    <w:rsid w:val="73D73D11"/>
    <w:rsid w:val="74123DAE"/>
    <w:rsid w:val="744975DD"/>
    <w:rsid w:val="746920A5"/>
    <w:rsid w:val="748079C4"/>
    <w:rsid w:val="74CB1EDB"/>
    <w:rsid w:val="74DE73F5"/>
    <w:rsid w:val="751E77AF"/>
    <w:rsid w:val="75D07F8B"/>
    <w:rsid w:val="75EE5669"/>
    <w:rsid w:val="7693133E"/>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B33DB1"/>
    <w:rsid w:val="78B86E62"/>
    <w:rsid w:val="78FA0671"/>
    <w:rsid w:val="793A634F"/>
    <w:rsid w:val="798635EB"/>
    <w:rsid w:val="79A5750A"/>
    <w:rsid w:val="79DE7ADE"/>
    <w:rsid w:val="7A0C1011"/>
    <w:rsid w:val="7A0E7A81"/>
    <w:rsid w:val="7A321CDB"/>
    <w:rsid w:val="7A567B6E"/>
    <w:rsid w:val="7A6E32C8"/>
    <w:rsid w:val="7AA329D6"/>
    <w:rsid w:val="7AB43E11"/>
    <w:rsid w:val="7AC900CF"/>
    <w:rsid w:val="7B052FBD"/>
    <w:rsid w:val="7B1448AF"/>
    <w:rsid w:val="7B5A5A6C"/>
    <w:rsid w:val="7B5C250E"/>
    <w:rsid w:val="7B6D0F87"/>
    <w:rsid w:val="7B72691F"/>
    <w:rsid w:val="7B783FD8"/>
    <w:rsid w:val="7B9A3DB8"/>
    <w:rsid w:val="7BA113AB"/>
    <w:rsid w:val="7BD52290"/>
    <w:rsid w:val="7BD568A0"/>
    <w:rsid w:val="7BF20E1E"/>
    <w:rsid w:val="7C15268D"/>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7513DF"/>
    <w:rsid w:val="7EDC6807"/>
    <w:rsid w:val="7EE33139"/>
    <w:rsid w:val="7EF34773"/>
    <w:rsid w:val="7F0D08DC"/>
    <w:rsid w:val="7F173D26"/>
    <w:rsid w:val="7F666017"/>
    <w:rsid w:val="7F714EE5"/>
    <w:rsid w:val="7F7F2734"/>
    <w:rsid w:val="7FA15C0E"/>
    <w:rsid w:val="7FA63F96"/>
    <w:rsid w:val="7FB9287C"/>
    <w:rsid w:val="7FCC47FD"/>
    <w:rsid w:val="7FD31973"/>
    <w:rsid w:val="7FE15B01"/>
    <w:rsid w:val="7FFB1B6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1"/>
    <w:link w:val="73"/>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7"/>
    <w:qFormat/>
    <w:uiPriority w:val="0"/>
    <w:pPr>
      <w:ind w:firstLine="420" w:firstLineChars="200"/>
    </w:pPr>
  </w:style>
  <w:style w:type="paragraph" w:styleId="15">
    <w:name w:val="Document Map"/>
    <w:basedOn w:val="1"/>
    <w:link w:val="74"/>
    <w:qFormat/>
    <w:uiPriority w:val="0"/>
    <w:pPr>
      <w:shd w:val="clear" w:color="auto" w:fill="000080"/>
    </w:pPr>
    <w:rPr>
      <w:kern w:val="0"/>
      <w:sz w:val="20"/>
    </w:rPr>
  </w:style>
  <w:style w:type="paragraph" w:styleId="16">
    <w:name w:val="annotation text"/>
    <w:basedOn w:val="1"/>
    <w:link w:val="56"/>
    <w:unhideWhenUsed/>
    <w:qFormat/>
    <w:uiPriority w:val="99"/>
    <w:pPr>
      <w:jc w:val="left"/>
    </w:pPr>
    <w:rPr>
      <w:kern w:val="0"/>
      <w:sz w:val="20"/>
    </w:rPr>
  </w:style>
  <w:style w:type="paragraph" w:styleId="17">
    <w:name w:val="Body Text 3"/>
    <w:basedOn w:val="1"/>
    <w:link w:val="60"/>
    <w:qFormat/>
    <w:uiPriority w:val="0"/>
    <w:rPr>
      <w:rFonts w:ascii="宋体"/>
      <w:kern w:val="0"/>
      <w:sz w:val="24"/>
      <w:szCs w:val="20"/>
    </w:rPr>
  </w:style>
  <w:style w:type="paragraph" w:styleId="18">
    <w:name w:val="Body Text"/>
    <w:basedOn w:val="1"/>
    <w:link w:val="63"/>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6"/>
    <w:qFormat/>
    <w:uiPriority w:val="0"/>
    <w:rPr>
      <w:b/>
      <w:bCs/>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6"/>
    <w:qFormat/>
    <w:uiPriority w:val="0"/>
    <w:rPr>
      <w:rFonts w:ascii="Times New Roman" w:hAnsi="Times New Roman" w:eastAsia="宋体" w:cs="Times New Roman"/>
      <w:b/>
      <w:bCs/>
      <w:sz w:val="32"/>
      <w:szCs w:val="32"/>
    </w:rPr>
  </w:style>
  <w:style w:type="character" w:customStyle="1" w:styleId="56">
    <w:name w:val="批注文字 Char1"/>
    <w:link w:val="16"/>
    <w:semiHidden/>
    <w:qFormat/>
    <w:uiPriority w:val="99"/>
    <w:rPr>
      <w:rFonts w:ascii="Times New Roman" w:hAnsi="Times New Roman" w:eastAsia="宋体" w:cs="Times New Roman"/>
      <w:szCs w:val="24"/>
    </w:rPr>
  </w:style>
  <w:style w:type="character" w:customStyle="1" w:styleId="57">
    <w:name w:val="标题 6 Char"/>
    <w:link w:val="8"/>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7"/>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8"/>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1"/>
    <w:qFormat/>
    <w:uiPriority w:val="0"/>
    <w:rPr>
      <w:rFonts w:ascii="Times New Roman" w:hAnsi="Times New Roman" w:eastAsia="宋体" w:cs="Times New Roman"/>
      <w:b/>
      <w:bCs/>
      <w:szCs w:val="24"/>
    </w:rPr>
  </w:style>
  <w:style w:type="character" w:customStyle="1" w:styleId="67">
    <w:name w:val="正文缩进 Char"/>
    <w:link w:val="14"/>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1"/>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3"/>
    <w:qFormat/>
    <w:uiPriority w:val="0"/>
    <w:rPr>
      <w:szCs w:val="24"/>
    </w:rPr>
  </w:style>
  <w:style w:type="character" w:customStyle="1" w:styleId="74">
    <w:name w:val="文档结构图 Char"/>
    <w:link w:val="15"/>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5"/>
    <w:qFormat/>
    <w:uiPriority w:val="0"/>
    <w:rPr>
      <w:rFonts w:ascii="Arial" w:hAnsi="Arial" w:eastAsia="黑体" w:cs="Times New Roman"/>
      <w:b/>
      <w:bCs/>
      <w:sz w:val="32"/>
      <w:szCs w:val="32"/>
    </w:rPr>
  </w:style>
  <w:style w:type="character" w:customStyle="1" w:styleId="77">
    <w:name w:val="标题 Char"/>
    <w:link w:val="40"/>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10"/>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4"/>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7"/>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9"/>
    <w:qFormat/>
    <w:uiPriority w:val="0"/>
    <w:rPr>
      <w:rFonts w:ascii="Times New Roman" w:hAnsi="Times New Roman" w:eastAsia="宋体" w:cs="Times New Roman"/>
      <w:b/>
      <w:bCs/>
      <w:kern w:val="0"/>
      <w:sz w:val="24"/>
      <w:szCs w:val="24"/>
    </w:rPr>
  </w:style>
  <w:style w:type="paragraph" w:customStyle="1" w:styleId="98">
    <w:name w:val="样式4"/>
    <w:basedOn w:val="6"/>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6"/>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6"/>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6"/>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8448</Words>
  <Characters>8849</Characters>
  <Lines>397</Lines>
  <Paragraphs>112</Paragraphs>
  <TotalTime>0</TotalTime>
  <ScaleCrop>false</ScaleCrop>
  <LinksUpToDate>false</LinksUpToDate>
  <CharactersWithSpaces>9712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♂杰♂</cp:lastModifiedBy>
  <cp:lastPrinted>2020-05-11T07:11:00Z</cp:lastPrinted>
  <dcterms:modified xsi:type="dcterms:W3CDTF">2022-09-27T01:06:48Z</dcterms:modified>
  <dc:title>项目名称：2019年重庆市取消高速公路省界收费站项目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CA9229BF7F204DA08DD95BC61990121B</vt:lpwstr>
  </property>
</Properties>
</file>