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764" w:rightChars="-840"/>
        <w:rPr>
          <w:rFonts w:ascii="方正小标宋_GBK" w:hAnsi="方正小标宋_GBK" w:eastAsia="方正小标宋_GBK" w:cs="方正小标宋_GBK"/>
          <w:b/>
          <w:color w:val="auto"/>
          <w:w w:val="99"/>
          <w:kern w:val="0"/>
          <w:sz w:val="52"/>
          <w:szCs w:val="52"/>
          <w:highlight w:val="none"/>
        </w:rPr>
      </w:pPr>
      <w:r>
        <w:rPr>
          <w:rFonts w:hint="eastAsia" w:ascii="方正小标宋_GBK" w:hAnsi="方正小标宋_GBK" w:eastAsia="方正小标宋_GBK" w:cs="方正小标宋_GBK"/>
          <w:b/>
          <w:color w:val="auto"/>
          <w:w w:val="99"/>
          <w:kern w:val="0"/>
          <w:sz w:val="52"/>
          <w:szCs w:val="52"/>
          <w:highlight w:val="none"/>
        </w:rPr>
        <w:t>沙溪庙主题服务区项目策划、空间规划</w:t>
      </w:r>
    </w:p>
    <w:p>
      <w:pPr>
        <w:ind w:right="-1764" w:rightChars="-840" w:firstLine="2577" w:firstLineChars="500"/>
        <w:rPr>
          <w:rFonts w:ascii="方正小标宋_GBK" w:hAnsi="方正小标宋_GBK" w:eastAsia="方正小标宋_GBK" w:cs="方正小标宋_GBK"/>
          <w:b/>
          <w:color w:val="auto"/>
          <w:w w:val="99"/>
          <w:kern w:val="0"/>
          <w:sz w:val="52"/>
          <w:szCs w:val="52"/>
          <w:highlight w:val="none"/>
        </w:rPr>
      </w:pPr>
      <w:r>
        <w:rPr>
          <w:rFonts w:hint="eastAsia" w:ascii="方正小标宋_GBK" w:hAnsi="方正小标宋_GBK" w:eastAsia="方正小标宋_GBK" w:cs="方正小标宋_GBK"/>
          <w:b/>
          <w:color w:val="auto"/>
          <w:w w:val="99"/>
          <w:kern w:val="0"/>
          <w:sz w:val="52"/>
          <w:szCs w:val="52"/>
          <w:highlight w:val="none"/>
        </w:rPr>
        <w:t>及概念性方案设计</w:t>
      </w:r>
    </w:p>
    <w:p>
      <w:pPr>
        <w:ind w:right="-1764" w:rightChars="-840"/>
        <w:jc w:val="center"/>
        <w:rPr>
          <w:rFonts w:ascii="方正小标宋_GBK" w:hAnsi="方正小标宋_GBK" w:eastAsia="方正小标宋_GBK" w:cs="方正小标宋_GBK"/>
          <w:b/>
          <w:color w:val="auto"/>
          <w:w w:val="99"/>
          <w:kern w:val="0"/>
          <w:sz w:val="52"/>
          <w:szCs w:val="52"/>
          <w:highlight w:val="none"/>
        </w:rPr>
      </w:pPr>
    </w:p>
    <w:p>
      <w:pPr>
        <w:tabs>
          <w:tab w:val="center" w:pos="4422"/>
          <w:tab w:val="left" w:pos="7015"/>
        </w:tabs>
        <w:jc w:val="left"/>
        <w:rPr>
          <w:rFonts w:ascii="宋体" w:hAnsi="宋体"/>
          <w:b/>
          <w:color w:val="auto"/>
          <w:spacing w:val="20"/>
          <w:sz w:val="84"/>
          <w:szCs w:val="84"/>
          <w:highlight w:val="none"/>
        </w:rPr>
      </w:pPr>
      <w:r>
        <w:rPr>
          <w:rFonts w:ascii="宋体" w:hAnsi="宋体"/>
          <w:b/>
          <w:color w:val="auto"/>
          <w:spacing w:val="20"/>
          <w:sz w:val="84"/>
          <w:szCs w:val="84"/>
          <w:highlight w:val="none"/>
        </w:rPr>
        <w:tab/>
      </w:r>
      <w:r>
        <w:rPr>
          <w:rFonts w:hint="eastAsia" w:ascii="宋体" w:hAnsi="宋体"/>
          <w:b/>
          <w:color w:val="auto"/>
          <w:spacing w:val="20"/>
          <w:sz w:val="84"/>
          <w:szCs w:val="84"/>
          <w:highlight w:val="none"/>
        </w:rPr>
        <w:t>比</w:t>
      </w:r>
      <w:r>
        <w:rPr>
          <w:rFonts w:ascii="宋体" w:hAnsi="宋体"/>
          <w:b/>
          <w:color w:val="auto"/>
          <w:spacing w:val="20"/>
          <w:sz w:val="84"/>
          <w:szCs w:val="84"/>
          <w:highlight w:val="none"/>
        </w:rPr>
        <w:tab/>
      </w:r>
    </w:p>
    <w:p>
      <w:pPr>
        <w:jc w:val="center"/>
        <w:rPr>
          <w:rFonts w:ascii="宋体" w:hAnsi="宋体"/>
          <w:b/>
          <w:color w:val="auto"/>
          <w:spacing w:val="20"/>
          <w:sz w:val="84"/>
          <w:szCs w:val="84"/>
          <w:highlight w:val="none"/>
        </w:rPr>
      </w:pPr>
      <w:r>
        <w:rPr>
          <w:rFonts w:hint="eastAsia" w:ascii="宋体" w:hAnsi="宋体"/>
          <w:b/>
          <w:color w:val="auto"/>
          <w:spacing w:val="20"/>
          <w:sz w:val="84"/>
          <w:szCs w:val="84"/>
          <w:highlight w:val="none"/>
        </w:rPr>
        <w:t>选</w:t>
      </w:r>
    </w:p>
    <w:p>
      <w:pPr>
        <w:jc w:val="center"/>
        <w:rPr>
          <w:rFonts w:ascii="宋体" w:hAnsi="宋体"/>
          <w:b/>
          <w:color w:val="auto"/>
          <w:spacing w:val="20"/>
          <w:sz w:val="84"/>
          <w:szCs w:val="84"/>
          <w:highlight w:val="none"/>
        </w:rPr>
      </w:pPr>
      <w:r>
        <w:rPr>
          <w:rFonts w:hint="eastAsia" w:ascii="宋体" w:hAnsi="宋体"/>
          <w:b/>
          <w:color w:val="auto"/>
          <w:spacing w:val="20"/>
          <w:sz w:val="84"/>
          <w:szCs w:val="84"/>
          <w:highlight w:val="none"/>
        </w:rPr>
        <w:t>文</w:t>
      </w:r>
    </w:p>
    <w:p>
      <w:pPr>
        <w:jc w:val="center"/>
        <w:rPr>
          <w:rFonts w:ascii="宋体" w:hAnsi="宋体"/>
          <w:b/>
          <w:color w:val="auto"/>
          <w:spacing w:val="20"/>
          <w:sz w:val="84"/>
          <w:szCs w:val="84"/>
          <w:highlight w:val="none"/>
        </w:rPr>
      </w:pPr>
      <w:r>
        <w:rPr>
          <w:rFonts w:hint="eastAsia" w:ascii="宋体" w:hAnsi="宋体"/>
          <w:b/>
          <w:color w:val="auto"/>
          <w:spacing w:val="20"/>
          <w:sz w:val="84"/>
          <w:szCs w:val="84"/>
          <w:highlight w:val="none"/>
        </w:rPr>
        <w:t>件</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jc w:val="center"/>
        <w:rPr>
          <w:rFonts w:ascii="宋体" w:hAnsi="宋体"/>
          <w:color w:val="auto"/>
          <w:szCs w:val="21"/>
          <w:highlight w:val="none"/>
        </w:rPr>
      </w:pPr>
    </w:p>
    <w:p>
      <w:pPr>
        <w:pStyle w:val="5"/>
        <w:spacing w:line="360" w:lineRule="auto"/>
        <w:ind w:left="0" w:leftChars="0"/>
        <w:jc w:val="center"/>
        <w:rPr>
          <w:rFonts w:ascii="宋体" w:hAnsi="宋体"/>
          <w:b/>
          <w:color w:val="auto"/>
          <w:sz w:val="32"/>
          <w:szCs w:val="32"/>
          <w:highlight w:val="none"/>
        </w:rPr>
      </w:pPr>
      <w:r>
        <w:rPr>
          <w:rFonts w:hint="eastAsia" w:ascii="宋体" w:hAnsi="宋体"/>
          <w:b/>
          <w:color w:val="auto"/>
          <w:sz w:val="32"/>
          <w:szCs w:val="32"/>
          <w:highlight w:val="none"/>
        </w:rPr>
        <w:t>比选</w:t>
      </w:r>
      <w:r>
        <w:rPr>
          <w:rFonts w:ascii="宋体" w:hAnsi="宋体"/>
          <w:b/>
          <w:color w:val="auto"/>
          <w:sz w:val="32"/>
          <w:szCs w:val="32"/>
          <w:highlight w:val="none"/>
        </w:rPr>
        <w:t>人：</w:t>
      </w:r>
      <w:r>
        <w:rPr>
          <w:rFonts w:hint="eastAsia" w:ascii="宋体" w:hAnsi="宋体"/>
          <w:b/>
          <w:color w:val="auto"/>
          <w:sz w:val="32"/>
          <w:szCs w:val="32"/>
          <w:highlight w:val="none"/>
        </w:rPr>
        <w:t>重庆高速公路土地整治有限公司</w:t>
      </w:r>
    </w:p>
    <w:p>
      <w:pPr>
        <w:pStyle w:val="5"/>
        <w:spacing w:line="360" w:lineRule="auto"/>
        <w:ind w:left="99" w:leftChars="47"/>
        <w:jc w:val="center"/>
        <w:rPr>
          <w:rFonts w:ascii="宋体" w:hAnsi="宋体"/>
          <w:b/>
          <w:color w:val="auto"/>
          <w:sz w:val="32"/>
          <w:szCs w:val="32"/>
          <w:highlight w:val="none"/>
        </w:rPr>
      </w:pPr>
    </w:p>
    <w:p>
      <w:pPr>
        <w:pStyle w:val="5"/>
        <w:spacing w:line="360" w:lineRule="auto"/>
        <w:ind w:left="99" w:leftChars="47"/>
        <w:jc w:val="center"/>
        <w:rPr>
          <w:rFonts w:ascii="宋体" w:hAnsi="宋体"/>
          <w:b/>
          <w:color w:val="auto"/>
          <w:sz w:val="32"/>
          <w:szCs w:val="32"/>
          <w:highlight w:val="none"/>
        </w:rPr>
      </w:pPr>
      <w:r>
        <w:rPr>
          <w:rFonts w:ascii="宋体" w:hAnsi="宋体"/>
          <w:b/>
          <w:color w:val="auto"/>
          <w:sz w:val="32"/>
          <w:szCs w:val="32"/>
          <w:highlight w:val="none"/>
        </w:rPr>
        <w:t>2021</w:t>
      </w:r>
      <w:r>
        <w:rPr>
          <w:rFonts w:hint="eastAsia" w:ascii="宋体" w:hAnsi="宋体"/>
          <w:b/>
          <w:color w:val="auto"/>
          <w:sz w:val="32"/>
          <w:szCs w:val="32"/>
          <w:highlight w:val="none"/>
        </w:rPr>
        <w:t>年</w:t>
      </w:r>
      <w:r>
        <w:rPr>
          <w:rFonts w:ascii="宋体" w:hAnsi="宋体"/>
          <w:b/>
          <w:color w:val="auto"/>
          <w:sz w:val="32"/>
          <w:szCs w:val="32"/>
          <w:highlight w:val="none"/>
        </w:rPr>
        <w:t>1</w:t>
      </w:r>
      <w:r>
        <w:rPr>
          <w:rFonts w:hint="eastAsia" w:ascii="宋体" w:hAnsi="宋体"/>
          <w:b/>
          <w:color w:val="auto"/>
          <w:sz w:val="32"/>
          <w:szCs w:val="32"/>
          <w:highlight w:val="none"/>
        </w:rPr>
        <w:t>1</w:t>
      </w:r>
      <w:r>
        <w:rPr>
          <w:rFonts w:ascii="宋体" w:hAnsi="宋体"/>
          <w:b/>
          <w:color w:val="auto"/>
          <w:sz w:val="32"/>
          <w:szCs w:val="32"/>
          <w:highlight w:val="none"/>
        </w:rPr>
        <w:t>月</w:t>
      </w:r>
    </w:p>
    <w:p>
      <w:pPr>
        <w:jc w:val="center"/>
        <w:rPr>
          <w:b/>
          <w:color w:val="auto"/>
          <w:sz w:val="30"/>
          <w:szCs w:val="30"/>
          <w:highlight w:val="none"/>
        </w:rPr>
        <w:sectPr>
          <w:headerReference r:id="rId3" w:type="default"/>
          <w:footerReference r:id="rId4" w:type="default"/>
          <w:pgSz w:w="11906" w:h="16838"/>
          <w:pgMar w:top="1440" w:right="1800" w:bottom="1440" w:left="1380" w:header="851" w:footer="992" w:gutter="0"/>
          <w:pgNumType w:fmt="decimal" w:start="1"/>
          <w:cols w:space="720" w:num="1"/>
          <w:docGrid w:type="lines" w:linePitch="312" w:charSpace="0"/>
        </w:sectPr>
      </w:pPr>
    </w:p>
    <w:p>
      <w:pPr>
        <w:jc w:val="center"/>
        <w:rPr>
          <w:rFonts w:ascii="方正小标宋_GBK" w:hAnsi="方正小标宋_GBK" w:eastAsia="方正小标宋_GBK" w:cs="方正小标宋_GBK"/>
          <w:b/>
          <w:color w:val="auto"/>
          <w:sz w:val="32"/>
          <w:szCs w:val="32"/>
          <w:highlight w:val="none"/>
        </w:rPr>
      </w:pPr>
      <w:r>
        <w:rPr>
          <w:rFonts w:hint="eastAsia" w:ascii="方正小标宋_GBK" w:hAnsi="方正小标宋_GBK" w:eastAsia="方正小标宋_GBK" w:cs="方正小标宋_GBK"/>
          <w:b/>
          <w:color w:val="auto"/>
          <w:sz w:val="32"/>
          <w:szCs w:val="32"/>
          <w:highlight w:val="none"/>
        </w:rPr>
        <w:t>沙溪庙主题服务区项目策划、空间规划及概念性方案设计</w:t>
      </w:r>
    </w:p>
    <w:p>
      <w:pPr>
        <w:jc w:val="center"/>
        <w:rPr>
          <w:rFonts w:ascii="方正小标宋_GBK" w:hAnsi="方正小标宋_GBK" w:eastAsia="方正小标宋_GBK" w:cs="方正小标宋_GBK"/>
          <w:b/>
          <w:color w:val="auto"/>
          <w:sz w:val="30"/>
          <w:szCs w:val="30"/>
          <w:highlight w:val="none"/>
        </w:rPr>
      </w:pPr>
      <w:r>
        <w:rPr>
          <w:rFonts w:hint="eastAsia" w:ascii="方正小标宋_GBK" w:hAnsi="方正小标宋_GBK" w:eastAsia="方正小标宋_GBK" w:cs="方正小标宋_GBK"/>
          <w:b/>
          <w:color w:val="auto"/>
          <w:sz w:val="32"/>
          <w:szCs w:val="32"/>
          <w:highlight w:val="none"/>
        </w:rPr>
        <w:t>比选文件</w:t>
      </w:r>
    </w:p>
    <w:p>
      <w:pPr>
        <w:spacing w:line="400" w:lineRule="exact"/>
        <w:ind w:firstLine="120" w:firstLineChars="50"/>
        <w:rPr>
          <w:rFonts w:ascii="宋体" w:hAnsi="宋体"/>
          <w:color w:val="auto"/>
          <w:sz w:val="24"/>
          <w:highlight w:val="none"/>
          <w:u w:val="single"/>
        </w:rPr>
      </w:pPr>
      <w:bookmarkStart w:id="0" w:name="_Toc179632536"/>
      <w:bookmarkStart w:id="1" w:name="_Toc296602410"/>
      <w:bookmarkStart w:id="2" w:name="_Toc152042295"/>
      <w:bookmarkStart w:id="3" w:name="_Toc246996166"/>
      <w:bookmarkStart w:id="4" w:name="_Toc144974487"/>
      <w:bookmarkStart w:id="5" w:name="_Toc247085680"/>
      <w:bookmarkStart w:id="6" w:name="_Toc152045519"/>
      <w:bookmarkStart w:id="7" w:name="_Toc246996909"/>
    </w:p>
    <w:bookmarkEnd w:id="0"/>
    <w:bookmarkEnd w:id="1"/>
    <w:bookmarkEnd w:id="2"/>
    <w:bookmarkEnd w:id="3"/>
    <w:bookmarkEnd w:id="4"/>
    <w:bookmarkEnd w:id="5"/>
    <w:bookmarkEnd w:id="6"/>
    <w:bookmarkEnd w:id="7"/>
    <w:p>
      <w:pPr>
        <w:wordWrap w:val="0"/>
        <w:spacing w:line="360" w:lineRule="auto"/>
        <w:jc w:val="left"/>
        <w:rPr>
          <w:rFonts w:ascii="宋体" w:hAnsi="宋体"/>
          <w:b/>
          <w:bCs/>
          <w:color w:val="auto"/>
          <w:sz w:val="24"/>
          <w:highlight w:val="none"/>
        </w:rPr>
      </w:pPr>
      <w:bookmarkStart w:id="8" w:name="_Toc152042297"/>
      <w:bookmarkStart w:id="9" w:name="_Toc144974489"/>
      <w:bookmarkStart w:id="10" w:name="_Toc246996168"/>
      <w:bookmarkStart w:id="11" w:name="_Toc296602412"/>
      <w:bookmarkStart w:id="12" w:name="_Toc247085682"/>
      <w:bookmarkStart w:id="13" w:name="_Toc246996911"/>
      <w:bookmarkStart w:id="14" w:name="_Toc179632538"/>
      <w:bookmarkStart w:id="15" w:name="_Toc152045521"/>
      <w:r>
        <w:rPr>
          <w:rFonts w:hint="eastAsia" w:ascii="宋体" w:hAnsi="宋体"/>
          <w:b/>
          <w:bCs/>
          <w:color w:val="auto"/>
          <w:sz w:val="24"/>
          <w:highlight w:val="none"/>
        </w:rPr>
        <w:t>各比选投标人：</w:t>
      </w:r>
    </w:p>
    <w:p>
      <w:pPr>
        <w:wordWrap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根据市政府和高速集团交旅融合部署和要求，我司结合资源条件，拟对沙溪庙主题服务区项目策划、空间规划及概念性方案设计开展竞争性比选工作，请符合条件的单位参与比选投标。</w:t>
      </w:r>
    </w:p>
    <w:p>
      <w:pPr>
        <w:spacing w:line="360" w:lineRule="auto"/>
        <w:rPr>
          <w:rFonts w:ascii="宋体" w:hAnsi="宋体"/>
          <w:color w:val="auto"/>
          <w:sz w:val="24"/>
          <w:highlight w:val="none"/>
        </w:rPr>
      </w:pPr>
      <w:bookmarkStart w:id="16" w:name="_Toc246996910"/>
      <w:bookmarkStart w:id="17" w:name="_Toc152045520"/>
      <w:bookmarkStart w:id="18" w:name="_Toc144974488"/>
      <w:bookmarkStart w:id="19" w:name="_Toc179632537"/>
      <w:bookmarkStart w:id="20" w:name="_Toc247085681"/>
      <w:bookmarkStart w:id="21" w:name="_Toc152042296"/>
      <w:bookmarkStart w:id="22" w:name="_Toc296602411"/>
      <w:bookmarkStart w:id="23" w:name="_Toc246996167"/>
      <w:r>
        <w:rPr>
          <w:rFonts w:hint="eastAsia" w:ascii="宋体" w:hAnsi="宋体"/>
          <w:b/>
          <w:color w:val="auto"/>
          <w:sz w:val="24"/>
          <w:highlight w:val="none"/>
        </w:rPr>
        <w:t>一、资源概况与比选</w:t>
      </w:r>
      <w:bookmarkEnd w:id="16"/>
      <w:bookmarkEnd w:id="17"/>
      <w:bookmarkEnd w:id="18"/>
      <w:bookmarkEnd w:id="19"/>
      <w:bookmarkEnd w:id="20"/>
      <w:bookmarkEnd w:id="21"/>
      <w:bookmarkEnd w:id="22"/>
      <w:bookmarkEnd w:id="23"/>
      <w:r>
        <w:rPr>
          <w:rFonts w:hint="eastAsia" w:ascii="宋体" w:hAnsi="宋体"/>
          <w:b/>
          <w:color w:val="auto"/>
          <w:sz w:val="24"/>
          <w:highlight w:val="none"/>
        </w:rPr>
        <w:t>标的内容等</w:t>
      </w:r>
    </w:p>
    <w:p>
      <w:pPr>
        <w:pStyle w:val="8"/>
        <w:adjustRightInd w:val="0"/>
        <w:snapToGrid w:val="0"/>
        <w:spacing w:before="0" w:beforeAutospacing="0" w:after="0" w:afterAutospacing="0" w:line="560" w:lineRule="exact"/>
        <w:ind w:firstLine="562"/>
        <w:jc w:val="both"/>
        <w:rPr>
          <w:color w:val="auto"/>
          <w:highlight w:val="none"/>
        </w:rPr>
      </w:pPr>
      <w:r>
        <w:rPr>
          <w:color w:val="auto"/>
          <w:highlight w:val="none"/>
        </w:rPr>
        <w:t xml:space="preserve">1. </w:t>
      </w:r>
      <w:r>
        <w:rPr>
          <w:rFonts w:hint="eastAsia"/>
          <w:color w:val="auto"/>
          <w:highlight w:val="none"/>
        </w:rPr>
        <w:t>资源概况：高速集团在合川沙溪庙巨梁沱半岛现有交通划拨用地一块，位于渝武高速公路合川沙溪嘉陵江大桥南侧，距离重庆主城40公里，距离北碚16公里，距离合川城区9公里，总办证面积约347亩。</w:t>
      </w:r>
    </w:p>
    <w:p>
      <w:pPr>
        <w:pStyle w:val="8"/>
        <w:adjustRightInd w:val="0"/>
        <w:snapToGrid w:val="0"/>
        <w:spacing w:before="0" w:beforeAutospacing="0" w:after="0" w:afterAutospacing="0" w:line="560" w:lineRule="exact"/>
        <w:ind w:firstLine="562"/>
        <w:jc w:val="both"/>
        <w:rPr>
          <w:color w:val="auto"/>
          <w:highlight w:val="none"/>
        </w:rPr>
      </w:pPr>
      <w:r>
        <w:rPr>
          <w:rFonts w:hint="eastAsia"/>
          <w:color w:val="auto"/>
          <w:highlight w:val="none"/>
        </w:rPr>
        <w:t>该地块沿渝武高速公路在合川沙溪庙巨梁沱半岛的路基段长度约410m，所处位置前后有两座互通式立交，其中向南距离盐井互通1公里左右，向北距离沙溪互通1.3公里左右。地块北侧紧邻沙溪庙嘉陵江大桥主桥（180+180m的预应力砼单塔双索面斜拉桥，重庆方向引桥为3x30m预应力砼简支T梁桥）；地块南侧紧邻巨梁沱大桥为左幅15x30m、右幅14x30m的预应力砼空心板梁桥。该地块紧邻合川信息安全产业城，</w:t>
      </w:r>
      <w:r>
        <w:rPr>
          <w:rFonts w:hint="eastAsia"/>
          <w:color w:val="auto"/>
          <w:highlight w:val="none"/>
          <w:lang w:eastAsia="zh-CN"/>
        </w:rPr>
        <w:t>旁边为</w:t>
      </w:r>
      <w:r>
        <w:rPr>
          <w:rFonts w:hint="eastAsia"/>
          <w:color w:val="auto"/>
          <w:highlight w:val="none"/>
        </w:rPr>
        <w:t>巨梁沱半互通立交，三面被嘉陵江环绕形成半岛，具有绝佳的江景资源。</w:t>
      </w:r>
    </w:p>
    <w:p>
      <w:pPr>
        <w:numPr>
          <w:ilvl w:val="0"/>
          <w:numId w:val="1"/>
        </w:numPr>
        <w:spacing w:line="360" w:lineRule="auto"/>
        <w:ind w:firstLine="360" w:firstLineChars="150"/>
        <w:rPr>
          <w:rFonts w:ascii="宋体" w:hAnsi="宋体"/>
          <w:color w:val="auto"/>
          <w:sz w:val="24"/>
          <w:highlight w:val="none"/>
        </w:rPr>
      </w:pPr>
      <w:r>
        <w:rPr>
          <w:rFonts w:hint="eastAsia" w:ascii="宋体" w:hAnsi="宋体" w:eastAsia="微软雅黑" w:cs="Times New Roman"/>
          <w:color w:val="auto"/>
          <w:kern w:val="0"/>
          <w:sz w:val="24"/>
          <w:szCs w:val="24"/>
          <w:highlight w:val="none"/>
          <w:lang w:val="en-US" w:eastAsia="zh-CN" w:bidi="ar-SA"/>
        </w:rPr>
        <w:t>比选标的</w:t>
      </w:r>
      <w:r>
        <w:rPr>
          <w:rFonts w:hint="eastAsia" w:ascii="宋体" w:hAnsi="宋体"/>
          <w:color w:val="auto"/>
          <w:sz w:val="24"/>
          <w:highlight w:val="none"/>
        </w:rPr>
        <w:t>内容：沙溪庙主题服务区项目策划、空间规划及概念性方案设计。具体要求：一是服务区交通规划及概念性方案（重点为与增设该服务区相关的高速公路车道，并不削弱巨梁沱立交现有高速公路出入口功能，应提供2个及以上方案供择优比选）；二是服务区建筑空间规划及概念性方案，包括土地现状分析、水岸水体特征分析、GIS与生态分析、空间布局理念、空间规划方案、平面布置方案、外立面形象规划、室内外空间效果方案等方面；三是服务区功能定位和业态策划，包括背景分析、资源分析、市场分析、关联性分析、项目策划理念、运作模式、服务区主题及特色策划、商业策划、项目体系构建、产品策划、消费场景打造、旅游线路组织等方面；四是技术经济分析，包括投资估算、财务评价、项目经济指标测算；五是建议部分，包括高速公路收费政策影响分析及建议、可持续发展政策建议、生态环境保护建议、旅游市场营销策划建议、项目建设规避风险建议等方面。以上各方面均需形成全面准确的策划、规划、分析、测算、结论和建议等成果，中标人（策划设计人）提交资料成果后仍有义务配合发包人完善有关项目建设手续。</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二、投标人资质资格条件要求</w:t>
      </w:r>
    </w:p>
    <w:bookmarkEnd w:id="8"/>
    <w:bookmarkEnd w:id="9"/>
    <w:bookmarkEnd w:id="10"/>
    <w:bookmarkEnd w:id="11"/>
    <w:bookmarkEnd w:id="12"/>
    <w:bookmarkEnd w:id="13"/>
    <w:bookmarkEnd w:id="14"/>
    <w:bookmarkEnd w:id="15"/>
    <w:p>
      <w:pPr>
        <w:spacing w:line="360" w:lineRule="auto"/>
        <w:ind w:firstLine="420" w:firstLineChars="175"/>
        <w:rPr>
          <w:rFonts w:ascii="宋体" w:hAnsi="宋体"/>
          <w:color w:val="auto"/>
          <w:sz w:val="24"/>
          <w:highlight w:val="none"/>
        </w:rPr>
      </w:pPr>
      <w:bookmarkStart w:id="24" w:name="_Toc296602413"/>
      <w:bookmarkStart w:id="25" w:name="_Toc152042298"/>
      <w:bookmarkStart w:id="26" w:name="_Toc247085683"/>
      <w:bookmarkStart w:id="27" w:name="_Toc246996912"/>
      <w:bookmarkStart w:id="28" w:name="_Toc179632539"/>
      <w:bookmarkStart w:id="29" w:name="_Toc246996169"/>
      <w:bookmarkStart w:id="30" w:name="_Toc144974490"/>
      <w:bookmarkStart w:id="31" w:name="_Toc152045522"/>
      <w:r>
        <w:rPr>
          <w:rFonts w:ascii="宋体" w:hAnsi="宋体"/>
          <w:color w:val="auto"/>
          <w:sz w:val="24"/>
          <w:highlight w:val="none"/>
        </w:rPr>
        <w:t>1.</w:t>
      </w:r>
      <w:r>
        <w:rPr>
          <w:rFonts w:hint="eastAsia" w:ascii="宋体" w:hAnsi="宋体"/>
          <w:color w:val="auto"/>
          <w:sz w:val="24"/>
          <w:highlight w:val="none"/>
        </w:rPr>
        <w:t>具有企业法人资格，有效的营业执照，企业信用良好，具有建设行政主管部门颁发的工程设计公路行业甲级和建筑行业（建筑工程）设计丙级及以上资质，同时具备工程咨询甲级资格或工程咨询单位甲级咨信证书（公路工程，中国工程咨询协会颁发）。</w:t>
      </w:r>
    </w:p>
    <w:p>
      <w:pPr>
        <w:spacing w:line="360" w:lineRule="auto"/>
        <w:ind w:firstLine="420" w:firstLineChars="175"/>
        <w:rPr>
          <w:rFonts w:ascii="宋体" w:hAnsi="宋体"/>
          <w:color w:val="auto"/>
          <w:sz w:val="24"/>
          <w:highlight w:val="none"/>
        </w:rPr>
      </w:pPr>
      <w:r>
        <w:rPr>
          <w:rFonts w:ascii="宋体" w:hAnsi="宋体"/>
          <w:color w:val="auto"/>
          <w:sz w:val="24"/>
          <w:highlight w:val="none"/>
        </w:rPr>
        <w:t>2.公司注册资本金不低于</w:t>
      </w:r>
      <w:r>
        <w:rPr>
          <w:rFonts w:hint="eastAsia" w:ascii="宋体" w:hAnsi="宋体"/>
          <w:color w:val="auto"/>
          <w:sz w:val="24"/>
          <w:highlight w:val="none"/>
        </w:rPr>
        <w:t>500</w:t>
      </w:r>
      <w:r>
        <w:rPr>
          <w:rFonts w:ascii="宋体" w:hAnsi="宋体"/>
          <w:color w:val="auto"/>
          <w:sz w:val="24"/>
          <w:highlight w:val="none"/>
        </w:rPr>
        <w:t>万</w:t>
      </w:r>
      <w:r>
        <w:rPr>
          <w:rFonts w:hint="eastAsia" w:ascii="宋体" w:hAnsi="宋体"/>
          <w:color w:val="auto"/>
          <w:sz w:val="24"/>
          <w:highlight w:val="none"/>
        </w:rPr>
        <w:t>元</w:t>
      </w:r>
      <w:r>
        <w:rPr>
          <w:rFonts w:ascii="宋体" w:hAnsi="宋体"/>
          <w:color w:val="auto"/>
          <w:sz w:val="24"/>
          <w:highlight w:val="none"/>
        </w:rPr>
        <w:t>。</w:t>
      </w:r>
    </w:p>
    <w:p>
      <w:pPr>
        <w:spacing w:line="360" w:lineRule="auto"/>
        <w:ind w:firstLine="420" w:firstLineChars="175"/>
        <w:rPr>
          <w:rFonts w:ascii="宋体" w:hAnsi="宋体"/>
          <w:color w:val="auto"/>
          <w:sz w:val="24"/>
          <w:highlight w:val="none"/>
        </w:rPr>
      </w:pPr>
      <w:r>
        <w:rPr>
          <w:rFonts w:ascii="宋体" w:hAnsi="宋体"/>
          <w:color w:val="auto"/>
          <w:sz w:val="24"/>
          <w:highlight w:val="none"/>
        </w:rPr>
        <w:t>3.业绩要求：</w:t>
      </w:r>
      <w:r>
        <w:rPr>
          <w:rFonts w:hint="eastAsia" w:ascii="宋体" w:hAnsi="宋体"/>
          <w:color w:val="auto"/>
          <w:sz w:val="24"/>
          <w:highlight w:val="none"/>
        </w:rPr>
        <w:t>2016年11月1日起至投标截止之日，独立完成1个及以上的高速公路（含服务区）方案设计、工程可行性研究、项目策划，或有关文旅、交旅或高速公路特色服务区项目策划。</w:t>
      </w:r>
    </w:p>
    <w:p>
      <w:pPr>
        <w:spacing w:line="360" w:lineRule="auto"/>
        <w:ind w:firstLine="420" w:firstLineChars="175"/>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本次比选接受联合体投标</w:t>
      </w:r>
      <w:r>
        <w:rPr>
          <w:rFonts w:hint="eastAsia" w:ascii="宋体" w:hAnsi="宋体"/>
          <w:color w:val="auto"/>
          <w:sz w:val="24"/>
          <w:highlight w:val="none"/>
          <w:lang w:eastAsia="zh-CN"/>
        </w:rPr>
        <w:t>。</w:t>
      </w:r>
    </w:p>
    <w:p>
      <w:pPr>
        <w:spacing w:line="360" w:lineRule="auto"/>
        <w:ind w:firstLine="420" w:firstLineChars="175"/>
        <w:rPr>
          <w:rFonts w:ascii="宋体" w:hAnsi="宋体"/>
          <w:color w:val="auto"/>
          <w:sz w:val="24"/>
          <w:highlight w:val="none"/>
        </w:rPr>
      </w:pPr>
      <w:r>
        <w:rPr>
          <w:rFonts w:hint="eastAsia" w:ascii="宋体" w:hAnsi="宋体"/>
          <w:color w:val="auto"/>
          <w:sz w:val="24"/>
          <w:highlight w:val="none"/>
        </w:rPr>
        <w:t>联合体内部成员不超过两家，需签订联合体协议进行分工并明确牵头人，其中负责交通规划+建筑空间规划的单位需具备工程设计公路行业甲级和建筑行业（建筑工程）设计丙级及以上资质，同时具备工程咨询甲级资格或工程咨询单位甲级咨信证书（道路工程，中国工程咨询协会颁发）。</w:t>
      </w:r>
    </w:p>
    <w:p>
      <w:pPr>
        <w:numPr>
          <w:ilvl w:val="0"/>
          <w:numId w:val="2"/>
        </w:numPr>
        <w:spacing w:line="360" w:lineRule="auto"/>
        <w:ind w:firstLine="420" w:firstLineChars="175"/>
        <w:rPr>
          <w:rFonts w:ascii="宋体" w:hAnsi="宋体"/>
          <w:color w:val="auto"/>
          <w:sz w:val="24"/>
          <w:highlight w:val="none"/>
        </w:rPr>
      </w:pPr>
      <w:r>
        <w:rPr>
          <w:rFonts w:hint="eastAsia" w:ascii="宋体" w:hAnsi="宋体"/>
          <w:color w:val="auto"/>
          <w:sz w:val="24"/>
          <w:highlight w:val="none"/>
        </w:rPr>
        <w:t>主要人员最低要求：</w:t>
      </w:r>
    </w:p>
    <w:p>
      <w:pPr>
        <w:spacing w:line="360" w:lineRule="auto"/>
        <w:rPr>
          <w:rFonts w:ascii="宋体" w:hAnsi="宋体"/>
          <w:color w:val="auto"/>
          <w:sz w:val="24"/>
          <w:highlight w:val="none"/>
        </w:rPr>
      </w:pPr>
      <w:r>
        <w:rPr>
          <w:rFonts w:hint="eastAsia" w:ascii="宋体" w:hAnsi="宋体"/>
          <w:color w:val="auto"/>
          <w:sz w:val="24"/>
          <w:highlight w:val="none"/>
        </w:rPr>
        <w:t xml:space="preserve">     （1）项目负责人：高级工程师，具有5年以上(含5年)高速公路土建勘察设计工作经验,近5年内（2016年11月1日起至投标截止之日）担任过1座(含1座)类似本项目条件的高速公路服务区或互通式立交工程勘察设计项目负责人。</w:t>
      </w:r>
    </w:p>
    <w:p>
      <w:pPr>
        <w:spacing w:line="360" w:lineRule="auto"/>
        <w:rPr>
          <w:rFonts w:ascii="宋体" w:hAnsi="宋体"/>
          <w:color w:val="auto"/>
          <w:sz w:val="24"/>
          <w:highlight w:val="none"/>
        </w:rPr>
      </w:pPr>
      <w:r>
        <w:rPr>
          <w:rFonts w:hint="eastAsia" w:ascii="宋体" w:hAnsi="宋体"/>
          <w:color w:val="auto"/>
          <w:sz w:val="24"/>
          <w:highlight w:val="none"/>
        </w:rPr>
        <w:t xml:space="preserve">     （2）交通专业负责人（至少包含道路、桥梁、建筑、造价专业）：工程师，近5年内（2016年11月1日起至投标截止之日）主持过类似本项目条件的高速公路服务区或互通式立交工程相应专业的勘察设计工作。</w:t>
      </w:r>
    </w:p>
    <w:p>
      <w:pPr>
        <w:numPr>
          <w:ilvl w:val="0"/>
          <w:numId w:val="2"/>
        </w:numPr>
        <w:spacing w:line="360" w:lineRule="auto"/>
        <w:ind w:firstLine="420" w:firstLineChars="175"/>
        <w:rPr>
          <w:rFonts w:ascii="宋体" w:hAnsi="宋体"/>
          <w:color w:val="auto"/>
          <w:sz w:val="24"/>
          <w:highlight w:val="none"/>
        </w:rPr>
      </w:pPr>
      <w:r>
        <w:rPr>
          <w:rFonts w:hint="eastAsia" w:ascii="宋体" w:hAnsi="宋体"/>
          <w:color w:val="auto"/>
          <w:sz w:val="24"/>
          <w:highlight w:val="none"/>
        </w:rPr>
        <w:t>企业信用要求：</w:t>
      </w:r>
    </w:p>
    <w:p>
      <w:pPr>
        <w:spacing w:line="360" w:lineRule="auto"/>
        <w:ind w:firstLine="420" w:firstLineChars="175"/>
        <w:rPr>
          <w:rFonts w:ascii="宋体" w:hAnsi="宋体"/>
          <w:color w:val="auto"/>
          <w:sz w:val="24"/>
          <w:highlight w:val="none"/>
        </w:rPr>
      </w:pPr>
      <w:r>
        <w:rPr>
          <w:rFonts w:hint="eastAsia" w:ascii="宋体" w:hAnsi="宋体"/>
          <w:color w:val="auto"/>
          <w:sz w:val="24"/>
          <w:highlight w:val="none"/>
        </w:rPr>
        <w:t>（1）投标申请人未处于被责令停业，投标资格被取消，财产被接管、冻结、破产状态；</w:t>
      </w:r>
    </w:p>
    <w:p>
      <w:pPr>
        <w:spacing w:line="360" w:lineRule="auto"/>
        <w:ind w:firstLine="420" w:firstLineChars="175"/>
        <w:rPr>
          <w:rFonts w:ascii="宋体" w:hAnsi="宋体"/>
          <w:color w:val="auto"/>
          <w:sz w:val="24"/>
          <w:highlight w:val="none"/>
        </w:rPr>
      </w:pPr>
      <w:r>
        <w:rPr>
          <w:rFonts w:hint="eastAsia" w:ascii="宋体" w:hAnsi="宋体"/>
          <w:color w:val="auto"/>
          <w:sz w:val="24"/>
          <w:highlight w:val="none"/>
        </w:rPr>
        <w:t>（2）投标申请人2016年以来未因发生过重大安全责任事故或重大质量事故、或重大合同纠纷被交通运输部或重庆市交通委员会通报过且目前正处于处罚期内；</w:t>
      </w:r>
    </w:p>
    <w:p>
      <w:pPr>
        <w:spacing w:line="360" w:lineRule="auto"/>
        <w:ind w:firstLine="420" w:firstLineChars="175"/>
        <w:rPr>
          <w:rFonts w:ascii="宋体" w:hAnsi="宋体"/>
          <w:color w:val="auto"/>
          <w:sz w:val="24"/>
          <w:highlight w:val="none"/>
        </w:rPr>
      </w:pPr>
      <w:r>
        <w:rPr>
          <w:rFonts w:hint="eastAsia" w:ascii="宋体" w:hAnsi="宋体"/>
          <w:color w:val="auto"/>
          <w:sz w:val="24"/>
          <w:highlight w:val="none"/>
        </w:rPr>
        <w:t>（3）投标申请人2016年以来未因发生骗取中标、或严重违约、或工程质量问题、或其它原因被交通运输部或重庆市交通委员会处罚且目前正处于处罚期内；</w:t>
      </w:r>
    </w:p>
    <w:p>
      <w:pPr>
        <w:spacing w:line="360" w:lineRule="auto"/>
        <w:ind w:firstLine="420" w:firstLineChars="175"/>
        <w:rPr>
          <w:rFonts w:ascii="宋体" w:hAnsi="宋体"/>
          <w:color w:val="auto"/>
          <w:sz w:val="24"/>
          <w:highlight w:val="none"/>
        </w:rPr>
      </w:pPr>
      <w:r>
        <w:rPr>
          <w:rFonts w:hint="eastAsia" w:ascii="宋体" w:hAnsi="宋体"/>
          <w:color w:val="auto"/>
          <w:sz w:val="24"/>
          <w:highlight w:val="none"/>
        </w:rPr>
        <w:t>（4）投标申请人2016年以来未因行贿受贿等重大违法违纪行为被列入重庆市检察院行贿受贿名单且目前正处于处罚期内；</w:t>
      </w:r>
    </w:p>
    <w:p>
      <w:pPr>
        <w:spacing w:line="360" w:lineRule="auto"/>
        <w:ind w:firstLine="420" w:firstLineChars="175"/>
        <w:rPr>
          <w:rFonts w:ascii="宋体" w:hAnsi="宋体"/>
          <w:color w:val="auto"/>
          <w:sz w:val="24"/>
          <w:highlight w:val="none"/>
        </w:rPr>
      </w:pPr>
      <w:r>
        <w:rPr>
          <w:rFonts w:hint="eastAsia" w:ascii="宋体" w:hAnsi="宋体"/>
          <w:color w:val="auto"/>
          <w:sz w:val="24"/>
          <w:highlight w:val="none"/>
        </w:rPr>
        <w:t>（6）在“信用中国” 网站（ http://www.creditchina.gov.cn/ ） 中被列入失信被执行人名单（黑名单）的单位，不得参加比选。</w:t>
      </w:r>
    </w:p>
    <w:p>
      <w:pPr>
        <w:spacing w:line="360" w:lineRule="auto"/>
        <w:ind w:firstLine="420" w:firstLineChars="175"/>
        <w:rPr>
          <w:rFonts w:ascii="宋体" w:hAnsi="宋体"/>
          <w:color w:val="auto"/>
          <w:sz w:val="24"/>
          <w:highlight w:val="none"/>
        </w:rPr>
      </w:pPr>
      <w:r>
        <w:rPr>
          <w:rFonts w:hint="eastAsia" w:ascii="宋体" w:hAnsi="宋体"/>
          <w:color w:val="auto"/>
          <w:sz w:val="24"/>
          <w:highlight w:val="none"/>
        </w:rPr>
        <w:t>注：须提供业绩证明材料</w:t>
      </w:r>
      <w:r>
        <w:rPr>
          <w:rFonts w:hint="eastAsia" w:ascii="宋体" w:hAnsi="宋体"/>
          <w:color w:val="auto"/>
          <w:sz w:val="24"/>
          <w:highlight w:val="none"/>
          <w:lang w:eastAsia="zh-CN"/>
        </w:rPr>
        <w:t>。企业业绩为有效的合同、工程交工（竣工）验收文件或政府管理部门文件；人员业绩为有效的合同、工程交工（竣工）验收文件、政府管理部门或行业协会颁发的证书、政府管理部门文件、</w:t>
      </w:r>
      <w:r>
        <w:rPr>
          <w:rFonts w:hint="eastAsia" w:ascii="宋体" w:hAnsi="宋体"/>
          <w:color w:val="auto"/>
          <w:sz w:val="24"/>
          <w:highlight w:val="none"/>
        </w:rPr>
        <w:t>业主证明材料</w:t>
      </w:r>
      <w:r>
        <w:rPr>
          <w:rFonts w:hint="eastAsia" w:ascii="宋体" w:hAnsi="宋体"/>
          <w:color w:val="auto"/>
          <w:sz w:val="24"/>
          <w:highlight w:val="none"/>
          <w:lang w:eastAsia="zh-CN"/>
        </w:rPr>
        <w:t>或投标人单位证明。</w:t>
      </w:r>
      <w:r>
        <w:rPr>
          <w:rFonts w:hint="eastAsia" w:ascii="宋体" w:hAnsi="宋体"/>
          <w:color w:val="auto"/>
          <w:sz w:val="24"/>
          <w:highlight w:val="none"/>
        </w:rPr>
        <w:t>业绩证明材料</w:t>
      </w:r>
      <w:r>
        <w:rPr>
          <w:rFonts w:hint="eastAsia" w:ascii="宋体" w:hAnsi="宋体"/>
          <w:color w:val="auto"/>
          <w:sz w:val="24"/>
          <w:highlight w:val="none"/>
          <w:lang w:eastAsia="zh-CN"/>
        </w:rPr>
        <w:t>均应</w:t>
      </w:r>
      <w:r>
        <w:rPr>
          <w:rFonts w:hint="eastAsia" w:ascii="宋体" w:hAnsi="宋体"/>
          <w:color w:val="auto"/>
          <w:sz w:val="24"/>
          <w:highlight w:val="none"/>
        </w:rPr>
        <w:t>加盖投标单位公章</w:t>
      </w:r>
      <w:r>
        <w:rPr>
          <w:rFonts w:hint="eastAsia" w:ascii="宋体" w:hAnsi="宋体"/>
          <w:color w:val="auto"/>
          <w:sz w:val="24"/>
          <w:highlight w:val="none"/>
          <w:lang w:eastAsia="zh-CN"/>
        </w:rPr>
        <w:t>（为鲜章）</w:t>
      </w:r>
      <w:r>
        <w:rPr>
          <w:rFonts w:hint="eastAsia" w:ascii="宋体" w:hAnsi="宋体"/>
          <w:color w:val="auto"/>
          <w:sz w:val="24"/>
          <w:highlight w:val="none"/>
        </w:rPr>
        <w:t>。</w:t>
      </w:r>
    </w:p>
    <w:p>
      <w:pPr>
        <w:pStyle w:val="2"/>
        <w:rPr>
          <w:color w:val="auto"/>
          <w:highlight w:val="none"/>
        </w:rPr>
      </w:pPr>
    </w:p>
    <w:p>
      <w:pPr>
        <w:shd w:val="clear" w:color="auto" w:fill="FFFFFF"/>
        <w:adjustRightInd w:val="0"/>
        <w:spacing w:line="360" w:lineRule="auto"/>
        <w:ind w:right="-153" w:rightChars="-73"/>
        <w:jc w:val="left"/>
        <w:textAlignment w:val="baseline"/>
        <w:outlineLvl w:val="2"/>
        <w:rPr>
          <w:b/>
          <w:bCs/>
          <w:color w:val="auto"/>
          <w:kern w:val="0"/>
          <w:sz w:val="24"/>
          <w:highlight w:val="none"/>
        </w:rPr>
      </w:pPr>
      <w:r>
        <w:rPr>
          <w:rFonts w:hint="eastAsia"/>
          <w:b/>
          <w:bCs/>
          <w:color w:val="auto"/>
          <w:kern w:val="0"/>
          <w:sz w:val="24"/>
          <w:highlight w:val="none"/>
        </w:rPr>
        <w:t>三</w:t>
      </w:r>
      <w:r>
        <w:rPr>
          <w:b/>
          <w:bCs/>
          <w:color w:val="auto"/>
          <w:kern w:val="0"/>
          <w:sz w:val="24"/>
          <w:highlight w:val="none"/>
        </w:rPr>
        <w:t>、</w:t>
      </w:r>
      <w:bookmarkStart w:id="32" w:name="_Toc318371029"/>
      <w:r>
        <w:rPr>
          <w:rFonts w:hint="eastAsia"/>
          <w:b/>
          <w:bCs/>
          <w:color w:val="auto"/>
          <w:kern w:val="0"/>
          <w:sz w:val="24"/>
          <w:highlight w:val="none"/>
        </w:rPr>
        <w:t>保证金、现场踏勘和情况调查、</w:t>
      </w:r>
      <w:r>
        <w:rPr>
          <w:b/>
          <w:bCs/>
          <w:color w:val="auto"/>
          <w:kern w:val="0"/>
          <w:sz w:val="24"/>
          <w:highlight w:val="none"/>
        </w:rPr>
        <w:t>比选</w:t>
      </w:r>
      <w:r>
        <w:rPr>
          <w:rFonts w:hint="eastAsia"/>
          <w:b/>
          <w:bCs/>
          <w:color w:val="auto"/>
          <w:kern w:val="0"/>
          <w:sz w:val="24"/>
          <w:highlight w:val="none"/>
        </w:rPr>
        <w:t>费用、成果要求、投标限价、有关事务等</w:t>
      </w:r>
      <w:r>
        <w:rPr>
          <w:b/>
          <w:bCs/>
          <w:color w:val="auto"/>
          <w:kern w:val="0"/>
          <w:sz w:val="24"/>
          <w:highlight w:val="none"/>
        </w:rPr>
        <w:t>须知</w:t>
      </w:r>
      <w:bookmarkEnd w:id="32"/>
    </w:p>
    <w:p>
      <w:pPr>
        <w:numPr>
          <w:ilvl w:val="0"/>
          <w:numId w:val="0"/>
        </w:numPr>
        <w:spacing w:line="360" w:lineRule="auto"/>
        <w:rPr>
          <w:rFonts w:hint="eastAsia" w:ascii="宋体" w:hAnsi="宋体"/>
          <w:color w:val="auto"/>
          <w:sz w:val="24"/>
          <w:szCs w:val="24"/>
          <w:highlight w:val="none"/>
          <w:lang w:val="en-US" w:eastAsia="zh-CN"/>
        </w:rPr>
      </w:pPr>
      <w:r>
        <w:rPr>
          <w:rFonts w:hint="eastAsia" w:ascii="宋体" w:hAnsi="宋体"/>
          <w:color w:val="auto"/>
          <w:sz w:val="24"/>
          <w:highlight w:val="none"/>
        </w:rPr>
        <w:t xml:space="preserve">     1.</w:t>
      </w:r>
      <w:r>
        <w:rPr>
          <w:rFonts w:hint="eastAsia" w:ascii="宋体" w:hAnsi="宋体"/>
          <w:color w:val="auto"/>
          <w:sz w:val="24"/>
          <w:szCs w:val="24"/>
          <w:highlight w:val="none"/>
          <w:lang w:val="en-US" w:eastAsia="zh-CN"/>
        </w:rPr>
        <w:t>本比选投标保证金为2万元，投标人在递交投标书前，应从其基本账户一次性汇入比选人指定帐户，否则视为放弃投标。中标人的投标保证金在本标的签约后自动转为履约保证金，履约完成后退还。</w:t>
      </w:r>
    </w:p>
    <w:p>
      <w:pPr>
        <w:numPr>
          <w:ilvl w:val="0"/>
          <w:numId w:val="0"/>
        </w:numPr>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比选投标保证金收款信息：</w:t>
      </w:r>
    </w:p>
    <w:p>
      <w:pPr>
        <w:numPr>
          <w:ilvl w:val="0"/>
          <w:numId w:val="0"/>
        </w:numPr>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比选人全称：重庆高速公路土地整治有限公司</w:t>
      </w:r>
    </w:p>
    <w:p>
      <w:pPr>
        <w:numPr>
          <w:ilvl w:val="0"/>
          <w:numId w:val="0"/>
        </w:numPr>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地址、电话：重庆市两江新区人和香锦路4号7楼 023-88636737</w:t>
      </w:r>
    </w:p>
    <w:p>
      <w:pPr>
        <w:numPr>
          <w:ilvl w:val="0"/>
          <w:numId w:val="0"/>
        </w:numPr>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开户银行：兴业银行重庆市分行营业部</w:t>
      </w:r>
    </w:p>
    <w:p>
      <w:pPr>
        <w:numPr>
          <w:ilvl w:val="0"/>
          <w:numId w:val="0"/>
        </w:numPr>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开户账号：346010100100517118</w:t>
      </w:r>
    </w:p>
    <w:p>
      <w:pPr>
        <w:spacing w:line="360" w:lineRule="auto"/>
        <w:ind w:firstLine="600" w:firstLineChars="250"/>
        <w:rPr>
          <w:color w:val="auto"/>
          <w:kern w:val="0"/>
          <w:sz w:val="24"/>
          <w:highlight w:val="none"/>
        </w:rPr>
      </w:pPr>
      <w:r>
        <w:rPr>
          <w:rFonts w:hint="eastAsia"/>
          <w:color w:val="auto"/>
          <w:kern w:val="0"/>
          <w:sz w:val="24"/>
          <w:highlight w:val="none"/>
        </w:rPr>
        <w:t>2.</w:t>
      </w:r>
      <w:r>
        <w:rPr>
          <w:color w:val="auto"/>
          <w:kern w:val="0"/>
          <w:sz w:val="24"/>
          <w:highlight w:val="none"/>
        </w:rPr>
        <w:t>无论</w:t>
      </w:r>
      <w:r>
        <w:rPr>
          <w:rFonts w:hint="eastAsia"/>
          <w:color w:val="auto"/>
          <w:kern w:val="0"/>
          <w:sz w:val="24"/>
          <w:highlight w:val="none"/>
        </w:rPr>
        <w:t>投标人</w:t>
      </w:r>
      <w:r>
        <w:rPr>
          <w:color w:val="auto"/>
          <w:kern w:val="0"/>
          <w:sz w:val="24"/>
          <w:highlight w:val="none"/>
        </w:rPr>
        <w:t>是否被选择，竞争比选涉及的一切费用均由投标</w:t>
      </w:r>
      <w:r>
        <w:rPr>
          <w:rFonts w:hint="eastAsia"/>
          <w:color w:val="auto"/>
          <w:kern w:val="0"/>
          <w:sz w:val="24"/>
          <w:highlight w:val="none"/>
        </w:rPr>
        <w:t>人</w:t>
      </w:r>
      <w:r>
        <w:rPr>
          <w:color w:val="auto"/>
          <w:kern w:val="0"/>
          <w:sz w:val="24"/>
          <w:highlight w:val="none"/>
        </w:rPr>
        <w:t>自理，其比选</w:t>
      </w:r>
      <w:r>
        <w:rPr>
          <w:rFonts w:hint="eastAsia"/>
          <w:color w:val="auto"/>
          <w:kern w:val="0"/>
          <w:sz w:val="24"/>
          <w:highlight w:val="none"/>
        </w:rPr>
        <w:t>投标</w:t>
      </w:r>
      <w:r>
        <w:rPr>
          <w:color w:val="auto"/>
          <w:kern w:val="0"/>
          <w:sz w:val="24"/>
          <w:highlight w:val="none"/>
        </w:rPr>
        <w:t>文件均不退还。</w:t>
      </w:r>
    </w:p>
    <w:p>
      <w:pPr>
        <w:shd w:val="clear" w:color="auto" w:fill="FFFFFF"/>
        <w:adjustRightInd w:val="0"/>
        <w:spacing w:line="360" w:lineRule="auto"/>
        <w:ind w:firstLine="480" w:firstLineChars="200"/>
        <w:jc w:val="left"/>
        <w:textAlignment w:val="baseline"/>
        <w:rPr>
          <w:color w:val="auto"/>
          <w:kern w:val="0"/>
          <w:sz w:val="24"/>
          <w:highlight w:val="none"/>
        </w:rPr>
      </w:pPr>
      <w:r>
        <w:rPr>
          <w:rFonts w:hint="eastAsia"/>
          <w:color w:val="auto"/>
          <w:kern w:val="0"/>
          <w:sz w:val="24"/>
          <w:highlight w:val="none"/>
        </w:rPr>
        <w:t>3.参加比选的</w:t>
      </w:r>
      <w:r>
        <w:rPr>
          <w:color w:val="auto"/>
          <w:kern w:val="0"/>
          <w:sz w:val="24"/>
          <w:highlight w:val="none"/>
        </w:rPr>
        <w:t>单位和个人都必须遵守竞争比选纪律，保持公正廉洁，不得从中作弊。</w:t>
      </w:r>
    </w:p>
    <w:p>
      <w:pPr>
        <w:shd w:val="clear" w:color="auto" w:fill="FFFFFF"/>
        <w:adjustRightInd w:val="0"/>
        <w:spacing w:line="360" w:lineRule="auto"/>
        <w:ind w:firstLine="480" w:firstLineChars="200"/>
        <w:jc w:val="left"/>
        <w:textAlignment w:val="baseline"/>
        <w:rPr>
          <w:rFonts w:eastAsia="宋体"/>
          <w:color w:val="auto"/>
          <w:kern w:val="0"/>
          <w:sz w:val="24"/>
          <w:highlight w:val="none"/>
        </w:rPr>
      </w:pPr>
      <w:r>
        <w:rPr>
          <w:rFonts w:hint="eastAsia"/>
          <w:color w:val="auto"/>
          <w:kern w:val="0"/>
          <w:sz w:val="24"/>
          <w:highlight w:val="none"/>
        </w:rPr>
        <w:t>4.现场踏勘和情况调查</w:t>
      </w:r>
    </w:p>
    <w:p>
      <w:pPr>
        <w:shd w:val="clear" w:color="auto" w:fill="FFFFFF"/>
        <w:adjustRightInd w:val="0"/>
        <w:spacing w:line="360" w:lineRule="auto"/>
        <w:ind w:firstLine="480" w:firstLineChars="200"/>
        <w:jc w:val="left"/>
        <w:textAlignment w:val="baseline"/>
        <w:rPr>
          <w:color w:val="auto"/>
          <w:kern w:val="0"/>
          <w:sz w:val="24"/>
          <w:highlight w:val="none"/>
        </w:rPr>
      </w:pPr>
      <w:r>
        <w:rPr>
          <w:rFonts w:hint="eastAsia"/>
          <w:color w:val="auto"/>
          <w:kern w:val="0"/>
          <w:sz w:val="24"/>
          <w:highlight w:val="none"/>
        </w:rPr>
        <w:t>投标人根据需要自行组织现场踏勘和情况调查，比选人应予以配合。比选投标人须自行充分了解本项目有关情况，由于踏勘现场或情况调查不到位所造成的后果由投标人自负。与本次比选投标有关的责任、费用和风险由投标人自行承担。</w:t>
      </w:r>
    </w:p>
    <w:p>
      <w:pPr>
        <w:shd w:val="clear" w:color="auto" w:fill="FFFFFF"/>
        <w:adjustRightInd w:val="0"/>
        <w:spacing w:line="360" w:lineRule="auto"/>
        <w:ind w:firstLine="480" w:firstLineChars="200"/>
        <w:jc w:val="left"/>
        <w:textAlignment w:val="baseline"/>
        <w:rPr>
          <w:color w:val="auto"/>
          <w:kern w:val="0"/>
          <w:sz w:val="24"/>
          <w:highlight w:val="none"/>
        </w:rPr>
      </w:pPr>
      <w:r>
        <w:rPr>
          <w:rFonts w:hint="eastAsia"/>
          <w:color w:val="auto"/>
          <w:kern w:val="0"/>
          <w:sz w:val="24"/>
          <w:highlight w:val="none"/>
        </w:rPr>
        <w:t>5.比选答疑</w:t>
      </w:r>
    </w:p>
    <w:p>
      <w:pPr>
        <w:shd w:val="clear" w:color="auto" w:fill="FFFFFF"/>
        <w:adjustRightInd w:val="0"/>
        <w:spacing w:line="360" w:lineRule="auto"/>
        <w:ind w:firstLine="480" w:firstLineChars="200"/>
        <w:jc w:val="left"/>
        <w:textAlignment w:val="baseline"/>
        <w:rPr>
          <w:color w:val="auto"/>
          <w:kern w:val="0"/>
          <w:sz w:val="24"/>
          <w:highlight w:val="none"/>
        </w:rPr>
      </w:pPr>
      <w:r>
        <w:rPr>
          <w:rFonts w:hint="eastAsia"/>
          <w:color w:val="auto"/>
          <w:kern w:val="0"/>
          <w:sz w:val="24"/>
          <w:highlight w:val="none"/>
        </w:rPr>
        <w:t>（1）投标人在收到本比选文件以后，若有问题需要澄清，应于比选文件发出后3日内在工作时间以书面形式（包括书面文字须盖投标人公章）向比选人提出。比选人认为有必要澄清的将以书面形式予以答复。该答复将送达所有获得此比选文件的投标人，并作为比选文件的组成部分。投标人因比选文件而单方面做出的推论、解释和结论，不属于比选人承诺，比选人概不负责。</w:t>
      </w:r>
    </w:p>
    <w:p>
      <w:pPr>
        <w:shd w:val="clear" w:color="auto" w:fill="FFFFFF"/>
        <w:adjustRightInd w:val="0"/>
        <w:spacing w:line="360" w:lineRule="auto"/>
        <w:ind w:firstLine="480" w:firstLineChars="200"/>
        <w:jc w:val="left"/>
        <w:textAlignment w:val="baseline"/>
        <w:rPr>
          <w:color w:val="auto"/>
          <w:kern w:val="0"/>
          <w:sz w:val="24"/>
          <w:highlight w:val="none"/>
        </w:rPr>
      </w:pPr>
      <w:r>
        <w:rPr>
          <w:rFonts w:hint="eastAsia"/>
          <w:color w:val="auto"/>
          <w:kern w:val="0"/>
          <w:sz w:val="24"/>
          <w:highlight w:val="none"/>
        </w:rPr>
        <w:t>（2）比选文件的澄清将在投标人须知规定的投标截止时间2天前发布，但不指明澄清问题的来源。如果澄清发出的时间距投标截止时间不足2天，相应延长投标截止时间。</w:t>
      </w:r>
    </w:p>
    <w:p>
      <w:pPr>
        <w:shd w:val="clear" w:color="auto" w:fill="FFFFFF"/>
        <w:adjustRightInd w:val="0"/>
        <w:spacing w:line="360" w:lineRule="auto"/>
        <w:ind w:firstLine="480" w:firstLineChars="200"/>
        <w:jc w:val="left"/>
        <w:textAlignment w:val="baseline"/>
        <w:rPr>
          <w:color w:val="auto"/>
          <w:kern w:val="0"/>
          <w:sz w:val="24"/>
          <w:highlight w:val="none"/>
        </w:rPr>
      </w:pPr>
      <w:r>
        <w:rPr>
          <w:rFonts w:hint="eastAsia"/>
          <w:color w:val="auto"/>
          <w:kern w:val="0"/>
          <w:sz w:val="24"/>
          <w:highlight w:val="none"/>
        </w:rPr>
        <w:t>（3）比选人对比选文件的补遗内容可能影响投标文件编制的，须在投标截止时间2日前发布，发布时间至投标截止时间不足2日的，须相应延后投标截止时间。</w:t>
      </w:r>
    </w:p>
    <w:p>
      <w:pPr>
        <w:spacing w:line="360" w:lineRule="auto"/>
        <w:rPr>
          <w:rFonts w:hint="eastAsia" w:ascii="宋体" w:hAnsi="宋体"/>
          <w:color w:val="auto"/>
          <w:sz w:val="24"/>
          <w:highlight w:val="none"/>
        </w:rPr>
      </w:pPr>
      <w:r>
        <w:rPr>
          <w:rFonts w:hint="eastAsia" w:ascii="宋体" w:hAnsi="宋体"/>
          <w:color w:val="auto"/>
          <w:sz w:val="24"/>
          <w:highlight w:val="none"/>
        </w:rPr>
        <w:t xml:space="preserve">   6.比选人提供的有关项目资料</w:t>
      </w:r>
      <w:r>
        <w:rPr>
          <w:rFonts w:hint="eastAsia" w:ascii="宋体" w:hAnsi="宋体"/>
          <w:color w:val="auto"/>
          <w:sz w:val="24"/>
          <w:highlight w:val="none"/>
          <w:lang w:eastAsia="zh-CN"/>
        </w:rPr>
        <w:t>如下（见附件）：</w:t>
      </w:r>
    </w:p>
    <w:p>
      <w:pPr>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宋体" w:hAnsi="宋体"/>
          <w:color w:val="auto"/>
          <w:sz w:val="24"/>
          <w:highlight w:val="none"/>
        </w:rPr>
        <w:t>1</w:t>
      </w:r>
      <w:r>
        <w:rPr>
          <w:rFonts w:hint="eastAsia" w:ascii="宋体" w:hAnsi="宋体"/>
          <w:color w:val="auto"/>
          <w:sz w:val="24"/>
          <w:highlight w:val="none"/>
          <w:lang w:eastAsia="zh-CN"/>
        </w:rPr>
        <w:t>）</w:t>
      </w:r>
      <w:r>
        <w:rPr>
          <w:rFonts w:hint="eastAsia" w:ascii="宋体" w:hAnsi="宋体"/>
          <w:color w:val="auto"/>
          <w:sz w:val="24"/>
          <w:highlight w:val="none"/>
        </w:rPr>
        <w:t>沙溪庙主题服务区地块区位图1</w:t>
      </w:r>
    </w:p>
    <w:p>
      <w:pPr>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宋体" w:hAnsi="宋体"/>
          <w:color w:val="auto"/>
          <w:sz w:val="24"/>
          <w:highlight w:val="none"/>
        </w:rPr>
        <w:t>2</w:t>
      </w:r>
      <w:r>
        <w:rPr>
          <w:rFonts w:hint="eastAsia" w:ascii="宋体" w:hAnsi="宋体"/>
          <w:color w:val="auto"/>
          <w:sz w:val="24"/>
          <w:highlight w:val="none"/>
          <w:lang w:eastAsia="zh-CN"/>
        </w:rPr>
        <w:t>）</w:t>
      </w:r>
      <w:r>
        <w:rPr>
          <w:rFonts w:hint="eastAsia" w:ascii="宋体" w:hAnsi="宋体"/>
          <w:color w:val="auto"/>
          <w:sz w:val="24"/>
          <w:highlight w:val="none"/>
        </w:rPr>
        <w:t>沙溪庙主题服务区地块区位图2</w:t>
      </w:r>
    </w:p>
    <w:p>
      <w:pPr>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宋体" w:hAnsi="宋体"/>
          <w:color w:val="auto"/>
          <w:sz w:val="24"/>
          <w:highlight w:val="none"/>
        </w:rPr>
        <w:t>3</w:t>
      </w:r>
      <w:r>
        <w:rPr>
          <w:rFonts w:hint="eastAsia" w:ascii="宋体" w:hAnsi="宋体"/>
          <w:color w:val="auto"/>
          <w:sz w:val="24"/>
          <w:highlight w:val="none"/>
          <w:lang w:eastAsia="zh-CN"/>
        </w:rPr>
        <w:t>）</w:t>
      </w:r>
      <w:r>
        <w:rPr>
          <w:rFonts w:hint="eastAsia" w:ascii="宋体" w:hAnsi="宋体"/>
          <w:color w:val="auto"/>
          <w:sz w:val="24"/>
          <w:highlight w:val="none"/>
        </w:rPr>
        <w:t>沙溪庙主题服务区地块区位图3</w:t>
      </w:r>
    </w:p>
    <w:p>
      <w:pPr>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宋体" w:hAnsi="宋体"/>
          <w:color w:val="auto"/>
          <w:sz w:val="24"/>
          <w:highlight w:val="none"/>
        </w:rPr>
        <w:t>4</w:t>
      </w:r>
      <w:r>
        <w:rPr>
          <w:rFonts w:hint="eastAsia" w:ascii="宋体" w:hAnsi="宋体"/>
          <w:color w:val="auto"/>
          <w:sz w:val="24"/>
          <w:highlight w:val="none"/>
          <w:lang w:eastAsia="zh-CN"/>
        </w:rPr>
        <w:t>）</w:t>
      </w:r>
      <w:r>
        <w:rPr>
          <w:rFonts w:hint="eastAsia" w:ascii="宋体" w:hAnsi="宋体"/>
          <w:color w:val="auto"/>
          <w:sz w:val="24"/>
          <w:highlight w:val="none"/>
        </w:rPr>
        <w:t>沙溪庙主题服务区地块区位图4</w:t>
      </w:r>
    </w:p>
    <w:p>
      <w:pPr>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宋体" w:hAnsi="宋体"/>
          <w:color w:val="auto"/>
          <w:sz w:val="24"/>
          <w:highlight w:val="none"/>
        </w:rPr>
        <w:t>5</w:t>
      </w:r>
      <w:r>
        <w:rPr>
          <w:rFonts w:hint="eastAsia" w:ascii="宋体" w:hAnsi="宋体"/>
          <w:color w:val="auto"/>
          <w:sz w:val="24"/>
          <w:highlight w:val="none"/>
          <w:lang w:eastAsia="zh-CN"/>
        </w:rPr>
        <w:t>）</w:t>
      </w:r>
      <w:r>
        <w:rPr>
          <w:rFonts w:hint="eastAsia" w:ascii="宋体" w:hAnsi="宋体"/>
          <w:color w:val="auto"/>
          <w:sz w:val="24"/>
          <w:highlight w:val="none"/>
        </w:rPr>
        <w:t>合川沙溪庙服务区地块地形图2011版（CAD文件）</w:t>
      </w:r>
    </w:p>
    <w:p>
      <w:pPr>
        <w:spacing w:line="360" w:lineRule="auto"/>
        <w:rPr>
          <w:rFonts w:hint="eastAsia"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宋体" w:hAnsi="宋体"/>
          <w:color w:val="auto"/>
          <w:sz w:val="24"/>
          <w:highlight w:val="none"/>
        </w:rPr>
        <w:t>6</w:t>
      </w:r>
      <w:r>
        <w:rPr>
          <w:rFonts w:hint="eastAsia" w:ascii="宋体" w:hAnsi="宋体"/>
          <w:color w:val="auto"/>
          <w:sz w:val="24"/>
          <w:highlight w:val="none"/>
          <w:lang w:eastAsia="zh-CN"/>
        </w:rPr>
        <w:t>）</w:t>
      </w:r>
      <w:r>
        <w:rPr>
          <w:rFonts w:hint="eastAsia" w:ascii="宋体" w:hAnsi="宋体"/>
          <w:color w:val="auto"/>
          <w:sz w:val="24"/>
          <w:highlight w:val="none"/>
        </w:rPr>
        <w:t>沙溪庙主题（合川）服务区用地勘测定界图（CAD文件）</w:t>
      </w:r>
    </w:p>
    <w:p>
      <w:pPr>
        <w:spacing w:line="360" w:lineRule="auto"/>
        <w:rPr>
          <w:rFonts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宋体" w:hAnsi="宋体"/>
          <w:color w:val="auto"/>
          <w:sz w:val="24"/>
          <w:highlight w:val="none"/>
        </w:rPr>
        <w:t>7</w:t>
      </w:r>
      <w:r>
        <w:rPr>
          <w:rFonts w:hint="eastAsia" w:ascii="宋体" w:hAnsi="宋体"/>
          <w:color w:val="auto"/>
          <w:sz w:val="24"/>
          <w:highlight w:val="none"/>
          <w:lang w:eastAsia="zh-CN"/>
        </w:rPr>
        <w:t>）</w:t>
      </w:r>
      <w:r>
        <w:rPr>
          <w:rFonts w:hint="eastAsia" w:ascii="宋体" w:hAnsi="宋体"/>
          <w:color w:val="auto"/>
          <w:sz w:val="24"/>
          <w:highlight w:val="none"/>
        </w:rPr>
        <w:t>现巨梁沱（沙溪半岛）立交-地勘资料（匝道及服务区）</w:t>
      </w:r>
    </w:p>
    <w:p>
      <w:pPr>
        <w:spacing w:line="360" w:lineRule="auto"/>
        <w:ind w:firstLine="480"/>
        <w:rPr>
          <w:rFonts w:ascii="宋体" w:hAnsi="宋体"/>
          <w:color w:val="auto"/>
          <w:sz w:val="24"/>
          <w:highlight w:val="none"/>
        </w:rPr>
      </w:pPr>
      <w:r>
        <w:rPr>
          <w:rFonts w:hint="eastAsia" w:ascii="宋体" w:hAnsi="宋体"/>
          <w:color w:val="auto"/>
          <w:sz w:val="24"/>
          <w:highlight w:val="none"/>
        </w:rPr>
        <w:t>7.提交成果期限</w:t>
      </w:r>
    </w:p>
    <w:p>
      <w:pPr>
        <w:spacing w:line="360" w:lineRule="auto"/>
        <w:ind w:firstLine="480"/>
        <w:rPr>
          <w:rFonts w:ascii="宋体" w:hAnsi="宋体"/>
          <w:color w:val="auto"/>
          <w:sz w:val="24"/>
          <w:highlight w:val="none"/>
        </w:rPr>
      </w:pPr>
      <w:r>
        <w:rPr>
          <w:rFonts w:hint="eastAsia" w:ascii="宋体" w:hAnsi="宋体"/>
          <w:color w:val="auto"/>
          <w:sz w:val="24"/>
          <w:highlight w:val="none"/>
        </w:rPr>
        <w:t>本完成本项目工作的</w:t>
      </w:r>
      <w:r>
        <w:rPr>
          <w:rFonts w:hint="eastAsia" w:ascii="宋体" w:hAnsi="宋体"/>
          <w:b/>
          <w:bCs/>
          <w:color w:val="auto"/>
          <w:sz w:val="24"/>
          <w:highlight w:val="none"/>
        </w:rPr>
        <w:t>总工期为40</w:t>
      </w:r>
      <w:r>
        <w:rPr>
          <w:rFonts w:ascii="宋体" w:hAnsi="宋体"/>
          <w:b/>
          <w:bCs/>
          <w:color w:val="auto"/>
          <w:sz w:val="24"/>
          <w:highlight w:val="none"/>
        </w:rPr>
        <w:t>天</w:t>
      </w:r>
      <w:r>
        <w:rPr>
          <w:rFonts w:ascii="宋体" w:hAnsi="宋体"/>
          <w:color w:val="auto"/>
          <w:sz w:val="24"/>
          <w:highlight w:val="none"/>
        </w:rPr>
        <w:t>（</w:t>
      </w:r>
      <w:r>
        <w:rPr>
          <w:rFonts w:hint="eastAsia" w:ascii="宋体" w:hAnsi="宋体"/>
          <w:color w:val="auto"/>
          <w:sz w:val="24"/>
          <w:highlight w:val="none"/>
        </w:rPr>
        <w:t>从</w:t>
      </w:r>
      <w:r>
        <w:rPr>
          <w:rFonts w:ascii="宋体" w:hAnsi="宋体"/>
          <w:color w:val="auto"/>
          <w:sz w:val="24"/>
          <w:highlight w:val="none"/>
        </w:rPr>
        <w:t>合同签订时间</w:t>
      </w:r>
      <w:r>
        <w:rPr>
          <w:rFonts w:hint="eastAsia" w:ascii="宋体" w:hAnsi="宋体"/>
          <w:color w:val="auto"/>
          <w:sz w:val="24"/>
          <w:highlight w:val="none"/>
        </w:rPr>
        <w:t>的第二天起算</w:t>
      </w:r>
      <w:r>
        <w:rPr>
          <w:rFonts w:ascii="宋体" w:hAnsi="宋体"/>
          <w:color w:val="auto"/>
          <w:sz w:val="24"/>
          <w:highlight w:val="none"/>
        </w:rPr>
        <w:t>）</w:t>
      </w:r>
      <w:r>
        <w:rPr>
          <w:rFonts w:hint="eastAsia" w:ascii="宋体" w:hAnsi="宋体"/>
          <w:color w:val="auto"/>
          <w:sz w:val="24"/>
          <w:highlight w:val="none"/>
        </w:rPr>
        <w:t>，其中：发包人（比选人）提供基础资料后，15天内提交服务区初步方案设计（达到报送市交通行政主管部门审批采用的深度和要求，含方案可行性分析和投资估算）。</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8</w:t>
      </w:r>
      <w:r>
        <w:rPr>
          <w:rFonts w:ascii="宋体" w:hAnsi="宋体"/>
          <w:color w:val="auto"/>
          <w:sz w:val="24"/>
          <w:highlight w:val="none"/>
        </w:rPr>
        <w:t>.</w:t>
      </w:r>
      <w:r>
        <w:rPr>
          <w:rFonts w:hint="eastAsia" w:ascii="宋体" w:hAnsi="宋体"/>
          <w:color w:val="auto"/>
          <w:sz w:val="24"/>
          <w:highlight w:val="none"/>
        </w:rPr>
        <w:t>中选及合同签订</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比选人确定中选单位后，向其发出中标通知书。中选单位在接到比选人通知书后，须</w:t>
      </w:r>
      <w:r>
        <w:rPr>
          <w:rFonts w:ascii="宋体" w:hAnsi="宋体"/>
          <w:color w:val="auto"/>
          <w:sz w:val="24"/>
          <w:highlight w:val="none"/>
        </w:rPr>
        <w:t>5个工作日内派代表与</w:t>
      </w:r>
      <w:r>
        <w:rPr>
          <w:rFonts w:hint="eastAsia" w:ascii="宋体" w:hAnsi="宋体"/>
          <w:color w:val="auto"/>
          <w:sz w:val="24"/>
          <w:highlight w:val="none"/>
        </w:rPr>
        <w:t>比选</w:t>
      </w:r>
      <w:r>
        <w:rPr>
          <w:rFonts w:ascii="宋体" w:hAnsi="宋体"/>
          <w:color w:val="auto"/>
          <w:sz w:val="24"/>
          <w:highlight w:val="none"/>
        </w:rPr>
        <w:t>人进行委托服务合同的签署工作，并立即开始工作接洽及按时履行服务工作。否则视为自动放弃中选资格。</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9.成果要求：应符合沙溪庙主题服务区项目策划、空间规划及概念性方案设计比选文件具体要求的规定，其中方案部分应达到报送市交通行政主管部门的建设方案审批（或交通行政许可）采用的深度和要求。 策划设计人在该项目工作中，采用的有关技术标准与规范和形成的成果，必须符合国家及重庆地方有关工程建设标准强制性条文和交通运输部关于公路设计方面现行的标准、规范、规程、定额、办法、示例以及该项目所在地关于公路工程、建筑工程设计方面的文件、规定。 在工作过程中，如果国家或有关部门颁布了新的技术标准或规范，则应采用新的标准或规范进行规划、设计和策划。 该成果需通过重庆高速资产公司审核及重庆高速集团审批。</w:t>
      </w:r>
    </w:p>
    <w:p>
      <w:pPr>
        <w:spacing w:line="360" w:lineRule="auto"/>
        <w:rPr>
          <w:rFonts w:ascii="宋体" w:hAnsi="宋体"/>
          <w:color w:val="auto"/>
          <w:sz w:val="24"/>
          <w:highlight w:val="none"/>
        </w:rPr>
      </w:pPr>
      <w:r>
        <w:rPr>
          <w:rFonts w:hint="eastAsia" w:ascii="宋体" w:hAnsi="宋体"/>
          <w:color w:val="auto"/>
          <w:sz w:val="24"/>
          <w:highlight w:val="none"/>
        </w:rPr>
        <w:t xml:space="preserve">   10.比选响应文件投标最高限价、比选响应文件组成</w:t>
      </w:r>
    </w:p>
    <w:bookmarkEnd w:id="24"/>
    <w:bookmarkEnd w:id="25"/>
    <w:bookmarkEnd w:id="26"/>
    <w:bookmarkEnd w:id="27"/>
    <w:bookmarkEnd w:id="28"/>
    <w:bookmarkEnd w:id="29"/>
    <w:bookmarkEnd w:id="30"/>
    <w:bookmarkEnd w:id="31"/>
    <w:p>
      <w:pPr>
        <w:spacing w:line="360" w:lineRule="auto"/>
        <w:ind w:firstLine="360" w:firstLineChars="15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ascii="宋体" w:hAnsi="宋体"/>
          <w:b/>
          <w:bCs/>
          <w:color w:val="auto"/>
          <w:sz w:val="24"/>
          <w:highlight w:val="none"/>
        </w:rPr>
        <w:t>本项目最高限价为</w:t>
      </w:r>
      <w:r>
        <w:rPr>
          <w:rFonts w:hint="eastAsia" w:ascii="宋体" w:hAnsi="宋体"/>
          <w:b/>
          <w:bCs/>
          <w:color w:val="auto"/>
          <w:sz w:val="24"/>
          <w:highlight w:val="none"/>
          <w:u w:val="single"/>
        </w:rPr>
        <w:t>50</w:t>
      </w:r>
      <w:r>
        <w:rPr>
          <w:rFonts w:hint="eastAsia" w:ascii="宋体" w:hAnsi="宋体"/>
          <w:b/>
          <w:bCs/>
          <w:color w:val="auto"/>
          <w:sz w:val="24"/>
          <w:highlight w:val="none"/>
        </w:rPr>
        <w:t>万元。</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具体工作开始时间</w:t>
      </w:r>
      <w:r>
        <w:rPr>
          <w:rFonts w:ascii="宋体" w:hAnsi="宋体"/>
          <w:color w:val="auto"/>
          <w:sz w:val="24"/>
          <w:highlight w:val="none"/>
        </w:rPr>
        <w:t>以</w:t>
      </w:r>
      <w:r>
        <w:rPr>
          <w:rFonts w:hint="eastAsia" w:ascii="宋体" w:hAnsi="宋体"/>
          <w:color w:val="auto"/>
          <w:sz w:val="24"/>
          <w:highlight w:val="none"/>
        </w:rPr>
        <w:t>比选</w:t>
      </w:r>
      <w:r>
        <w:rPr>
          <w:rFonts w:ascii="宋体" w:hAnsi="宋体"/>
          <w:color w:val="auto"/>
          <w:sz w:val="24"/>
          <w:highlight w:val="none"/>
        </w:rPr>
        <w:t>人</w:t>
      </w:r>
      <w:r>
        <w:rPr>
          <w:rFonts w:hint="eastAsia" w:ascii="宋体" w:hAnsi="宋体"/>
          <w:color w:val="auto"/>
          <w:sz w:val="24"/>
          <w:highlight w:val="none"/>
        </w:rPr>
        <w:t>书面</w:t>
      </w:r>
      <w:r>
        <w:rPr>
          <w:rFonts w:ascii="宋体" w:hAnsi="宋体"/>
          <w:color w:val="auto"/>
          <w:sz w:val="24"/>
          <w:highlight w:val="none"/>
        </w:rPr>
        <w:t>通知为准。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2）本次</w:t>
      </w:r>
      <w:r>
        <w:rPr>
          <w:rFonts w:hint="eastAsia" w:ascii="宋体" w:hAnsi="宋体"/>
          <w:color w:val="auto"/>
          <w:sz w:val="24"/>
          <w:highlight w:val="none"/>
        </w:rPr>
        <w:t>比选</w:t>
      </w:r>
      <w:r>
        <w:rPr>
          <w:rFonts w:ascii="宋体" w:hAnsi="宋体"/>
          <w:color w:val="auto"/>
          <w:sz w:val="24"/>
          <w:highlight w:val="none"/>
        </w:rPr>
        <w:t>响应文件的组成：</w:t>
      </w:r>
    </w:p>
    <w:p>
      <w:pPr>
        <w:spacing w:line="360" w:lineRule="auto"/>
        <w:rPr>
          <w:rFonts w:ascii="宋体" w:hAnsi="宋体" w:cs="宋体"/>
          <w:color w:val="auto"/>
          <w:sz w:val="24"/>
          <w:highlight w:val="none"/>
        </w:rPr>
      </w:pPr>
      <w:r>
        <w:rPr>
          <w:rFonts w:hint="eastAsia" w:ascii="宋体" w:hAnsi="宋体" w:cs="宋体"/>
          <w:color w:val="auto"/>
          <w:sz w:val="24"/>
          <w:highlight w:val="none"/>
        </w:rPr>
        <w:t>报价部分：</w:t>
      </w:r>
    </w:p>
    <w:p>
      <w:pPr>
        <w:spacing w:line="360" w:lineRule="auto"/>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w:t>
      </w:r>
      <w:r>
        <w:rPr>
          <w:rFonts w:ascii="宋体" w:hAnsi="宋体" w:cs="宋体"/>
          <w:color w:val="auto"/>
          <w:sz w:val="24"/>
          <w:highlight w:val="none"/>
        </w:rPr>
        <w:t>报价函（格式附后）</w:t>
      </w:r>
    </w:p>
    <w:p>
      <w:pPr>
        <w:spacing w:line="360" w:lineRule="auto"/>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w:t>
      </w:r>
      <w:r>
        <w:rPr>
          <w:rFonts w:ascii="宋体" w:hAnsi="宋体" w:cs="宋体"/>
          <w:color w:val="auto"/>
          <w:sz w:val="24"/>
          <w:highlight w:val="none"/>
        </w:rPr>
        <w:t>商务部分</w:t>
      </w:r>
    </w:p>
    <w:p>
      <w:pPr>
        <w:spacing w:line="360" w:lineRule="auto"/>
        <w:rPr>
          <w:rFonts w:ascii="宋体" w:hAnsi="宋体"/>
          <w:color w:val="auto"/>
          <w:sz w:val="24"/>
          <w:highlight w:val="none"/>
        </w:rPr>
      </w:pPr>
      <w:r>
        <w:rPr>
          <w:rFonts w:hint="eastAsia" w:ascii="宋体" w:hAnsi="宋体" w:cs="宋体"/>
          <w:color w:val="auto"/>
          <w:sz w:val="24"/>
          <w:highlight w:val="none"/>
        </w:rPr>
        <w:t>①</w:t>
      </w:r>
      <w:r>
        <w:rPr>
          <w:rFonts w:hint="eastAsia" w:ascii="宋体" w:hAnsi="宋体"/>
          <w:color w:val="auto"/>
          <w:sz w:val="24"/>
          <w:highlight w:val="none"/>
        </w:rPr>
        <w:t>法定代表人身份证明及授权委托书</w:t>
      </w:r>
    </w:p>
    <w:p>
      <w:pPr>
        <w:spacing w:line="360" w:lineRule="auto"/>
        <w:rPr>
          <w:rFonts w:ascii="宋体" w:hAnsi="宋体"/>
          <w:color w:val="auto"/>
          <w:sz w:val="24"/>
          <w:highlight w:val="none"/>
        </w:rPr>
      </w:pPr>
      <w:r>
        <w:rPr>
          <w:rFonts w:hint="eastAsia" w:ascii="宋体" w:hAnsi="宋体" w:cs="宋体"/>
          <w:color w:val="auto"/>
          <w:sz w:val="24"/>
          <w:highlight w:val="none"/>
        </w:rPr>
        <w:t>②</w:t>
      </w:r>
      <w:r>
        <w:rPr>
          <w:rFonts w:hint="eastAsia" w:ascii="宋体" w:hAnsi="宋体"/>
          <w:color w:val="auto"/>
          <w:sz w:val="24"/>
          <w:highlight w:val="none"/>
        </w:rPr>
        <w:t>比选响应单位的工商营业执照有效复印件</w:t>
      </w:r>
    </w:p>
    <w:p>
      <w:pPr>
        <w:spacing w:line="360" w:lineRule="auto"/>
        <w:rPr>
          <w:rFonts w:ascii="宋体" w:hAnsi="宋体"/>
          <w:color w:val="auto"/>
          <w:sz w:val="24"/>
          <w:highlight w:val="none"/>
        </w:rPr>
      </w:pPr>
      <w:r>
        <w:rPr>
          <w:rFonts w:ascii="宋体" w:hAnsi="宋体" w:cs="宋体"/>
          <w:color w:val="auto"/>
          <w:sz w:val="24"/>
          <w:highlight w:val="none"/>
        </w:rPr>
        <w:sym w:font="Wingdings" w:char="F083"/>
      </w:r>
      <w:r>
        <w:rPr>
          <w:rFonts w:hint="eastAsia" w:ascii="宋体" w:hAnsi="宋体" w:cs="宋体"/>
          <w:color w:val="auto"/>
          <w:sz w:val="24"/>
          <w:highlight w:val="none"/>
        </w:rPr>
        <w:t>业绩</w:t>
      </w:r>
      <w:r>
        <w:rPr>
          <w:rFonts w:hint="eastAsia" w:ascii="宋体" w:hAnsi="宋体"/>
          <w:color w:val="auto"/>
          <w:sz w:val="24"/>
          <w:highlight w:val="none"/>
        </w:rPr>
        <w:t>证明（格式附后）</w:t>
      </w:r>
    </w:p>
    <w:p>
      <w:pPr>
        <w:spacing w:line="360" w:lineRule="auto"/>
        <w:rPr>
          <w:rFonts w:ascii="宋体" w:hAnsi="宋体"/>
          <w:color w:val="auto"/>
          <w:sz w:val="24"/>
          <w:highlight w:val="none"/>
        </w:rPr>
      </w:pPr>
      <w:r>
        <w:rPr>
          <w:rFonts w:hint="eastAsia" w:ascii="宋体" w:hAnsi="宋体" w:cs="宋体"/>
          <w:color w:val="auto"/>
          <w:sz w:val="24"/>
          <w:highlight w:val="none"/>
        </w:rPr>
        <w:t>④</w:t>
      </w:r>
      <w:r>
        <w:rPr>
          <w:rFonts w:hint="eastAsia" w:ascii="宋体" w:hAnsi="宋体"/>
          <w:color w:val="auto"/>
          <w:sz w:val="24"/>
          <w:highlight w:val="none"/>
        </w:rPr>
        <w:t>其他相关资料</w:t>
      </w:r>
    </w:p>
    <w:p>
      <w:pPr>
        <w:spacing w:line="360" w:lineRule="auto"/>
        <w:rPr>
          <w:rFonts w:ascii="宋体" w:hAnsi="宋体"/>
          <w:color w:val="auto"/>
          <w:sz w:val="24"/>
          <w:highlight w:val="none"/>
        </w:rPr>
      </w:pPr>
      <w:r>
        <w:rPr>
          <w:rFonts w:hint="eastAsia" w:ascii="宋体" w:hAnsi="宋体"/>
          <w:color w:val="auto"/>
          <w:sz w:val="24"/>
          <w:highlight w:val="none"/>
        </w:rPr>
        <w:t>⑤联合体协议（如有）</w:t>
      </w:r>
    </w:p>
    <w:p>
      <w:pPr>
        <w:spacing w:line="360" w:lineRule="auto"/>
        <w:rPr>
          <w:rFonts w:ascii="宋体" w:hAnsi="宋体" w:cs="宋体"/>
          <w:color w:val="auto"/>
          <w:sz w:val="24"/>
          <w:highlight w:val="none"/>
        </w:rPr>
      </w:pPr>
      <w:r>
        <w:rPr>
          <w:rFonts w:hint="eastAsia" w:ascii="宋体" w:hAnsi="宋体" w:cs="宋体"/>
          <w:color w:val="auto"/>
          <w:sz w:val="24"/>
          <w:highlight w:val="none"/>
        </w:rPr>
        <w:t>3.技术部分</w:t>
      </w:r>
    </w:p>
    <w:p>
      <w:pPr>
        <w:spacing w:line="360" w:lineRule="auto"/>
        <w:rPr>
          <w:color w:val="auto"/>
          <w:highlight w:val="none"/>
        </w:rPr>
      </w:pPr>
      <w:r>
        <w:rPr>
          <w:rFonts w:hint="eastAsia" w:ascii="宋体" w:hAnsi="宋体" w:cs="宋体"/>
          <w:color w:val="auto"/>
          <w:sz w:val="24"/>
          <w:highlight w:val="none"/>
        </w:rPr>
        <w:t>参考技术部分评分标准撰写</w:t>
      </w:r>
      <w:r>
        <w:rPr>
          <w:rFonts w:hint="eastAsia" w:ascii="宋体" w:hAnsi="宋体"/>
          <w:color w:val="auto"/>
          <w:sz w:val="24"/>
          <w:highlight w:val="none"/>
        </w:rPr>
        <w:t>（准备时长</w:t>
      </w:r>
      <w:r>
        <w:rPr>
          <w:rFonts w:ascii="宋体" w:hAnsi="宋体"/>
          <w:color w:val="auto"/>
          <w:sz w:val="24"/>
          <w:highlight w:val="none"/>
        </w:rPr>
        <w:t>15分钟</w:t>
      </w:r>
      <w:r>
        <w:rPr>
          <w:rFonts w:hint="eastAsia" w:ascii="宋体" w:hAnsi="宋体"/>
          <w:color w:val="auto"/>
          <w:sz w:val="24"/>
          <w:highlight w:val="none"/>
        </w:rPr>
        <w:t>左右投标内容的</w:t>
      </w:r>
      <w:r>
        <w:rPr>
          <w:rFonts w:ascii="宋体" w:hAnsi="宋体"/>
          <w:color w:val="auto"/>
          <w:sz w:val="24"/>
          <w:highlight w:val="none"/>
        </w:rPr>
        <w:t>PPT</w:t>
      </w:r>
      <w:r>
        <w:rPr>
          <w:rFonts w:hint="eastAsia" w:ascii="宋体" w:hAnsi="宋体"/>
          <w:color w:val="auto"/>
          <w:sz w:val="24"/>
          <w:highlight w:val="none"/>
        </w:rPr>
        <w:t>进行</w:t>
      </w:r>
      <w:r>
        <w:rPr>
          <w:rFonts w:ascii="宋体" w:hAnsi="宋体"/>
          <w:color w:val="auto"/>
          <w:sz w:val="24"/>
          <w:highlight w:val="none"/>
        </w:rPr>
        <w:t>评审现场汇报）</w:t>
      </w:r>
    </w:p>
    <w:p>
      <w:pPr>
        <w:spacing w:line="360" w:lineRule="auto"/>
        <w:jc w:val="left"/>
        <w:rPr>
          <w:rFonts w:ascii="宋体" w:hAnsi="宋体"/>
          <w:color w:val="auto"/>
          <w:sz w:val="24"/>
          <w:highlight w:val="none"/>
        </w:rPr>
      </w:pPr>
      <w:r>
        <w:rPr>
          <w:rFonts w:hint="eastAsia" w:ascii="宋体" w:hAnsi="宋体"/>
          <w:color w:val="auto"/>
          <w:sz w:val="24"/>
          <w:highlight w:val="none"/>
        </w:rPr>
        <w:t>注：以上所有投标文件均须有投标人法定代表人或其授权代理人签署，并加盖投标人单位公章。</w:t>
      </w:r>
    </w:p>
    <w:p>
      <w:pPr>
        <w:spacing w:line="360" w:lineRule="auto"/>
        <w:rPr>
          <w:rFonts w:ascii="宋体" w:hAnsi="宋体"/>
          <w:color w:val="auto"/>
          <w:sz w:val="24"/>
          <w:highlight w:val="none"/>
        </w:rPr>
      </w:pPr>
      <w:r>
        <w:rPr>
          <w:rFonts w:hint="eastAsia" w:ascii="宋体" w:hAnsi="宋体"/>
          <w:color w:val="auto"/>
          <w:sz w:val="24"/>
          <w:highlight w:val="none"/>
        </w:rPr>
        <w:t xml:space="preserve">  11.比选文件获取、密封、递交和联系方式等</w:t>
      </w:r>
    </w:p>
    <w:p>
      <w:pPr>
        <w:spacing w:line="420" w:lineRule="exact"/>
        <w:rPr>
          <w:rFonts w:ascii="宋体" w:hAnsi="宋体"/>
          <w:color w:val="auto"/>
          <w:sz w:val="24"/>
          <w:highlight w:val="none"/>
        </w:rPr>
      </w:pPr>
      <w:r>
        <w:rPr>
          <w:rFonts w:hint="eastAsia" w:ascii="宋体" w:hAnsi="宋体"/>
          <w:color w:val="auto"/>
          <w:sz w:val="24"/>
          <w:highlight w:val="none"/>
          <w:lang w:val="en-US" w:eastAsia="zh-CN"/>
        </w:rPr>
        <w:t xml:space="preserve">    </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1</w:t>
      </w:r>
      <w:r>
        <w:rPr>
          <w:rFonts w:hint="eastAsia" w:ascii="宋体" w:hAnsi="宋体"/>
          <w:color w:val="auto"/>
          <w:sz w:val="24"/>
          <w:highlight w:val="none"/>
          <w:lang w:eastAsia="zh-CN"/>
        </w:rPr>
        <w:t>）</w:t>
      </w:r>
      <w:r>
        <w:rPr>
          <w:rFonts w:hint="eastAsia" w:ascii="宋体" w:hAnsi="宋体"/>
          <w:color w:val="auto"/>
          <w:sz w:val="24"/>
          <w:highlight w:val="none"/>
        </w:rPr>
        <w:t>有意向参选投标单位请在重庆高速公路集团有限公司官网（http://www.cegc.com.cn/gw）下载比选文件资料。</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比选投标截止时间：2021年11月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w:t>
      </w:r>
      <w:r>
        <w:rPr>
          <w:rFonts w:hint="eastAsia" w:ascii="宋体" w:hAnsi="宋体" w:cs="宋体"/>
          <w:color w:val="auto"/>
          <w:sz w:val="24"/>
          <w:highlight w:val="none"/>
          <w:lang w:val="en-US" w:eastAsia="zh-CN"/>
        </w:rPr>
        <w:t>10时00分前</w:t>
      </w:r>
      <w:r>
        <w:rPr>
          <w:rFonts w:hint="eastAsia" w:ascii="宋体" w:hAnsi="宋体" w:cs="宋体"/>
          <w:color w:val="auto"/>
          <w:sz w:val="24"/>
          <w:highlight w:val="none"/>
        </w:rPr>
        <w:t>。</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比选投标文件递交地点：重庆市渝北区香锦路4号交建大厦7楼土地开发部办公室</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各投标人应根据本次比选的具体要求，编制并提交规范的比选响应文件（比选响应文件，要求填写规范，密封完好并在封口处加盖单位公章，所有比选响应文件均只能作一次性提交，提交后不得更改。）</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（4）比选响应文件的份数及编制要求</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比选响应文件正本</w:t>
      </w:r>
      <w:r>
        <w:rPr>
          <w:rFonts w:ascii="宋体" w:hAnsi="宋体" w:cs="宋体"/>
          <w:color w:val="auto"/>
          <w:sz w:val="24"/>
          <w:highlight w:val="none"/>
        </w:rPr>
        <w:t>1份，副本1份，</w:t>
      </w:r>
      <w:r>
        <w:rPr>
          <w:rFonts w:hint="eastAsia" w:ascii="宋体" w:hAnsi="宋体" w:cs="宋体"/>
          <w:color w:val="auto"/>
          <w:sz w:val="24"/>
          <w:highlight w:val="none"/>
        </w:rPr>
        <w:t>比选</w:t>
      </w:r>
      <w:r>
        <w:rPr>
          <w:rFonts w:ascii="宋体" w:hAnsi="宋体" w:cs="宋体"/>
          <w:color w:val="auto"/>
          <w:sz w:val="24"/>
          <w:highlight w:val="none"/>
        </w:rPr>
        <w:t>响应文件按</w:t>
      </w:r>
      <w:r>
        <w:rPr>
          <w:rFonts w:hint="eastAsia" w:ascii="宋体" w:hAnsi="宋体" w:cs="宋体"/>
          <w:color w:val="auto"/>
          <w:sz w:val="24"/>
          <w:highlight w:val="none"/>
        </w:rPr>
        <w:t>比选</w:t>
      </w:r>
      <w:r>
        <w:rPr>
          <w:rFonts w:ascii="宋体" w:hAnsi="宋体" w:cs="宋体"/>
          <w:color w:val="auto"/>
          <w:sz w:val="24"/>
          <w:highlight w:val="none"/>
        </w:rPr>
        <w:t>文件中规定格式排版，并应编制目录，逐页标注页码。</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（5）密封要求：</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将比选响应文件密封到一个封套中，再在封套上写明：</w:t>
      </w:r>
    </w:p>
    <w:p>
      <w:pPr>
        <w:spacing w:line="440" w:lineRule="exact"/>
        <w:ind w:firstLine="600" w:firstLineChars="200"/>
        <w:jc w:val="center"/>
        <w:rPr>
          <w:b/>
          <w:color w:val="auto"/>
          <w:sz w:val="30"/>
          <w:szCs w:val="30"/>
          <w:highlight w:val="none"/>
        </w:rPr>
      </w:pPr>
      <w:r>
        <w:rPr>
          <w:rFonts w:hint="eastAsia"/>
          <w:b/>
          <w:color w:val="auto"/>
          <w:sz w:val="30"/>
          <w:szCs w:val="30"/>
          <w:highlight w:val="none"/>
        </w:rPr>
        <w:t>沙溪庙主题服务区项目策划、空间规划及概念性方案设计</w:t>
      </w:r>
    </w:p>
    <w:p>
      <w:pPr>
        <w:spacing w:line="440" w:lineRule="exact"/>
        <w:ind w:firstLine="600" w:firstLineChars="200"/>
        <w:jc w:val="center"/>
        <w:rPr>
          <w:b/>
          <w:color w:val="auto"/>
          <w:sz w:val="30"/>
          <w:szCs w:val="30"/>
          <w:highlight w:val="none"/>
        </w:rPr>
      </w:pPr>
      <w:r>
        <w:rPr>
          <w:rFonts w:hint="eastAsia"/>
          <w:b/>
          <w:color w:val="auto"/>
          <w:sz w:val="30"/>
          <w:szCs w:val="30"/>
          <w:highlight w:val="none"/>
        </w:rPr>
        <w:t>比选响应性文件</w:t>
      </w:r>
    </w:p>
    <w:p>
      <w:pPr>
        <w:spacing w:line="440" w:lineRule="exact"/>
        <w:ind w:firstLine="480" w:firstLineChars="200"/>
        <w:jc w:val="center"/>
        <w:rPr>
          <w:rFonts w:ascii="宋体" w:hAnsi="宋体" w:cs="宋体"/>
          <w:color w:val="auto"/>
          <w:sz w:val="24"/>
          <w:highlight w:val="none"/>
          <w:u w:val="single"/>
        </w:rPr>
      </w:pPr>
      <w:r>
        <w:rPr>
          <w:rFonts w:hint="eastAsia" w:ascii="宋体" w:hAnsi="宋体" w:cs="宋体"/>
          <w:color w:val="auto"/>
          <w:sz w:val="24"/>
          <w:highlight w:val="none"/>
          <w:u w:val="single"/>
        </w:rPr>
        <w:t>在</w:t>
      </w:r>
      <w:r>
        <w:rPr>
          <w:rFonts w:ascii="宋体" w:hAnsi="宋体" w:cs="宋体"/>
          <w:color w:val="auto"/>
          <w:sz w:val="24"/>
          <w:highlight w:val="none"/>
          <w:u w:val="single"/>
        </w:rPr>
        <w:t>2021</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11</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时</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分前不得开启</w:t>
      </w:r>
    </w:p>
    <w:p>
      <w:pPr>
        <w:spacing w:line="440" w:lineRule="exact"/>
        <w:ind w:firstLine="480" w:firstLineChars="200"/>
        <w:jc w:val="left"/>
        <w:rPr>
          <w:rFonts w:ascii="宋体" w:hAnsi="宋体" w:cs="宋体"/>
          <w:color w:val="auto"/>
          <w:sz w:val="24"/>
          <w:highlight w:val="none"/>
        </w:rPr>
      </w:pPr>
    </w:p>
    <w:p>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（6）比选人联系方式</w:t>
      </w:r>
    </w:p>
    <w:p>
      <w:pPr>
        <w:spacing w:line="360" w:lineRule="auto"/>
        <w:ind w:left="420" w:leftChars="200"/>
        <w:rPr>
          <w:rFonts w:ascii="宋体" w:hAnsi="宋体" w:cs="宋体"/>
          <w:color w:val="auto"/>
          <w:sz w:val="24"/>
          <w:highlight w:val="none"/>
        </w:rPr>
      </w:pPr>
      <w:r>
        <w:rPr>
          <w:rFonts w:hint="eastAsia" w:ascii="宋体" w:hAnsi="宋体"/>
          <w:color w:val="auto"/>
          <w:sz w:val="24"/>
          <w:highlight w:val="none"/>
        </w:rPr>
        <w:t>比选人：</w:t>
      </w:r>
      <w:r>
        <w:rPr>
          <w:rFonts w:ascii="宋体" w:hAnsi="宋体" w:cs="宋体"/>
          <w:color w:val="auto"/>
          <w:sz w:val="24"/>
          <w:highlight w:val="none"/>
        </w:rPr>
        <w:t>重庆</w:t>
      </w:r>
      <w:r>
        <w:rPr>
          <w:rFonts w:hint="eastAsia" w:ascii="宋体" w:hAnsi="宋体" w:cs="宋体"/>
          <w:color w:val="auto"/>
          <w:sz w:val="24"/>
          <w:highlight w:val="none"/>
        </w:rPr>
        <w:t>高速资产经营管理有限公司（重庆高速公路土地整治有限公司）</w:t>
      </w:r>
    </w:p>
    <w:p>
      <w:pPr>
        <w:spacing w:line="360" w:lineRule="auto"/>
        <w:ind w:left="420" w:leftChars="200"/>
        <w:rPr>
          <w:rFonts w:ascii="宋体" w:hAnsi="宋体" w:cs="宋体"/>
          <w:color w:val="auto"/>
          <w:sz w:val="24"/>
          <w:highlight w:val="none"/>
        </w:rPr>
      </w:pPr>
      <w:r>
        <w:rPr>
          <w:rFonts w:hint="eastAsia" w:ascii="宋体" w:hAnsi="宋体"/>
          <w:color w:val="auto"/>
          <w:sz w:val="24"/>
          <w:highlight w:val="none"/>
        </w:rPr>
        <w:t>地址：</w:t>
      </w:r>
      <w:r>
        <w:rPr>
          <w:rFonts w:ascii="宋体" w:hAnsi="宋体" w:cs="宋体"/>
          <w:color w:val="auto"/>
          <w:sz w:val="24"/>
          <w:highlight w:val="none"/>
        </w:rPr>
        <w:t>渝北区</w:t>
      </w:r>
      <w:r>
        <w:rPr>
          <w:rFonts w:hint="eastAsia" w:ascii="宋体" w:hAnsi="宋体" w:cs="宋体"/>
          <w:color w:val="auto"/>
          <w:sz w:val="24"/>
          <w:highlight w:val="none"/>
        </w:rPr>
        <w:t>香锦路</w:t>
      </w:r>
      <w:r>
        <w:rPr>
          <w:rFonts w:ascii="宋体" w:hAnsi="宋体" w:cs="宋体"/>
          <w:color w:val="auto"/>
          <w:sz w:val="24"/>
          <w:highlight w:val="none"/>
        </w:rPr>
        <w:t>4号</w:t>
      </w:r>
      <w:r>
        <w:rPr>
          <w:rFonts w:hint="eastAsia" w:ascii="宋体" w:hAnsi="宋体" w:cs="宋体"/>
          <w:color w:val="auto"/>
          <w:sz w:val="24"/>
          <w:highlight w:val="none"/>
        </w:rPr>
        <w:t>交建大厦</w:t>
      </w:r>
      <w:r>
        <w:rPr>
          <w:rFonts w:ascii="宋体" w:hAnsi="宋体" w:cs="宋体"/>
          <w:color w:val="auto"/>
          <w:sz w:val="24"/>
          <w:highlight w:val="none"/>
        </w:rPr>
        <w:t>7</w:t>
      </w:r>
      <w:r>
        <w:rPr>
          <w:rFonts w:hint="eastAsia" w:ascii="宋体" w:hAnsi="宋体" w:cs="宋体"/>
          <w:color w:val="auto"/>
          <w:sz w:val="24"/>
          <w:highlight w:val="none"/>
        </w:rPr>
        <w:t>楼土地开发部</w:t>
      </w:r>
      <w:r>
        <w:rPr>
          <w:rFonts w:ascii="宋体" w:hAnsi="宋体" w:cs="宋体"/>
          <w:color w:val="auto"/>
          <w:sz w:val="24"/>
          <w:highlight w:val="none"/>
        </w:rPr>
        <w:t>办公室</w:t>
      </w:r>
    </w:p>
    <w:p>
      <w:pPr>
        <w:spacing w:line="360" w:lineRule="auto"/>
        <w:ind w:left="420" w:leftChars="200"/>
        <w:rPr>
          <w:rFonts w:ascii="宋体" w:hAnsi="宋体"/>
          <w:color w:val="auto"/>
          <w:sz w:val="24"/>
          <w:highlight w:val="none"/>
        </w:rPr>
      </w:pPr>
      <w:r>
        <w:rPr>
          <w:rFonts w:hint="eastAsia" w:ascii="宋体" w:hAnsi="宋体"/>
          <w:color w:val="auto"/>
          <w:sz w:val="24"/>
          <w:highlight w:val="none"/>
        </w:rPr>
        <w:t>联系人：熊</w:t>
      </w:r>
      <w:r>
        <w:rPr>
          <w:rFonts w:hint="eastAsia" w:ascii="宋体" w:hAnsi="宋体"/>
          <w:color w:val="auto"/>
          <w:sz w:val="24"/>
          <w:highlight w:val="none"/>
          <w:lang w:val="en-US" w:eastAsia="zh-CN"/>
        </w:rPr>
        <w:t xml:space="preserve">老师 </w:t>
      </w:r>
      <w:r>
        <w:rPr>
          <w:rFonts w:hint="eastAsia" w:ascii="宋体" w:hAnsi="宋体"/>
          <w:color w:val="auto"/>
          <w:sz w:val="24"/>
          <w:highlight w:val="none"/>
        </w:rPr>
        <w:t>023-89135050</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br w:type="page"/>
      </w:r>
      <w:bookmarkStart w:id="34" w:name="_GoBack"/>
      <w:bookmarkEnd w:id="34"/>
    </w:p>
    <w:p>
      <w:pPr>
        <w:pStyle w:val="2"/>
        <w:rPr>
          <w:color w:val="auto"/>
          <w:highlight w:val="none"/>
        </w:rPr>
      </w:pPr>
    </w:p>
    <w:p>
      <w:pPr>
        <w:numPr>
          <w:ilvl w:val="0"/>
          <w:numId w:val="3"/>
        </w:numPr>
        <w:spacing w:line="360" w:lineRule="auto"/>
        <w:rPr>
          <w:rFonts w:ascii="宋体" w:hAnsi="宋体" w:cs="宋体"/>
          <w:b/>
          <w:color w:val="auto"/>
          <w:sz w:val="24"/>
          <w:highlight w:val="none"/>
        </w:rPr>
      </w:pPr>
      <w:r>
        <w:rPr>
          <w:rFonts w:hint="eastAsia" w:ascii="宋体" w:hAnsi="宋体" w:cs="宋体"/>
          <w:b/>
          <w:color w:val="auto"/>
          <w:sz w:val="24"/>
          <w:highlight w:val="none"/>
        </w:rPr>
        <w:t>评审办法（采用综合评估法）：</w:t>
      </w:r>
    </w:p>
    <w:p>
      <w:pPr>
        <w:spacing w:line="360" w:lineRule="auto"/>
        <w:ind w:firstLine="480"/>
        <w:rPr>
          <w:rFonts w:ascii="宋体" w:hAnsi="宋体"/>
          <w:color w:val="auto"/>
          <w:sz w:val="24"/>
          <w:highlight w:val="none"/>
        </w:rPr>
      </w:pPr>
      <w:r>
        <w:rPr>
          <w:rFonts w:hint="eastAsia" w:ascii="宋体" w:hAnsi="宋体"/>
          <w:color w:val="auto"/>
          <w:sz w:val="24"/>
          <w:highlight w:val="none"/>
        </w:rPr>
        <w:t>本次评审将成立专门评审小组，对投标文件进行综合评估。详细评分标准见下表：</w:t>
      </w:r>
    </w:p>
    <w:tbl>
      <w:tblPr>
        <w:tblStyle w:val="11"/>
        <w:tblW w:w="82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7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733" w:type="dxa"/>
            <w:vAlign w:val="center"/>
          </w:tcPr>
          <w:p>
            <w:pPr>
              <w:jc w:val="center"/>
              <w:rPr>
                <w:rFonts w:ascii="宋体" w:hAnsi="宋体"/>
                <w:b/>
                <w:color w:val="auto"/>
                <w:szCs w:val="21"/>
                <w:highlight w:val="none"/>
              </w:rPr>
            </w:pPr>
            <w:r>
              <w:rPr>
                <w:rFonts w:ascii="宋体" w:hAnsi="宋体"/>
                <w:b/>
                <w:color w:val="auto"/>
                <w:szCs w:val="21"/>
                <w:highlight w:val="none"/>
              </w:rPr>
              <w:t>条款名称</w:t>
            </w:r>
          </w:p>
        </w:tc>
        <w:tc>
          <w:tcPr>
            <w:tcW w:w="7550" w:type="dxa"/>
            <w:vAlign w:val="center"/>
          </w:tcPr>
          <w:p>
            <w:pPr>
              <w:jc w:val="center"/>
              <w:rPr>
                <w:rFonts w:ascii="宋体" w:hAnsi="宋体"/>
                <w:b/>
                <w:color w:val="auto"/>
                <w:szCs w:val="21"/>
                <w:highlight w:val="none"/>
              </w:rPr>
            </w:pPr>
            <w:r>
              <w:rPr>
                <w:rFonts w:ascii="宋体" w:hAnsi="宋体"/>
                <w:b/>
                <w:color w:val="auto"/>
                <w:szCs w:val="21"/>
                <w:highlight w:val="none"/>
              </w:rPr>
              <w:t>评审因素与评审标准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733" w:type="dxa"/>
            <w:vAlign w:val="center"/>
          </w:tcPr>
          <w:p>
            <w:pPr>
              <w:jc w:val="center"/>
              <w:rPr>
                <w:rFonts w:ascii="宋体" w:hAnsi="宋体"/>
                <w:color w:val="auto"/>
                <w:szCs w:val="21"/>
                <w:highlight w:val="none"/>
              </w:rPr>
            </w:pPr>
            <w:r>
              <w:rPr>
                <w:rFonts w:ascii="宋体" w:hAnsi="宋体"/>
                <w:color w:val="auto"/>
                <w:szCs w:val="21"/>
                <w:highlight w:val="none"/>
              </w:rPr>
              <w:t>初步评审</w:t>
            </w:r>
          </w:p>
        </w:tc>
        <w:tc>
          <w:tcPr>
            <w:tcW w:w="7550" w:type="dxa"/>
            <w:vAlign w:val="center"/>
          </w:tcPr>
          <w:p>
            <w:pPr>
              <w:spacing w:line="324"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比选</w:t>
            </w:r>
            <w:r>
              <w:rPr>
                <w:rFonts w:ascii="宋体" w:hAnsi="宋体"/>
                <w:color w:val="auto"/>
                <w:szCs w:val="21"/>
                <w:highlight w:val="none"/>
              </w:rPr>
              <w:t>响应文件按照</w:t>
            </w:r>
            <w:r>
              <w:rPr>
                <w:rFonts w:hint="eastAsia" w:ascii="宋体" w:hAnsi="宋体"/>
                <w:color w:val="auto"/>
                <w:szCs w:val="21"/>
                <w:highlight w:val="none"/>
              </w:rPr>
              <w:t>比选文件</w:t>
            </w:r>
            <w:r>
              <w:rPr>
                <w:rFonts w:ascii="宋体" w:hAnsi="宋体"/>
                <w:color w:val="auto"/>
                <w:szCs w:val="21"/>
                <w:highlight w:val="none"/>
              </w:rPr>
              <w:t>规定的格式、内容填写，字迹清晰可辨；</w:t>
            </w:r>
          </w:p>
          <w:p>
            <w:pPr>
              <w:spacing w:line="324"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比选</w:t>
            </w:r>
            <w:r>
              <w:rPr>
                <w:rFonts w:ascii="宋体" w:hAnsi="宋体"/>
                <w:color w:val="auto"/>
                <w:szCs w:val="21"/>
                <w:highlight w:val="none"/>
              </w:rPr>
              <w:t>响应文件上法定代表人或其授权代理人的签字、</w:t>
            </w:r>
            <w:r>
              <w:rPr>
                <w:rFonts w:hint="eastAsia" w:ascii="宋体" w:hAnsi="宋体"/>
                <w:color w:val="auto"/>
                <w:szCs w:val="21"/>
                <w:highlight w:val="none"/>
              </w:rPr>
              <w:t>投标人</w:t>
            </w:r>
            <w:r>
              <w:rPr>
                <w:rFonts w:ascii="宋体" w:hAnsi="宋体"/>
                <w:color w:val="auto"/>
                <w:szCs w:val="21"/>
                <w:highlight w:val="none"/>
              </w:rPr>
              <w:t>的单位章齐全，符合</w:t>
            </w:r>
            <w:r>
              <w:rPr>
                <w:rFonts w:hint="eastAsia" w:ascii="宋体" w:hAnsi="宋体"/>
                <w:color w:val="auto"/>
                <w:szCs w:val="21"/>
                <w:highlight w:val="none"/>
              </w:rPr>
              <w:t>比选文件</w:t>
            </w:r>
            <w:r>
              <w:rPr>
                <w:rFonts w:ascii="宋体" w:hAnsi="宋体"/>
                <w:color w:val="auto"/>
                <w:szCs w:val="21"/>
                <w:highlight w:val="none"/>
              </w:rPr>
              <w:t>规定；</w:t>
            </w:r>
          </w:p>
          <w:p>
            <w:pPr>
              <w:spacing w:line="324"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投标人</w:t>
            </w:r>
            <w:r>
              <w:rPr>
                <w:rFonts w:ascii="宋体" w:hAnsi="宋体"/>
                <w:color w:val="auto"/>
                <w:szCs w:val="21"/>
                <w:highlight w:val="none"/>
              </w:rPr>
              <w:t>按照前述要求提供了法定代表人的授权委托书或法定代表人身份证明。</w:t>
            </w:r>
          </w:p>
          <w:p>
            <w:pPr>
              <w:spacing w:line="324"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投标人</w:t>
            </w:r>
            <w:r>
              <w:rPr>
                <w:rFonts w:ascii="宋体" w:hAnsi="宋体"/>
                <w:color w:val="auto"/>
                <w:szCs w:val="21"/>
                <w:highlight w:val="none"/>
              </w:rPr>
              <w:t>未提供虚假资料；</w:t>
            </w:r>
          </w:p>
          <w:p>
            <w:pPr>
              <w:spacing w:line="324"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5）在报价函上填写了竞标总价（包括大写金额和小写金额），竞标总价不高于</w:t>
            </w:r>
            <w:r>
              <w:rPr>
                <w:rFonts w:hint="eastAsia" w:ascii="宋体" w:hAnsi="宋体"/>
                <w:color w:val="auto"/>
                <w:szCs w:val="21"/>
                <w:highlight w:val="none"/>
              </w:rPr>
              <w:t>比选</w:t>
            </w:r>
            <w:r>
              <w:rPr>
                <w:rFonts w:ascii="宋体" w:hAnsi="宋体"/>
                <w:color w:val="auto"/>
                <w:szCs w:val="21"/>
                <w:highlight w:val="none"/>
              </w:rPr>
              <w:t>人公布的最高竞标限价，且报价唯一；</w:t>
            </w:r>
          </w:p>
          <w:p>
            <w:pPr>
              <w:spacing w:line="324"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投标人</w:t>
            </w:r>
            <w:r>
              <w:rPr>
                <w:rFonts w:ascii="宋体" w:hAnsi="宋体"/>
                <w:color w:val="auto"/>
                <w:szCs w:val="21"/>
                <w:highlight w:val="none"/>
              </w:rPr>
              <w:t>没有围标串标行为。</w:t>
            </w:r>
          </w:p>
        </w:tc>
      </w:tr>
    </w:tbl>
    <w:p>
      <w:pPr>
        <w:ind w:right="210"/>
        <w:rPr>
          <w:rFonts w:ascii="宋体" w:hAnsi="宋体"/>
          <w:b/>
          <w:color w:val="auto"/>
          <w:szCs w:val="21"/>
          <w:highlight w:val="none"/>
        </w:rPr>
      </w:pPr>
    </w:p>
    <w:p>
      <w:pPr>
        <w:ind w:right="210"/>
        <w:rPr>
          <w:rFonts w:ascii="宋体" w:hAnsi="宋体"/>
          <w:b/>
          <w:color w:val="auto"/>
          <w:szCs w:val="21"/>
          <w:highlight w:val="none"/>
        </w:rPr>
      </w:pPr>
    </w:p>
    <w:tbl>
      <w:tblPr>
        <w:tblStyle w:val="11"/>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7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1466" w:type="dxa"/>
            <w:vAlign w:val="center"/>
          </w:tcPr>
          <w:p>
            <w:pPr>
              <w:jc w:val="center"/>
              <w:rPr>
                <w:rFonts w:ascii="宋体" w:hAnsi="宋体"/>
                <w:b/>
                <w:color w:val="auto"/>
                <w:szCs w:val="21"/>
                <w:highlight w:val="none"/>
              </w:rPr>
            </w:pPr>
            <w:r>
              <w:rPr>
                <w:rFonts w:ascii="宋体" w:hAnsi="宋体"/>
                <w:b/>
                <w:color w:val="auto"/>
                <w:szCs w:val="21"/>
                <w:highlight w:val="none"/>
              </w:rPr>
              <w:t>条款名称</w:t>
            </w:r>
          </w:p>
        </w:tc>
        <w:tc>
          <w:tcPr>
            <w:tcW w:w="7054" w:type="dxa"/>
            <w:vAlign w:val="center"/>
          </w:tcPr>
          <w:p>
            <w:pPr>
              <w:jc w:val="center"/>
              <w:rPr>
                <w:rFonts w:ascii="宋体" w:hAnsi="宋体"/>
                <w:b/>
                <w:color w:val="auto"/>
                <w:szCs w:val="21"/>
                <w:highlight w:val="none"/>
              </w:rPr>
            </w:pPr>
            <w:r>
              <w:rPr>
                <w:rFonts w:ascii="宋体" w:hAnsi="宋体"/>
                <w:b/>
                <w:color w:val="auto"/>
                <w:szCs w:val="21"/>
                <w:highlight w:val="none"/>
              </w:rPr>
              <w:t>评审因素与评审标准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66" w:type="dxa"/>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得分</w:t>
            </w:r>
            <w:r>
              <w:rPr>
                <w:rFonts w:ascii="宋体" w:hAnsi="宋体"/>
                <w:color w:val="auto"/>
                <w:szCs w:val="21"/>
                <w:highlight w:val="none"/>
              </w:rPr>
              <w:t>组成</w:t>
            </w:r>
          </w:p>
        </w:tc>
        <w:tc>
          <w:tcPr>
            <w:tcW w:w="7054" w:type="dxa"/>
            <w:vAlign w:val="center"/>
          </w:tcPr>
          <w:p>
            <w:pPr>
              <w:spacing w:line="400" w:lineRule="exact"/>
              <w:ind w:right="420" w:rightChars="200"/>
              <w:jc w:val="left"/>
              <w:rPr>
                <w:rFonts w:ascii="宋体" w:hAnsi="宋体"/>
                <w:color w:val="auto"/>
                <w:szCs w:val="21"/>
                <w:highlight w:val="none"/>
              </w:rPr>
            </w:pPr>
            <w:r>
              <w:rPr>
                <w:rFonts w:hint="eastAsia" w:ascii="宋体" w:hAnsi="宋体"/>
                <w:color w:val="auto"/>
                <w:szCs w:val="21"/>
                <w:highlight w:val="none"/>
              </w:rPr>
              <w:t>技术部分：55</w:t>
            </w:r>
            <w:r>
              <w:rPr>
                <w:rFonts w:ascii="宋体" w:hAnsi="宋体"/>
                <w:color w:val="auto"/>
                <w:szCs w:val="21"/>
                <w:highlight w:val="none"/>
              </w:rPr>
              <w:t>分</w:t>
            </w:r>
          </w:p>
          <w:p>
            <w:pPr>
              <w:spacing w:line="400" w:lineRule="exact"/>
              <w:ind w:right="420" w:rightChars="200"/>
              <w:jc w:val="left"/>
              <w:rPr>
                <w:rFonts w:ascii="宋体" w:hAnsi="宋体"/>
                <w:color w:val="auto"/>
                <w:szCs w:val="21"/>
                <w:highlight w:val="none"/>
              </w:rPr>
            </w:pPr>
            <w:r>
              <w:rPr>
                <w:rFonts w:hint="eastAsia" w:ascii="宋体" w:hAnsi="宋体"/>
                <w:color w:val="auto"/>
                <w:szCs w:val="21"/>
                <w:highlight w:val="none"/>
              </w:rPr>
              <w:t>报价</w:t>
            </w:r>
            <w:r>
              <w:rPr>
                <w:rFonts w:ascii="宋体" w:hAnsi="宋体"/>
                <w:color w:val="auto"/>
                <w:szCs w:val="21"/>
                <w:highlight w:val="none"/>
              </w:rPr>
              <w:t>部分</w:t>
            </w:r>
            <w:r>
              <w:rPr>
                <w:rFonts w:hint="eastAsia" w:ascii="宋体" w:hAnsi="宋体"/>
                <w:color w:val="auto"/>
                <w:szCs w:val="21"/>
                <w:highlight w:val="none"/>
              </w:rPr>
              <w:t>：2</w:t>
            </w:r>
            <w:r>
              <w:rPr>
                <w:rFonts w:ascii="宋体" w:hAnsi="宋体"/>
                <w:color w:val="auto"/>
                <w:szCs w:val="21"/>
                <w:highlight w:val="none"/>
              </w:rPr>
              <w:t>0分</w:t>
            </w:r>
          </w:p>
          <w:p>
            <w:pPr>
              <w:spacing w:line="400" w:lineRule="exact"/>
              <w:ind w:right="420" w:rightChars="200"/>
              <w:jc w:val="left"/>
              <w:rPr>
                <w:rFonts w:ascii="宋体" w:hAnsi="宋体"/>
                <w:color w:val="auto"/>
                <w:szCs w:val="21"/>
                <w:highlight w:val="none"/>
              </w:rPr>
            </w:pPr>
            <w:r>
              <w:rPr>
                <w:rFonts w:hint="eastAsia" w:ascii="宋体" w:hAnsi="宋体"/>
                <w:color w:val="auto"/>
                <w:szCs w:val="21"/>
                <w:highlight w:val="none"/>
              </w:rPr>
              <w:t>商务</w:t>
            </w:r>
            <w:r>
              <w:rPr>
                <w:rFonts w:ascii="宋体" w:hAnsi="宋体"/>
                <w:color w:val="auto"/>
                <w:szCs w:val="21"/>
                <w:highlight w:val="none"/>
              </w:rPr>
              <w:t>部分：</w:t>
            </w:r>
            <w:r>
              <w:rPr>
                <w:rFonts w:hint="eastAsia" w:ascii="宋体" w:hAnsi="宋体"/>
                <w:color w:val="auto"/>
                <w:szCs w:val="21"/>
                <w:highlight w:val="none"/>
              </w:rPr>
              <w:t>25</w:t>
            </w:r>
            <w:r>
              <w:rPr>
                <w:rFonts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466" w:type="dxa"/>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澄清</w:t>
            </w:r>
          </w:p>
        </w:tc>
        <w:tc>
          <w:tcPr>
            <w:tcW w:w="7054" w:type="dxa"/>
            <w:vAlign w:val="center"/>
          </w:tcPr>
          <w:p>
            <w:pPr>
              <w:spacing w:line="400" w:lineRule="exact"/>
              <w:ind w:right="420" w:rightChars="200"/>
              <w:rPr>
                <w:rFonts w:ascii="宋体" w:hAnsi="宋体"/>
                <w:color w:val="auto"/>
                <w:szCs w:val="21"/>
                <w:highlight w:val="none"/>
              </w:rPr>
            </w:pPr>
            <w:r>
              <w:rPr>
                <w:rFonts w:hint="eastAsia" w:ascii="宋体" w:hAnsi="宋体"/>
                <w:color w:val="auto"/>
                <w:szCs w:val="21"/>
                <w:highlight w:val="none"/>
              </w:rPr>
              <w:t>发生以下任一情形的，作否决处理：</w:t>
            </w:r>
          </w:p>
          <w:p>
            <w:pPr>
              <w:spacing w:line="400" w:lineRule="exact"/>
              <w:ind w:right="420" w:right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）投标人拒绝确认算术性修正后的报价；</w:t>
            </w:r>
          </w:p>
          <w:p>
            <w:pPr>
              <w:spacing w:line="400" w:lineRule="exact"/>
              <w:ind w:right="420" w:right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）修正后的最终竞标报价超过最高竞标限价；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5" w:hRule="atLeast"/>
          <w:jc w:val="center"/>
        </w:trPr>
        <w:tc>
          <w:tcPr>
            <w:tcW w:w="1466" w:type="dxa"/>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详细评审</w:t>
            </w:r>
          </w:p>
        </w:tc>
        <w:tc>
          <w:tcPr>
            <w:tcW w:w="7054" w:type="dxa"/>
            <w:vAlign w:val="center"/>
          </w:tcPr>
          <w:p>
            <w:pPr>
              <w:spacing w:line="400" w:lineRule="exact"/>
              <w:ind w:right="420" w:rightChars="200"/>
              <w:rPr>
                <w:rFonts w:ascii="宋体" w:hAnsi="宋体"/>
                <w:b/>
                <w:color w:val="auto"/>
                <w:szCs w:val="21"/>
                <w:highlight w:val="none"/>
              </w:rPr>
            </w:pPr>
            <w:r>
              <w:rPr>
                <w:rFonts w:hint="eastAsia" w:ascii="宋体" w:hAnsi="宋体"/>
                <w:b/>
                <w:color w:val="auto"/>
                <w:szCs w:val="21"/>
                <w:highlight w:val="none"/>
              </w:rPr>
              <w:t>评审因素</w:t>
            </w:r>
            <w:r>
              <w:rPr>
                <w:rFonts w:ascii="宋体" w:hAnsi="宋体"/>
                <w:b/>
                <w:color w:val="auto"/>
                <w:szCs w:val="21"/>
                <w:highlight w:val="none"/>
              </w:rPr>
              <w:tab/>
            </w:r>
            <w:r>
              <w:rPr>
                <w:rFonts w:ascii="宋体" w:hAnsi="宋体"/>
                <w:b/>
                <w:color w:val="auto"/>
                <w:szCs w:val="21"/>
                <w:highlight w:val="none"/>
              </w:rPr>
              <w:t xml:space="preserve"> 评分值</w:t>
            </w:r>
          </w:p>
          <w:p>
            <w:pPr>
              <w:spacing w:line="400" w:lineRule="exact"/>
              <w:ind w:right="420" w:rightChars="200"/>
              <w:rPr>
                <w:rFonts w:ascii="宋体" w:hAnsi="宋体"/>
                <w:color w:val="auto"/>
                <w:szCs w:val="21"/>
                <w:highlight w:val="none"/>
              </w:rPr>
            </w:pPr>
            <w:r>
              <w:rPr>
                <w:rFonts w:hint="eastAsia" w:ascii="宋体" w:hAnsi="宋体"/>
                <w:color w:val="auto"/>
                <w:szCs w:val="21"/>
                <w:highlight w:val="none"/>
              </w:rPr>
              <w:t>（一）技术部分：</w:t>
            </w:r>
            <w:r>
              <w:rPr>
                <w:rFonts w:hint="eastAsia" w:ascii="宋体" w:hAnsi="宋体"/>
                <w:color w:val="auto"/>
                <w:szCs w:val="21"/>
                <w:highlight w:val="none"/>
                <w:u w:val="single"/>
              </w:rPr>
              <w:t>55</w:t>
            </w:r>
            <w:r>
              <w:rPr>
                <w:rFonts w:hint="eastAsia" w:ascii="宋体" w:hAnsi="宋体"/>
                <w:color w:val="auto"/>
                <w:szCs w:val="21"/>
                <w:highlight w:val="none"/>
              </w:rPr>
              <w:t>分</w:t>
            </w:r>
          </w:p>
          <w:p>
            <w:pPr>
              <w:spacing w:line="400" w:lineRule="exact"/>
              <w:ind w:right="420" w:rightChars="200"/>
              <w:jc w:val="left"/>
              <w:rPr>
                <w:rFonts w:ascii="宋体" w:hAnsi="宋体"/>
                <w:color w:val="auto"/>
                <w:szCs w:val="21"/>
                <w:highlight w:val="none"/>
              </w:rPr>
            </w:pPr>
            <w:r>
              <w:rPr>
                <w:rFonts w:hint="eastAsia" w:ascii="宋体" w:hAnsi="宋体"/>
                <w:color w:val="auto"/>
                <w:szCs w:val="21"/>
                <w:highlight w:val="none"/>
              </w:rPr>
              <w:t>（二）报价部分：</w:t>
            </w:r>
            <w:r>
              <w:rPr>
                <w:rFonts w:hint="eastAsia" w:ascii="宋体" w:hAnsi="宋体"/>
                <w:color w:val="auto"/>
                <w:szCs w:val="21"/>
                <w:highlight w:val="none"/>
                <w:u w:val="single"/>
              </w:rPr>
              <w:t>2</w:t>
            </w:r>
            <w:r>
              <w:rPr>
                <w:rFonts w:ascii="宋体" w:hAnsi="宋体"/>
                <w:color w:val="auto"/>
                <w:szCs w:val="21"/>
                <w:highlight w:val="none"/>
                <w:u w:val="single"/>
              </w:rPr>
              <w:t>0</w:t>
            </w:r>
            <w:r>
              <w:rPr>
                <w:rFonts w:hint="eastAsia" w:ascii="宋体" w:hAnsi="宋体"/>
                <w:color w:val="auto"/>
                <w:szCs w:val="21"/>
                <w:highlight w:val="none"/>
              </w:rPr>
              <w:t>分</w:t>
            </w:r>
          </w:p>
          <w:p>
            <w:pPr>
              <w:spacing w:line="400" w:lineRule="exact"/>
              <w:ind w:right="420" w:rightChars="200"/>
              <w:jc w:val="left"/>
              <w:rPr>
                <w:rFonts w:ascii="宋体" w:hAnsi="宋体"/>
                <w:color w:val="auto"/>
                <w:szCs w:val="21"/>
                <w:highlight w:val="none"/>
              </w:rPr>
            </w:pPr>
            <w:r>
              <w:rPr>
                <w:rFonts w:hint="eastAsia" w:ascii="宋体" w:hAnsi="宋体"/>
                <w:color w:val="auto"/>
                <w:szCs w:val="21"/>
                <w:highlight w:val="none"/>
              </w:rPr>
              <w:t>（三）商务</w:t>
            </w:r>
            <w:r>
              <w:rPr>
                <w:rFonts w:ascii="宋体" w:hAnsi="宋体"/>
                <w:color w:val="auto"/>
                <w:szCs w:val="21"/>
                <w:highlight w:val="none"/>
              </w:rPr>
              <w:t>部分：</w:t>
            </w:r>
            <w:r>
              <w:rPr>
                <w:rFonts w:hint="eastAsia" w:ascii="宋体" w:hAnsi="宋体"/>
                <w:color w:val="auto"/>
                <w:szCs w:val="21"/>
                <w:highlight w:val="none"/>
                <w:u w:val="single"/>
              </w:rPr>
              <w:t>25</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jc w:val="center"/>
        </w:trPr>
        <w:tc>
          <w:tcPr>
            <w:tcW w:w="1466" w:type="dxa"/>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视为投标人相互串通投标的情形</w:t>
            </w:r>
          </w:p>
        </w:tc>
        <w:tc>
          <w:tcPr>
            <w:tcW w:w="7054" w:type="dxa"/>
            <w:vAlign w:val="center"/>
          </w:tcPr>
          <w:p>
            <w:pPr>
              <w:spacing w:line="400" w:lineRule="exact"/>
              <w:ind w:right="420" w:rightChars="200"/>
              <w:rPr>
                <w:rFonts w:ascii="宋体" w:hAnsi="宋体"/>
                <w:b/>
                <w:color w:val="auto"/>
                <w:szCs w:val="21"/>
                <w:highlight w:val="none"/>
              </w:rPr>
            </w:pPr>
            <w:r>
              <w:rPr>
                <w:rFonts w:hint="eastAsia" w:ascii="宋体" w:hAnsi="宋体"/>
                <w:b/>
                <w:color w:val="auto"/>
                <w:szCs w:val="21"/>
                <w:highlight w:val="none"/>
              </w:rPr>
              <w:t>有下列情况之一的，视为投标人相互串通投标，做否决处理。</w:t>
            </w:r>
          </w:p>
          <w:p>
            <w:pPr>
              <w:numPr>
                <w:ilvl w:val="0"/>
                <w:numId w:val="4"/>
              </w:numPr>
              <w:spacing w:line="400" w:lineRule="exact"/>
              <w:ind w:right="420" w:rightChars="200"/>
              <w:rPr>
                <w:rFonts w:ascii="宋体" w:hAnsi="宋体"/>
                <w:color w:val="auto"/>
                <w:szCs w:val="21"/>
                <w:highlight w:val="none"/>
              </w:rPr>
            </w:pPr>
            <w:r>
              <w:rPr>
                <w:rFonts w:hint="eastAsia" w:ascii="宋体" w:hAnsi="宋体"/>
                <w:color w:val="auto"/>
                <w:szCs w:val="21"/>
                <w:highlight w:val="none"/>
              </w:rPr>
              <w:t>不同投标人的比选响应文件由同一单位或者个人编制；</w:t>
            </w:r>
          </w:p>
          <w:p>
            <w:pPr>
              <w:numPr>
                <w:ilvl w:val="0"/>
                <w:numId w:val="4"/>
              </w:numPr>
              <w:spacing w:line="400" w:lineRule="exact"/>
              <w:ind w:right="420" w:rightChars="200"/>
              <w:rPr>
                <w:rFonts w:ascii="宋体" w:hAnsi="宋体"/>
                <w:color w:val="auto"/>
                <w:szCs w:val="21"/>
                <w:highlight w:val="none"/>
              </w:rPr>
            </w:pPr>
            <w:r>
              <w:rPr>
                <w:rFonts w:hint="eastAsia" w:ascii="宋体" w:hAnsi="宋体"/>
                <w:color w:val="auto"/>
                <w:szCs w:val="21"/>
                <w:highlight w:val="none"/>
              </w:rPr>
              <w:t>不同投标人委托同一单位或者个人办理投标事宜；</w:t>
            </w:r>
          </w:p>
          <w:p>
            <w:pPr>
              <w:numPr>
                <w:ilvl w:val="0"/>
                <w:numId w:val="4"/>
              </w:numPr>
              <w:spacing w:line="400" w:lineRule="exact"/>
              <w:ind w:right="420" w:rightChars="200"/>
              <w:rPr>
                <w:rFonts w:ascii="宋体" w:hAnsi="宋体"/>
                <w:color w:val="auto"/>
                <w:szCs w:val="21"/>
                <w:highlight w:val="none"/>
              </w:rPr>
            </w:pPr>
            <w:r>
              <w:rPr>
                <w:rFonts w:hint="eastAsia" w:ascii="宋体" w:hAnsi="宋体"/>
                <w:color w:val="auto"/>
                <w:szCs w:val="21"/>
                <w:highlight w:val="none"/>
              </w:rPr>
              <w:t>不同投标人的比选响应文件载明的项目管理成员为同一人；</w:t>
            </w:r>
          </w:p>
          <w:p>
            <w:pPr>
              <w:numPr>
                <w:ilvl w:val="0"/>
                <w:numId w:val="4"/>
              </w:numPr>
              <w:spacing w:line="400" w:lineRule="exact"/>
              <w:ind w:right="420" w:rightChars="200"/>
              <w:rPr>
                <w:rFonts w:ascii="宋体" w:hAnsi="宋体"/>
                <w:color w:val="auto"/>
                <w:szCs w:val="21"/>
                <w:highlight w:val="none"/>
              </w:rPr>
            </w:pPr>
            <w:r>
              <w:rPr>
                <w:rFonts w:hint="eastAsia" w:ascii="宋体" w:hAnsi="宋体"/>
                <w:color w:val="auto"/>
                <w:szCs w:val="21"/>
                <w:highlight w:val="none"/>
              </w:rPr>
              <w:t>不同投标人的比选响应文件异常一致或者竞标报价呈规律性差异；</w:t>
            </w:r>
          </w:p>
          <w:p>
            <w:pPr>
              <w:numPr>
                <w:ilvl w:val="0"/>
                <w:numId w:val="4"/>
              </w:numPr>
              <w:spacing w:line="400" w:lineRule="exact"/>
              <w:ind w:right="420" w:rightChars="200"/>
              <w:rPr>
                <w:rFonts w:ascii="宋体" w:hAnsi="宋体"/>
                <w:color w:val="auto"/>
                <w:szCs w:val="21"/>
                <w:highlight w:val="none"/>
              </w:rPr>
            </w:pPr>
            <w:r>
              <w:rPr>
                <w:rFonts w:hint="eastAsia" w:ascii="宋体" w:hAnsi="宋体"/>
                <w:color w:val="auto"/>
                <w:szCs w:val="21"/>
                <w:highlight w:val="none"/>
              </w:rPr>
              <w:t>不同投标人的比选响应文件相互混装；</w:t>
            </w:r>
          </w:p>
        </w:tc>
      </w:tr>
    </w:tbl>
    <w:p>
      <w:pPr>
        <w:rPr>
          <w:rFonts w:ascii="宋体" w:hAnsi="宋体"/>
          <w:color w:val="auto"/>
          <w:highlight w:val="none"/>
        </w:rPr>
      </w:pPr>
    </w:p>
    <w:tbl>
      <w:tblPr>
        <w:tblStyle w:val="11"/>
        <w:tblW w:w="85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522"/>
        <w:gridCol w:w="1108"/>
        <w:gridCol w:w="821"/>
        <w:gridCol w:w="5556"/>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530" w:hRule="atLeast"/>
          <w:jc w:val="center"/>
        </w:trPr>
        <w:tc>
          <w:tcPr>
            <w:tcW w:w="3021" w:type="dxa"/>
            <w:gridSpan w:val="4"/>
            <w:vAlign w:val="center"/>
          </w:tcPr>
          <w:p>
            <w:pPr>
              <w:spacing w:line="360" w:lineRule="exact"/>
              <w:rPr>
                <w:rFonts w:ascii="宋体" w:hAnsi="宋体"/>
                <w:b/>
                <w:color w:val="auto"/>
                <w:szCs w:val="21"/>
                <w:highlight w:val="none"/>
              </w:rPr>
            </w:pPr>
            <w:r>
              <w:rPr>
                <w:rFonts w:ascii="宋体" w:hAnsi="宋体"/>
                <w:b/>
                <w:color w:val="auto"/>
                <w:szCs w:val="21"/>
                <w:highlight w:val="none"/>
              </w:rPr>
              <w:t>评审因素与评分值</w:t>
            </w:r>
          </w:p>
        </w:tc>
        <w:tc>
          <w:tcPr>
            <w:tcW w:w="5556" w:type="dxa"/>
            <w:vMerge w:val="restart"/>
            <w:vAlign w:val="center"/>
          </w:tcPr>
          <w:p>
            <w:pPr>
              <w:spacing w:line="360" w:lineRule="exact"/>
              <w:jc w:val="center"/>
              <w:rPr>
                <w:rFonts w:ascii="宋体" w:hAnsi="宋体"/>
                <w:b/>
                <w:color w:val="auto"/>
                <w:szCs w:val="21"/>
                <w:highlight w:val="none"/>
              </w:rPr>
            </w:pPr>
            <w:r>
              <w:rPr>
                <w:rFonts w:ascii="宋体" w:hAnsi="宋体"/>
                <w:b/>
                <w:color w:val="auto"/>
                <w:szCs w:val="21"/>
                <w:highlight w:val="none"/>
              </w:rPr>
              <w:t>评分</w:t>
            </w:r>
            <w:r>
              <w:rPr>
                <w:rFonts w:hint="eastAsia" w:ascii="宋体" w:hAnsi="宋体"/>
                <w:b/>
                <w:color w:val="auto"/>
                <w:szCs w:val="21"/>
                <w:highlight w:val="none"/>
              </w:rPr>
              <w:t>标准</w:t>
            </w:r>
            <w:r>
              <w:rPr>
                <w:rFonts w:hint="eastAsia" w:ascii="宋体" w:hAnsi="宋体"/>
                <w:b/>
                <w:color w:val="auto"/>
                <w:szCs w:val="21"/>
                <w:highlight w:val="none"/>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633" w:hRule="atLeast"/>
          <w:jc w:val="center"/>
        </w:trPr>
        <w:tc>
          <w:tcPr>
            <w:tcW w:w="570" w:type="dxa"/>
            <w:vAlign w:val="center"/>
          </w:tcPr>
          <w:p>
            <w:pPr>
              <w:spacing w:line="240" w:lineRule="exact"/>
              <w:jc w:val="center"/>
              <w:rPr>
                <w:rFonts w:ascii="宋体" w:hAnsi="宋体"/>
                <w:b/>
                <w:color w:val="auto"/>
                <w:szCs w:val="21"/>
                <w:highlight w:val="none"/>
              </w:rPr>
            </w:pPr>
            <w:r>
              <w:rPr>
                <w:rFonts w:ascii="宋体" w:hAnsi="宋体"/>
                <w:b/>
                <w:color w:val="auto"/>
                <w:szCs w:val="21"/>
                <w:highlight w:val="none"/>
              </w:rPr>
              <w:t>序号</w:t>
            </w:r>
          </w:p>
        </w:tc>
        <w:tc>
          <w:tcPr>
            <w:tcW w:w="1630" w:type="dxa"/>
            <w:gridSpan w:val="2"/>
            <w:vAlign w:val="center"/>
          </w:tcPr>
          <w:p>
            <w:pPr>
              <w:spacing w:line="240" w:lineRule="exact"/>
              <w:jc w:val="center"/>
              <w:rPr>
                <w:rFonts w:ascii="宋体" w:hAnsi="宋体"/>
                <w:b/>
                <w:color w:val="auto"/>
                <w:szCs w:val="21"/>
                <w:highlight w:val="none"/>
              </w:rPr>
            </w:pPr>
            <w:r>
              <w:rPr>
                <w:rFonts w:ascii="宋体" w:hAnsi="宋体"/>
                <w:b/>
                <w:color w:val="auto"/>
                <w:szCs w:val="21"/>
                <w:highlight w:val="none"/>
              </w:rPr>
              <w:t>评审</w:t>
            </w:r>
          </w:p>
          <w:p>
            <w:pPr>
              <w:spacing w:line="240" w:lineRule="exact"/>
              <w:jc w:val="center"/>
              <w:rPr>
                <w:rFonts w:ascii="宋体" w:hAnsi="宋体"/>
                <w:b/>
                <w:color w:val="auto"/>
                <w:szCs w:val="21"/>
                <w:highlight w:val="none"/>
              </w:rPr>
            </w:pPr>
            <w:r>
              <w:rPr>
                <w:rFonts w:ascii="宋体" w:hAnsi="宋体"/>
                <w:b/>
                <w:color w:val="auto"/>
                <w:szCs w:val="21"/>
                <w:highlight w:val="none"/>
              </w:rPr>
              <w:t>因素</w:t>
            </w:r>
          </w:p>
        </w:tc>
        <w:tc>
          <w:tcPr>
            <w:tcW w:w="821" w:type="dxa"/>
            <w:vAlign w:val="center"/>
          </w:tcPr>
          <w:p>
            <w:pPr>
              <w:spacing w:line="240" w:lineRule="exact"/>
              <w:rPr>
                <w:rFonts w:ascii="宋体" w:hAnsi="宋体"/>
                <w:b/>
                <w:color w:val="auto"/>
                <w:szCs w:val="21"/>
                <w:highlight w:val="none"/>
              </w:rPr>
            </w:pPr>
            <w:r>
              <w:rPr>
                <w:rFonts w:ascii="宋体" w:hAnsi="宋体"/>
                <w:b/>
                <w:color w:val="auto"/>
                <w:szCs w:val="21"/>
                <w:highlight w:val="none"/>
              </w:rPr>
              <w:t>评审因素分值</w:t>
            </w:r>
          </w:p>
        </w:tc>
        <w:tc>
          <w:tcPr>
            <w:tcW w:w="5556" w:type="dxa"/>
            <w:vMerge w:val="continue"/>
            <w:vAlign w:val="center"/>
          </w:tcPr>
          <w:p>
            <w:pPr>
              <w:spacing w:line="360" w:lineRule="exact"/>
              <w:ind w:firstLine="210" w:firstLineChars="100"/>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1157" w:hRule="atLeast"/>
          <w:jc w:val="center"/>
        </w:trPr>
        <w:tc>
          <w:tcPr>
            <w:tcW w:w="570" w:type="dxa"/>
            <w:vAlign w:val="center"/>
          </w:tcPr>
          <w:p>
            <w:pPr>
              <w:spacing w:line="324" w:lineRule="auto"/>
              <w:jc w:val="center"/>
              <w:rPr>
                <w:rFonts w:ascii="宋体" w:hAnsi="宋体" w:cs="宋体"/>
                <w:color w:val="auto"/>
                <w:kern w:val="0"/>
                <w:szCs w:val="21"/>
                <w:highlight w:val="none"/>
              </w:rPr>
            </w:pPr>
            <w:r>
              <w:rPr>
                <w:rFonts w:ascii="宋体" w:hAnsi="宋体" w:cs="宋体"/>
                <w:color w:val="auto"/>
                <w:kern w:val="0"/>
                <w:szCs w:val="21"/>
                <w:highlight w:val="none"/>
              </w:rPr>
              <w:t>A</w:t>
            </w:r>
          </w:p>
        </w:tc>
        <w:tc>
          <w:tcPr>
            <w:tcW w:w="522" w:type="dxa"/>
            <w:vMerge w:val="restart"/>
            <w:vAlign w:val="center"/>
          </w:tcPr>
          <w:p>
            <w:pPr>
              <w:spacing w:line="276" w:lineRule="auto"/>
              <w:rPr>
                <w:rFonts w:ascii="宋体" w:hAnsi="宋体"/>
                <w:color w:val="auto"/>
                <w:szCs w:val="21"/>
                <w:highlight w:val="none"/>
              </w:rPr>
            </w:pPr>
            <w:r>
              <w:rPr>
                <w:rFonts w:hint="eastAsia" w:ascii="宋体" w:hAnsi="宋体"/>
                <w:color w:val="auto"/>
                <w:szCs w:val="21"/>
                <w:highlight w:val="none"/>
              </w:rPr>
              <w:t>技</w:t>
            </w:r>
          </w:p>
          <w:p>
            <w:pPr>
              <w:spacing w:line="276" w:lineRule="auto"/>
              <w:rPr>
                <w:rFonts w:ascii="宋体" w:hAnsi="宋体"/>
                <w:color w:val="auto"/>
                <w:szCs w:val="21"/>
                <w:highlight w:val="none"/>
              </w:rPr>
            </w:pPr>
            <w:r>
              <w:rPr>
                <w:rFonts w:hint="eastAsia" w:ascii="宋体" w:hAnsi="宋体"/>
                <w:color w:val="auto"/>
                <w:szCs w:val="21"/>
                <w:highlight w:val="none"/>
              </w:rPr>
              <w:t>术</w:t>
            </w:r>
          </w:p>
          <w:p>
            <w:pPr>
              <w:spacing w:line="276" w:lineRule="auto"/>
              <w:rPr>
                <w:rFonts w:ascii="宋体" w:hAnsi="宋体"/>
                <w:color w:val="auto"/>
                <w:szCs w:val="21"/>
                <w:highlight w:val="none"/>
              </w:rPr>
            </w:pPr>
            <w:r>
              <w:rPr>
                <w:rFonts w:hint="eastAsia" w:ascii="宋体" w:hAnsi="宋体"/>
                <w:color w:val="auto"/>
                <w:szCs w:val="21"/>
                <w:highlight w:val="none"/>
              </w:rPr>
              <w:t>部</w:t>
            </w:r>
          </w:p>
          <w:p>
            <w:pPr>
              <w:spacing w:line="276" w:lineRule="auto"/>
              <w:rPr>
                <w:rFonts w:ascii="宋体" w:hAnsi="宋体"/>
                <w:color w:val="auto"/>
                <w:szCs w:val="21"/>
                <w:highlight w:val="none"/>
              </w:rPr>
            </w:pPr>
            <w:r>
              <w:rPr>
                <w:rFonts w:hint="eastAsia" w:ascii="宋体" w:hAnsi="宋体"/>
                <w:color w:val="auto"/>
                <w:szCs w:val="21"/>
                <w:highlight w:val="none"/>
              </w:rPr>
              <w:t>分</w:t>
            </w:r>
          </w:p>
          <w:p>
            <w:pPr>
              <w:spacing w:line="276" w:lineRule="auto"/>
              <w:rPr>
                <w:rFonts w:ascii="宋体" w:hAnsi="宋体"/>
                <w:color w:val="auto"/>
                <w:szCs w:val="21"/>
                <w:highlight w:val="none"/>
              </w:rPr>
            </w:pPr>
            <w:r>
              <w:rPr>
                <w:rFonts w:hint="eastAsia" w:ascii="宋体" w:hAnsi="宋体"/>
                <w:color w:val="auto"/>
                <w:szCs w:val="21"/>
                <w:highlight w:val="none"/>
              </w:rPr>
              <w:t>技</w:t>
            </w:r>
          </w:p>
          <w:p>
            <w:pPr>
              <w:spacing w:line="276" w:lineRule="auto"/>
              <w:rPr>
                <w:rFonts w:ascii="宋体" w:hAnsi="宋体"/>
                <w:color w:val="auto"/>
                <w:szCs w:val="21"/>
                <w:highlight w:val="none"/>
              </w:rPr>
            </w:pPr>
            <w:r>
              <w:rPr>
                <w:rFonts w:hint="eastAsia" w:ascii="宋体" w:hAnsi="宋体"/>
                <w:color w:val="auto"/>
                <w:szCs w:val="21"/>
                <w:highlight w:val="none"/>
              </w:rPr>
              <w:t>术</w:t>
            </w:r>
          </w:p>
          <w:p>
            <w:pPr>
              <w:spacing w:line="276" w:lineRule="auto"/>
              <w:rPr>
                <w:rFonts w:ascii="宋体" w:hAnsi="宋体"/>
                <w:color w:val="auto"/>
                <w:szCs w:val="21"/>
                <w:highlight w:val="none"/>
              </w:rPr>
            </w:pPr>
            <w:r>
              <w:rPr>
                <w:rFonts w:hint="eastAsia" w:ascii="宋体" w:hAnsi="宋体"/>
                <w:color w:val="auto"/>
                <w:szCs w:val="21"/>
                <w:highlight w:val="none"/>
              </w:rPr>
              <w:t>部</w:t>
            </w:r>
          </w:p>
          <w:p>
            <w:pPr>
              <w:spacing w:line="276" w:lineRule="auto"/>
              <w:rPr>
                <w:rFonts w:ascii="宋体" w:hAnsi="宋体"/>
                <w:color w:val="auto"/>
                <w:szCs w:val="21"/>
                <w:highlight w:val="none"/>
              </w:rPr>
            </w:pPr>
            <w:r>
              <w:rPr>
                <w:rFonts w:hint="eastAsia" w:ascii="宋体" w:hAnsi="宋体"/>
                <w:color w:val="auto"/>
                <w:szCs w:val="21"/>
                <w:highlight w:val="none"/>
              </w:rPr>
              <w:t>分</w:t>
            </w:r>
          </w:p>
        </w:tc>
        <w:tc>
          <w:tcPr>
            <w:tcW w:w="1108"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服务区功能定位和业态策划</w:t>
            </w:r>
          </w:p>
        </w:tc>
        <w:tc>
          <w:tcPr>
            <w:tcW w:w="821"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15</w:t>
            </w:r>
            <w:r>
              <w:rPr>
                <w:rFonts w:ascii="宋体" w:hAnsi="宋体"/>
                <w:color w:val="auto"/>
                <w:szCs w:val="21"/>
                <w:highlight w:val="none"/>
              </w:rPr>
              <w:t>分</w:t>
            </w:r>
          </w:p>
        </w:tc>
        <w:tc>
          <w:tcPr>
            <w:tcW w:w="5556"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提出</w:t>
            </w:r>
            <w:r>
              <w:rPr>
                <w:rFonts w:hint="eastAsia" w:ascii="宋体" w:hAnsi="宋体"/>
                <w:color w:val="auto"/>
                <w:szCs w:val="21"/>
                <w:highlight w:val="none"/>
                <w:lang w:eastAsia="zh-CN"/>
              </w:rPr>
              <w:t>合理的</w:t>
            </w:r>
            <w:r>
              <w:rPr>
                <w:rFonts w:hint="eastAsia" w:ascii="宋体" w:hAnsi="宋体"/>
                <w:color w:val="auto"/>
                <w:szCs w:val="21"/>
                <w:highlight w:val="none"/>
              </w:rPr>
              <w:t>总体策划方案或策划大纲，提出</w:t>
            </w:r>
            <w:r>
              <w:rPr>
                <w:rFonts w:hint="eastAsia" w:ascii="宋体" w:hAnsi="宋体"/>
                <w:color w:val="auto"/>
                <w:szCs w:val="21"/>
                <w:highlight w:val="none"/>
                <w:lang w:eastAsia="zh-CN"/>
              </w:rPr>
              <w:t>合理的</w:t>
            </w:r>
            <w:r>
              <w:rPr>
                <w:rFonts w:hint="eastAsia" w:ascii="宋体" w:hAnsi="宋体"/>
                <w:color w:val="auto"/>
                <w:szCs w:val="21"/>
                <w:highlight w:val="none"/>
              </w:rPr>
              <w:t>项目整体初步功能定位及业态规划，提出</w:t>
            </w:r>
            <w:r>
              <w:rPr>
                <w:rFonts w:hint="eastAsia" w:ascii="宋体" w:hAnsi="宋体"/>
                <w:color w:val="auto"/>
                <w:szCs w:val="21"/>
                <w:highlight w:val="none"/>
                <w:lang w:eastAsia="zh-CN"/>
              </w:rPr>
              <w:t>项目</w:t>
            </w:r>
            <w:r>
              <w:rPr>
                <w:rFonts w:hint="eastAsia" w:ascii="宋体" w:hAnsi="宋体"/>
                <w:color w:val="auto"/>
                <w:szCs w:val="21"/>
                <w:highlight w:val="none"/>
              </w:rPr>
              <w:t>发展建议、对交通、建筑空间要求</w:t>
            </w:r>
            <w:r>
              <w:rPr>
                <w:rFonts w:hint="eastAsia" w:ascii="宋体" w:hAnsi="宋体"/>
                <w:color w:val="auto"/>
                <w:szCs w:val="21"/>
                <w:highlight w:val="none"/>
                <w:lang w:eastAsia="zh-CN"/>
              </w:rPr>
              <w:t>等，</w:t>
            </w:r>
            <w:r>
              <w:rPr>
                <w:rFonts w:hint="eastAsia" w:ascii="宋体" w:hAnsi="宋体"/>
                <w:color w:val="auto"/>
                <w:szCs w:val="21"/>
                <w:highlight w:val="none"/>
              </w:rPr>
              <w:t>提出</w:t>
            </w:r>
            <w:r>
              <w:rPr>
                <w:rFonts w:hint="eastAsia" w:ascii="宋体" w:hAnsi="宋体"/>
                <w:color w:val="auto"/>
                <w:szCs w:val="21"/>
                <w:highlight w:val="none"/>
                <w:lang w:eastAsia="zh-CN"/>
              </w:rPr>
              <w:t>有价值的</w:t>
            </w:r>
            <w:r>
              <w:rPr>
                <w:rFonts w:hint="eastAsia" w:ascii="宋体" w:hAnsi="宋体"/>
                <w:color w:val="auto"/>
                <w:szCs w:val="21"/>
                <w:highlight w:val="none"/>
              </w:rPr>
              <w:t>方向性建议。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2" w:type="dxa"/>
          <w:trHeight w:val="1157" w:hRule="atLeast"/>
          <w:jc w:val="center"/>
        </w:trPr>
        <w:tc>
          <w:tcPr>
            <w:tcW w:w="570" w:type="dxa"/>
            <w:vAlign w:val="center"/>
          </w:tcPr>
          <w:p>
            <w:pPr>
              <w:spacing w:line="324" w:lineRule="auto"/>
              <w:jc w:val="center"/>
              <w:rPr>
                <w:rFonts w:ascii="宋体" w:hAnsi="宋体" w:cs="宋体"/>
                <w:color w:val="auto"/>
                <w:kern w:val="0"/>
                <w:szCs w:val="21"/>
                <w:highlight w:val="none"/>
              </w:rPr>
            </w:pPr>
            <w:r>
              <w:rPr>
                <w:rFonts w:ascii="宋体" w:hAnsi="宋体" w:cs="宋体"/>
                <w:color w:val="auto"/>
                <w:kern w:val="0"/>
                <w:szCs w:val="21"/>
                <w:highlight w:val="none"/>
              </w:rPr>
              <w:t>B</w:t>
            </w:r>
          </w:p>
        </w:tc>
        <w:tc>
          <w:tcPr>
            <w:tcW w:w="522" w:type="dxa"/>
            <w:vMerge w:val="continue"/>
            <w:vAlign w:val="center"/>
          </w:tcPr>
          <w:p>
            <w:pPr>
              <w:spacing w:line="276" w:lineRule="auto"/>
              <w:rPr>
                <w:rFonts w:ascii="宋体" w:hAnsi="宋体"/>
                <w:color w:val="auto"/>
                <w:szCs w:val="21"/>
                <w:highlight w:val="none"/>
              </w:rPr>
            </w:pPr>
          </w:p>
        </w:tc>
        <w:tc>
          <w:tcPr>
            <w:tcW w:w="1108"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服务区交通规划及概念性方案设计</w:t>
            </w:r>
          </w:p>
        </w:tc>
        <w:tc>
          <w:tcPr>
            <w:tcW w:w="821" w:type="dxa"/>
            <w:vAlign w:val="center"/>
          </w:tcPr>
          <w:p>
            <w:pPr>
              <w:spacing w:line="276" w:lineRule="auto"/>
              <w:rPr>
                <w:rFonts w:ascii="宋体" w:hAnsi="宋体"/>
                <w:color w:val="auto"/>
                <w:szCs w:val="21"/>
                <w:highlight w:val="none"/>
              </w:rPr>
            </w:pPr>
            <w:r>
              <w:rPr>
                <w:rFonts w:ascii="宋体" w:hAnsi="宋体"/>
                <w:color w:val="auto"/>
                <w:szCs w:val="21"/>
                <w:highlight w:val="none"/>
              </w:rPr>
              <w:t>20分</w:t>
            </w:r>
          </w:p>
        </w:tc>
        <w:tc>
          <w:tcPr>
            <w:tcW w:w="5556"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提出</w:t>
            </w:r>
            <w:r>
              <w:rPr>
                <w:rFonts w:hint="eastAsia" w:ascii="宋体" w:hAnsi="宋体"/>
                <w:color w:val="auto"/>
                <w:szCs w:val="21"/>
                <w:highlight w:val="none"/>
                <w:lang w:eastAsia="zh-CN"/>
              </w:rPr>
              <w:t>合理的</w:t>
            </w:r>
            <w:r>
              <w:rPr>
                <w:rFonts w:hint="eastAsia" w:ascii="宋体" w:hAnsi="宋体"/>
                <w:color w:val="auto"/>
                <w:szCs w:val="21"/>
                <w:highlight w:val="none"/>
              </w:rPr>
              <w:t>交通规划设计思路及理念，提出</w:t>
            </w:r>
            <w:r>
              <w:rPr>
                <w:rFonts w:hint="eastAsia" w:ascii="宋体" w:hAnsi="宋体"/>
                <w:color w:val="auto"/>
                <w:szCs w:val="21"/>
                <w:highlight w:val="none"/>
                <w:lang w:eastAsia="zh-CN"/>
              </w:rPr>
              <w:t>合理的</w:t>
            </w:r>
            <w:r>
              <w:rPr>
                <w:rFonts w:hint="eastAsia" w:ascii="宋体" w:hAnsi="宋体"/>
                <w:color w:val="auto"/>
                <w:szCs w:val="21"/>
                <w:highlight w:val="none"/>
              </w:rPr>
              <w:t>初步方案或方案意向</w:t>
            </w:r>
            <w:r>
              <w:rPr>
                <w:rFonts w:hint="eastAsia" w:ascii="宋体" w:hAnsi="宋体"/>
                <w:color w:val="auto"/>
                <w:szCs w:val="21"/>
                <w:highlight w:val="none"/>
                <w:lang w:eastAsia="zh-CN"/>
              </w:rPr>
              <w:t>，</w:t>
            </w:r>
            <w:r>
              <w:rPr>
                <w:rFonts w:hint="eastAsia" w:ascii="宋体" w:hAnsi="宋体"/>
                <w:color w:val="auto"/>
                <w:szCs w:val="21"/>
                <w:highlight w:val="none"/>
              </w:rPr>
              <w:t>包括但不限于</w:t>
            </w:r>
            <w:r>
              <w:rPr>
                <w:rFonts w:hint="eastAsia" w:ascii="宋体" w:hAnsi="宋体"/>
                <w:color w:val="auto"/>
                <w:szCs w:val="21"/>
                <w:highlight w:val="none"/>
                <w:lang w:eastAsia="zh-CN"/>
              </w:rPr>
              <w:t>服务区总体及交通设施的</w:t>
            </w:r>
            <w:r>
              <w:rPr>
                <w:rFonts w:hint="eastAsia" w:ascii="宋体" w:hAnsi="宋体"/>
                <w:color w:val="auto"/>
                <w:szCs w:val="21"/>
                <w:highlight w:val="none"/>
              </w:rPr>
              <w:t>空间布局、外</w:t>
            </w:r>
            <w:r>
              <w:rPr>
                <w:rFonts w:hint="eastAsia" w:ascii="宋体" w:hAnsi="宋体"/>
                <w:color w:val="auto"/>
                <w:szCs w:val="21"/>
                <w:highlight w:val="none"/>
                <w:lang w:eastAsia="zh-CN"/>
              </w:rPr>
              <w:t>观效果</w:t>
            </w:r>
            <w:r>
              <w:rPr>
                <w:rFonts w:hint="eastAsia" w:ascii="宋体" w:hAnsi="宋体"/>
                <w:color w:val="auto"/>
                <w:szCs w:val="21"/>
                <w:highlight w:val="none"/>
              </w:rPr>
              <w:t>和</w:t>
            </w:r>
            <w:r>
              <w:rPr>
                <w:rFonts w:hint="eastAsia" w:ascii="宋体" w:hAnsi="宋体"/>
                <w:color w:val="auto"/>
                <w:szCs w:val="21"/>
                <w:highlight w:val="none"/>
                <w:lang w:eastAsia="zh-CN"/>
              </w:rPr>
              <w:t>景观</w:t>
            </w:r>
            <w:r>
              <w:rPr>
                <w:rFonts w:hint="eastAsia" w:ascii="宋体" w:hAnsi="宋体"/>
                <w:color w:val="auto"/>
                <w:szCs w:val="21"/>
                <w:highlight w:val="none"/>
              </w:rPr>
              <w:t>规划等内容。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570" w:type="dxa"/>
            <w:vAlign w:val="center"/>
          </w:tcPr>
          <w:p>
            <w:pPr>
              <w:spacing w:line="324" w:lineRule="auto"/>
              <w:jc w:val="center"/>
              <w:rPr>
                <w:rFonts w:ascii="宋体" w:hAnsi="宋体" w:cs="宋体"/>
                <w:color w:val="auto"/>
                <w:kern w:val="0"/>
                <w:szCs w:val="21"/>
                <w:highlight w:val="none"/>
              </w:rPr>
            </w:pPr>
            <w:r>
              <w:rPr>
                <w:rFonts w:ascii="宋体" w:hAnsi="宋体" w:cs="宋体"/>
                <w:color w:val="auto"/>
                <w:kern w:val="0"/>
                <w:szCs w:val="21"/>
                <w:highlight w:val="none"/>
              </w:rPr>
              <w:t>C</w:t>
            </w:r>
          </w:p>
        </w:tc>
        <w:tc>
          <w:tcPr>
            <w:tcW w:w="522" w:type="dxa"/>
            <w:vMerge w:val="continue"/>
            <w:vAlign w:val="center"/>
          </w:tcPr>
          <w:p>
            <w:pPr>
              <w:spacing w:line="276" w:lineRule="auto"/>
              <w:rPr>
                <w:rFonts w:ascii="宋体" w:hAnsi="宋体"/>
                <w:color w:val="auto"/>
                <w:szCs w:val="21"/>
                <w:highlight w:val="none"/>
              </w:rPr>
            </w:pPr>
          </w:p>
        </w:tc>
        <w:tc>
          <w:tcPr>
            <w:tcW w:w="1108"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服务区建筑空间规划及概念性方案设计</w:t>
            </w:r>
          </w:p>
        </w:tc>
        <w:tc>
          <w:tcPr>
            <w:tcW w:w="821"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15</w:t>
            </w:r>
            <w:r>
              <w:rPr>
                <w:rFonts w:ascii="宋体" w:hAnsi="宋体"/>
                <w:color w:val="auto"/>
                <w:szCs w:val="21"/>
                <w:highlight w:val="none"/>
              </w:rPr>
              <w:t>分</w:t>
            </w:r>
          </w:p>
        </w:tc>
        <w:tc>
          <w:tcPr>
            <w:tcW w:w="5568" w:type="dxa"/>
            <w:gridSpan w:val="2"/>
            <w:vAlign w:val="center"/>
          </w:tcPr>
          <w:p>
            <w:pPr>
              <w:spacing w:line="276" w:lineRule="auto"/>
              <w:rPr>
                <w:rFonts w:ascii="宋体" w:hAnsi="宋体"/>
                <w:color w:val="auto"/>
                <w:szCs w:val="21"/>
                <w:highlight w:val="none"/>
              </w:rPr>
            </w:pPr>
            <w:r>
              <w:rPr>
                <w:rFonts w:hint="eastAsia" w:ascii="宋体" w:hAnsi="宋体"/>
                <w:color w:val="auto"/>
                <w:szCs w:val="21"/>
                <w:highlight w:val="none"/>
              </w:rPr>
              <w:t>提出</w:t>
            </w:r>
            <w:r>
              <w:rPr>
                <w:rFonts w:hint="eastAsia" w:ascii="宋体" w:hAnsi="宋体"/>
                <w:color w:val="auto"/>
                <w:szCs w:val="21"/>
                <w:highlight w:val="none"/>
                <w:lang w:eastAsia="zh-CN"/>
              </w:rPr>
              <w:t>合理的</w:t>
            </w:r>
            <w:r>
              <w:rPr>
                <w:rFonts w:hint="eastAsia" w:ascii="宋体" w:hAnsi="宋体"/>
                <w:color w:val="auto"/>
                <w:szCs w:val="21"/>
                <w:highlight w:val="none"/>
              </w:rPr>
              <w:t>规划设计思路及理念，提出</w:t>
            </w:r>
            <w:r>
              <w:rPr>
                <w:rFonts w:hint="eastAsia" w:ascii="宋体" w:hAnsi="宋体"/>
                <w:color w:val="auto"/>
                <w:szCs w:val="21"/>
                <w:highlight w:val="none"/>
                <w:lang w:eastAsia="zh-CN"/>
              </w:rPr>
              <w:t>合理的</w:t>
            </w:r>
            <w:r>
              <w:rPr>
                <w:rFonts w:hint="eastAsia" w:ascii="宋体" w:hAnsi="宋体"/>
                <w:color w:val="auto"/>
                <w:szCs w:val="21"/>
                <w:highlight w:val="none"/>
              </w:rPr>
              <w:t>初步方案或方案意向，包括但不限于</w:t>
            </w:r>
            <w:r>
              <w:rPr>
                <w:rFonts w:hint="eastAsia" w:ascii="宋体" w:hAnsi="宋体"/>
                <w:color w:val="auto"/>
                <w:szCs w:val="21"/>
                <w:highlight w:val="none"/>
                <w:lang w:eastAsia="zh-CN"/>
              </w:rPr>
              <w:t>建筑</w:t>
            </w:r>
            <w:r>
              <w:rPr>
                <w:rFonts w:hint="eastAsia" w:ascii="宋体" w:hAnsi="宋体"/>
                <w:color w:val="auto"/>
                <w:szCs w:val="21"/>
                <w:highlight w:val="none"/>
              </w:rPr>
              <w:t>空间布局、</w:t>
            </w:r>
            <w:r>
              <w:rPr>
                <w:rFonts w:hint="eastAsia" w:ascii="宋体" w:hAnsi="宋体"/>
                <w:color w:val="auto"/>
                <w:szCs w:val="21"/>
                <w:highlight w:val="none"/>
                <w:lang w:eastAsia="zh-CN"/>
              </w:rPr>
              <w:t>业态布置、</w:t>
            </w:r>
            <w:r>
              <w:rPr>
                <w:rFonts w:hint="eastAsia" w:ascii="宋体" w:hAnsi="宋体"/>
                <w:color w:val="auto"/>
                <w:szCs w:val="21"/>
                <w:highlight w:val="none"/>
              </w:rPr>
              <w:t>外立面和室内</w:t>
            </w:r>
            <w:r>
              <w:rPr>
                <w:rFonts w:hint="eastAsia" w:ascii="宋体" w:hAnsi="宋体"/>
                <w:color w:val="auto"/>
                <w:szCs w:val="21"/>
                <w:highlight w:val="none"/>
                <w:lang w:eastAsia="zh-CN"/>
              </w:rPr>
              <w:t>装修效果</w:t>
            </w:r>
            <w:r>
              <w:rPr>
                <w:rFonts w:hint="eastAsia" w:ascii="宋体" w:hAnsi="宋体"/>
                <w:color w:val="auto"/>
                <w:szCs w:val="21"/>
                <w:highlight w:val="none"/>
              </w:rPr>
              <w:t>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3" w:hRule="atLeast"/>
          <w:jc w:val="center"/>
        </w:trPr>
        <w:tc>
          <w:tcPr>
            <w:tcW w:w="570" w:type="dxa"/>
            <w:vAlign w:val="center"/>
          </w:tcPr>
          <w:p>
            <w:pPr>
              <w:spacing w:line="324" w:lineRule="auto"/>
              <w:jc w:val="center"/>
              <w:rPr>
                <w:rFonts w:ascii="宋体" w:hAnsi="宋体" w:cs="宋体"/>
                <w:color w:val="auto"/>
                <w:kern w:val="0"/>
                <w:szCs w:val="21"/>
                <w:highlight w:val="none"/>
              </w:rPr>
            </w:pPr>
            <w:r>
              <w:rPr>
                <w:rFonts w:ascii="宋体" w:hAnsi="宋体" w:cs="宋体"/>
                <w:color w:val="auto"/>
                <w:kern w:val="0"/>
                <w:szCs w:val="21"/>
                <w:highlight w:val="none"/>
              </w:rPr>
              <w:t>D</w:t>
            </w:r>
          </w:p>
        </w:tc>
        <w:tc>
          <w:tcPr>
            <w:tcW w:w="522" w:type="dxa"/>
            <w:vMerge w:val="continue"/>
            <w:vAlign w:val="center"/>
          </w:tcPr>
          <w:p>
            <w:pPr>
              <w:spacing w:line="276" w:lineRule="auto"/>
              <w:rPr>
                <w:rFonts w:ascii="宋体" w:hAnsi="宋体"/>
                <w:color w:val="auto"/>
                <w:szCs w:val="21"/>
                <w:highlight w:val="none"/>
              </w:rPr>
            </w:pPr>
          </w:p>
        </w:tc>
        <w:tc>
          <w:tcPr>
            <w:tcW w:w="1108"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其它</w:t>
            </w:r>
          </w:p>
        </w:tc>
        <w:tc>
          <w:tcPr>
            <w:tcW w:w="821" w:type="dxa"/>
            <w:vAlign w:val="center"/>
          </w:tcPr>
          <w:p>
            <w:pPr>
              <w:spacing w:line="276" w:lineRule="auto"/>
              <w:rPr>
                <w:rFonts w:ascii="宋体" w:hAnsi="宋体"/>
                <w:color w:val="auto"/>
                <w:szCs w:val="21"/>
                <w:highlight w:val="none"/>
              </w:rPr>
            </w:pPr>
            <w:r>
              <w:rPr>
                <w:rFonts w:hint="eastAsia" w:ascii="宋体" w:hAnsi="宋体"/>
                <w:color w:val="auto"/>
                <w:szCs w:val="21"/>
                <w:highlight w:val="none"/>
              </w:rPr>
              <w:t>5分</w:t>
            </w:r>
          </w:p>
        </w:tc>
        <w:tc>
          <w:tcPr>
            <w:tcW w:w="5568" w:type="dxa"/>
            <w:gridSpan w:val="2"/>
            <w:vAlign w:val="center"/>
          </w:tcPr>
          <w:p>
            <w:pPr>
              <w:spacing w:line="276" w:lineRule="auto"/>
              <w:rPr>
                <w:rFonts w:ascii="宋体" w:hAnsi="宋体"/>
                <w:color w:val="auto"/>
                <w:szCs w:val="21"/>
                <w:highlight w:val="none"/>
              </w:rPr>
            </w:pPr>
            <w:r>
              <w:rPr>
                <w:rFonts w:hint="eastAsia" w:ascii="宋体" w:hAnsi="宋体"/>
                <w:color w:val="auto"/>
                <w:szCs w:val="21"/>
                <w:highlight w:val="none"/>
              </w:rPr>
              <w:t>本比选文件标的内容的工作大纲、后续服务工作安排。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570" w:type="dxa"/>
            <w:vMerge w:val="restart"/>
            <w:vAlign w:val="center"/>
          </w:tcPr>
          <w:p>
            <w:pPr>
              <w:spacing w:line="324" w:lineRule="auto"/>
              <w:rPr>
                <w:rFonts w:ascii="宋体" w:hAnsi="宋体" w:cs="宋体"/>
                <w:color w:val="auto"/>
                <w:kern w:val="0"/>
                <w:szCs w:val="21"/>
                <w:highlight w:val="none"/>
              </w:rPr>
            </w:pPr>
            <w:r>
              <w:rPr>
                <w:rFonts w:ascii="宋体" w:hAnsi="宋体" w:cs="宋体"/>
                <w:color w:val="auto"/>
                <w:kern w:val="0"/>
                <w:szCs w:val="21"/>
                <w:highlight w:val="none"/>
              </w:rPr>
              <w:t>E</w:t>
            </w:r>
          </w:p>
        </w:tc>
        <w:tc>
          <w:tcPr>
            <w:tcW w:w="1630" w:type="dxa"/>
            <w:gridSpan w:val="2"/>
            <w:vMerge w:val="restart"/>
            <w:vAlign w:val="center"/>
          </w:tcPr>
          <w:p>
            <w:pPr>
              <w:spacing w:line="324" w:lineRule="auto"/>
              <w:rPr>
                <w:rFonts w:ascii="宋体" w:hAnsi="宋体"/>
                <w:color w:val="auto"/>
                <w:szCs w:val="21"/>
                <w:highlight w:val="none"/>
              </w:rPr>
            </w:pPr>
            <w:r>
              <w:rPr>
                <w:rFonts w:hint="eastAsia"/>
                <w:color w:val="auto"/>
                <w:szCs w:val="21"/>
                <w:highlight w:val="none"/>
              </w:rPr>
              <w:t>报价部分</w:t>
            </w:r>
          </w:p>
        </w:tc>
        <w:tc>
          <w:tcPr>
            <w:tcW w:w="821" w:type="dxa"/>
            <w:vMerge w:val="restart"/>
            <w:vAlign w:val="center"/>
          </w:tcPr>
          <w:p>
            <w:pPr>
              <w:spacing w:line="324" w:lineRule="auto"/>
              <w:rPr>
                <w:rFonts w:ascii="宋体" w:hAnsi="宋体"/>
                <w:color w:val="auto"/>
                <w:szCs w:val="21"/>
                <w:highlight w:val="none"/>
              </w:rPr>
            </w:pPr>
            <w:r>
              <w:rPr>
                <w:rFonts w:hint="eastAsia" w:ascii="宋体" w:hAnsi="宋体" w:cs="宋体"/>
                <w:color w:val="auto"/>
                <w:kern w:val="0"/>
                <w:szCs w:val="21"/>
                <w:highlight w:val="none"/>
              </w:rPr>
              <w:t>2</w:t>
            </w:r>
            <w:r>
              <w:rPr>
                <w:rFonts w:ascii="宋体" w:hAnsi="宋体" w:cs="宋体"/>
                <w:color w:val="auto"/>
                <w:kern w:val="0"/>
                <w:szCs w:val="21"/>
                <w:highlight w:val="none"/>
              </w:rPr>
              <w:t>0</w:t>
            </w:r>
            <w:r>
              <w:rPr>
                <w:rFonts w:hint="eastAsia" w:ascii="宋体" w:hAnsi="宋体" w:cs="宋体"/>
                <w:color w:val="auto"/>
                <w:kern w:val="0"/>
                <w:szCs w:val="21"/>
                <w:highlight w:val="none"/>
              </w:rPr>
              <w:t>分</w:t>
            </w:r>
          </w:p>
        </w:tc>
        <w:tc>
          <w:tcPr>
            <w:tcW w:w="5568" w:type="dxa"/>
            <w:gridSpan w:val="2"/>
          </w:tcPr>
          <w:p>
            <w:pPr>
              <w:spacing w:line="324" w:lineRule="auto"/>
              <w:rPr>
                <w:rFonts w:ascii="宋体" w:hAnsi="宋体"/>
                <w:color w:val="auto"/>
                <w:szCs w:val="21"/>
                <w:highlight w:val="none"/>
              </w:rPr>
            </w:pPr>
            <w:r>
              <w:rPr>
                <w:rFonts w:hint="eastAsia"/>
                <w:color w:val="auto"/>
                <w:szCs w:val="21"/>
                <w:highlight w:val="none"/>
                <w:lang w:eastAsia="zh-CN"/>
              </w:rPr>
              <w:t>投标价</w:t>
            </w:r>
            <w:r>
              <w:rPr>
                <w:rFonts w:hint="eastAsia"/>
                <w:color w:val="auto"/>
                <w:szCs w:val="21"/>
                <w:highlight w:val="none"/>
              </w:rPr>
              <w:t>的确定：</w:t>
            </w:r>
            <w:r>
              <w:rPr>
                <w:rFonts w:hint="eastAsia"/>
                <w:color w:val="auto"/>
                <w:szCs w:val="21"/>
                <w:highlight w:val="none"/>
                <w:lang w:eastAsia="zh-CN"/>
              </w:rPr>
              <w:t>投标价</w:t>
            </w:r>
            <w:r>
              <w:rPr>
                <w:rFonts w:hint="eastAsia"/>
                <w:color w:val="auto"/>
                <w:szCs w:val="21"/>
                <w:highlight w:val="none"/>
              </w:rPr>
              <w:t>＝报价函文字报价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3" w:hRule="atLeast"/>
          <w:jc w:val="center"/>
        </w:trPr>
        <w:tc>
          <w:tcPr>
            <w:tcW w:w="570" w:type="dxa"/>
            <w:vMerge w:val="continue"/>
            <w:vAlign w:val="center"/>
          </w:tcPr>
          <w:p>
            <w:pPr>
              <w:spacing w:line="324" w:lineRule="auto"/>
              <w:rPr>
                <w:rFonts w:ascii="宋体" w:hAnsi="宋体" w:cs="宋体"/>
                <w:color w:val="auto"/>
                <w:kern w:val="0"/>
                <w:szCs w:val="21"/>
                <w:highlight w:val="none"/>
              </w:rPr>
            </w:pPr>
          </w:p>
        </w:tc>
        <w:tc>
          <w:tcPr>
            <w:tcW w:w="1630" w:type="dxa"/>
            <w:gridSpan w:val="2"/>
            <w:vMerge w:val="continue"/>
            <w:vAlign w:val="center"/>
          </w:tcPr>
          <w:p>
            <w:pPr>
              <w:spacing w:line="324" w:lineRule="auto"/>
              <w:rPr>
                <w:rFonts w:ascii="宋体" w:hAnsi="宋体"/>
                <w:color w:val="auto"/>
                <w:szCs w:val="21"/>
                <w:highlight w:val="none"/>
              </w:rPr>
            </w:pPr>
          </w:p>
        </w:tc>
        <w:tc>
          <w:tcPr>
            <w:tcW w:w="821" w:type="dxa"/>
            <w:vMerge w:val="continue"/>
            <w:vAlign w:val="center"/>
          </w:tcPr>
          <w:p>
            <w:pPr>
              <w:spacing w:line="324" w:lineRule="auto"/>
              <w:rPr>
                <w:rFonts w:ascii="宋体" w:hAnsi="宋体"/>
                <w:color w:val="auto"/>
                <w:szCs w:val="21"/>
                <w:highlight w:val="none"/>
              </w:rPr>
            </w:pPr>
          </w:p>
        </w:tc>
        <w:tc>
          <w:tcPr>
            <w:tcW w:w="5568" w:type="dxa"/>
            <w:gridSpan w:val="2"/>
          </w:tcPr>
          <w:p>
            <w:pPr>
              <w:numPr>
                <w:ilvl w:val="0"/>
                <w:numId w:val="5"/>
              </w:numPr>
              <w:tabs>
                <w:tab w:val="left" w:pos="5920"/>
              </w:tabs>
              <w:snapToGrid w:val="0"/>
              <w:spacing w:line="360" w:lineRule="auto"/>
              <w:ind w:firstLine="480"/>
              <w:rPr>
                <w:rFonts w:hAnsi="宋体"/>
                <w:color w:val="auto"/>
                <w:highlight w:val="none"/>
                <w:shd w:val="clear" w:color="auto" w:fill="FFFFFF" w:themeFill="background1"/>
              </w:rPr>
            </w:pPr>
            <w:r>
              <w:rPr>
                <w:rFonts w:hAnsi="宋体"/>
                <w:color w:val="auto"/>
                <w:highlight w:val="none"/>
              </w:rPr>
              <w:t>投标</w:t>
            </w:r>
            <w:r>
              <w:rPr>
                <w:rFonts w:hint="eastAsia" w:hAnsi="宋体"/>
                <w:color w:val="auto"/>
                <w:highlight w:val="none"/>
                <w:shd w:val="clear" w:color="auto" w:fill="FFFFFF" w:themeFill="background1"/>
              </w:rPr>
              <w:t>最高限价为：50万元。</w:t>
            </w:r>
          </w:p>
          <w:p>
            <w:pPr>
              <w:numPr>
                <w:ilvl w:val="0"/>
                <w:numId w:val="5"/>
              </w:numPr>
              <w:tabs>
                <w:tab w:val="left" w:pos="5920"/>
              </w:tabs>
              <w:snapToGrid w:val="0"/>
              <w:spacing w:line="360" w:lineRule="auto"/>
              <w:ind w:firstLine="480"/>
              <w:rPr>
                <w:rFonts w:hAnsi="宋体"/>
                <w:color w:val="auto"/>
                <w:highlight w:val="none"/>
              </w:rPr>
            </w:pPr>
            <w:r>
              <w:rPr>
                <w:rFonts w:hint="eastAsia" w:hAnsi="宋体"/>
                <w:color w:val="auto"/>
                <w:highlight w:val="none"/>
                <w:lang w:eastAsia="zh-CN"/>
              </w:rPr>
              <w:t>投标价</w:t>
            </w:r>
            <w:r>
              <w:rPr>
                <w:rFonts w:hAnsi="宋体"/>
                <w:color w:val="auto"/>
                <w:highlight w:val="none"/>
              </w:rPr>
              <w:t>得分的计算程序：</w:t>
            </w:r>
          </w:p>
          <w:p>
            <w:pPr>
              <w:tabs>
                <w:tab w:val="left" w:pos="5920"/>
              </w:tabs>
              <w:snapToGrid w:val="0"/>
              <w:spacing w:line="360" w:lineRule="auto"/>
              <w:ind w:firstLine="480"/>
              <w:rPr>
                <w:rFonts w:hAnsi="宋体"/>
                <w:color w:val="auto"/>
                <w:highlight w:val="none"/>
              </w:rPr>
            </w:pPr>
            <w:r>
              <w:rPr>
                <w:rFonts w:hAnsi="宋体"/>
                <w:color w:val="auto"/>
                <w:highlight w:val="none"/>
              </w:rPr>
              <w:t>1</w:t>
            </w:r>
            <w:r>
              <w:rPr>
                <w:rFonts w:hint="eastAsia" w:hAnsi="宋体"/>
                <w:color w:val="auto"/>
                <w:highlight w:val="none"/>
              </w:rPr>
              <w:t>.</w:t>
            </w:r>
            <w:r>
              <w:rPr>
                <w:rFonts w:hAnsi="宋体"/>
                <w:color w:val="auto"/>
                <w:highlight w:val="none"/>
              </w:rPr>
              <w:t>有效</w:t>
            </w:r>
            <w:r>
              <w:rPr>
                <w:rFonts w:hint="eastAsia" w:hAnsi="宋体"/>
                <w:color w:val="auto"/>
                <w:highlight w:val="none"/>
                <w:lang w:eastAsia="zh-CN"/>
              </w:rPr>
              <w:t>投标价</w:t>
            </w:r>
            <w:r>
              <w:rPr>
                <w:rFonts w:hAnsi="宋体"/>
                <w:color w:val="auto"/>
                <w:highlight w:val="none"/>
              </w:rPr>
              <w:t>的确定：不大于投标最高限价A的竞标报价</w:t>
            </w:r>
            <w:r>
              <w:rPr>
                <w:rFonts w:hint="eastAsia" w:hAnsi="宋体"/>
                <w:color w:val="auto"/>
                <w:highlight w:val="none"/>
                <w:lang w:eastAsia="zh-CN"/>
              </w:rPr>
              <w:t>。大</w:t>
            </w:r>
            <w:r>
              <w:rPr>
                <w:rFonts w:hAnsi="宋体"/>
                <w:color w:val="auto"/>
                <w:highlight w:val="none"/>
              </w:rPr>
              <w:t>于最高投标限价的竞标报价按否决处理，不予进一步评审，并不参与评标基准价的计算。</w:t>
            </w:r>
          </w:p>
          <w:p>
            <w:pPr>
              <w:tabs>
                <w:tab w:val="left" w:pos="5920"/>
              </w:tabs>
              <w:snapToGrid w:val="0"/>
              <w:spacing w:line="360" w:lineRule="auto"/>
              <w:ind w:firstLine="48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.投标基准价</w:t>
            </w:r>
            <w:r>
              <w:rPr>
                <w:rFonts w:ascii="宋体" w:hAnsi="宋体"/>
                <w:color w:val="auto"/>
                <w:szCs w:val="21"/>
                <w:highlight w:val="none"/>
              </w:rPr>
              <w:t>的计算：</w:t>
            </w:r>
          </w:p>
          <w:p>
            <w:pPr>
              <w:tabs>
                <w:tab w:val="left" w:pos="5920"/>
              </w:tabs>
              <w:snapToGrid w:val="0"/>
              <w:spacing w:line="360" w:lineRule="auto"/>
              <w:ind w:firstLine="480"/>
              <w:rPr>
                <w:rFonts w:ascii="宋体" w:hAnsi="宋体"/>
                <w:color w:val="auto"/>
                <w:szCs w:val="21"/>
                <w:highlight w:val="none"/>
              </w:rPr>
            </w:pPr>
            <w:r>
              <w:rPr>
                <w:rFonts w:ascii="宋体" w:hAnsi="宋体"/>
                <w:color w:val="auto"/>
                <w:szCs w:val="21"/>
                <w:highlight w:val="none"/>
              </w:rPr>
              <w:t>C、有效</w:t>
            </w:r>
            <w:r>
              <w:rPr>
                <w:rFonts w:hint="eastAsia" w:ascii="宋体" w:hAnsi="宋体"/>
                <w:color w:val="auto"/>
                <w:szCs w:val="21"/>
                <w:highlight w:val="none"/>
                <w:lang w:eastAsia="zh-CN"/>
              </w:rPr>
              <w:t>投标价</w:t>
            </w:r>
            <w:r>
              <w:rPr>
                <w:rFonts w:ascii="宋体" w:hAnsi="宋体"/>
                <w:color w:val="auto"/>
                <w:szCs w:val="21"/>
                <w:highlight w:val="none"/>
              </w:rPr>
              <w:t>大于5家时：所有被宣读</w:t>
            </w:r>
            <w:r>
              <w:rPr>
                <w:rFonts w:hint="eastAsia" w:ascii="宋体" w:hAnsi="宋体"/>
                <w:color w:val="auto"/>
                <w:szCs w:val="21"/>
                <w:highlight w:val="none"/>
                <w:lang w:eastAsia="zh-CN"/>
              </w:rPr>
              <w:t>投标价</w:t>
            </w:r>
            <w:r>
              <w:rPr>
                <w:rFonts w:hint="eastAsia" w:ascii="宋体" w:hAnsi="宋体"/>
                <w:color w:val="auto"/>
                <w:szCs w:val="21"/>
                <w:highlight w:val="none"/>
              </w:rPr>
              <w:t>（应为经修正后的）在有效</w:t>
            </w:r>
            <w:r>
              <w:rPr>
                <w:rFonts w:hint="eastAsia" w:ascii="宋体" w:hAnsi="宋体"/>
                <w:color w:val="auto"/>
                <w:szCs w:val="21"/>
                <w:highlight w:val="none"/>
                <w:lang w:eastAsia="zh-CN"/>
              </w:rPr>
              <w:t>投标价</w:t>
            </w:r>
            <w:r>
              <w:rPr>
                <w:rFonts w:hint="eastAsia" w:ascii="宋体" w:hAnsi="宋体"/>
                <w:color w:val="auto"/>
                <w:szCs w:val="21"/>
                <w:highlight w:val="none"/>
              </w:rPr>
              <w:t>范围内</w:t>
            </w:r>
            <w:r>
              <w:rPr>
                <w:rFonts w:ascii="宋体" w:hAnsi="宋体"/>
                <w:color w:val="auto"/>
                <w:szCs w:val="21"/>
                <w:highlight w:val="none"/>
              </w:rPr>
              <w:t>的投标人</w:t>
            </w:r>
            <w:r>
              <w:rPr>
                <w:rFonts w:hint="eastAsia" w:ascii="宋体" w:hAnsi="宋体"/>
                <w:color w:val="auto"/>
                <w:szCs w:val="21"/>
                <w:highlight w:val="none"/>
                <w:lang w:eastAsia="zh-CN"/>
              </w:rPr>
              <w:t>投标价</w:t>
            </w:r>
            <w:r>
              <w:rPr>
                <w:rFonts w:ascii="宋体" w:hAnsi="宋体"/>
                <w:color w:val="auto"/>
                <w:szCs w:val="21"/>
                <w:highlight w:val="none"/>
              </w:rPr>
              <w:t>，去掉一个最高值和一个最低值后的算术平均值即为</w:t>
            </w:r>
            <w:r>
              <w:rPr>
                <w:rFonts w:hint="eastAsia" w:ascii="宋体" w:hAnsi="宋体"/>
                <w:color w:val="auto"/>
                <w:szCs w:val="21"/>
                <w:highlight w:val="none"/>
              </w:rPr>
              <w:t>投标基准价</w:t>
            </w:r>
            <w:r>
              <w:rPr>
                <w:rFonts w:ascii="宋体" w:hAnsi="宋体"/>
                <w:color w:val="auto"/>
                <w:szCs w:val="21"/>
                <w:highlight w:val="none"/>
              </w:rPr>
              <w:t>；</w:t>
            </w:r>
          </w:p>
          <w:p>
            <w:pPr>
              <w:tabs>
                <w:tab w:val="left" w:pos="5920"/>
              </w:tabs>
              <w:snapToGrid w:val="0"/>
              <w:spacing w:line="360" w:lineRule="auto"/>
              <w:ind w:firstLine="480"/>
              <w:rPr>
                <w:rFonts w:ascii="宋体" w:hAnsi="宋体"/>
                <w:color w:val="auto"/>
                <w:szCs w:val="21"/>
                <w:highlight w:val="none"/>
              </w:rPr>
            </w:pPr>
            <w:r>
              <w:rPr>
                <w:rFonts w:ascii="宋体" w:hAnsi="宋体"/>
                <w:color w:val="auto"/>
                <w:szCs w:val="21"/>
                <w:highlight w:val="none"/>
              </w:rPr>
              <w:t>D、有效</w:t>
            </w:r>
            <w:r>
              <w:rPr>
                <w:rFonts w:hint="eastAsia" w:ascii="宋体" w:hAnsi="宋体"/>
                <w:color w:val="auto"/>
                <w:szCs w:val="21"/>
                <w:highlight w:val="none"/>
                <w:lang w:eastAsia="zh-CN"/>
              </w:rPr>
              <w:t>投标价</w:t>
            </w:r>
            <w:r>
              <w:rPr>
                <w:rFonts w:ascii="宋体" w:hAnsi="宋体"/>
                <w:color w:val="auto"/>
                <w:szCs w:val="21"/>
                <w:highlight w:val="none"/>
              </w:rPr>
              <w:t>小于或等于5家时：所有被宣读</w:t>
            </w:r>
            <w:r>
              <w:rPr>
                <w:rFonts w:hint="eastAsia" w:ascii="宋体" w:hAnsi="宋体"/>
                <w:color w:val="auto"/>
                <w:szCs w:val="21"/>
                <w:highlight w:val="none"/>
                <w:lang w:eastAsia="zh-CN"/>
              </w:rPr>
              <w:t>投标价</w:t>
            </w:r>
            <w:r>
              <w:rPr>
                <w:rFonts w:hint="eastAsia" w:ascii="宋体" w:hAnsi="宋体"/>
                <w:color w:val="auto"/>
                <w:szCs w:val="21"/>
                <w:highlight w:val="none"/>
              </w:rPr>
              <w:t>在有效</w:t>
            </w:r>
            <w:r>
              <w:rPr>
                <w:rFonts w:hint="eastAsia" w:ascii="宋体" w:hAnsi="宋体"/>
                <w:color w:val="auto"/>
                <w:szCs w:val="21"/>
                <w:highlight w:val="none"/>
                <w:lang w:eastAsia="zh-CN"/>
              </w:rPr>
              <w:t>投标价</w:t>
            </w:r>
            <w:r>
              <w:rPr>
                <w:rFonts w:hint="eastAsia" w:ascii="宋体" w:hAnsi="宋体"/>
                <w:color w:val="auto"/>
                <w:szCs w:val="21"/>
                <w:highlight w:val="none"/>
              </w:rPr>
              <w:t>范围内</w:t>
            </w:r>
            <w:r>
              <w:rPr>
                <w:rFonts w:ascii="宋体" w:hAnsi="宋体"/>
                <w:color w:val="auto"/>
                <w:szCs w:val="21"/>
                <w:highlight w:val="none"/>
              </w:rPr>
              <w:t>的</w:t>
            </w:r>
            <w:r>
              <w:rPr>
                <w:rFonts w:hint="eastAsia" w:ascii="宋体" w:hAnsi="宋体"/>
                <w:color w:val="auto"/>
                <w:szCs w:val="21"/>
                <w:highlight w:val="none"/>
                <w:lang w:eastAsia="zh-CN"/>
              </w:rPr>
              <w:t>投标价</w:t>
            </w:r>
            <w:r>
              <w:rPr>
                <w:rFonts w:ascii="宋体" w:hAnsi="宋体"/>
                <w:color w:val="auto"/>
                <w:szCs w:val="21"/>
                <w:highlight w:val="none"/>
              </w:rPr>
              <w:t>的算术平均值即为</w:t>
            </w:r>
            <w:r>
              <w:rPr>
                <w:rFonts w:hint="eastAsia" w:ascii="宋体" w:hAnsi="宋体"/>
                <w:color w:val="auto"/>
                <w:szCs w:val="21"/>
                <w:highlight w:val="none"/>
              </w:rPr>
              <w:t>投标基准价；</w:t>
            </w:r>
          </w:p>
          <w:p>
            <w:pPr>
              <w:tabs>
                <w:tab w:val="left" w:pos="5920"/>
              </w:tabs>
              <w:snapToGrid w:val="0"/>
              <w:spacing w:line="360" w:lineRule="auto"/>
              <w:ind w:firstLine="480"/>
              <w:rPr>
                <w:rFonts w:ascii="宋体" w:hAnsi="宋体"/>
                <w:color w:val="auto"/>
                <w:szCs w:val="21"/>
                <w:highlight w:val="none"/>
              </w:rPr>
            </w:pPr>
            <w:r>
              <w:rPr>
                <w:rFonts w:ascii="宋体" w:hAnsi="宋体"/>
                <w:color w:val="auto"/>
                <w:szCs w:val="21"/>
                <w:highlight w:val="none"/>
              </w:rPr>
              <w:t>3当</w:t>
            </w:r>
            <w:r>
              <w:rPr>
                <w:rFonts w:hint="eastAsia" w:ascii="宋体" w:hAnsi="宋体"/>
                <w:color w:val="auto"/>
                <w:szCs w:val="21"/>
                <w:highlight w:val="none"/>
                <w:lang w:eastAsia="zh-CN"/>
              </w:rPr>
              <w:t>有效投标价</w:t>
            </w:r>
            <w:r>
              <w:rPr>
                <w:rFonts w:ascii="宋体" w:hAnsi="宋体"/>
                <w:color w:val="auto"/>
                <w:szCs w:val="21"/>
                <w:highlight w:val="none"/>
              </w:rPr>
              <w:t>等于D时得满分（</w:t>
            </w:r>
            <w:r>
              <w:rPr>
                <w:rFonts w:hint="eastAsia" w:ascii="宋体" w:hAnsi="宋体"/>
                <w:color w:val="auto"/>
                <w:szCs w:val="21"/>
                <w:highlight w:val="none"/>
              </w:rPr>
              <w:t>2</w:t>
            </w:r>
            <w:r>
              <w:rPr>
                <w:rFonts w:ascii="宋体" w:hAnsi="宋体"/>
                <w:color w:val="auto"/>
                <w:szCs w:val="21"/>
                <w:highlight w:val="none"/>
              </w:rPr>
              <w:t>0分），每高于D一个百分点扣</w:t>
            </w:r>
            <w:r>
              <w:rPr>
                <w:rFonts w:hint="eastAsia" w:ascii="宋体" w:hAnsi="宋体"/>
                <w:color w:val="auto"/>
                <w:szCs w:val="21"/>
                <w:highlight w:val="none"/>
                <w:lang w:val="en-US" w:eastAsia="zh-CN"/>
              </w:rPr>
              <w:t>0.5</w:t>
            </w:r>
            <w:r>
              <w:rPr>
                <w:rFonts w:ascii="宋体" w:hAnsi="宋体"/>
                <w:color w:val="auto"/>
                <w:szCs w:val="21"/>
                <w:highlight w:val="none"/>
              </w:rPr>
              <w:t>分，每低于D一个百分点扣0.</w:t>
            </w:r>
            <w:r>
              <w:rPr>
                <w:rFonts w:hint="eastAsia" w:ascii="宋体" w:hAnsi="宋体"/>
                <w:color w:val="auto"/>
                <w:szCs w:val="21"/>
                <w:highlight w:val="none"/>
                <w:lang w:val="en-US" w:eastAsia="zh-CN"/>
              </w:rPr>
              <w:t>2</w:t>
            </w:r>
            <w:r>
              <w:rPr>
                <w:rFonts w:hint="eastAsia" w:ascii="宋体" w:hAnsi="宋体"/>
                <w:color w:val="auto"/>
                <w:szCs w:val="21"/>
                <w:highlight w:val="none"/>
              </w:rPr>
              <w:t>5</w:t>
            </w:r>
            <w:r>
              <w:rPr>
                <w:rFonts w:ascii="宋体" w:hAnsi="宋体"/>
                <w:color w:val="auto"/>
                <w:szCs w:val="21"/>
                <w:highlight w:val="none"/>
              </w:rPr>
              <w:t>分，中间值按比例内插。</w:t>
            </w:r>
          </w:p>
          <w:p>
            <w:pPr>
              <w:tabs>
                <w:tab w:val="left" w:pos="5920"/>
              </w:tabs>
              <w:snapToGrid w:val="0"/>
              <w:spacing w:line="360" w:lineRule="auto"/>
              <w:ind w:firstLine="480"/>
              <w:rPr>
                <w:rFonts w:ascii="宋体" w:hAnsi="宋体"/>
                <w:color w:val="auto"/>
                <w:szCs w:val="21"/>
                <w:highlight w:val="none"/>
              </w:rPr>
            </w:pPr>
            <w:r>
              <w:rPr>
                <w:rFonts w:hint="eastAsia" w:ascii="宋体" w:hAnsi="宋体"/>
                <w:color w:val="auto"/>
                <w:szCs w:val="21"/>
                <w:highlight w:val="none"/>
                <w:lang w:eastAsia="zh-CN"/>
              </w:rPr>
              <w:t>有效投标价</w:t>
            </w:r>
            <w:r>
              <w:rPr>
                <w:rFonts w:ascii="宋体" w:hAnsi="宋体"/>
                <w:color w:val="auto"/>
                <w:szCs w:val="21"/>
                <w:highlight w:val="none"/>
              </w:rPr>
              <w:t>得分用</w:t>
            </w:r>
            <w:r>
              <w:rPr>
                <w:rFonts w:hint="eastAsia" w:ascii="宋体" w:hAnsi="宋体"/>
                <w:color w:val="auto"/>
                <w:szCs w:val="21"/>
                <w:highlight w:val="none"/>
              </w:rPr>
              <w:t>公</w:t>
            </w:r>
            <w:r>
              <w:rPr>
                <w:rFonts w:ascii="宋体" w:hAnsi="宋体"/>
                <w:color w:val="auto"/>
                <w:szCs w:val="21"/>
                <w:highlight w:val="none"/>
              </w:rPr>
              <w:t>式表示如下：</w:t>
            </w:r>
          </w:p>
          <w:p>
            <w:pPr>
              <w:tabs>
                <w:tab w:val="left" w:pos="5920"/>
              </w:tabs>
              <w:snapToGrid w:val="0"/>
              <w:spacing w:line="360" w:lineRule="auto"/>
              <w:ind w:firstLine="480"/>
              <w:jc w:val="left"/>
              <w:rPr>
                <w:rFonts w:ascii="宋体" w:hAnsi="宋体"/>
                <w:color w:val="auto"/>
                <w:szCs w:val="21"/>
                <w:highlight w:val="none"/>
              </w:rPr>
            </w:pPr>
            <w:r>
              <w:rPr>
                <w:rFonts w:ascii="宋体" w:hAnsi="宋体"/>
                <w:color w:val="auto"/>
                <w:szCs w:val="21"/>
                <w:highlight w:val="none"/>
              </w:rPr>
              <w:object>
                <v:shape id="_x0000_i1025" o:spt="75" type="#_x0000_t75" style="height:32.25pt;width:139.8pt;" o:ole="t" fillcolor="#595959"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p>
          <w:p>
            <w:pPr>
              <w:tabs>
                <w:tab w:val="left" w:pos="5920"/>
              </w:tabs>
              <w:snapToGrid w:val="0"/>
              <w:spacing w:line="360" w:lineRule="auto"/>
              <w:ind w:firstLine="480"/>
              <w:rPr>
                <w:rFonts w:ascii="宋体" w:hAnsi="宋体"/>
                <w:color w:val="auto"/>
                <w:szCs w:val="21"/>
                <w:highlight w:val="none"/>
              </w:rPr>
            </w:pPr>
            <w:r>
              <w:rPr>
                <w:rFonts w:ascii="宋体" w:hAnsi="宋体"/>
                <w:color w:val="auto"/>
                <w:szCs w:val="21"/>
                <w:highlight w:val="none"/>
              </w:rPr>
              <w:t>式中：F</w:t>
            </w:r>
            <w:r>
              <w:rPr>
                <w:rFonts w:ascii="宋体" w:hAnsi="宋体"/>
                <w:color w:val="auto"/>
                <w:szCs w:val="21"/>
                <w:highlight w:val="none"/>
                <w:vertAlign w:val="subscript"/>
              </w:rPr>
              <w:t>1</w:t>
            </w:r>
            <w:r>
              <w:rPr>
                <w:rFonts w:ascii="宋体" w:hAnsi="宋体"/>
                <w:color w:val="auto"/>
                <w:szCs w:val="21"/>
                <w:highlight w:val="none"/>
              </w:rPr>
              <w:t>=</w:t>
            </w:r>
            <w:r>
              <w:rPr>
                <w:rFonts w:hint="eastAsia" w:ascii="宋体" w:hAnsi="宋体"/>
                <w:color w:val="auto"/>
                <w:szCs w:val="21"/>
                <w:highlight w:val="none"/>
                <w:lang w:eastAsia="zh-CN"/>
              </w:rPr>
              <w:t>有效投标价</w:t>
            </w:r>
            <w:r>
              <w:rPr>
                <w:rFonts w:ascii="宋体" w:hAnsi="宋体"/>
                <w:color w:val="auto"/>
                <w:szCs w:val="21"/>
                <w:highlight w:val="none"/>
              </w:rPr>
              <w:t>得分；</w:t>
            </w:r>
          </w:p>
          <w:p>
            <w:pPr>
              <w:tabs>
                <w:tab w:val="left" w:pos="5920"/>
              </w:tabs>
              <w:snapToGrid w:val="0"/>
              <w:spacing w:line="360" w:lineRule="auto"/>
              <w:ind w:firstLine="480"/>
              <w:rPr>
                <w:rFonts w:ascii="宋体" w:hAnsi="宋体"/>
                <w:color w:val="auto"/>
                <w:szCs w:val="21"/>
                <w:highlight w:val="none"/>
              </w:rPr>
            </w:pPr>
            <w:r>
              <w:rPr>
                <w:rFonts w:ascii="宋体" w:hAnsi="宋体"/>
                <w:color w:val="auto"/>
                <w:szCs w:val="21"/>
                <w:highlight w:val="none"/>
              </w:rPr>
              <w:t>F=</w:t>
            </w:r>
            <w:r>
              <w:rPr>
                <w:rFonts w:hint="eastAsia" w:ascii="宋体" w:hAnsi="宋体"/>
                <w:color w:val="auto"/>
                <w:szCs w:val="21"/>
                <w:highlight w:val="none"/>
              </w:rPr>
              <w:t>2</w:t>
            </w:r>
            <w:r>
              <w:rPr>
                <w:rFonts w:ascii="宋体" w:hAnsi="宋体"/>
                <w:color w:val="auto"/>
                <w:szCs w:val="21"/>
                <w:highlight w:val="none"/>
              </w:rPr>
              <w:t>0</w:t>
            </w:r>
            <w:r>
              <w:rPr>
                <w:rFonts w:hint="eastAsia" w:ascii="宋体" w:hAnsi="宋体"/>
                <w:color w:val="auto"/>
                <w:szCs w:val="21"/>
                <w:highlight w:val="none"/>
                <w:lang w:eastAsia="zh-CN"/>
              </w:rPr>
              <w:t>分</w:t>
            </w:r>
            <w:r>
              <w:rPr>
                <w:rFonts w:ascii="宋体" w:hAnsi="宋体"/>
                <w:color w:val="auto"/>
                <w:szCs w:val="21"/>
                <w:highlight w:val="none"/>
              </w:rPr>
              <w:t>；</w:t>
            </w:r>
          </w:p>
          <w:p>
            <w:pPr>
              <w:tabs>
                <w:tab w:val="left" w:pos="5920"/>
              </w:tabs>
              <w:snapToGrid w:val="0"/>
              <w:spacing w:line="360" w:lineRule="auto"/>
              <w:ind w:firstLine="480"/>
              <w:rPr>
                <w:rFonts w:ascii="宋体" w:hAnsi="宋体"/>
                <w:color w:val="auto"/>
                <w:szCs w:val="21"/>
                <w:highlight w:val="none"/>
              </w:rPr>
            </w:pPr>
            <w:r>
              <w:rPr>
                <w:rFonts w:ascii="宋体" w:hAnsi="宋体"/>
                <w:color w:val="auto"/>
                <w:szCs w:val="21"/>
                <w:highlight w:val="none"/>
              </w:rPr>
              <w:t>D</w:t>
            </w:r>
            <w:r>
              <w:rPr>
                <w:rFonts w:ascii="宋体" w:hAnsi="宋体"/>
                <w:color w:val="auto"/>
                <w:szCs w:val="21"/>
                <w:highlight w:val="none"/>
                <w:vertAlign w:val="subscript"/>
              </w:rPr>
              <w:t>1</w:t>
            </w:r>
            <w:r>
              <w:rPr>
                <w:rFonts w:ascii="宋体" w:hAnsi="宋体"/>
                <w:color w:val="auto"/>
                <w:szCs w:val="21"/>
                <w:highlight w:val="none"/>
              </w:rPr>
              <w:t>=投标人的</w:t>
            </w:r>
            <w:r>
              <w:rPr>
                <w:rFonts w:hint="eastAsia" w:ascii="宋体" w:hAnsi="宋体"/>
                <w:color w:val="auto"/>
                <w:szCs w:val="21"/>
                <w:highlight w:val="none"/>
                <w:lang w:eastAsia="zh-CN"/>
              </w:rPr>
              <w:t>有效投标价</w:t>
            </w:r>
            <w:r>
              <w:rPr>
                <w:rFonts w:ascii="宋体" w:hAnsi="宋体"/>
                <w:color w:val="auto"/>
                <w:szCs w:val="21"/>
                <w:highlight w:val="none"/>
              </w:rPr>
              <w:t>；</w:t>
            </w:r>
          </w:p>
          <w:p>
            <w:pPr>
              <w:tabs>
                <w:tab w:val="left" w:pos="5920"/>
              </w:tabs>
              <w:snapToGrid w:val="0"/>
              <w:spacing w:line="360" w:lineRule="auto"/>
              <w:ind w:firstLine="480"/>
              <w:rPr>
                <w:rFonts w:ascii="宋体" w:hAnsi="宋体"/>
                <w:color w:val="auto"/>
                <w:szCs w:val="21"/>
                <w:highlight w:val="none"/>
              </w:rPr>
            </w:pPr>
            <w:r>
              <w:rPr>
                <w:rFonts w:ascii="宋体" w:hAnsi="宋体"/>
                <w:color w:val="auto"/>
                <w:szCs w:val="21"/>
                <w:highlight w:val="none"/>
              </w:rPr>
              <w:t>D=评标基准价。</w:t>
            </w:r>
          </w:p>
          <w:p>
            <w:pPr>
              <w:rPr>
                <w:color w:val="auto"/>
                <w:highlight w:val="none"/>
              </w:rPr>
            </w:pPr>
            <w:r>
              <w:rPr>
                <w:rFonts w:ascii="宋体" w:hAnsi="宋体"/>
                <w:color w:val="auto"/>
                <w:szCs w:val="21"/>
                <w:highlight w:val="none"/>
              </w:rPr>
              <w:t>若D</w:t>
            </w:r>
            <w:r>
              <w:rPr>
                <w:rFonts w:ascii="宋体" w:hAnsi="宋体"/>
                <w:color w:val="auto"/>
                <w:szCs w:val="21"/>
                <w:highlight w:val="none"/>
                <w:vertAlign w:val="subscript"/>
              </w:rPr>
              <w:t>1</w:t>
            </w:r>
            <w:r>
              <w:rPr>
                <w:rFonts w:ascii="宋体" w:hAnsi="宋体"/>
                <w:color w:val="auto"/>
                <w:szCs w:val="21"/>
                <w:highlight w:val="none"/>
              </w:rPr>
              <w:sym w:font="Symbol" w:char="F0B3"/>
            </w:r>
            <w:r>
              <w:rPr>
                <w:rFonts w:ascii="宋体" w:hAnsi="宋体"/>
                <w:color w:val="auto"/>
                <w:szCs w:val="21"/>
                <w:highlight w:val="none"/>
              </w:rPr>
              <w:t>D，则E=</w:t>
            </w:r>
            <w:r>
              <w:rPr>
                <w:rFonts w:hint="eastAsia" w:ascii="宋体" w:hAnsi="宋体"/>
                <w:color w:val="auto"/>
                <w:szCs w:val="21"/>
                <w:highlight w:val="none"/>
              </w:rPr>
              <w:t>1</w:t>
            </w:r>
            <w:r>
              <w:rPr>
                <w:rFonts w:ascii="宋体" w:hAnsi="宋体"/>
                <w:color w:val="auto"/>
                <w:szCs w:val="21"/>
                <w:highlight w:val="none"/>
              </w:rPr>
              <w:t>；若D</w:t>
            </w:r>
            <w:r>
              <w:rPr>
                <w:rFonts w:ascii="宋体" w:hAnsi="宋体"/>
                <w:color w:val="auto"/>
                <w:szCs w:val="21"/>
                <w:highlight w:val="none"/>
                <w:vertAlign w:val="subscript"/>
              </w:rPr>
              <w:t>1</w:t>
            </w:r>
            <w:r>
              <w:rPr>
                <w:rFonts w:ascii="宋体" w:hAnsi="宋体"/>
                <w:color w:val="auto"/>
                <w:szCs w:val="21"/>
                <w:highlight w:val="none"/>
              </w:rPr>
              <w:t>&lt;D，则E=0.</w:t>
            </w:r>
            <w:r>
              <w:rPr>
                <w:rFonts w:hint="eastAsia" w:ascii="宋体" w:hAnsi="宋体"/>
                <w:color w:val="auto"/>
                <w:szCs w:val="21"/>
                <w:highlight w:val="none"/>
              </w:rPr>
              <w:t>5</w:t>
            </w:r>
            <w:r>
              <w:rPr>
                <w:rFonts w:ascii="宋体" w:hAnsi="宋体"/>
                <w:color w:val="auto"/>
                <w:szCs w:val="21"/>
                <w:highlight w:val="none"/>
              </w:rPr>
              <w:t>。</w:t>
            </w:r>
          </w:p>
          <w:p>
            <w:pPr>
              <w:tabs>
                <w:tab w:val="left" w:pos="5920"/>
              </w:tabs>
              <w:snapToGrid w:val="0"/>
              <w:spacing w:line="360" w:lineRule="auto"/>
              <w:ind w:firstLine="480"/>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570" w:type="dxa"/>
            <w:vAlign w:val="center"/>
          </w:tcPr>
          <w:p>
            <w:pPr>
              <w:spacing w:line="324" w:lineRule="auto"/>
              <w:rPr>
                <w:rFonts w:ascii="宋体" w:hAnsi="宋体" w:cs="宋体"/>
                <w:color w:val="auto"/>
                <w:kern w:val="0"/>
                <w:szCs w:val="21"/>
                <w:highlight w:val="none"/>
              </w:rPr>
            </w:pPr>
            <w:r>
              <w:rPr>
                <w:rFonts w:ascii="宋体" w:hAnsi="宋体" w:cs="宋体"/>
                <w:color w:val="auto"/>
                <w:kern w:val="0"/>
                <w:szCs w:val="21"/>
                <w:highlight w:val="none"/>
              </w:rPr>
              <w:t>F</w:t>
            </w:r>
          </w:p>
        </w:tc>
        <w:tc>
          <w:tcPr>
            <w:tcW w:w="1630" w:type="dxa"/>
            <w:gridSpan w:val="2"/>
            <w:vAlign w:val="center"/>
          </w:tcPr>
          <w:p>
            <w:pPr>
              <w:spacing w:line="324" w:lineRule="auto"/>
              <w:rPr>
                <w:rFonts w:ascii="宋体" w:hAnsi="宋体" w:cs="宋体"/>
                <w:color w:val="auto"/>
                <w:kern w:val="0"/>
                <w:szCs w:val="21"/>
                <w:highlight w:val="none"/>
              </w:rPr>
            </w:pPr>
            <w:r>
              <w:rPr>
                <w:rFonts w:hint="eastAsia" w:ascii="宋体" w:hAnsi="宋体" w:cs="宋体"/>
                <w:color w:val="auto"/>
                <w:kern w:val="0"/>
                <w:szCs w:val="21"/>
                <w:highlight w:val="none"/>
              </w:rPr>
              <w:t>商务</w:t>
            </w:r>
            <w:r>
              <w:rPr>
                <w:rFonts w:ascii="宋体" w:hAnsi="宋体" w:cs="宋体"/>
                <w:color w:val="auto"/>
                <w:kern w:val="0"/>
                <w:szCs w:val="21"/>
                <w:highlight w:val="none"/>
              </w:rPr>
              <w:t>部分</w:t>
            </w:r>
          </w:p>
        </w:tc>
        <w:tc>
          <w:tcPr>
            <w:tcW w:w="821" w:type="dxa"/>
            <w:vAlign w:val="center"/>
          </w:tcPr>
          <w:p>
            <w:pPr>
              <w:spacing w:line="324" w:lineRule="auto"/>
              <w:rPr>
                <w:rFonts w:ascii="宋体" w:hAnsi="宋体" w:cs="宋体"/>
                <w:color w:val="auto"/>
                <w:kern w:val="0"/>
                <w:szCs w:val="21"/>
                <w:highlight w:val="none"/>
              </w:rPr>
            </w:pPr>
            <w:r>
              <w:rPr>
                <w:rFonts w:hint="eastAsia" w:ascii="宋体" w:hAnsi="宋体" w:cs="宋体"/>
                <w:color w:val="auto"/>
                <w:kern w:val="0"/>
                <w:szCs w:val="21"/>
                <w:highlight w:val="none"/>
              </w:rPr>
              <w:t>25</w:t>
            </w:r>
            <w:r>
              <w:rPr>
                <w:rFonts w:ascii="宋体" w:hAnsi="宋体" w:cs="宋体"/>
                <w:color w:val="auto"/>
                <w:kern w:val="0"/>
                <w:szCs w:val="21"/>
                <w:highlight w:val="none"/>
              </w:rPr>
              <w:t>分</w:t>
            </w:r>
          </w:p>
        </w:tc>
        <w:tc>
          <w:tcPr>
            <w:tcW w:w="5568" w:type="dxa"/>
            <w:gridSpan w:val="2"/>
          </w:tcPr>
          <w:p>
            <w:pPr>
              <w:rPr>
                <w:rFonts w:ascii="宋体" w:hAnsi="宋体"/>
                <w:color w:val="auto"/>
                <w:szCs w:val="21"/>
                <w:highlight w:val="none"/>
              </w:rPr>
            </w:pPr>
            <w:r>
              <w:rPr>
                <w:rFonts w:hint="eastAsia" w:ascii="宋体" w:hAnsi="宋体"/>
                <w:b/>
                <w:bCs/>
                <w:color w:val="auto"/>
                <w:szCs w:val="21"/>
                <w:highlight w:val="none"/>
              </w:rPr>
              <w:t>A</w:t>
            </w:r>
            <w:r>
              <w:rPr>
                <w:rFonts w:hint="eastAsia" w:ascii="宋体" w:hAnsi="宋体"/>
                <w:b/>
                <w:bCs/>
                <w:color w:val="auto"/>
                <w:szCs w:val="21"/>
                <w:highlight w:val="none"/>
                <w:lang w:eastAsia="zh-CN"/>
              </w:rPr>
              <w:t>.</w:t>
            </w:r>
            <w:r>
              <w:rPr>
                <w:rFonts w:hint="eastAsia" w:ascii="宋体" w:hAnsi="宋体"/>
                <w:color w:val="auto"/>
                <w:szCs w:val="21"/>
                <w:highlight w:val="none"/>
              </w:rPr>
              <w:t>投标人类似业绩（10分）</w:t>
            </w:r>
          </w:p>
          <w:p>
            <w:pPr>
              <w:rPr>
                <w:rFonts w:ascii="宋体" w:hAnsi="宋体"/>
                <w:color w:val="auto"/>
                <w:szCs w:val="21"/>
                <w:highlight w:val="none"/>
              </w:rPr>
            </w:pPr>
            <w:r>
              <w:rPr>
                <w:rFonts w:hint="eastAsia" w:ascii="宋体" w:hAnsi="宋体"/>
                <w:color w:val="auto"/>
                <w:szCs w:val="21"/>
                <w:highlight w:val="none"/>
              </w:rPr>
              <w:t>2016年11月1日起至投标截止之日，在满足资格审查必要合格条件基础上，投标人每增加提供一个类似项目高速公路（含服务区）方案设计、工程可行性研究或项目策划，或有关文旅、交旅或特色高速公路服务区项目策划的得2分，最多得10分。</w:t>
            </w:r>
          </w:p>
          <w:p>
            <w:pPr>
              <w:rPr>
                <w:rFonts w:ascii="宋体" w:hAnsi="宋体"/>
                <w:color w:val="auto"/>
                <w:szCs w:val="21"/>
                <w:highlight w:val="none"/>
              </w:rPr>
            </w:pPr>
            <w:r>
              <w:rPr>
                <w:rFonts w:hint="eastAsia" w:ascii="宋体" w:hAnsi="宋体"/>
                <w:color w:val="auto"/>
                <w:szCs w:val="21"/>
                <w:highlight w:val="none"/>
              </w:rPr>
              <w:t>（应提供已完成项目的合同或有权行政管理部门盖章确认的审查通过文件或政府批文的复印件等有效证明材料，均须明确为投标人本身的业绩，并加盖投标人单位公章鲜章）。</w:t>
            </w:r>
          </w:p>
          <w:p>
            <w:pPr>
              <w:rPr>
                <w:rFonts w:ascii="宋体" w:hAnsi="宋体"/>
                <w:color w:val="auto"/>
                <w:szCs w:val="21"/>
                <w:highlight w:val="none"/>
              </w:rPr>
            </w:pPr>
            <w:r>
              <w:rPr>
                <w:rFonts w:hint="eastAsia" w:ascii="宋体" w:hAnsi="宋体"/>
                <w:b/>
                <w:bCs/>
                <w:color w:val="auto"/>
                <w:szCs w:val="21"/>
                <w:highlight w:val="none"/>
              </w:rPr>
              <w:t>B</w:t>
            </w:r>
            <w:r>
              <w:rPr>
                <w:rFonts w:hint="eastAsia" w:ascii="宋体" w:hAnsi="宋体"/>
                <w:b/>
                <w:bCs/>
                <w:color w:val="auto"/>
                <w:szCs w:val="21"/>
                <w:highlight w:val="none"/>
                <w:lang w:eastAsia="zh-CN"/>
              </w:rPr>
              <w:t>.</w:t>
            </w:r>
            <w:r>
              <w:rPr>
                <w:rFonts w:hint="eastAsia" w:ascii="宋体" w:hAnsi="宋体"/>
                <w:color w:val="auto"/>
                <w:szCs w:val="21"/>
                <w:highlight w:val="none"/>
              </w:rPr>
              <w:t>拟投入本项目的人员资格和资历（15分）</w:t>
            </w:r>
          </w:p>
          <w:p>
            <w:pPr>
              <w:rPr>
                <w:rFonts w:ascii="宋体" w:hAnsi="宋体"/>
                <w:color w:val="auto"/>
                <w:szCs w:val="21"/>
                <w:highlight w:val="none"/>
              </w:rPr>
            </w:pPr>
            <w:r>
              <w:rPr>
                <w:rFonts w:hint="eastAsia" w:ascii="宋体" w:hAnsi="宋体"/>
                <w:color w:val="auto"/>
                <w:szCs w:val="21"/>
                <w:highlight w:val="none"/>
              </w:rPr>
              <w:t>1、项目负责人（8分）</w:t>
            </w:r>
          </w:p>
          <w:p>
            <w:pPr>
              <w:rPr>
                <w:rFonts w:ascii="宋体" w:hAnsi="宋体"/>
                <w:color w:val="auto"/>
                <w:szCs w:val="21"/>
                <w:highlight w:val="none"/>
              </w:rPr>
            </w:pPr>
            <w:r>
              <w:rPr>
                <w:rFonts w:hint="eastAsia" w:ascii="宋体" w:hAnsi="宋体"/>
                <w:color w:val="auto"/>
                <w:szCs w:val="21"/>
                <w:highlight w:val="none"/>
              </w:rPr>
              <w:t>（1）具有正高级工程师职称得</w:t>
            </w:r>
            <w:r>
              <w:rPr>
                <w:rFonts w:hint="eastAsia" w:ascii="宋体" w:hAnsi="宋体"/>
                <w:color w:val="auto"/>
                <w:szCs w:val="21"/>
                <w:highlight w:val="none"/>
                <w:lang w:val="en-US" w:eastAsia="zh-CN"/>
              </w:rPr>
              <w:t>1</w:t>
            </w:r>
            <w:r>
              <w:rPr>
                <w:rFonts w:hint="eastAsia" w:ascii="宋体" w:hAnsi="宋体"/>
                <w:color w:val="auto"/>
                <w:szCs w:val="21"/>
                <w:highlight w:val="none"/>
              </w:rPr>
              <w:t>分。</w:t>
            </w:r>
          </w:p>
          <w:p>
            <w:pPr>
              <w:rPr>
                <w:rFonts w:ascii="宋体" w:hAnsi="宋体"/>
                <w:color w:val="auto"/>
                <w:szCs w:val="21"/>
                <w:highlight w:val="none"/>
              </w:rPr>
            </w:pPr>
            <w:r>
              <w:rPr>
                <w:rFonts w:hint="eastAsia" w:ascii="宋体" w:hAnsi="宋体"/>
                <w:color w:val="auto"/>
                <w:szCs w:val="21"/>
                <w:highlight w:val="none"/>
              </w:rPr>
              <w:t>（2）具有国家一级注册结构工程师执业资格得</w:t>
            </w:r>
            <w:r>
              <w:rPr>
                <w:rFonts w:hint="eastAsia" w:ascii="宋体" w:hAnsi="宋体"/>
                <w:color w:val="auto"/>
                <w:szCs w:val="21"/>
                <w:highlight w:val="none"/>
                <w:lang w:val="en-US" w:eastAsia="zh-CN"/>
              </w:rPr>
              <w:t>2</w:t>
            </w:r>
            <w:r>
              <w:rPr>
                <w:rFonts w:hint="eastAsia" w:ascii="宋体" w:hAnsi="宋体"/>
                <w:color w:val="auto"/>
                <w:szCs w:val="21"/>
                <w:highlight w:val="none"/>
              </w:rPr>
              <w:t>分。</w:t>
            </w:r>
          </w:p>
          <w:p>
            <w:pPr>
              <w:rPr>
                <w:rFonts w:ascii="宋体" w:hAnsi="宋体"/>
                <w:color w:val="auto"/>
                <w:szCs w:val="21"/>
                <w:highlight w:val="none"/>
              </w:rPr>
            </w:pPr>
            <w:r>
              <w:rPr>
                <w:rFonts w:hint="eastAsia" w:ascii="宋体" w:hAnsi="宋体"/>
                <w:color w:val="auto"/>
                <w:szCs w:val="21"/>
                <w:highlight w:val="none"/>
              </w:rPr>
              <w:t>（3）具有国家注册土木工程师（岩土）执业资格得</w:t>
            </w:r>
            <w:r>
              <w:rPr>
                <w:rFonts w:hint="eastAsia" w:ascii="宋体" w:hAnsi="宋体"/>
                <w:color w:val="auto"/>
                <w:szCs w:val="21"/>
                <w:highlight w:val="none"/>
                <w:lang w:val="en-US" w:eastAsia="zh-CN"/>
              </w:rPr>
              <w:t>2</w:t>
            </w:r>
            <w:r>
              <w:rPr>
                <w:rFonts w:hint="eastAsia" w:ascii="宋体" w:hAnsi="宋体"/>
                <w:color w:val="auto"/>
                <w:szCs w:val="21"/>
                <w:highlight w:val="none"/>
              </w:rPr>
              <w:t>分。</w:t>
            </w:r>
          </w:p>
          <w:p>
            <w:pPr>
              <w:rPr>
                <w:rFonts w:ascii="宋体" w:hAnsi="宋体"/>
                <w:color w:val="auto"/>
                <w:szCs w:val="21"/>
                <w:highlight w:val="none"/>
              </w:rPr>
            </w:pPr>
            <w:r>
              <w:rPr>
                <w:rFonts w:hint="eastAsia" w:ascii="宋体" w:hAnsi="宋体"/>
                <w:color w:val="auto"/>
                <w:szCs w:val="21"/>
                <w:highlight w:val="none"/>
              </w:rPr>
              <w:t>（4）具有国家注册土木工程师（道路工程）执业资格得2分。</w:t>
            </w:r>
          </w:p>
          <w:p>
            <w:pPr>
              <w:rPr>
                <w:rFonts w:ascii="宋体" w:hAnsi="宋体"/>
                <w:color w:val="auto"/>
                <w:szCs w:val="21"/>
                <w:highlight w:val="none"/>
              </w:rPr>
            </w:pPr>
            <w:r>
              <w:rPr>
                <w:rFonts w:hint="eastAsia" w:ascii="宋体" w:hAnsi="宋体"/>
                <w:color w:val="auto"/>
                <w:szCs w:val="21"/>
                <w:highlight w:val="none"/>
              </w:rPr>
              <w:t>（5）具有国家咨询工程师执业资格得</w:t>
            </w:r>
            <w:r>
              <w:rPr>
                <w:rFonts w:hint="eastAsia" w:ascii="宋体" w:hAnsi="宋体"/>
                <w:color w:val="auto"/>
                <w:szCs w:val="21"/>
                <w:highlight w:val="none"/>
                <w:lang w:val="en-US" w:eastAsia="zh-CN"/>
              </w:rPr>
              <w:t>1</w:t>
            </w:r>
            <w:r>
              <w:rPr>
                <w:rFonts w:hint="eastAsia" w:ascii="宋体" w:hAnsi="宋体"/>
                <w:color w:val="auto"/>
                <w:szCs w:val="21"/>
                <w:highlight w:val="none"/>
              </w:rPr>
              <w:t>分。</w:t>
            </w:r>
          </w:p>
          <w:p>
            <w:pPr>
              <w:rPr>
                <w:rFonts w:ascii="宋体" w:hAnsi="宋体"/>
                <w:color w:val="auto"/>
                <w:szCs w:val="21"/>
                <w:highlight w:val="none"/>
              </w:rPr>
            </w:pPr>
            <w:r>
              <w:rPr>
                <w:rFonts w:hint="eastAsia" w:ascii="宋体" w:hAnsi="宋体"/>
                <w:color w:val="auto"/>
                <w:szCs w:val="21"/>
                <w:highlight w:val="none"/>
              </w:rPr>
              <w:t>2、道路专业负责人（2分）</w:t>
            </w:r>
          </w:p>
          <w:p>
            <w:pPr>
              <w:rPr>
                <w:rFonts w:ascii="宋体" w:hAnsi="宋体"/>
                <w:color w:val="auto"/>
                <w:szCs w:val="21"/>
                <w:highlight w:val="none"/>
              </w:rPr>
            </w:pPr>
            <w:r>
              <w:rPr>
                <w:rFonts w:hint="eastAsia" w:ascii="宋体" w:hAnsi="宋体"/>
                <w:color w:val="auto"/>
                <w:szCs w:val="21"/>
                <w:highlight w:val="none"/>
              </w:rPr>
              <w:t>（1）具有国家注册道路工程师执业资格得1分。</w:t>
            </w:r>
          </w:p>
          <w:p>
            <w:pPr>
              <w:rPr>
                <w:rFonts w:ascii="宋体" w:hAnsi="宋体"/>
                <w:color w:val="auto"/>
                <w:szCs w:val="21"/>
                <w:highlight w:val="none"/>
              </w:rPr>
            </w:pPr>
            <w:r>
              <w:rPr>
                <w:rFonts w:hint="eastAsia" w:ascii="宋体" w:hAnsi="宋体"/>
                <w:color w:val="auto"/>
                <w:szCs w:val="21"/>
                <w:highlight w:val="none"/>
              </w:rPr>
              <w:t>（2）具有高级工程师职称得1分。</w:t>
            </w:r>
          </w:p>
          <w:p>
            <w:pPr>
              <w:rPr>
                <w:rFonts w:ascii="宋体" w:hAnsi="宋体"/>
                <w:color w:val="auto"/>
                <w:szCs w:val="21"/>
                <w:highlight w:val="none"/>
              </w:rPr>
            </w:pPr>
            <w:r>
              <w:rPr>
                <w:rFonts w:hint="eastAsia" w:ascii="宋体" w:hAnsi="宋体"/>
                <w:color w:val="auto"/>
                <w:szCs w:val="21"/>
                <w:highlight w:val="none"/>
              </w:rPr>
              <w:t>3、建筑专业设计负责人（2分）</w:t>
            </w:r>
          </w:p>
          <w:p>
            <w:pPr>
              <w:rPr>
                <w:rFonts w:ascii="宋体" w:hAnsi="宋体"/>
                <w:color w:val="auto"/>
                <w:szCs w:val="21"/>
                <w:highlight w:val="none"/>
              </w:rPr>
            </w:pPr>
            <w:r>
              <w:rPr>
                <w:rFonts w:hint="eastAsia" w:ascii="宋体" w:hAnsi="宋体"/>
                <w:color w:val="auto"/>
                <w:szCs w:val="21"/>
                <w:highlight w:val="none"/>
              </w:rPr>
              <w:t>（1）具有国家注册一级建筑师执业资格得1分。</w:t>
            </w:r>
          </w:p>
          <w:p>
            <w:pPr>
              <w:rPr>
                <w:rFonts w:ascii="宋体" w:hAnsi="宋体"/>
                <w:color w:val="auto"/>
                <w:szCs w:val="21"/>
                <w:highlight w:val="none"/>
              </w:rPr>
            </w:pPr>
            <w:r>
              <w:rPr>
                <w:rFonts w:hint="eastAsia" w:ascii="宋体" w:hAnsi="宋体"/>
                <w:color w:val="auto"/>
                <w:szCs w:val="21"/>
                <w:highlight w:val="none"/>
              </w:rPr>
              <w:t>（2）具有高级工程师职称得1分。</w:t>
            </w:r>
          </w:p>
          <w:p>
            <w:pPr>
              <w:rPr>
                <w:rFonts w:ascii="宋体" w:hAnsi="宋体"/>
                <w:color w:val="auto"/>
                <w:szCs w:val="21"/>
                <w:highlight w:val="none"/>
              </w:rPr>
            </w:pPr>
            <w:r>
              <w:rPr>
                <w:rFonts w:hint="eastAsia" w:ascii="宋体" w:hAnsi="宋体"/>
                <w:color w:val="auto"/>
                <w:szCs w:val="21"/>
                <w:highlight w:val="none"/>
              </w:rPr>
              <w:t>4、桥梁及结构专业负责人（2分）</w:t>
            </w:r>
          </w:p>
          <w:p>
            <w:pPr>
              <w:rPr>
                <w:rFonts w:ascii="宋体" w:hAnsi="宋体"/>
                <w:color w:val="auto"/>
                <w:szCs w:val="21"/>
                <w:highlight w:val="none"/>
              </w:rPr>
            </w:pPr>
            <w:r>
              <w:rPr>
                <w:rFonts w:hint="eastAsia" w:ascii="宋体" w:hAnsi="宋体"/>
                <w:color w:val="auto"/>
                <w:szCs w:val="21"/>
                <w:highlight w:val="none"/>
              </w:rPr>
              <w:t xml:space="preserve">  （1） 具有国家一级注册结构工程师或注册道路工程师执业资格得1分。</w:t>
            </w:r>
          </w:p>
          <w:p>
            <w:pPr>
              <w:rPr>
                <w:rFonts w:ascii="宋体" w:hAnsi="宋体"/>
                <w:color w:val="auto"/>
                <w:szCs w:val="21"/>
                <w:highlight w:val="none"/>
              </w:rPr>
            </w:pPr>
            <w:r>
              <w:rPr>
                <w:rFonts w:hint="eastAsia" w:ascii="宋体" w:hAnsi="宋体"/>
                <w:color w:val="auto"/>
                <w:szCs w:val="21"/>
                <w:highlight w:val="none"/>
              </w:rPr>
              <w:t>（2）具有高级工程师职称得1分。</w:t>
            </w:r>
          </w:p>
          <w:p>
            <w:pPr>
              <w:rPr>
                <w:rFonts w:ascii="宋体" w:hAnsi="宋体"/>
                <w:color w:val="auto"/>
                <w:szCs w:val="21"/>
                <w:highlight w:val="none"/>
              </w:rPr>
            </w:pPr>
            <w:r>
              <w:rPr>
                <w:rFonts w:hint="eastAsia" w:ascii="宋体" w:hAnsi="宋体"/>
                <w:color w:val="auto"/>
                <w:szCs w:val="21"/>
                <w:highlight w:val="none"/>
              </w:rPr>
              <w:t>5、造价专业负责人（1分）</w:t>
            </w:r>
          </w:p>
          <w:p>
            <w:pPr>
              <w:rPr>
                <w:rFonts w:ascii="宋体" w:hAnsi="宋体"/>
                <w:color w:val="auto"/>
                <w:szCs w:val="21"/>
                <w:highlight w:val="none"/>
              </w:rPr>
            </w:pPr>
            <w:r>
              <w:rPr>
                <w:rFonts w:hint="eastAsia" w:ascii="宋体" w:hAnsi="宋体"/>
                <w:color w:val="auto"/>
                <w:szCs w:val="21"/>
                <w:highlight w:val="none"/>
              </w:rPr>
              <w:t>具有国家注册造价工程师执业资格或交通部公路工程造价</w:t>
            </w:r>
            <w:r>
              <w:rPr>
                <w:rFonts w:hint="eastAsia" w:ascii="宋体" w:hAnsi="宋体"/>
                <w:color w:val="auto"/>
                <w:szCs w:val="21"/>
                <w:highlight w:val="none"/>
                <w:lang w:eastAsia="zh-CN"/>
              </w:rPr>
              <w:t>人</w:t>
            </w:r>
            <w:r>
              <w:rPr>
                <w:rFonts w:hint="eastAsia" w:ascii="宋体" w:hAnsi="宋体"/>
                <w:color w:val="auto"/>
                <w:szCs w:val="21"/>
                <w:highlight w:val="none"/>
              </w:rPr>
              <w:t>员甲级资格证书的得1分。</w:t>
            </w:r>
          </w:p>
          <w:p>
            <w:pPr>
              <w:rPr>
                <w:rFonts w:ascii="宋体" w:hAnsi="宋体"/>
                <w:color w:val="auto"/>
                <w:szCs w:val="21"/>
                <w:highlight w:val="none"/>
              </w:rPr>
            </w:pPr>
            <w:r>
              <w:rPr>
                <w:rFonts w:hint="eastAsia" w:ascii="宋体" w:hAnsi="宋体"/>
                <w:color w:val="auto"/>
                <w:szCs w:val="21"/>
                <w:highlight w:val="none"/>
              </w:rPr>
              <w:t>以上须提供要求内容的有效职称证书、资格证书、</w:t>
            </w:r>
            <w:r>
              <w:rPr>
                <w:rFonts w:hint="eastAsia" w:ascii="宋体" w:hAnsi="宋体"/>
                <w:color w:val="auto"/>
                <w:szCs w:val="21"/>
                <w:highlight w:val="none"/>
                <w:u w:val="single"/>
              </w:rPr>
              <w:t>注册证书（按相关规定如有要求）</w:t>
            </w:r>
            <w:r>
              <w:rPr>
                <w:rFonts w:hint="eastAsia" w:ascii="宋体" w:hAnsi="宋体"/>
                <w:color w:val="auto"/>
                <w:szCs w:val="21"/>
                <w:highlight w:val="none"/>
              </w:rPr>
              <w:t>复印件并加盖投标人单位公章鲜章。</w:t>
            </w:r>
          </w:p>
          <w:p>
            <w:pP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2200" w:type="dxa"/>
            <w:gridSpan w:val="3"/>
            <w:vAlign w:val="center"/>
          </w:tcPr>
          <w:p>
            <w:pPr>
              <w:spacing w:line="324" w:lineRule="auto"/>
              <w:rPr>
                <w:rFonts w:ascii="宋体" w:hAnsi="宋体" w:cs="宋体"/>
                <w:color w:val="auto"/>
                <w:kern w:val="0"/>
                <w:szCs w:val="21"/>
                <w:highlight w:val="none"/>
              </w:rPr>
            </w:pPr>
            <w:r>
              <w:rPr>
                <w:rFonts w:hint="eastAsia"/>
                <w:color w:val="auto"/>
                <w:szCs w:val="21"/>
                <w:highlight w:val="none"/>
              </w:rPr>
              <w:t>中标候选人最终得分</w:t>
            </w:r>
          </w:p>
        </w:tc>
        <w:tc>
          <w:tcPr>
            <w:tcW w:w="6389" w:type="dxa"/>
            <w:gridSpan w:val="3"/>
            <w:vAlign w:val="center"/>
          </w:tcPr>
          <w:p>
            <w:pPr>
              <w:spacing w:line="324" w:lineRule="auto"/>
              <w:rPr>
                <w:rFonts w:ascii="宋体" w:hAnsi="宋体" w:cs="宋体"/>
                <w:color w:val="auto"/>
                <w:kern w:val="0"/>
                <w:szCs w:val="21"/>
                <w:highlight w:val="none"/>
              </w:rPr>
            </w:pPr>
            <w:r>
              <w:rPr>
                <w:rFonts w:hint="eastAsia" w:ascii="宋体" w:hAnsi="宋体"/>
                <w:color w:val="auto"/>
                <w:szCs w:val="21"/>
                <w:highlight w:val="none"/>
              </w:rPr>
              <w:t>投标人评标得分＝综合得分（技术得分</w:t>
            </w:r>
            <w:r>
              <w:rPr>
                <w:rFonts w:ascii="宋体" w:hAnsi="宋体"/>
                <w:color w:val="auto"/>
                <w:szCs w:val="21"/>
                <w:highlight w:val="none"/>
              </w:rPr>
              <w:t>+</w:t>
            </w:r>
            <w:r>
              <w:rPr>
                <w:rFonts w:hint="eastAsia" w:ascii="宋体" w:hAnsi="宋体"/>
                <w:color w:val="auto"/>
                <w:szCs w:val="21"/>
                <w:highlight w:val="none"/>
                <w:lang w:eastAsia="zh-CN"/>
              </w:rPr>
              <w:t>投标价</w:t>
            </w:r>
            <w:r>
              <w:rPr>
                <w:rFonts w:ascii="宋体" w:hAnsi="宋体"/>
                <w:color w:val="auto"/>
                <w:szCs w:val="21"/>
                <w:highlight w:val="none"/>
              </w:rPr>
              <w:t>得分+商务得分</w:t>
            </w:r>
            <w:r>
              <w:rPr>
                <w:rFonts w:hint="eastAsia" w:ascii="宋体" w:hAnsi="宋体"/>
                <w:color w:val="auto"/>
                <w:szCs w:val="21"/>
                <w:highlight w:val="none"/>
              </w:rPr>
              <w:t>）</w:t>
            </w:r>
          </w:p>
        </w:tc>
      </w:tr>
    </w:tbl>
    <w:p>
      <w:pPr>
        <w:spacing w:line="360" w:lineRule="auto"/>
        <w:ind w:firstLine="480"/>
        <w:rPr>
          <w:rFonts w:ascii="宋体" w:hAnsi="宋体"/>
          <w:color w:val="auto"/>
          <w:sz w:val="24"/>
          <w:highlight w:val="none"/>
        </w:rPr>
      </w:pPr>
    </w:p>
    <w:p>
      <w:pPr>
        <w:numPr>
          <w:ilvl w:val="0"/>
          <w:numId w:val="6"/>
        </w:numPr>
        <w:spacing w:line="360" w:lineRule="auto"/>
        <w:rPr>
          <w:rFonts w:ascii="宋体" w:hAnsi="宋体" w:cs="宋体"/>
          <w:b/>
          <w:color w:val="auto"/>
          <w:sz w:val="24"/>
          <w:highlight w:val="none"/>
        </w:rPr>
      </w:pPr>
      <w:r>
        <w:rPr>
          <w:rFonts w:hint="eastAsia" w:ascii="宋体" w:hAnsi="宋体" w:cs="宋体"/>
          <w:b/>
          <w:color w:val="auto"/>
          <w:sz w:val="24"/>
          <w:highlight w:val="none"/>
        </w:rPr>
        <w:t>结算和支付条件</w:t>
      </w:r>
    </w:p>
    <w:p>
      <w:pPr>
        <w:spacing w:line="420" w:lineRule="exact"/>
        <w:rPr>
          <w:rFonts w:ascii="宋体" w:hAnsi="宋体"/>
          <w:color w:val="auto"/>
          <w:sz w:val="24"/>
          <w:highlight w:val="none"/>
        </w:rPr>
      </w:pPr>
      <w:r>
        <w:rPr>
          <w:rFonts w:hint="eastAsia" w:ascii="宋体" w:hAnsi="宋体"/>
          <w:color w:val="auto"/>
          <w:sz w:val="24"/>
          <w:highlight w:val="none"/>
        </w:rPr>
        <w:t>（一）在正式合同签订后，策划设计人向发包人提交符合要求的项目工作计划和服务区交通初步设计方案，并在发包人收到策划设计人开具的正式发票之日起5个工作日内，公司向策划设计人支付合同总额的30%作为首期项目款（为预付款）。</w:t>
      </w:r>
    </w:p>
    <w:p>
      <w:pPr>
        <w:spacing w:line="420" w:lineRule="exact"/>
        <w:rPr>
          <w:rFonts w:ascii="宋体" w:hAnsi="宋体"/>
          <w:color w:val="auto"/>
          <w:sz w:val="24"/>
          <w:highlight w:val="none"/>
        </w:rPr>
      </w:pPr>
      <w:r>
        <w:rPr>
          <w:rFonts w:hint="eastAsia" w:ascii="宋体" w:hAnsi="宋体"/>
          <w:color w:val="auto"/>
          <w:sz w:val="24"/>
          <w:highlight w:val="none"/>
        </w:rPr>
        <w:t>（二）策划设计人完成沙溪庙主题服务区项目策划、空间规划及概念性方案设计初稿，经发包人组织专家评审通过后并收到策划设计人开具的正式发票之日起5个工作日内，向策划设计人支付合同总额的 40 %作为第二期项目款。</w:t>
      </w:r>
    </w:p>
    <w:p>
      <w:pPr>
        <w:spacing w:line="420" w:lineRule="exact"/>
        <w:rPr>
          <w:rFonts w:ascii="宋体" w:hAnsi="宋体"/>
          <w:color w:val="auto"/>
          <w:sz w:val="24"/>
          <w:highlight w:val="none"/>
        </w:rPr>
      </w:pPr>
      <w:r>
        <w:rPr>
          <w:rFonts w:hint="eastAsia" w:ascii="宋体" w:hAnsi="宋体"/>
          <w:color w:val="auto"/>
          <w:sz w:val="24"/>
          <w:highlight w:val="none"/>
        </w:rPr>
        <w:t>（三）策划设计人完成沙溪庙主题服务区项目策划、空间规划及概念性方案设计终稿，经发包人和高速集团最终验收合格，并在收到策划设计人开具的正式发票之日起5个工作日内，向策划设计人支付合同总额20%作为第三期项目款。</w:t>
      </w:r>
    </w:p>
    <w:p>
      <w:pPr>
        <w:spacing w:line="420" w:lineRule="exact"/>
        <w:rPr>
          <w:rFonts w:ascii="宋体" w:hAnsi="宋体"/>
          <w:color w:val="auto"/>
          <w:sz w:val="24"/>
          <w:highlight w:val="none"/>
        </w:rPr>
      </w:pPr>
      <w:r>
        <w:rPr>
          <w:rFonts w:hint="eastAsia" w:ascii="宋体" w:hAnsi="宋体"/>
          <w:color w:val="auto"/>
          <w:sz w:val="24"/>
          <w:highlight w:val="none"/>
        </w:rPr>
        <w:t>（四）策划设计人提交的沙溪庙主题服务区项目策划、空间规划及概念性方案设计，在后续的报批工作中，通过市交通行政主管部门的方案审查行政许可后，并发包人在收到策划设计人开具的正式发票之日起5个工作日内，向策划设计人支付合同项目尾款。若因发包人自身原因未取得市交通行政主管部门的方案审查行政许可，尾款应按合同支付给策划设计人；若因以上策划、规划或设计不满足的市交通行政主管部门方案审查行政许可，或审批部门有要求而策划设计人没有完善策划设计并因此未通过审批的，则发包人不支付该项目尾款。</w:t>
      </w:r>
    </w:p>
    <w:p>
      <w:pPr>
        <w:rPr>
          <w:rFonts w:ascii="宋体" w:hAnsi="宋体"/>
          <w:color w:val="auto"/>
          <w:sz w:val="24"/>
          <w:highlight w:val="none"/>
        </w:rPr>
      </w:pPr>
    </w:p>
    <w:p>
      <w:pPr>
        <w:rPr>
          <w:rFonts w:ascii="宋体" w:hAnsi="宋体"/>
          <w:color w:val="auto"/>
          <w:sz w:val="24"/>
          <w:highlight w:val="none"/>
        </w:rPr>
      </w:pPr>
    </w:p>
    <w:p>
      <w:pPr>
        <w:rPr>
          <w:rFonts w:ascii="宋体" w:hAnsi="宋体"/>
          <w:color w:val="auto"/>
          <w:sz w:val="24"/>
          <w:highlight w:val="none"/>
        </w:rPr>
      </w:pPr>
    </w:p>
    <w:p>
      <w:pPr>
        <w:spacing w:line="420" w:lineRule="exact"/>
        <w:rPr>
          <w:rFonts w:ascii="宋体" w:hAnsi="宋体" w:cs="宋体"/>
          <w:bCs/>
          <w:color w:val="auto"/>
          <w:sz w:val="24"/>
          <w:highlight w:val="none"/>
        </w:rPr>
      </w:pPr>
      <w:r>
        <w:rPr>
          <w:rFonts w:hint="eastAsia" w:ascii="宋体" w:hAnsi="宋体" w:cs="宋体"/>
          <w:b/>
          <w:color w:val="auto"/>
          <w:sz w:val="24"/>
          <w:highlight w:val="none"/>
          <w:lang w:eastAsia="zh-CN"/>
        </w:rPr>
        <w:t>六、</w:t>
      </w:r>
      <w:r>
        <w:rPr>
          <w:rFonts w:hint="eastAsia" w:ascii="宋体" w:hAnsi="宋体" w:cs="宋体"/>
          <w:b/>
          <w:color w:val="auto"/>
          <w:sz w:val="24"/>
          <w:highlight w:val="none"/>
        </w:rPr>
        <w:t>成果提纲要求</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中标人（策划设计人）须提供本比选文件要求的所有服务内容，</w:t>
      </w:r>
      <w:r>
        <w:rPr>
          <w:rFonts w:ascii="华文仿宋" w:hAnsi="华文仿宋"/>
          <w:color w:val="auto"/>
          <w:sz w:val="24"/>
          <w:highlight w:val="none"/>
        </w:rPr>
        <w:t>成果报告</w:t>
      </w:r>
      <w:r>
        <w:rPr>
          <w:rFonts w:hint="eastAsia" w:ascii="华文仿宋" w:hAnsi="华文仿宋"/>
          <w:color w:val="auto"/>
          <w:sz w:val="24"/>
          <w:highlight w:val="none"/>
        </w:rPr>
        <w:t>应该包括但不仅限于以下内容（表述方式、格式、形式可调整）：</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（一）项目概况及认知</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1．项目背景</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2．区位分析</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3．区域范围</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4．交通地段研究</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5．市场调查与分析</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6．资源的优势及劣势</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7．同类产品的竞争风险</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结合项目实际及国家、地方旅游业发展的新形势，对项目资源环境、产品竞争、产品吸引力、投资风险等方面作准确合理分析，找准本项目旅游发展的破局思路和发展方向。</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（二）项目定位</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1．总体定位</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2．形象定位</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3．主题定位</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4．市场定位</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5．发展定位</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结合项目实际及国家、地方旅游业发展的新形势，重点结合项目区位优势及自然条件，锁定目标客群，对项目各方面定位作准确合理分析。</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（三）空间规划（含服务区交通、建筑、环境等）</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1．项目概况、</w:t>
      </w:r>
      <w:r>
        <w:rPr>
          <w:rFonts w:hint="eastAsia" w:ascii="华文仿宋" w:hAnsi="华文仿宋"/>
          <w:color w:val="auto"/>
          <w:sz w:val="24"/>
          <w:highlight w:val="none"/>
        </w:rPr>
        <w:t>功能</w:t>
      </w:r>
      <w:r>
        <w:rPr>
          <w:rFonts w:ascii="华文仿宋" w:hAnsi="华文仿宋"/>
          <w:color w:val="auto"/>
          <w:sz w:val="24"/>
          <w:highlight w:val="none"/>
        </w:rPr>
        <w:t>布局</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2．GIS</w:t>
      </w:r>
      <w:r>
        <w:rPr>
          <w:rFonts w:hint="eastAsia" w:ascii="华文仿宋" w:hAnsi="华文仿宋"/>
          <w:color w:val="auto"/>
          <w:sz w:val="24"/>
          <w:highlight w:val="none"/>
        </w:rPr>
        <w:t>与生态</w:t>
      </w:r>
      <w:r>
        <w:rPr>
          <w:rFonts w:ascii="华文仿宋" w:hAnsi="华文仿宋"/>
          <w:color w:val="auto"/>
          <w:sz w:val="24"/>
          <w:highlight w:val="none"/>
        </w:rPr>
        <w:t>分析</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3．景观视线分析</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4．剖面分析</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5．主要节点分析</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6．空间结构</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7．交通组织</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结合项目实际及国家、地方旅游业发展的新形势，重点结合项目区位优势及自然条件，以及现有交通线路、人群汇集节点，对项目范围空间的总体布局进行准确合理分析。</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（四）产业布局</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1．效果图展示</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2．产业和产品体系</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3．板块介绍</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4．文化主旨</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5．亮点产品</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6．特色</w:t>
      </w:r>
      <w:r>
        <w:rPr>
          <w:rFonts w:hint="eastAsia" w:ascii="华文仿宋" w:hAnsi="华文仿宋"/>
          <w:color w:val="auto"/>
          <w:sz w:val="24"/>
          <w:highlight w:val="none"/>
          <w:lang w:eastAsia="zh-CN"/>
        </w:rPr>
        <w:t>景观、氛围</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结合项目实际及国家、地方旅游业发展的新形势，重点结合项目区位优势及自然条件，对项目范围的产品及业态进行准确合理布局，充分满足潜在游客在旅游度假期间吃、住、行、游、购、娱等综合需求，进行多维度的分析和思考。</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（五）服务区</w:t>
      </w:r>
      <w:r>
        <w:rPr>
          <w:rFonts w:hint="eastAsia" w:ascii="华文仿宋" w:hAnsi="华文仿宋"/>
          <w:color w:val="auto"/>
          <w:sz w:val="24"/>
          <w:highlight w:val="none"/>
          <w:lang w:eastAsia="zh-CN"/>
        </w:rPr>
        <w:t>（含相关道路、建筑、环境等）</w:t>
      </w:r>
      <w:r>
        <w:rPr>
          <w:rFonts w:hint="eastAsia" w:ascii="华文仿宋" w:hAnsi="华文仿宋"/>
          <w:color w:val="auto"/>
          <w:sz w:val="24"/>
          <w:highlight w:val="none"/>
        </w:rPr>
        <w:t>概念性方案设计</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1.服务区功能布置</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2.服务区建筑高度、体量关系</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3.服务区建筑风格、主题</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4.空间形态、业态规划</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5.交通组织（重点为与增设该服务区相关的高速公路车道（含服务区前后高速公路路段车道）、主要步行道、</w:t>
      </w:r>
      <w:r>
        <w:rPr>
          <w:rFonts w:hint="eastAsia" w:ascii="华文仿宋" w:hAnsi="华文仿宋"/>
          <w:color w:val="auto"/>
          <w:sz w:val="24"/>
          <w:highlight w:val="none"/>
          <w:lang w:eastAsia="zh-CN"/>
        </w:rPr>
        <w:t>停车场、</w:t>
      </w:r>
      <w:r>
        <w:rPr>
          <w:rFonts w:hint="eastAsia" w:ascii="华文仿宋" w:hAnsi="华文仿宋"/>
          <w:color w:val="auto"/>
          <w:sz w:val="24"/>
          <w:highlight w:val="none"/>
        </w:rPr>
        <w:t>广场等</w:t>
      </w:r>
      <w:r>
        <w:rPr>
          <w:rFonts w:hint="eastAsia" w:ascii="华文仿宋" w:hAnsi="华文仿宋"/>
          <w:color w:val="auto"/>
          <w:sz w:val="24"/>
          <w:highlight w:val="none"/>
          <w:lang w:eastAsia="zh-CN"/>
        </w:rPr>
        <w:t>，以及</w:t>
      </w:r>
      <w:r>
        <w:rPr>
          <w:rFonts w:hint="eastAsia" w:ascii="华文仿宋" w:hAnsi="华文仿宋"/>
          <w:color w:val="auto"/>
          <w:sz w:val="24"/>
          <w:highlight w:val="none"/>
        </w:rPr>
        <w:t>各类交通流线设计）</w:t>
      </w:r>
    </w:p>
    <w:p>
      <w:pPr>
        <w:spacing w:line="360" w:lineRule="auto"/>
        <w:ind w:firstLine="480" w:firstLineChars="200"/>
        <w:rPr>
          <w:rFonts w:hint="eastAsia" w:ascii="华文仿宋" w:hAnsi="华文仿宋"/>
          <w:color w:val="auto"/>
          <w:sz w:val="24"/>
          <w:highlight w:val="none"/>
        </w:rPr>
      </w:pPr>
      <w:r>
        <w:rPr>
          <w:rFonts w:hint="eastAsia" w:ascii="华文仿宋" w:hAnsi="华文仿宋"/>
          <w:color w:val="auto"/>
          <w:sz w:val="24"/>
          <w:highlight w:val="none"/>
        </w:rPr>
        <w:t>6.服务区其它功能（</w:t>
      </w:r>
      <w:r>
        <w:rPr>
          <w:rFonts w:hint="eastAsia" w:ascii="华文仿宋" w:hAnsi="华文仿宋"/>
          <w:color w:val="auto"/>
          <w:sz w:val="24"/>
          <w:highlight w:val="none"/>
          <w:lang w:eastAsia="zh-CN"/>
        </w:rPr>
        <w:t>危化品专用停车区、停车场、</w:t>
      </w:r>
      <w:r>
        <w:rPr>
          <w:rFonts w:hint="eastAsia" w:ascii="华文仿宋" w:hAnsi="华文仿宋"/>
          <w:color w:val="auto"/>
          <w:sz w:val="24"/>
          <w:highlight w:val="none"/>
        </w:rPr>
        <w:t>加油站、充电站、修理站等）</w:t>
      </w:r>
    </w:p>
    <w:p>
      <w:pPr>
        <w:spacing w:line="360" w:lineRule="auto"/>
        <w:ind w:firstLine="480" w:firstLineChars="200"/>
        <w:rPr>
          <w:rFonts w:hint="eastAsia" w:ascii="华文仿宋" w:hAnsi="华文仿宋"/>
          <w:color w:val="auto"/>
          <w:sz w:val="24"/>
          <w:highlight w:val="none"/>
        </w:rPr>
      </w:pPr>
      <w:r>
        <w:rPr>
          <w:rFonts w:hint="eastAsia" w:ascii="华文仿宋" w:hAnsi="华文仿宋"/>
          <w:color w:val="auto"/>
          <w:sz w:val="24"/>
          <w:highlight w:val="none"/>
        </w:rPr>
        <w:t>7.有关进出高速路收费站</w:t>
      </w:r>
    </w:p>
    <w:p>
      <w:pPr>
        <w:spacing w:line="360" w:lineRule="auto"/>
        <w:ind w:firstLine="480" w:firstLineChars="200"/>
        <w:rPr>
          <w:rFonts w:hint="eastAsia" w:ascii="华文仿宋" w:hAnsi="华文仿宋"/>
          <w:color w:val="auto"/>
          <w:sz w:val="24"/>
          <w:highlight w:val="none"/>
          <w:lang w:val="en-US" w:eastAsia="zh-CN"/>
        </w:rPr>
      </w:pPr>
      <w:r>
        <w:rPr>
          <w:rFonts w:hint="eastAsia" w:ascii="华文仿宋" w:hAnsi="华文仿宋"/>
          <w:color w:val="auto"/>
          <w:sz w:val="24"/>
          <w:highlight w:val="none"/>
          <w:lang w:val="en-US" w:eastAsia="zh-CN"/>
        </w:rPr>
        <w:t>8.服务区与地方道路的连接道</w:t>
      </w:r>
    </w:p>
    <w:p>
      <w:pPr>
        <w:spacing w:line="360" w:lineRule="auto"/>
        <w:ind w:firstLine="480" w:firstLineChars="200"/>
        <w:rPr>
          <w:rFonts w:hint="eastAsia" w:ascii="华文仿宋" w:hAnsi="华文仿宋"/>
          <w:color w:val="auto"/>
          <w:sz w:val="24"/>
          <w:highlight w:val="none"/>
          <w:lang w:val="en-US" w:eastAsia="zh-CN"/>
        </w:rPr>
      </w:pPr>
      <w:r>
        <w:rPr>
          <w:rFonts w:hint="eastAsia" w:ascii="华文仿宋" w:hAnsi="华文仿宋"/>
          <w:color w:val="auto"/>
          <w:sz w:val="24"/>
          <w:highlight w:val="none"/>
          <w:lang w:val="en-US" w:eastAsia="zh-CN"/>
        </w:rPr>
        <w:t>9.其它有关应在本设计阶段应设计的事项</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结合项目实际及周边自然环境、交通环境，对项目进行概念方案设计，包括服务区建筑风格、空间形态、体量关系、建筑高度、交通组织等。</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建筑工程概念性方案设计文件深度要求：</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1</w:t>
      </w:r>
      <w:r>
        <w:rPr>
          <w:rFonts w:hint="eastAsia" w:ascii="华文仿宋" w:hAnsi="华文仿宋"/>
          <w:color w:val="auto"/>
          <w:sz w:val="24"/>
          <w:highlight w:val="none"/>
          <w:lang w:val="en-US" w:eastAsia="zh-CN"/>
        </w:rPr>
        <w:t>.</w:t>
      </w:r>
      <w:r>
        <w:rPr>
          <w:rFonts w:hint="eastAsia" w:ascii="华文仿宋" w:hAnsi="华文仿宋"/>
          <w:color w:val="auto"/>
          <w:sz w:val="24"/>
          <w:highlight w:val="none"/>
        </w:rPr>
        <w:t>总体说明</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（1）设计依据</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列出设计依据性文件、任务书、条件、基础资料等。</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（2）方案总体构思</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设计方案总体构思理念、功能分区、交通组织、公路、建筑总体与周边环境关系，主要建筑材料、建筑节能、环境保护措施、竖向设计原则，服务区主题特色展现内容和方式。</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2</w:t>
      </w:r>
      <w:r>
        <w:rPr>
          <w:rFonts w:hint="eastAsia" w:ascii="华文仿宋" w:hAnsi="华文仿宋"/>
          <w:color w:val="auto"/>
          <w:sz w:val="24"/>
          <w:highlight w:val="none"/>
          <w:lang w:val="en-US" w:eastAsia="zh-CN"/>
        </w:rPr>
        <w:t>.</w:t>
      </w:r>
      <w:r>
        <w:rPr>
          <w:rFonts w:hint="eastAsia" w:ascii="华文仿宋" w:hAnsi="华文仿宋"/>
          <w:color w:val="auto"/>
          <w:sz w:val="24"/>
          <w:highlight w:val="none"/>
        </w:rPr>
        <w:t>设计说明</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（1）建筑物使用功能、交通组织、环境、景观设计说明；</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（2）单体、群体的空间构成特点；</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（3）若采用新材料、新技术，说明主要技术、性能及造价情况；</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 xml:space="preserve">（4）提供主要技术经济指标； </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（5）结构、电气、给排水、暖通、建筑智能化等专业设计说明；</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（6）消防设计说明；</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（7）节能、绿色建筑设计说明；</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（8）环保、水保等设计说明。</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3</w:t>
      </w:r>
      <w:r>
        <w:rPr>
          <w:rFonts w:hint="eastAsia" w:ascii="华文仿宋" w:hAnsi="华文仿宋"/>
          <w:color w:val="auto"/>
          <w:sz w:val="24"/>
          <w:highlight w:val="none"/>
          <w:lang w:val="en-US" w:eastAsia="zh-CN"/>
        </w:rPr>
        <w:t>.</w:t>
      </w:r>
      <w:r>
        <w:rPr>
          <w:rFonts w:hint="eastAsia" w:ascii="华文仿宋" w:hAnsi="华文仿宋"/>
          <w:color w:val="auto"/>
          <w:sz w:val="24"/>
          <w:highlight w:val="none"/>
        </w:rPr>
        <w:t>工程造价估算</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工程造价估算符合国家和地方标准、规范、规定。</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（1）编制说明</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工程造价估算说明包括：编制依据、编制方法、编制范围（明确是否包括工程项目与费用）、主要技术经济指标、其他必要说明的问题。</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（2）估算表</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工程造价估算表应提供各单项工程的土建、设备安装的单位估价及总价，室外公共设施、环境工程的单位估价及总价。</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4</w:t>
      </w:r>
      <w:r>
        <w:rPr>
          <w:rFonts w:hint="eastAsia" w:ascii="华文仿宋" w:hAnsi="华文仿宋"/>
          <w:color w:val="auto"/>
          <w:sz w:val="24"/>
          <w:highlight w:val="none"/>
          <w:lang w:val="en-US" w:eastAsia="zh-CN"/>
        </w:rPr>
        <w:t>.</w:t>
      </w:r>
      <w:r>
        <w:rPr>
          <w:rFonts w:hint="eastAsia" w:ascii="华文仿宋" w:hAnsi="华文仿宋"/>
          <w:color w:val="auto"/>
          <w:sz w:val="24"/>
          <w:highlight w:val="none"/>
        </w:rPr>
        <w:t>图纸内容</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（1）总平面图纸</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应明确表示建筑物位置及周边状况。</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（2）设计分析图纸</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通常包括功能分析、交通组织分析、环境景观分析、地理信息分析等。</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（3）建筑设计图纸</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建筑总平面图，主要立面图，主要单体主要楼层平面图、立面图、剖面图，说明建筑空间关系等。</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（4）服务区及其建筑的智能化设计初步方案。</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lang w:eastAsia="zh-CN"/>
        </w:rPr>
        <w:t>（</w:t>
      </w:r>
      <w:r>
        <w:rPr>
          <w:rFonts w:hint="eastAsia" w:ascii="华文仿宋" w:hAnsi="华文仿宋"/>
          <w:color w:val="auto"/>
          <w:sz w:val="24"/>
          <w:highlight w:val="none"/>
          <w:lang w:val="en-US" w:eastAsia="zh-CN"/>
        </w:rPr>
        <w:t>5</w:t>
      </w:r>
      <w:r>
        <w:rPr>
          <w:rFonts w:hint="eastAsia" w:ascii="华文仿宋" w:hAnsi="华文仿宋"/>
          <w:color w:val="auto"/>
          <w:sz w:val="24"/>
          <w:highlight w:val="none"/>
          <w:lang w:eastAsia="zh-CN"/>
        </w:rPr>
        <w:t>）</w:t>
      </w:r>
      <w:r>
        <w:rPr>
          <w:rFonts w:hint="eastAsia" w:ascii="华文仿宋" w:hAnsi="华文仿宋"/>
          <w:color w:val="auto"/>
          <w:sz w:val="24"/>
          <w:highlight w:val="none"/>
        </w:rPr>
        <w:t>建筑效果图纸</w:t>
      </w:r>
    </w:p>
    <w:p>
      <w:pPr>
        <w:spacing w:line="360" w:lineRule="auto"/>
        <w:ind w:left="420" w:leftChars="200"/>
        <w:rPr>
          <w:rFonts w:ascii="华文仿宋" w:hAnsi="华文仿宋"/>
          <w:color w:val="auto"/>
          <w:sz w:val="24"/>
          <w:highlight w:val="none"/>
        </w:rPr>
      </w:pPr>
      <w:r>
        <w:rPr>
          <w:rFonts w:hint="eastAsia" w:ascii="华文仿宋" w:hAnsi="华文仿宋"/>
          <w:color w:val="auto"/>
          <w:sz w:val="24"/>
          <w:highlight w:val="none"/>
        </w:rPr>
        <w:t>建筑效果图必须准确地反映设计意图及环境状况，不应制作虚假效果。本设计要求提供建筑方案设计三维模型图或效果图不少于10张，应展现出该设计服务区及主要房屋的主要外观和室内效果。</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w:t>
      </w:r>
      <w:r>
        <w:rPr>
          <w:rFonts w:hint="eastAsia" w:ascii="华文仿宋" w:hAnsi="华文仿宋"/>
          <w:color w:val="auto"/>
          <w:sz w:val="24"/>
          <w:highlight w:val="none"/>
          <w:lang w:eastAsia="zh-CN"/>
        </w:rPr>
        <w:t>六</w:t>
      </w:r>
      <w:r>
        <w:rPr>
          <w:rFonts w:hint="eastAsia" w:ascii="华文仿宋" w:hAnsi="华文仿宋"/>
          <w:color w:val="auto"/>
          <w:sz w:val="24"/>
          <w:highlight w:val="none"/>
        </w:rPr>
        <w:t>）投资开发</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1</w:t>
      </w:r>
      <w:r>
        <w:rPr>
          <w:rFonts w:hint="eastAsia" w:ascii="华文仿宋" w:hAnsi="华文仿宋"/>
          <w:color w:val="auto"/>
          <w:sz w:val="24"/>
          <w:highlight w:val="none"/>
        </w:rPr>
        <w:t>.</w:t>
      </w:r>
      <w:r>
        <w:rPr>
          <w:rFonts w:ascii="华文仿宋" w:hAnsi="华文仿宋"/>
          <w:color w:val="auto"/>
          <w:sz w:val="24"/>
          <w:highlight w:val="none"/>
        </w:rPr>
        <w:t>开发思路</w:t>
      </w:r>
    </w:p>
    <w:p>
      <w:pPr>
        <w:spacing w:line="360" w:lineRule="auto"/>
        <w:ind w:firstLine="480" w:firstLineChars="200"/>
        <w:rPr>
          <w:rFonts w:ascii="华文仿宋" w:hAnsi="华文仿宋"/>
          <w:color w:val="auto"/>
          <w:sz w:val="24"/>
          <w:highlight w:val="none"/>
        </w:rPr>
      </w:pPr>
      <w:r>
        <w:rPr>
          <w:rFonts w:ascii="华文仿宋" w:hAnsi="华文仿宋"/>
          <w:color w:val="auto"/>
          <w:sz w:val="24"/>
          <w:highlight w:val="none"/>
        </w:rPr>
        <w:t>2</w:t>
      </w:r>
      <w:r>
        <w:rPr>
          <w:rFonts w:hint="eastAsia" w:ascii="华文仿宋" w:hAnsi="华文仿宋"/>
          <w:color w:val="auto"/>
          <w:sz w:val="24"/>
          <w:highlight w:val="none"/>
        </w:rPr>
        <w:t>.</w:t>
      </w:r>
      <w:r>
        <w:rPr>
          <w:rFonts w:ascii="华文仿宋" w:hAnsi="华文仿宋"/>
          <w:color w:val="auto"/>
          <w:sz w:val="24"/>
          <w:highlight w:val="none"/>
        </w:rPr>
        <w:t>总体营利模式</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3.</w:t>
      </w:r>
      <w:r>
        <w:rPr>
          <w:rFonts w:ascii="华文仿宋" w:hAnsi="华文仿宋"/>
          <w:color w:val="auto"/>
          <w:sz w:val="24"/>
          <w:highlight w:val="none"/>
        </w:rPr>
        <w:t>项目分期财务测算</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4.方案技术经济分析，包括投资估算、经营收入预测、投资回报、项目经济指标测算等方面。</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结合项目实际及国家、地方旅游业发展的新形势，对项目进行投资分析，包括</w:t>
      </w:r>
      <w:r>
        <w:rPr>
          <w:rFonts w:ascii="华文仿宋" w:hAnsi="华文仿宋"/>
          <w:color w:val="auto"/>
          <w:sz w:val="24"/>
          <w:highlight w:val="none"/>
        </w:rPr>
        <w:t>项目财务状况分析</w:t>
      </w:r>
      <w:r>
        <w:rPr>
          <w:rFonts w:hint="eastAsia" w:ascii="华文仿宋" w:hAnsi="华文仿宋"/>
          <w:color w:val="auto"/>
          <w:sz w:val="24"/>
          <w:highlight w:val="none"/>
        </w:rPr>
        <w:t>、</w:t>
      </w:r>
      <w:r>
        <w:rPr>
          <w:rFonts w:ascii="华文仿宋" w:hAnsi="华文仿宋"/>
          <w:color w:val="auto"/>
          <w:sz w:val="24"/>
          <w:highlight w:val="none"/>
        </w:rPr>
        <w:t>项目时间进度计划</w:t>
      </w:r>
      <w:r>
        <w:rPr>
          <w:rFonts w:hint="eastAsia" w:ascii="华文仿宋" w:hAnsi="华文仿宋"/>
          <w:color w:val="auto"/>
          <w:sz w:val="24"/>
          <w:highlight w:val="none"/>
        </w:rPr>
        <w:t>、</w:t>
      </w:r>
      <w:r>
        <w:rPr>
          <w:rFonts w:ascii="华文仿宋" w:hAnsi="华文仿宋"/>
          <w:color w:val="auto"/>
          <w:sz w:val="24"/>
          <w:highlight w:val="none"/>
        </w:rPr>
        <w:t>项目成本估算</w:t>
      </w:r>
      <w:r>
        <w:rPr>
          <w:rFonts w:hint="eastAsia" w:ascii="华文仿宋" w:hAnsi="华文仿宋"/>
          <w:color w:val="auto"/>
          <w:sz w:val="24"/>
          <w:highlight w:val="none"/>
        </w:rPr>
        <w:t>、</w:t>
      </w:r>
      <w:r>
        <w:rPr>
          <w:rFonts w:ascii="华文仿宋" w:hAnsi="华文仿宋"/>
          <w:color w:val="auto"/>
          <w:sz w:val="24"/>
          <w:highlight w:val="none"/>
        </w:rPr>
        <w:t>项目收入估算</w:t>
      </w:r>
      <w:r>
        <w:rPr>
          <w:rFonts w:hint="eastAsia" w:ascii="华文仿宋" w:hAnsi="华文仿宋"/>
          <w:color w:val="auto"/>
          <w:sz w:val="24"/>
          <w:highlight w:val="none"/>
        </w:rPr>
        <w:t>、</w:t>
      </w:r>
      <w:r>
        <w:rPr>
          <w:rFonts w:ascii="华文仿宋" w:hAnsi="华文仿宋"/>
          <w:color w:val="auto"/>
          <w:sz w:val="24"/>
          <w:highlight w:val="none"/>
        </w:rPr>
        <w:t>财务评价</w:t>
      </w:r>
      <w:r>
        <w:rPr>
          <w:rFonts w:hint="eastAsia" w:ascii="华文仿宋" w:hAnsi="华文仿宋"/>
          <w:color w:val="auto"/>
          <w:sz w:val="24"/>
          <w:highlight w:val="none"/>
        </w:rPr>
        <w:t>等。</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rPr>
        <w:t>（</w:t>
      </w:r>
      <w:r>
        <w:rPr>
          <w:rFonts w:hint="eastAsia" w:ascii="华文仿宋" w:hAnsi="华文仿宋"/>
          <w:color w:val="auto"/>
          <w:sz w:val="24"/>
          <w:highlight w:val="none"/>
          <w:lang w:eastAsia="zh-CN"/>
        </w:rPr>
        <w:t>七</w:t>
      </w:r>
      <w:r>
        <w:rPr>
          <w:rFonts w:hint="eastAsia" w:ascii="华文仿宋" w:hAnsi="华文仿宋"/>
          <w:color w:val="auto"/>
          <w:sz w:val="24"/>
          <w:highlight w:val="none"/>
        </w:rPr>
        <w:t>）建议部分，包括高速公路收费政策影响分析及建议、可持续发展政策建议、生态环境保护建议、旅游市场营销策划建议、项目建设规避风险建议等方面。</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lang w:eastAsia="zh-CN"/>
        </w:rPr>
        <w:t>（八）</w:t>
      </w:r>
      <w:r>
        <w:rPr>
          <w:rFonts w:hint="eastAsia" w:ascii="华文仿宋" w:hAnsi="华文仿宋"/>
          <w:color w:val="auto"/>
          <w:sz w:val="24"/>
          <w:highlight w:val="none"/>
        </w:rPr>
        <w:t>其他方面</w:t>
      </w:r>
    </w:p>
    <w:p>
      <w:pPr>
        <w:spacing w:line="360" w:lineRule="auto"/>
        <w:ind w:firstLine="480" w:firstLineChars="200"/>
        <w:rPr>
          <w:rFonts w:ascii="华文仿宋" w:hAnsi="华文仿宋"/>
          <w:color w:val="auto"/>
          <w:sz w:val="24"/>
          <w:highlight w:val="none"/>
        </w:rPr>
      </w:pPr>
      <w:r>
        <w:rPr>
          <w:rFonts w:hint="eastAsia" w:ascii="华文仿宋" w:hAnsi="华文仿宋"/>
          <w:color w:val="auto"/>
          <w:sz w:val="24"/>
          <w:highlight w:val="none"/>
          <w:lang w:val="en-US" w:eastAsia="zh-CN"/>
        </w:rPr>
        <w:t xml:space="preserve"> </w:t>
      </w:r>
      <w:r>
        <w:rPr>
          <w:rFonts w:hint="eastAsia" w:ascii="华文仿宋" w:hAnsi="华文仿宋"/>
          <w:color w:val="auto"/>
          <w:sz w:val="24"/>
          <w:highlight w:val="none"/>
        </w:rPr>
        <w:t>投标人应结合项目情况，提出后续服务计划及相应的保证措施。</w:t>
      </w:r>
    </w:p>
    <w:p>
      <w:pPr>
        <w:jc w:val="center"/>
        <w:rPr>
          <w:b/>
          <w:color w:val="auto"/>
          <w:sz w:val="24"/>
          <w:highlight w:val="none"/>
        </w:rPr>
      </w:pPr>
    </w:p>
    <w:p>
      <w:pPr>
        <w:spacing w:line="360" w:lineRule="auto"/>
        <w:rPr>
          <w:rFonts w:hint="eastAsia" w:ascii="宋体" w:hAnsi="宋体" w:cs="宋体"/>
          <w:b/>
          <w:color w:val="auto"/>
          <w:sz w:val="24"/>
          <w:highlight w:val="none"/>
          <w:lang w:eastAsia="zh-CN"/>
        </w:rPr>
      </w:pPr>
      <w:r>
        <w:rPr>
          <w:rFonts w:hint="eastAsia" w:ascii="宋体" w:hAnsi="宋体" w:cs="宋体"/>
          <w:b/>
          <w:color w:val="auto"/>
          <w:sz w:val="24"/>
          <w:highlight w:val="none"/>
          <w:lang w:eastAsia="zh-CN"/>
        </w:rPr>
        <w:br w:type="page"/>
      </w:r>
    </w:p>
    <w:p>
      <w:pPr>
        <w:spacing w:line="360" w:lineRule="auto"/>
        <w:rPr>
          <w:b/>
          <w:color w:val="auto"/>
          <w:sz w:val="24"/>
          <w:highlight w:val="none"/>
        </w:rPr>
      </w:pPr>
      <w:r>
        <w:rPr>
          <w:rFonts w:hint="eastAsia" w:ascii="宋体" w:hAnsi="宋体" w:cs="宋体"/>
          <w:b/>
          <w:color w:val="auto"/>
          <w:sz w:val="24"/>
          <w:highlight w:val="none"/>
          <w:lang w:eastAsia="zh-CN"/>
        </w:rPr>
        <w:t>七</w:t>
      </w:r>
      <w:r>
        <w:rPr>
          <w:rFonts w:hint="eastAsia" w:ascii="宋体" w:hAnsi="宋体" w:cs="宋体"/>
          <w:b/>
          <w:color w:val="auto"/>
          <w:sz w:val="24"/>
          <w:highlight w:val="none"/>
        </w:rPr>
        <w:t>、比选响应文件格式</w:t>
      </w:r>
    </w:p>
    <w:p>
      <w:pPr>
        <w:rPr>
          <w:rFonts w:ascii="宋体"/>
          <w:b/>
          <w:color w:val="auto"/>
          <w:sz w:val="44"/>
          <w:szCs w:val="44"/>
          <w:highlight w:val="none"/>
        </w:rPr>
      </w:pPr>
    </w:p>
    <w:p>
      <w:pPr>
        <w:ind w:left="-2" w:leftChars="-200" w:right="-313" w:rightChars="-149" w:hanging="418" w:hangingChars="95"/>
        <w:jc w:val="center"/>
        <w:rPr>
          <w:rFonts w:ascii="宋体"/>
          <w:b/>
          <w:color w:val="auto"/>
          <w:sz w:val="44"/>
          <w:szCs w:val="44"/>
          <w:highlight w:val="none"/>
        </w:rPr>
      </w:pPr>
      <w:r>
        <w:rPr>
          <w:rFonts w:hint="eastAsia" w:ascii="宋体"/>
          <w:b/>
          <w:color w:val="auto"/>
          <w:sz w:val="44"/>
          <w:szCs w:val="44"/>
          <w:highlight w:val="none"/>
        </w:rPr>
        <w:t>沙溪庙主题服务区项目策划、空间规划及概念性方案设计比选响应（投标）文件</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u w:val="single"/>
        </w:rPr>
      </w:pPr>
      <w:r>
        <w:rPr>
          <w:rFonts w:hint="eastAsia"/>
          <w:color w:val="auto"/>
          <w:sz w:val="32"/>
          <w:szCs w:val="32"/>
          <w:highlight w:val="none"/>
          <w:u w:val="single"/>
        </w:rPr>
        <w:t>投标人单位名称（全称）（盖单位公章）</w:t>
      </w:r>
    </w:p>
    <w:p>
      <w:pPr>
        <w:jc w:val="center"/>
        <w:rPr>
          <w:color w:val="auto"/>
          <w:sz w:val="32"/>
          <w:szCs w:val="32"/>
          <w:highlight w:val="none"/>
          <w:u w:val="single"/>
        </w:rPr>
      </w:pPr>
    </w:p>
    <w:p>
      <w:pPr>
        <w:jc w:val="center"/>
        <w:rPr>
          <w:color w:val="auto"/>
          <w:sz w:val="32"/>
          <w:szCs w:val="32"/>
          <w:highlight w:val="none"/>
          <w:u w:val="single"/>
        </w:rPr>
      </w:pPr>
    </w:p>
    <w:p>
      <w:pPr>
        <w:jc w:val="center"/>
        <w:rPr>
          <w:color w:val="auto"/>
          <w:sz w:val="32"/>
          <w:szCs w:val="32"/>
          <w:highlight w:val="none"/>
          <w:u w:val="single"/>
        </w:rPr>
      </w:pPr>
    </w:p>
    <w:p>
      <w:pPr>
        <w:jc w:val="center"/>
        <w:rPr>
          <w:color w:val="auto"/>
          <w:sz w:val="32"/>
          <w:szCs w:val="32"/>
          <w:highlight w:val="none"/>
          <w:u w:val="singl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8"/>
          <w:szCs w:val="21"/>
          <w:highlight w:val="none"/>
        </w:rPr>
      </w:pPr>
    </w:p>
    <w:p>
      <w:pPr>
        <w:tabs>
          <w:tab w:val="left" w:pos="900"/>
          <w:tab w:val="left" w:pos="1080"/>
        </w:tabs>
        <w:spacing w:line="300" w:lineRule="auto"/>
        <w:jc w:val="center"/>
        <w:outlineLvl w:val="0"/>
        <w:rPr>
          <w:rFonts w:ascii="Arial" w:hAnsi="Arial" w:cs="Arial"/>
          <w:b/>
          <w:color w:val="auto"/>
          <w:sz w:val="28"/>
          <w:szCs w:val="21"/>
          <w:highlight w:val="none"/>
        </w:rPr>
      </w:pPr>
    </w:p>
    <w:p>
      <w:pPr>
        <w:tabs>
          <w:tab w:val="left" w:pos="900"/>
          <w:tab w:val="left" w:pos="1080"/>
        </w:tabs>
        <w:spacing w:line="360" w:lineRule="auto"/>
        <w:jc w:val="center"/>
        <w:outlineLvl w:val="0"/>
        <w:rPr>
          <w:rFonts w:ascii="Arial" w:hAnsi="Arial" w:cs="Arial"/>
          <w:b/>
          <w:color w:val="auto"/>
          <w:sz w:val="28"/>
          <w:szCs w:val="21"/>
          <w:highlight w:val="none"/>
        </w:rPr>
      </w:pPr>
      <w:r>
        <w:rPr>
          <w:rFonts w:hint="eastAsia" w:ascii="Arial" w:hAnsi="Arial" w:cs="Arial"/>
          <w:b/>
          <w:color w:val="auto"/>
          <w:sz w:val="28"/>
          <w:szCs w:val="21"/>
          <w:highlight w:val="none"/>
        </w:rPr>
        <w:t>目    录</w:t>
      </w:r>
    </w:p>
    <w:p>
      <w:pPr>
        <w:tabs>
          <w:tab w:val="left" w:pos="900"/>
          <w:tab w:val="left" w:pos="1080"/>
        </w:tabs>
        <w:spacing w:line="360" w:lineRule="auto"/>
        <w:jc w:val="center"/>
        <w:outlineLvl w:val="0"/>
        <w:rPr>
          <w:rFonts w:ascii="Arial" w:hAnsi="Arial" w:cs="Arial"/>
          <w:b/>
          <w:color w:val="auto"/>
          <w:sz w:val="28"/>
          <w:szCs w:val="21"/>
          <w:highlight w:val="none"/>
        </w:rPr>
      </w:pPr>
    </w:p>
    <w:p>
      <w:pPr>
        <w:spacing w:line="440" w:lineRule="exact"/>
        <w:ind w:firstLine="600" w:firstLineChars="250"/>
        <w:jc w:val="left"/>
        <w:rPr>
          <w:rFonts w:ascii="宋体" w:hAnsi="宋体" w:cs="宋体"/>
          <w:color w:val="auto"/>
          <w:sz w:val="24"/>
          <w:highlight w:val="none"/>
        </w:rPr>
      </w:pPr>
      <w:r>
        <w:rPr>
          <w:rFonts w:hint="eastAsia" w:ascii="宋体" w:hAnsi="宋体" w:cs="宋体"/>
          <w:color w:val="auto"/>
          <w:sz w:val="24"/>
          <w:highlight w:val="none"/>
        </w:rPr>
        <w:t>一、</w:t>
      </w:r>
      <w:r>
        <w:rPr>
          <w:rFonts w:hint="eastAsia" w:ascii="宋体" w:hAnsi="宋体" w:cs="宋体"/>
          <w:color w:val="auto"/>
          <w:sz w:val="24"/>
          <w:highlight w:val="none"/>
          <w:lang w:eastAsia="zh-CN"/>
        </w:rPr>
        <w:t>比选投标</w:t>
      </w:r>
      <w:r>
        <w:rPr>
          <w:rFonts w:hint="eastAsia" w:ascii="宋体" w:hAnsi="宋体" w:cs="宋体"/>
          <w:color w:val="auto"/>
          <w:sz w:val="24"/>
          <w:highlight w:val="none"/>
        </w:rPr>
        <w:t>报价函</w:t>
      </w:r>
    </w:p>
    <w:p>
      <w:pPr>
        <w:spacing w:line="440" w:lineRule="exact"/>
        <w:ind w:firstLine="600" w:firstLineChars="250"/>
        <w:jc w:val="left"/>
        <w:rPr>
          <w:rFonts w:ascii="宋体" w:hAnsi="宋体" w:cs="宋体"/>
          <w:color w:val="auto"/>
          <w:sz w:val="24"/>
          <w:highlight w:val="none"/>
        </w:rPr>
      </w:pPr>
      <w:r>
        <w:rPr>
          <w:rFonts w:hint="eastAsia" w:ascii="宋体" w:hAnsi="宋体" w:cs="宋体"/>
          <w:color w:val="auto"/>
          <w:sz w:val="24"/>
          <w:highlight w:val="none"/>
        </w:rPr>
        <w:t>二、商务部分</w:t>
      </w:r>
    </w:p>
    <w:p>
      <w:pPr>
        <w:spacing w:line="440" w:lineRule="exact"/>
        <w:ind w:firstLine="600" w:firstLineChars="250"/>
        <w:jc w:val="left"/>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lang w:eastAsia="zh-CN"/>
        </w:rPr>
        <w:t>.</w:t>
      </w:r>
      <w:r>
        <w:rPr>
          <w:rFonts w:ascii="宋体" w:hAnsi="宋体" w:cs="宋体"/>
          <w:color w:val="auto"/>
          <w:sz w:val="24"/>
          <w:highlight w:val="none"/>
        </w:rPr>
        <w:t>法定代表人身份证明及授权委托书</w:t>
      </w:r>
    </w:p>
    <w:p>
      <w:pPr>
        <w:spacing w:line="440" w:lineRule="exact"/>
        <w:ind w:firstLine="600" w:firstLineChars="250"/>
        <w:jc w:val="left"/>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投标人有效的营业执照</w:t>
      </w:r>
      <w:r>
        <w:rPr>
          <w:rFonts w:hint="eastAsia" w:ascii="宋体" w:hAnsi="宋体" w:cs="宋体"/>
          <w:color w:val="auto"/>
          <w:sz w:val="24"/>
          <w:highlight w:val="none"/>
          <w:lang w:eastAsia="zh-CN"/>
        </w:rPr>
        <w:t>副本</w:t>
      </w:r>
    </w:p>
    <w:p>
      <w:pPr>
        <w:spacing w:line="440" w:lineRule="exact"/>
        <w:ind w:firstLine="600" w:firstLineChars="25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投标人有效的资质</w:t>
      </w:r>
      <w:r>
        <w:rPr>
          <w:rFonts w:hint="eastAsia" w:ascii="宋体" w:hAnsi="宋体" w:cs="宋体"/>
          <w:color w:val="auto"/>
          <w:sz w:val="24"/>
          <w:highlight w:val="none"/>
          <w:lang w:eastAsia="zh-CN"/>
        </w:rPr>
        <w:t>证书副本</w:t>
      </w:r>
    </w:p>
    <w:p>
      <w:pPr>
        <w:spacing w:line="440" w:lineRule="exact"/>
        <w:ind w:firstLine="600" w:firstLineChars="25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w:t>
      </w:r>
      <w:r>
        <w:rPr>
          <w:rFonts w:hint="eastAsia" w:ascii="宋体" w:hAnsi="宋体" w:cs="宋体"/>
          <w:color w:val="auto"/>
          <w:sz w:val="24"/>
          <w:highlight w:val="none"/>
        </w:rPr>
        <w:t>投标人有效的基本账户开户许可证</w:t>
      </w:r>
    </w:p>
    <w:p>
      <w:pPr>
        <w:spacing w:line="440" w:lineRule="exact"/>
        <w:ind w:firstLine="600" w:firstLineChars="250"/>
        <w:jc w:val="left"/>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w:t>
      </w:r>
      <w:r>
        <w:rPr>
          <w:rFonts w:hint="eastAsia" w:ascii="宋体" w:hAnsi="宋体" w:cs="宋体"/>
          <w:color w:val="auto"/>
          <w:sz w:val="24"/>
          <w:highlight w:val="none"/>
        </w:rPr>
        <w:t>拟派往本项目主要人员情况表及附件，</w:t>
      </w:r>
    </w:p>
    <w:p>
      <w:pPr>
        <w:spacing w:line="440" w:lineRule="exact"/>
        <w:ind w:firstLine="600" w:firstLineChars="250"/>
        <w:jc w:val="left"/>
        <w:rPr>
          <w:rFonts w:ascii="宋体" w:hAnsi="宋体" w:cs="宋体"/>
          <w:color w:val="auto"/>
          <w:sz w:val="24"/>
          <w:highlight w:val="none"/>
        </w:rPr>
      </w:pPr>
      <w:r>
        <w:rPr>
          <w:rFonts w:hint="eastAsia" w:ascii="宋体" w:hAnsi="宋体" w:cs="宋体"/>
          <w:color w:val="auto"/>
          <w:sz w:val="24"/>
          <w:highlight w:val="none"/>
          <w:lang w:val="en-US" w:eastAsia="zh-CN"/>
        </w:rPr>
        <w:t xml:space="preserve">6. </w:t>
      </w:r>
      <w:r>
        <w:rPr>
          <w:rFonts w:hint="eastAsia" w:ascii="宋体" w:hAnsi="宋体" w:cs="宋体"/>
          <w:color w:val="auto"/>
          <w:sz w:val="24"/>
          <w:highlight w:val="none"/>
        </w:rPr>
        <w:t>拟派往本项目主要人员情况汇总表</w:t>
      </w:r>
    </w:p>
    <w:p>
      <w:pPr>
        <w:spacing w:line="440" w:lineRule="exact"/>
        <w:ind w:firstLine="600" w:firstLineChars="250"/>
        <w:jc w:val="left"/>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lang w:eastAsia="zh-CN"/>
        </w:rPr>
        <w:t>.</w:t>
      </w:r>
      <w:r>
        <w:rPr>
          <w:rFonts w:hint="eastAsia" w:ascii="宋体" w:hAnsi="宋体" w:cs="宋体"/>
          <w:color w:val="auto"/>
          <w:sz w:val="24"/>
          <w:highlight w:val="none"/>
        </w:rPr>
        <w:t>投标人业绩证明表及附件</w:t>
      </w:r>
    </w:p>
    <w:p>
      <w:pPr>
        <w:spacing w:line="440" w:lineRule="exact"/>
        <w:ind w:firstLine="600" w:firstLineChars="250"/>
        <w:jc w:val="left"/>
        <w:rPr>
          <w:rFonts w:ascii="宋体" w:hAnsi="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lang w:eastAsia="zh-CN"/>
        </w:rPr>
        <w:t>.</w:t>
      </w:r>
      <w:r>
        <w:rPr>
          <w:rFonts w:hint="eastAsia" w:ascii="宋体" w:hAnsi="宋体" w:cs="宋体"/>
          <w:color w:val="auto"/>
          <w:sz w:val="24"/>
          <w:highlight w:val="none"/>
        </w:rPr>
        <w:t>联合体协议（</w:t>
      </w:r>
      <w:r>
        <w:rPr>
          <w:rFonts w:hint="eastAsia" w:ascii="宋体" w:hAnsi="宋体"/>
          <w:color w:val="auto"/>
          <w:sz w:val="24"/>
          <w:highlight w:val="none"/>
        </w:rPr>
        <w:t>如有）</w:t>
      </w:r>
    </w:p>
    <w:p>
      <w:pPr>
        <w:spacing w:line="440" w:lineRule="exact"/>
        <w:ind w:firstLine="600" w:firstLineChars="250"/>
        <w:jc w:val="left"/>
        <w:rPr>
          <w:rFonts w:ascii="宋体" w:hAnsi="宋体" w:cs="宋体"/>
          <w:color w:val="auto"/>
          <w:sz w:val="24"/>
          <w:highlight w:val="none"/>
        </w:rPr>
      </w:pPr>
    </w:p>
    <w:p>
      <w:pPr>
        <w:numPr>
          <w:ilvl w:val="0"/>
          <w:numId w:val="7"/>
        </w:numPr>
        <w:spacing w:line="440" w:lineRule="exact"/>
        <w:ind w:firstLine="600" w:firstLineChars="250"/>
        <w:jc w:val="left"/>
        <w:rPr>
          <w:rFonts w:hint="eastAsia" w:ascii="宋体" w:hAnsi="宋体" w:cs="宋体"/>
          <w:color w:val="auto"/>
          <w:sz w:val="24"/>
          <w:highlight w:val="none"/>
        </w:rPr>
      </w:pPr>
      <w:r>
        <w:rPr>
          <w:rFonts w:hint="eastAsia" w:ascii="宋体" w:hAnsi="宋体" w:cs="宋体"/>
          <w:color w:val="auto"/>
          <w:sz w:val="24"/>
          <w:highlight w:val="none"/>
        </w:rPr>
        <w:t>技术部分</w:t>
      </w:r>
    </w:p>
    <w:p>
      <w:pPr>
        <w:pStyle w:val="2"/>
        <w:rPr>
          <w:rFonts w:hint="eastAsia"/>
          <w:color w:val="auto"/>
          <w:highlight w:val="none"/>
        </w:rPr>
      </w:pPr>
    </w:p>
    <w:p>
      <w:pPr>
        <w:numPr>
          <w:ilvl w:val="0"/>
          <w:numId w:val="7"/>
        </w:numPr>
        <w:spacing w:line="440" w:lineRule="exact"/>
        <w:ind w:firstLine="600" w:firstLineChars="250"/>
        <w:jc w:val="left"/>
        <w:rPr>
          <w:rFonts w:hint="eastAsia" w:ascii="宋体" w:hAnsi="宋体" w:cs="宋体"/>
          <w:color w:val="auto"/>
          <w:sz w:val="24"/>
          <w:highlight w:val="none"/>
        </w:rPr>
      </w:pPr>
      <w:r>
        <w:rPr>
          <w:rFonts w:hint="eastAsia" w:ascii="宋体" w:hAnsi="宋体" w:cs="宋体"/>
          <w:color w:val="auto"/>
          <w:sz w:val="24"/>
          <w:highlight w:val="none"/>
        </w:rPr>
        <w:t>其他相关资料</w:t>
      </w: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tabs>
          <w:tab w:val="left" w:pos="900"/>
          <w:tab w:val="left" w:pos="1080"/>
        </w:tabs>
        <w:spacing w:line="300" w:lineRule="auto"/>
        <w:jc w:val="center"/>
        <w:outlineLvl w:val="0"/>
        <w:rPr>
          <w:rFonts w:ascii="Arial" w:hAnsi="Arial" w:cs="Arial"/>
          <w:b/>
          <w:color w:val="auto"/>
          <w:sz w:val="24"/>
          <w:highlight w:val="none"/>
        </w:rPr>
      </w:pPr>
    </w:p>
    <w:p>
      <w:pPr>
        <w:spacing w:line="440" w:lineRule="exact"/>
        <w:jc w:val="center"/>
        <w:outlineLvl w:val="1"/>
        <w:rPr>
          <w:b/>
          <w:color w:val="auto"/>
          <w:sz w:val="28"/>
          <w:szCs w:val="28"/>
          <w:highlight w:val="none"/>
        </w:rPr>
      </w:pPr>
      <w:bookmarkStart w:id="33" w:name="_Toc265510122"/>
      <w:r>
        <w:rPr>
          <w:rFonts w:hint="eastAsia"/>
          <w:b/>
          <w:color w:val="auto"/>
          <w:sz w:val="28"/>
          <w:szCs w:val="28"/>
          <w:highlight w:val="none"/>
        </w:rPr>
        <w:br w:type="page"/>
      </w:r>
    </w:p>
    <w:p>
      <w:pPr>
        <w:spacing w:line="440" w:lineRule="exact"/>
        <w:jc w:val="center"/>
        <w:outlineLvl w:val="1"/>
        <w:rPr>
          <w:b/>
          <w:color w:val="auto"/>
          <w:sz w:val="28"/>
          <w:szCs w:val="28"/>
          <w:highlight w:val="none"/>
        </w:rPr>
      </w:pPr>
      <w:r>
        <w:rPr>
          <w:rFonts w:hint="eastAsia"/>
          <w:b/>
          <w:color w:val="auto"/>
          <w:sz w:val="28"/>
          <w:szCs w:val="28"/>
          <w:highlight w:val="none"/>
        </w:rPr>
        <w:t>一、</w:t>
      </w:r>
      <w:r>
        <w:rPr>
          <w:rFonts w:hint="eastAsia"/>
          <w:b/>
          <w:color w:val="auto"/>
          <w:sz w:val="28"/>
          <w:szCs w:val="28"/>
          <w:highlight w:val="none"/>
          <w:lang w:eastAsia="zh-CN"/>
        </w:rPr>
        <w:t>比选投标</w:t>
      </w:r>
      <w:r>
        <w:rPr>
          <w:rFonts w:hint="eastAsia"/>
          <w:b/>
          <w:color w:val="auto"/>
          <w:sz w:val="28"/>
          <w:szCs w:val="28"/>
          <w:highlight w:val="none"/>
        </w:rPr>
        <w:t>报价</w:t>
      </w:r>
      <w:bookmarkEnd w:id="33"/>
      <w:r>
        <w:rPr>
          <w:rFonts w:hint="eastAsia"/>
          <w:b/>
          <w:color w:val="auto"/>
          <w:sz w:val="28"/>
          <w:szCs w:val="28"/>
          <w:highlight w:val="none"/>
        </w:rPr>
        <w:t>函</w:t>
      </w:r>
    </w:p>
    <w:p>
      <w:pPr>
        <w:spacing w:line="440" w:lineRule="exact"/>
        <w:rPr>
          <w:color w:val="auto"/>
          <w:sz w:val="20"/>
          <w:highlight w:val="none"/>
        </w:rPr>
      </w:pPr>
    </w:p>
    <w:p>
      <w:pPr>
        <w:spacing w:line="440" w:lineRule="exact"/>
        <w:rPr>
          <w:color w:val="auto"/>
          <w:sz w:val="28"/>
          <w:szCs w:val="28"/>
          <w:highlight w:val="none"/>
        </w:rPr>
      </w:pPr>
      <w:r>
        <w:rPr>
          <w:rFonts w:hint="eastAsia" w:ascii="宋体" w:hAnsi="宋体"/>
          <w:b/>
          <w:color w:val="auto"/>
          <w:sz w:val="28"/>
          <w:szCs w:val="28"/>
          <w:highlight w:val="none"/>
          <w:u w:val="single"/>
        </w:rPr>
        <w:t>致</w:t>
      </w:r>
      <w:r>
        <w:rPr>
          <w:rFonts w:hint="eastAsia"/>
          <w:color w:val="auto"/>
          <w:sz w:val="28"/>
          <w:szCs w:val="28"/>
          <w:highlight w:val="none"/>
        </w:rPr>
        <w:t>：</w:t>
      </w:r>
      <w:r>
        <w:rPr>
          <w:rFonts w:hint="eastAsia"/>
          <w:color w:val="auto"/>
          <w:sz w:val="28"/>
          <w:szCs w:val="28"/>
          <w:highlight w:val="none"/>
          <w:u w:val="single"/>
        </w:rPr>
        <w:t xml:space="preserve">    （比选人名称）     </w:t>
      </w:r>
    </w:p>
    <w:p>
      <w:pPr>
        <w:numPr>
          <w:ilvl w:val="0"/>
          <w:numId w:val="8"/>
        </w:numPr>
        <w:spacing w:line="440" w:lineRule="exact"/>
        <w:ind w:firstLine="560" w:firstLineChars="200"/>
        <w:rPr>
          <w:rFonts w:ascii="宋体" w:hAnsi="宋体"/>
          <w:color w:val="auto"/>
          <w:sz w:val="28"/>
          <w:szCs w:val="28"/>
          <w:highlight w:val="none"/>
          <w:u w:val="single"/>
        </w:rPr>
      </w:pPr>
      <w:r>
        <w:rPr>
          <w:rFonts w:hint="eastAsia"/>
          <w:color w:val="auto"/>
          <w:sz w:val="28"/>
          <w:szCs w:val="28"/>
          <w:highlight w:val="none"/>
        </w:rPr>
        <w:t>我方已仔细研究了</w:t>
      </w:r>
      <w:r>
        <w:rPr>
          <w:rFonts w:hint="eastAsia" w:ascii="宋体" w:hAnsi="宋体"/>
          <w:color w:val="auto"/>
          <w:sz w:val="28"/>
          <w:szCs w:val="28"/>
          <w:highlight w:val="none"/>
          <w:u w:val="single"/>
        </w:rPr>
        <w:t>沙溪庙主题服务区项目策划、空间规划及概念性方案设计</w:t>
      </w:r>
      <w:r>
        <w:rPr>
          <w:rFonts w:hint="eastAsia" w:ascii="宋体" w:hAnsi="宋体"/>
          <w:bCs/>
          <w:color w:val="auto"/>
          <w:sz w:val="28"/>
          <w:szCs w:val="28"/>
          <w:highlight w:val="none"/>
        </w:rPr>
        <w:t>比选文件</w:t>
      </w:r>
      <w:r>
        <w:rPr>
          <w:rFonts w:hint="eastAsia"/>
          <w:color w:val="auto"/>
          <w:sz w:val="28"/>
          <w:szCs w:val="28"/>
          <w:highlight w:val="none"/>
        </w:rPr>
        <w:t>的全部内容，我公司投标报价为</w:t>
      </w:r>
      <w:r>
        <w:rPr>
          <w:rFonts w:hint="eastAsia"/>
          <w:color w:val="auto"/>
          <w:sz w:val="28"/>
          <w:szCs w:val="28"/>
          <w:highlight w:val="none"/>
          <w:lang w:eastAsia="zh-CN"/>
        </w:rPr>
        <w:t>大写</w:t>
      </w:r>
      <w:r>
        <w:rPr>
          <w:rFonts w:hint="eastAsia"/>
          <w:color w:val="auto"/>
          <w:sz w:val="28"/>
          <w:szCs w:val="28"/>
          <w:highlight w:val="none"/>
        </w:rPr>
        <w:t xml:space="preserve">人民币   </w:t>
      </w:r>
      <w:r>
        <w:rPr>
          <w:rFonts w:hint="eastAsia"/>
          <w:color w:val="auto"/>
          <w:sz w:val="28"/>
          <w:szCs w:val="28"/>
          <w:highlight w:val="none"/>
          <w:lang w:eastAsia="zh-CN"/>
        </w:rPr>
        <w:t>元（小写</w:t>
      </w:r>
      <w:r>
        <w:rPr>
          <w:rFonts w:hint="eastAsia"/>
          <w:color w:val="auto"/>
          <w:sz w:val="28"/>
          <w:szCs w:val="28"/>
          <w:highlight w:val="none"/>
        </w:rPr>
        <w:t>¥</w:t>
      </w:r>
      <w:r>
        <w:rPr>
          <w:rFonts w:hint="eastAsia"/>
          <w:color w:val="auto"/>
          <w:sz w:val="28"/>
          <w:szCs w:val="28"/>
          <w:highlight w:val="none"/>
          <w:u w:val="single"/>
        </w:rPr>
        <w:t xml:space="preserve">       </w:t>
      </w:r>
      <w:r>
        <w:rPr>
          <w:rFonts w:hint="eastAsia"/>
          <w:color w:val="auto"/>
          <w:sz w:val="28"/>
          <w:szCs w:val="28"/>
          <w:highlight w:val="none"/>
        </w:rPr>
        <w:t>元</w:t>
      </w:r>
      <w:r>
        <w:rPr>
          <w:rFonts w:hint="eastAsia"/>
          <w:color w:val="auto"/>
          <w:sz w:val="28"/>
          <w:szCs w:val="28"/>
          <w:highlight w:val="none"/>
          <w:lang w:eastAsia="zh-CN"/>
        </w:rPr>
        <w:t>）</w:t>
      </w:r>
      <w:r>
        <w:rPr>
          <w:rFonts w:hint="eastAsia"/>
          <w:color w:val="auto"/>
          <w:sz w:val="28"/>
          <w:szCs w:val="28"/>
          <w:highlight w:val="none"/>
        </w:rPr>
        <w:t>。我司承诺按比选文件要求，完成</w:t>
      </w:r>
      <w:r>
        <w:rPr>
          <w:rFonts w:hint="eastAsia" w:ascii="宋体" w:hAnsi="宋体"/>
          <w:color w:val="auto"/>
          <w:sz w:val="28"/>
          <w:szCs w:val="28"/>
          <w:highlight w:val="none"/>
          <w:u w:val="single"/>
        </w:rPr>
        <w:t>沙溪庙主题服务区项目策划、空间规划及概念性方案设计</w:t>
      </w:r>
      <w:r>
        <w:rPr>
          <w:rFonts w:hint="eastAsia"/>
          <w:color w:val="auto"/>
          <w:sz w:val="28"/>
          <w:szCs w:val="28"/>
          <w:highlight w:val="none"/>
        </w:rPr>
        <w:t>。</w:t>
      </w:r>
    </w:p>
    <w:p>
      <w:pPr>
        <w:spacing w:line="440" w:lineRule="exact"/>
        <w:ind w:firstLine="560" w:firstLineChars="200"/>
        <w:rPr>
          <w:color w:val="auto"/>
          <w:sz w:val="28"/>
          <w:szCs w:val="28"/>
          <w:highlight w:val="none"/>
        </w:rPr>
      </w:pPr>
      <w:r>
        <w:rPr>
          <w:rFonts w:hint="eastAsia"/>
          <w:color w:val="auto"/>
          <w:sz w:val="28"/>
          <w:szCs w:val="28"/>
          <w:highlight w:val="none"/>
        </w:rPr>
        <w:t>2．我方承诺在投标有效期内不修改、撤销</w:t>
      </w:r>
      <w:r>
        <w:rPr>
          <w:rFonts w:hint="eastAsia"/>
          <w:color w:val="auto"/>
          <w:sz w:val="28"/>
          <w:szCs w:val="28"/>
          <w:highlight w:val="none"/>
          <w:lang w:eastAsia="zh-CN"/>
        </w:rPr>
        <w:t>该</w:t>
      </w:r>
      <w:r>
        <w:rPr>
          <w:rFonts w:hint="eastAsia"/>
          <w:color w:val="auto"/>
          <w:sz w:val="28"/>
          <w:szCs w:val="28"/>
          <w:highlight w:val="none"/>
        </w:rPr>
        <w:t>比选</w:t>
      </w:r>
      <w:r>
        <w:rPr>
          <w:rFonts w:hint="eastAsia"/>
          <w:color w:val="auto"/>
          <w:sz w:val="28"/>
          <w:szCs w:val="28"/>
          <w:highlight w:val="none"/>
          <w:lang w:eastAsia="zh-CN"/>
        </w:rPr>
        <w:t>投标</w:t>
      </w:r>
      <w:r>
        <w:rPr>
          <w:rFonts w:hint="eastAsia"/>
          <w:color w:val="auto"/>
          <w:sz w:val="28"/>
          <w:szCs w:val="28"/>
          <w:highlight w:val="none"/>
        </w:rPr>
        <w:t>文件。</w:t>
      </w:r>
    </w:p>
    <w:p>
      <w:pPr>
        <w:spacing w:line="440" w:lineRule="exact"/>
        <w:ind w:firstLine="560" w:firstLineChars="200"/>
        <w:rPr>
          <w:color w:val="auto"/>
          <w:sz w:val="28"/>
          <w:szCs w:val="28"/>
          <w:highlight w:val="none"/>
        </w:rPr>
      </w:pPr>
      <w:r>
        <w:rPr>
          <w:rFonts w:hint="eastAsia"/>
          <w:color w:val="auto"/>
          <w:sz w:val="28"/>
          <w:szCs w:val="28"/>
          <w:highlight w:val="none"/>
        </w:rPr>
        <w:t>3．我方在此声明，所递交的比选响应文件及有关资料内容完整、真实和准确。</w:t>
      </w:r>
    </w:p>
    <w:p>
      <w:pPr>
        <w:spacing w:line="440" w:lineRule="exact"/>
        <w:ind w:firstLine="560" w:firstLineChars="200"/>
        <w:rPr>
          <w:color w:val="auto"/>
          <w:sz w:val="28"/>
          <w:szCs w:val="28"/>
          <w:highlight w:val="none"/>
        </w:rPr>
      </w:pPr>
      <w:r>
        <w:rPr>
          <w:color w:val="auto"/>
          <w:sz w:val="28"/>
          <w:szCs w:val="28"/>
          <w:highlight w:val="none"/>
        </w:rPr>
        <w:t>4</w:t>
      </w:r>
      <w:r>
        <w:rPr>
          <w:rFonts w:hint="eastAsia"/>
          <w:color w:val="auto"/>
          <w:sz w:val="28"/>
          <w:szCs w:val="28"/>
          <w:highlight w:val="none"/>
        </w:rPr>
        <w:t>．我方承诺在收到成交通知信息后，在5个工作日内与比选人签订合同。</w:t>
      </w:r>
    </w:p>
    <w:p>
      <w:pPr>
        <w:spacing w:line="440" w:lineRule="exact"/>
        <w:ind w:firstLine="560" w:firstLineChars="200"/>
        <w:rPr>
          <w:color w:val="auto"/>
          <w:sz w:val="28"/>
          <w:szCs w:val="28"/>
          <w:highlight w:val="none"/>
        </w:rPr>
      </w:pPr>
      <w:r>
        <w:rPr>
          <w:color w:val="auto"/>
          <w:sz w:val="28"/>
          <w:szCs w:val="28"/>
          <w:highlight w:val="none"/>
        </w:rPr>
        <w:t xml:space="preserve">5. </w:t>
      </w:r>
      <w:r>
        <w:rPr>
          <w:rFonts w:hint="eastAsia"/>
          <w:color w:val="auto"/>
          <w:sz w:val="28"/>
          <w:szCs w:val="28"/>
          <w:highlight w:val="none"/>
        </w:rPr>
        <w:t>我方承诺在合同约定的期限内完成并移交全部合同事宜。且在合同协议书正式签署生效之前，本报价函连同你方的成交通知书将构成我们双方之间共同遵守的文件</w:t>
      </w:r>
      <w:r>
        <w:rPr>
          <w:rFonts w:hint="eastAsia"/>
          <w:color w:val="auto"/>
          <w:sz w:val="28"/>
          <w:szCs w:val="28"/>
          <w:highlight w:val="none"/>
          <w:lang w:eastAsia="zh-CN"/>
        </w:rPr>
        <w:t>，</w:t>
      </w:r>
      <w:r>
        <w:rPr>
          <w:rFonts w:hint="eastAsia"/>
          <w:color w:val="auto"/>
          <w:sz w:val="28"/>
          <w:szCs w:val="28"/>
          <w:highlight w:val="none"/>
        </w:rPr>
        <w:t>对双方具有约束力。</w:t>
      </w:r>
    </w:p>
    <w:p>
      <w:pPr>
        <w:spacing w:line="440" w:lineRule="exact"/>
        <w:ind w:firstLine="560" w:firstLineChars="200"/>
        <w:rPr>
          <w:color w:val="auto"/>
          <w:sz w:val="28"/>
          <w:szCs w:val="28"/>
          <w:highlight w:val="none"/>
        </w:rPr>
      </w:pPr>
    </w:p>
    <w:p>
      <w:pPr>
        <w:spacing w:line="440" w:lineRule="exact"/>
        <w:ind w:firstLine="560" w:firstLineChars="200"/>
        <w:rPr>
          <w:color w:val="auto"/>
          <w:sz w:val="28"/>
          <w:szCs w:val="28"/>
          <w:highlight w:val="none"/>
        </w:rPr>
      </w:pPr>
      <w:r>
        <w:rPr>
          <w:rFonts w:hint="eastAsia"/>
          <w:color w:val="auto"/>
          <w:sz w:val="28"/>
          <w:szCs w:val="28"/>
          <w:highlight w:val="none"/>
        </w:rPr>
        <w:t>投  标 人：（盖单位公章）</w:t>
      </w:r>
    </w:p>
    <w:p>
      <w:pPr>
        <w:spacing w:line="440" w:lineRule="exact"/>
        <w:ind w:firstLine="560" w:firstLineChars="200"/>
        <w:rPr>
          <w:color w:val="auto"/>
          <w:sz w:val="28"/>
          <w:szCs w:val="28"/>
          <w:highlight w:val="none"/>
        </w:rPr>
      </w:pPr>
      <w:r>
        <w:rPr>
          <w:rFonts w:hint="eastAsia"/>
          <w:color w:val="auto"/>
          <w:sz w:val="28"/>
          <w:szCs w:val="28"/>
          <w:highlight w:val="none"/>
        </w:rPr>
        <w:t>法定代表人或其委托代理人：（签字）</w:t>
      </w:r>
    </w:p>
    <w:p>
      <w:pPr>
        <w:spacing w:line="440" w:lineRule="exact"/>
        <w:ind w:firstLine="560" w:firstLineChars="200"/>
        <w:rPr>
          <w:rFonts w:hint="eastAsia"/>
          <w:color w:val="auto"/>
          <w:sz w:val="28"/>
          <w:szCs w:val="28"/>
          <w:highlight w:val="none"/>
        </w:rPr>
      </w:pPr>
    </w:p>
    <w:p>
      <w:pPr>
        <w:spacing w:line="440" w:lineRule="exact"/>
        <w:ind w:firstLine="560" w:firstLineChars="200"/>
        <w:rPr>
          <w:color w:val="auto"/>
          <w:sz w:val="28"/>
          <w:szCs w:val="28"/>
          <w:highlight w:val="none"/>
        </w:rPr>
      </w:pPr>
      <w:r>
        <w:rPr>
          <w:rFonts w:hint="eastAsia"/>
          <w:color w:val="auto"/>
          <w:sz w:val="28"/>
          <w:szCs w:val="28"/>
          <w:highlight w:val="none"/>
        </w:rPr>
        <w:t>地址：</w:t>
      </w:r>
    </w:p>
    <w:p>
      <w:pPr>
        <w:spacing w:line="440" w:lineRule="exact"/>
        <w:ind w:firstLine="560" w:firstLineChars="200"/>
        <w:rPr>
          <w:color w:val="auto"/>
          <w:sz w:val="28"/>
          <w:szCs w:val="28"/>
          <w:highlight w:val="none"/>
        </w:rPr>
      </w:pPr>
      <w:r>
        <w:rPr>
          <w:rFonts w:hint="eastAsia"/>
          <w:color w:val="auto"/>
          <w:sz w:val="28"/>
          <w:szCs w:val="28"/>
          <w:highlight w:val="none"/>
        </w:rPr>
        <w:t>网址：</w:t>
      </w:r>
    </w:p>
    <w:p>
      <w:pPr>
        <w:spacing w:line="440" w:lineRule="exact"/>
        <w:ind w:firstLine="560" w:firstLineChars="200"/>
        <w:rPr>
          <w:color w:val="auto"/>
          <w:sz w:val="28"/>
          <w:szCs w:val="28"/>
          <w:highlight w:val="none"/>
        </w:rPr>
      </w:pPr>
      <w:r>
        <w:rPr>
          <w:rFonts w:hint="eastAsia"/>
          <w:color w:val="auto"/>
          <w:sz w:val="28"/>
          <w:szCs w:val="28"/>
          <w:highlight w:val="none"/>
        </w:rPr>
        <w:t>电话：</w:t>
      </w:r>
    </w:p>
    <w:p>
      <w:pPr>
        <w:spacing w:line="440" w:lineRule="exact"/>
        <w:ind w:firstLine="560" w:firstLineChars="200"/>
        <w:rPr>
          <w:color w:val="auto"/>
          <w:sz w:val="28"/>
          <w:szCs w:val="28"/>
          <w:highlight w:val="none"/>
        </w:rPr>
      </w:pPr>
      <w:r>
        <w:rPr>
          <w:rFonts w:hint="eastAsia"/>
          <w:color w:val="auto"/>
          <w:sz w:val="28"/>
          <w:szCs w:val="28"/>
          <w:highlight w:val="none"/>
        </w:rPr>
        <w:t>传真：</w:t>
      </w:r>
    </w:p>
    <w:p>
      <w:pPr>
        <w:spacing w:line="440" w:lineRule="exact"/>
        <w:ind w:firstLine="560" w:firstLineChars="200"/>
        <w:rPr>
          <w:color w:val="auto"/>
          <w:sz w:val="28"/>
          <w:szCs w:val="28"/>
          <w:highlight w:val="none"/>
        </w:rPr>
      </w:pPr>
      <w:r>
        <w:rPr>
          <w:rFonts w:hint="eastAsia"/>
          <w:color w:val="auto"/>
          <w:sz w:val="28"/>
          <w:szCs w:val="28"/>
          <w:highlight w:val="none"/>
        </w:rPr>
        <w:t>邮政编码：</w:t>
      </w:r>
    </w:p>
    <w:p>
      <w:pPr>
        <w:spacing w:line="440" w:lineRule="exact"/>
        <w:ind w:firstLine="560" w:firstLineChars="200"/>
        <w:rPr>
          <w:color w:val="auto"/>
          <w:sz w:val="28"/>
          <w:szCs w:val="28"/>
          <w:highlight w:val="none"/>
        </w:rPr>
      </w:pPr>
    </w:p>
    <w:p>
      <w:pPr>
        <w:spacing w:line="440" w:lineRule="exact"/>
        <w:ind w:firstLine="560" w:firstLineChars="200"/>
        <w:jc w:val="center"/>
        <w:rPr>
          <w:color w:val="auto"/>
          <w:sz w:val="28"/>
          <w:szCs w:val="28"/>
          <w:highlight w:val="none"/>
        </w:rPr>
      </w:pPr>
      <w:r>
        <w:rPr>
          <w:rFonts w:hint="eastAsia"/>
          <w:color w:val="auto"/>
          <w:sz w:val="28"/>
          <w:szCs w:val="28"/>
          <w:highlight w:val="none"/>
        </w:rPr>
        <w:t>2021年   月   日</w:t>
      </w:r>
    </w:p>
    <w:p>
      <w:pPr>
        <w:spacing w:line="400" w:lineRule="atLeast"/>
        <w:jc w:val="right"/>
        <w:rPr>
          <w:color w:val="auto"/>
          <w:sz w:val="22"/>
          <w:szCs w:val="22"/>
          <w:highlight w:val="none"/>
        </w:rPr>
      </w:pPr>
    </w:p>
    <w:p>
      <w:pPr>
        <w:spacing w:line="440" w:lineRule="exact"/>
        <w:jc w:val="center"/>
        <w:outlineLvl w:val="1"/>
        <w:rPr>
          <w:b/>
          <w:color w:val="auto"/>
          <w:sz w:val="28"/>
          <w:szCs w:val="28"/>
          <w:highlight w:val="none"/>
        </w:rPr>
      </w:pPr>
      <w:r>
        <w:rPr>
          <w:rFonts w:hint="eastAsia"/>
          <w:b/>
          <w:color w:val="auto"/>
          <w:sz w:val="28"/>
          <w:szCs w:val="28"/>
          <w:highlight w:val="none"/>
        </w:rPr>
        <w:br w:type="page"/>
      </w:r>
    </w:p>
    <w:p>
      <w:pPr>
        <w:numPr>
          <w:ilvl w:val="0"/>
          <w:numId w:val="9"/>
        </w:numPr>
        <w:spacing w:line="440" w:lineRule="exact"/>
        <w:jc w:val="center"/>
        <w:outlineLvl w:val="1"/>
        <w:rPr>
          <w:rFonts w:hint="eastAsia"/>
          <w:b/>
          <w:color w:val="auto"/>
          <w:sz w:val="28"/>
          <w:szCs w:val="28"/>
          <w:highlight w:val="none"/>
        </w:rPr>
      </w:pPr>
      <w:r>
        <w:rPr>
          <w:rFonts w:hint="eastAsia"/>
          <w:b/>
          <w:color w:val="auto"/>
          <w:sz w:val="28"/>
          <w:szCs w:val="28"/>
          <w:highlight w:val="none"/>
        </w:rPr>
        <w:t>商务部分</w:t>
      </w:r>
    </w:p>
    <w:p>
      <w:pPr>
        <w:pStyle w:val="2"/>
        <w:rPr>
          <w:rFonts w:hint="eastAsia"/>
          <w:color w:val="auto"/>
          <w:highlight w:val="none"/>
        </w:rPr>
      </w:pPr>
    </w:p>
    <w:p>
      <w:pPr>
        <w:numPr>
          <w:ilvl w:val="0"/>
          <w:numId w:val="0"/>
        </w:numPr>
        <w:spacing w:line="440" w:lineRule="exact"/>
        <w:jc w:val="both"/>
        <w:outlineLvl w:val="1"/>
        <w:rPr>
          <w:b/>
          <w:color w:val="auto"/>
          <w:sz w:val="28"/>
          <w:szCs w:val="28"/>
          <w:highlight w:val="none"/>
        </w:rPr>
      </w:pPr>
      <w:r>
        <w:rPr>
          <w:rFonts w:hint="eastAsia"/>
          <w:b/>
          <w:color w:val="auto"/>
          <w:sz w:val="28"/>
          <w:szCs w:val="28"/>
          <w:highlight w:val="none"/>
          <w:lang w:val="en-US" w:eastAsia="zh-CN"/>
        </w:rPr>
        <w:t>1.</w:t>
      </w:r>
      <w:r>
        <w:rPr>
          <w:rFonts w:hint="eastAsia"/>
          <w:b/>
          <w:color w:val="auto"/>
          <w:sz w:val="28"/>
          <w:szCs w:val="28"/>
          <w:highlight w:val="none"/>
        </w:rPr>
        <w:t>法定代表人身份证明及授权委托书</w:t>
      </w:r>
    </w:p>
    <w:p>
      <w:pPr>
        <w:pStyle w:val="2"/>
        <w:jc w:val="center"/>
        <w:rPr>
          <w:rFonts w:ascii="宋体" w:hAnsi="宋体" w:eastAsia="宋体"/>
          <w:color w:val="auto"/>
          <w:highlight w:val="none"/>
        </w:rPr>
      </w:pPr>
    </w:p>
    <w:p>
      <w:pPr>
        <w:jc w:val="center"/>
        <w:rPr>
          <w:rFonts w:ascii="宋体"/>
          <w:b/>
          <w:color w:val="auto"/>
          <w:highlight w:val="none"/>
        </w:rPr>
      </w:pPr>
      <w:r>
        <w:rPr>
          <w:rFonts w:hint="eastAsia" w:ascii="宋体" w:hAnsi="宋体"/>
          <w:b/>
          <w:color w:val="auto"/>
          <w:sz w:val="28"/>
          <w:highlight w:val="none"/>
        </w:rPr>
        <w:t>法定代表人身份证明</w:t>
      </w:r>
    </w:p>
    <w:p>
      <w:pPr>
        <w:ind w:left="765"/>
        <w:rPr>
          <w:rFonts w:ascii="宋体"/>
          <w:color w:val="auto"/>
          <w:highlight w:val="none"/>
        </w:rPr>
      </w:pPr>
    </w:p>
    <w:p>
      <w:pPr>
        <w:tabs>
          <w:tab w:val="left" w:pos="5565"/>
        </w:tabs>
        <w:autoSpaceDE w:val="0"/>
        <w:autoSpaceDN w:val="0"/>
        <w:adjustRightInd w:val="0"/>
        <w:snapToGrid w:val="0"/>
        <w:spacing w:line="360" w:lineRule="auto"/>
        <w:ind w:firstLine="391" w:firstLineChars="186"/>
        <w:jc w:val="left"/>
        <w:rPr>
          <w:rFonts w:ascii="宋体"/>
          <w:color w:val="auto"/>
          <w:kern w:val="0"/>
          <w:highlight w:val="none"/>
        </w:rPr>
      </w:pPr>
      <w:r>
        <w:rPr>
          <w:rFonts w:hint="eastAsia" w:ascii="宋体" w:hAnsi="宋体"/>
          <w:color w:val="auto"/>
          <w:kern w:val="0"/>
          <w:highlight w:val="none"/>
        </w:rPr>
        <w:t>投标人名称：</w:t>
      </w:r>
      <w:r>
        <w:rPr>
          <w:rFonts w:ascii="宋体"/>
          <w:color w:val="auto"/>
          <w:kern w:val="0"/>
          <w:highlight w:val="none"/>
          <w:u w:val="single"/>
        </w:rPr>
        <w:tab/>
      </w:r>
    </w:p>
    <w:p>
      <w:pPr>
        <w:autoSpaceDE w:val="0"/>
        <w:autoSpaceDN w:val="0"/>
        <w:adjustRightInd w:val="0"/>
        <w:snapToGrid w:val="0"/>
        <w:spacing w:line="360" w:lineRule="auto"/>
        <w:ind w:firstLine="372" w:firstLineChars="186"/>
        <w:jc w:val="left"/>
        <w:rPr>
          <w:rFonts w:ascii="宋体"/>
          <w:color w:val="auto"/>
          <w:kern w:val="0"/>
          <w:sz w:val="20"/>
          <w:highlight w:val="none"/>
        </w:rPr>
      </w:pPr>
    </w:p>
    <w:p>
      <w:pPr>
        <w:tabs>
          <w:tab w:val="left" w:pos="5475"/>
        </w:tabs>
        <w:autoSpaceDE w:val="0"/>
        <w:autoSpaceDN w:val="0"/>
        <w:adjustRightInd w:val="0"/>
        <w:snapToGrid w:val="0"/>
        <w:spacing w:line="360" w:lineRule="auto"/>
        <w:ind w:firstLine="391" w:firstLineChars="186"/>
        <w:jc w:val="left"/>
        <w:rPr>
          <w:rFonts w:ascii="宋体"/>
          <w:color w:val="auto"/>
          <w:kern w:val="0"/>
          <w:highlight w:val="none"/>
        </w:rPr>
      </w:pPr>
      <w:r>
        <w:rPr>
          <w:rFonts w:hint="eastAsia" w:ascii="宋体" w:hAnsi="宋体"/>
          <w:color w:val="auto"/>
          <w:kern w:val="0"/>
          <w:highlight w:val="none"/>
        </w:rPr>
        <w:t>单位性质：</w:t>
      </w:r>
      <w:r>
        <w:rPr>
          <w:rFonts w:ascii="宋体"/>
          <w:color w:val="auto"/>
          <w:kern w:val="0"/>
          <w:highlight w:val="none"/>
          <w:u w:val="single"/>
        </w:rPr>
        <w:tab/>
      </w:r>
    </w:p>
    <w:p>
      <w:pPr>
        <w:autoSpaceDE w:val="0"/>
        <w:autoSpaceDN w:val="0"/>
        <w:adjustRightInd w:val="0"/>
        <w:snapToGrid w:val="0"/>
        <w:spacing w:line="360" w:lineRule="auto"/>
        <w:ind w:firstLine="372" w:firstLineChars="186"/>
        <w:jc w:val="left"/>
        <w:rPr>
          <w:rFonts w:ascii="宋体"/>
          <w:color w:val="auto"/>
          <w:kern w:val="0"/>
          <w:sz w:val="20"/>
          <w:highlight w:val="none"/>
        </w:rPr>
      </w:pPr>
    </w:p>
    <w:p>
      <w:pPr>
        <w:tabs>
          <w:tab w:val="left" w:pos="5475"/>
        </w:tabs>
        <w:autoSpaceDE w:val="0"/>
        <w:autoSpaceDN w:val="0"/>
        <w:adjustRightInd w:val="0"/>
        <w:snapToGrid w:val="0"/>
        <w:spacing w:line="360" w:lineRule="auto"/>
        <w:ind w:firstLine="391" w:firstLineChars="186"/>
        <w:jc w:val="left"/>
        <w:rPr>
          <w:rFonts w:ascii="宋体"/>
          <w:color w:val="auto"/>
          <w:kern w:val="0"/>
          <w:highlight w:val="none"/>
        </w:rPr>
      </w:pPr>
      <w:r>
        <w:rPr>
          <w:rFonts w:hint="eastAsia" w:ascii="宋体" w:hAnsi="宋体"/>
          <w:color w:val="auto"/>
          <w:kern w:val="0"/>
          <w:highlight w:val="none"/>
        </w:rPr>
        <w:t>地址：</w:t>
      </w:r>
      <w:r>
        <w:rPr>
          <w:rFonts w:ascii="宋体"/>
          <w:color w:val="auto"/>
          <w:kern w:val="0"/>
          <w:highlight w:val="none"/>
          <w:u w:val="single"/>
        </w:rPr>
        <w:tab/>
      </w:r>
    </w:p>
    <w:p>
      <w:pPr>
        <w:autoSpaceDE w:val="0"/>
        <w:autoSpaceDN w:val="0"/>
        <w:adjustRightInd w:val="0"/>
        <w:snapToGrid w:val="0"/>
        <w:spacing w:line="360" w:lineRule="auto"/>
        <w:ind w:firstLine="372" w:firstLineChars="186"/>
        <w:jc w:val="left"/>
        <w:rPr>
          <w:rFonts w:ascii="宋体"/>
          <w:color w:val="auto"/>
          <w:kern w:val="0"/>
          <w:sz w:val="20"/>
          <w:highlight w:val="none"/>
        </w:rPr>
      </w:pPr>
    </w:p>
    <w:p>
      <w:pPr>
        <w:tabs>
          <w:tab w:val="left" w:pos="2520"/>
          <w:tab w:val="left" w:pos="3836"/>
        </w:tabs>
        <w:autoSpaceDE w:val="0"/>
        <w:autoSpaceDN w:val="0"/>
        <w:adjustRightInd w:val="0"/>
        <w:snapToGrid w:val="0"/>
        <w:spacing w:line="360" w:lineRule="auto"/>
        <w:ind w:firstLine="391" w:firstLineChars="186"/>
        <w:jc w:val="left"/>
        <w:rPr>
          <w:rFonts w:ascii="宋体"/>
          <w:color w:val="auto"/>
          <w:kern w:val="0"/>
          <w:highlight w:val="none"/>
        </w:rPr>
      </w:pPr>
      <w:r>
        <w:rPr>
          <w:rFonts w:hint="eastAsia" w:ascii="宋体" w:hAnsi="宋体"/>
          <w:color w:val="auto"/>
          <w:kern w:val="0"/>
          <w:highlight w:val="none"/>
        </w:rPr>
        <w:t>成立时间：</w:t>
      </w:r>
      <w:r>
        <w:rPr>
          <w:rFonts w:ascii="宋体"/>
          <w:color w:val="auto"/>
          <w:kern w:val="0"/>
          <w:highlight w:val="none"/>
          <w:u w:val="single"/>
        </w:rPr>
        <w:tab/>
      </w:r>
      <w:r>
        <w:rPr>
          <w:rFonts w:hint="eastAsia" w:ascii="宋体" w:hAnsi="宋体"/>
          <w:color w:val="auto"/>
          <w:spacing w:val="-1"/>
          <w:kern w:val="0"/>
          <w:highlight w:val="none"/>
        </w:rPr>
        <w:t>年</w:t>
      </w:r>
      <w:r>
        <w:rPr>
          <w:rFonts w:ascii="宋体"/>
          <w:color w:val="auto"/>
          <w:kern w:val="0"/>
          <w:highlight w:val="none"/>
          <w:u w:val="single"/>
        </w:rPr>
        <w:tab/>
      </w:r>
      <w:r>
        <w:rPr>
          <w:rFonts w:hint="eastAsia" w:ascii="宋体" w:hAnsi="宋体"/>
          <w:color w:val="auto"/>
          <w:spacing w:val="-1"/>
          <w:kern w:val="0"/>
          <w:highlight w:val="none"/>
        </w:rPr>
        <w:t>月</w:t>
      </w:r>
      <w:r>
        <w:rPr>
          <w:rFonts w:hint="eastAsia" w:ascii="宋体" w:hAnsi="宋体"/>
          <w:color w:val="auto"/>
          <w:spacing w:val="-1"/>
          <w:kern w:val="0"/>
          <w:highlight w:val="none"/>
          <w:u w:val="single"/>
          <w:lang w:val="en-US" w:eastAsia="zh-CN"/>
        </w:rPr>
        <w:t xml:space="preserve">        </w:t>
      </w:r>
      <w:r>
        <w:rPr>
          <w:rFonts w:hint="eastAsia" w:ascii="宋体" w:hAnsi="宋体"/>
          <w:color w:val="auto"/>
          <w:kern w:val="0"/>
          <w:highlight w:val="none"/>
        </w:rPr>
        <w:t>日</w:t>
      </w:r>
    </w:p>
    <w:p>
      <w:pPr>
        <w:autoSpaceDE w:val="0"/>
        <w:autoSpaceDN w:val="0"/>
        <w:adjustRightInd w:val="0"/>
        <w:snapToGrid w:val="0"/>
        <w:spacing w:line="360" w:lineRule="auto"/>
        <w:ind w:firstLine="186" w:firstLineChars="186"/>
        <w:jc w:val="left"/>
        <w:rPr>
          <w:rFonts w:ascii="宋体"/>
          <w:color w:val="auto"/>
          <w:kern w:val="0"/>
          <w:sz w:val="10"/>
          <w:highlight w:val="none"/>
        </w:rPr>
      </w:pPr>
    </w:p>
    <w:p>
      <w:pPr>
        <w:tabs>
          <w:tab w:val="left" w:pos="5475"/>
        </w:tabs>
        <w:autoSpaceDE w:val="0"/>
        <w:autoSpaceDN w:val="0"/>
        <w:adjustRightInd w:val="0"/>
        <w:snapToGrid w:val="0"/>
        <w:spacing w:line="360" w:lineRule="auto"/>
        <w:ind w:firstLine="391" w:firstLineChars="186"/>
        <w:jc w:val="left"/>
        <w:rPr>
          <w:rFonts w:ascii="宋体"/>
          <w:color w:val="auto"/>
          <w:kern w:val="0"/>
          <w:highlight w:val="none"/>
        </w:rPr>
      </w:pPr>
      <w:r>
        <w:rPr>
          <w:rFonts w:hint="eastAsia" w:ascii="宋体" w:hAnsi="宋体"/>
          <w:color w:val="auto"/>
          <w:kern w:val="0"/>
          <w:highlight w:val="none"/>
        </w:rPr>
        <w:t>经营期限：</w:t>
      </w:r>
      <w:r>
        <w:rPr>
          <w:rFonts w:hint="eastAsia" w:ascii="宋体" w:hAnsi="宋体"/>
          <w:color w:val="auto"/>
          <w:kern w:val="0"/>
          <w:highlight w:val="none"/>
          <w:lang w:val="en-US" w:eastAsia="zh-CN"/>
        </w:rPr>
        <w:t xml:space="preserve">   </w:t>
      </w:r>
      <w:r>
        <w:rPr>
          <w:rFonts w:hint="eastAsia" w:ascii="宋体" w:hAnsi="宋体"/>
          <w:color w:val="auto"/>
          <w:kern w:val="0"/>
          <w:highlight w:val="none"/>
          <w:u w:val="single"/>
          <w:lang w:val="en-US" w:eastAsia="zh-CN"/>
        </w:rPr>
        <w:t xml:space="preserve">                               </w:t>
      </w:r>
    </w:p>
    <w:p>
      <w:pPr>
        <w:autoSpaceDE w:val="0"/>
        <w:autoSpaceDN w:val="0"/>
        <w:adjustRightInd w:val="0"/>
        <w:snapToGrid w:val="0"/>
        <w:spacing w:line="360" w:lineRule="auto"/>
        <w:ind w:firstLine="372" w:firstLineChars="186"/>
        <w:jc w:val="left"/>
        <w:rPr>
          <w:rFonts w:ascii="宋体"/>
          <w:color w:val="auto"/>
          <w:kern w:val="0"/>
          <w:sz w:val="20"/>
          <w:highlight w:val="none"/>
        </w:rPr>
      </w:pPr>
    </w:p>
    <w:p>
      <w:pPr>
        <w:tabs>
          <w:tab w:val="left" w:pos="1580"/>
          <w:tab w:val="left" w:pos="3260"/>
          <w:tab w:val="left" w:pos="4840"/>
          <w:tab w:val="left" w:pos="6300"/>
        </w:tabs>
        <w:autoSpaceDE w:val="0"/>
        <w:autoSpaceDN w:val="0"/>
        <w:adjustRightInd w:val="0"/>
        <w:snapToGrid w:val="0"/>
        <w:spacing w:line="360" w:lineRule="auto"/>
        <w:ind w:firstLine="391" w:firstLineChars="186"/>
        <w:jc w:val="left"/>
        <w:rPr>
          <w:rFonts w:ascii="宋体"/>
          <w:color w:val="auto"/>
          <w:kern w:val="0"/>
          <w:highlight w:val="none"/>
        </w:rPr>
      </w:pPr>
      <w:r>
        <w:rPr>
          <w:rFonts w:hint="eastAsia" w:ascii="宋体" w:hAnsi="宋体"/>
          <w:color w:val="auto"/>
          <w:kern w:val="0"/>
          <w:highlight w:val="none"/>
        </w:rPr>
        <w:t>姓名：</w:t>
      </w:r>
      <w:r>
        <w:rPr>
          <w:rFonts w:ascii="宋体"/>
          <w:color w:val="auto"/>
          <w:kern w:val="0"/>
          <w:highlight w:val="none"/>
          <w:u w:val="single"/>
        </w:rPr>
        <w:tab/>
      </w:r>
      <w:r>
        <w:rPr>
          <w:rFonts w:hint="eastAsia" w:ascii="宋体" w:hAnsi="宋体"/>
          <w:color w:val="auto"/>
          <w:kern w:val="0"/>
          <w:highlight w:val="none"/>
        </w:rPr>
        <w:t>性别</w:t>
      </w:r>
      <w:r>
        <w:rPr>
          <w:rFonts w:hint="eastAsia" w:ascii="宋体" w:hAnsi="宋体"/>
          <w:color w:val="auto"/>
          <w:spacing w:val="-1"/>
          <w:kern w:val="0"/>
          <w:highlight w:val="none"/>
        </w:rPr>
        <w:t>：</w:t>
      </w:r>
      <w:r>
        <w:rPr>
          <w:rFonts w:ascii="宋体"/>
          <w:color w:val="auto"/>
          <w:kern w:val="0"/>
          <w:highlight w:val="none"/>
          <w:u w:val="single"/>
        </w:rPr>
        <w:tab/>
      </w:r>
      <w:r>
        <w:rPr>
          <w:rFonts w:hint="eastAsia" w:ascii="宋体" w:hAnsi="宋体"/>
          <w:color w:val="auto"/>
          <w:spacing w:val="-1"/>
          <w:kern w:val="0"/>
          <w:highlight w:val="none"/>
        </w:rPr>
        <w:t>年</w:t>
      </w:r>
      <w:r>
        <w:rPr>
          <w:rFonts w:hint="eastAsia" w:ascii="宋体" w:hAnsi="宋体"/>
          <w:color w:val="auto"/>
          <w:kern w:val="0"/>
          <w:highlight w:val="none"/>
        </w:rPr>
        <w:t>龄：</w:t>
      </w:r>
      <w:r>
        <w:rPr>
          <w:rFonts w:ascii="宋体"/>
          <w:color w:val="auto"/>
          <w:kern w:val="0"/>
          <w:highlight w:val="none"/>
          <w:u w:val="single"/>
        </w:rPr>
        <w:tab/>
      </w:r>
      <w:r>
        <w:rPr>
          <w:rFonts w:hint="eastAsia" w:ascii="宋体" w:hAnsi="宋体"/>
          <w:color w:val="auto"/>
          <w:kern w:val="0"/>
          <w:highlight w:val="none"/>
        </w:rPr>
        <w:t>职务：</w:t>
      </w:r>
      <w:r>
        <w:rPr>
          <w:rFonts w:ascii="宋体"/>
          <w:color w:val="auto"/>
          <w:kern w:val="0"/>
          <w:highlight w:val="none"/>
          <w:u w:val="single"/>
        </w:rPr>
        <w:tab/>
      </w:r>
    </w:p>
    <w:p>
      <w:pPr>
        <w:tabs>
          <w:tab w:val="left" w:pos="3360"/>
        </w:tabs>
        <w:autoSpaceDE w:val="0"/>
        <w:autoSpaceDN w:val="0"/>
        <w:adjustRightInd w:val="0"/>
        <w:snapToGrid w:val="0"/>
        <w:spacing w:line="360" w:lineRule="auto"/>
        <w:ind w:firstLine="391" w:firstLineChars="186"/>
        <w:jc w:val="left"/>
        <w:rPr>
          <w:rFonts w:ascii="宋体"/>
          <w:color w:val="auto"/>
          <w:kern w:val="0"/>
          <w:highlight w:val="none"/>
        </w:rPr>
      </w:pPr>
      <w:r>
        <w:rPr>
          <w:rFonts w:hint="eastAsia" w:ascii="宋体" w:hAnsi="宋体"/>
          <w:color w:val="auto"/>
          <w:kern w:val="0"/>
          <w:highlight w:val="none"/>
        </w:rPr>
        <w:t>系</w:t>
      </w:r>
      <w:r>
        <w:rPr>
          <w:rFonts w:ascii="宋体"/>
          <w:color w:val="auto"/>
          <w:kern w:val="0"/>
          <w:highlight w:val="none"/>
          <w:u w:val="single"/>
        </w:rPr>
        <w:tab/>
      </w:r>
      <w:r>
        <w:rPr>
          <w:rFonts w:hint="eastAsia" w:ascii="宋体" w:hAnsi="宋体"/>
          <w:color w:val="auto"/>
          <w:kern w:val="0"/>
          <w:highlight w:val="none"/>
        </w:rPr>
        <w:t>（投标人名称）的法定代表人。</w:t>
      </w:r>
    </w:p>
    <w:p>
      <w:pPr>
        <w:autoSpaceDE w:val="0"/>
        <w:autoSpaceDN w:val="0"/>
        <w:adjustRightInd w:val="0"/>
        <w:snapToGrid w:val="0"/>
        <w:spacing w:line="360" w:lineRule="auto"/>
        <w:ind w:firstLine="186" w:firstLineChars="186"/>
        <w:jc w:val="left"/>
        <w:rPr>
          <w:rFonts w:ascii="宋体"/>
          <w:color w:val="auto"/>
          <w:kern w:val="0"/>
          <w:sz w:val="10"/>
          <w:highlight w:val="none"/>
        </w:rPr>
      </w:pPr>
    </w:p>
    <w:p>
      <w:pPr>
        <w:autoSpaceDE w:val="0"/>
        <w:autoSpaceDN w:val="0"/>
        <w:adjustRightInd w:val="0"/>
        <w:snapToGrid w:val="0"/>
        <w:spacing w:line="360" w:lineRule="auto"/>
        <w:ind w:firstLine="811" w:firstLineChars="386"/>
        <w:jc w:val="left"/>
        <w:rPr>
          <w:rFonts w:ascii="宋体"/>
          <w:color w:val="auto"/>
          <w:kern w:val="0"/>
          <w:highlight w:val="none"/>
        </w:rPr>
      </w:pPr>
      <w:r>
        <w:rPr>
          <w:rFonts w:hint="eastAsia" w:ascii="宋体" w:hAnsi="宋体"/>
          <w:color w:val="auto"/>
          <w:kern w:val="0"/>
          <w:highlight w:val="none"/>
        </w:rPr>
        <w:t>特此证明</w:t>
      </w:r>
    </w:p>
    <w:p>
      <w:pPr>
        <w:autoSpaceDE w:val="0"/>
        <w:autoSpaceDN w:val="0"/>
        <w:adjustRightInd w:val="0"/>
        <w:snapToGrid w:val="0"/>
        <w:spacing w:line="360" w:lineRule="auto"/>
        <w:ind w:firstLine="391" w:firstLineChars="186"/>
        <w:jc w:val="left"/>
        <w:rPr>
          <w:rFonts w:ascii="宋体"/>
          <w:color w:val="auto"/>
          <w:kern w:val="0"/>
          <w:highlight w:val="none"/>
        </w:rPr>
      </w:pPr>
      <w:r>
        <w:rPr>
          <w:rFonts w:hint="eastAsia" w:ascii="宋体" w:hAnsi="宋体"/>
          <w:color w:val="auto"/>
          <w:kern w:val="0"/>
          <w:highlight w:val="none"/>
        </w:rPr>
        <w:t>附法定代表人身份证复印件</w:t>
      </w:r>
    </w:p>
    <w:p>
      <w:pPr>
        <w:autoSpaceDE w:val="0"/>
        <w:autoSpaceDN w:val="0"/>
        <w:adjustRightInd w:val="0"/>
        <w:snapToGrid w:val="0"/>
        <w:spacing w:line="360" w:lineRule="auto"/>
        <w:jc w:val="left"/>
        <w:rPr>
          <w:rFonts w:ascii="宋体"/>
          <w:color w:val="auto"/>
          <w:kern w:val="0"/>
          <w:sz w:val="18"/>
          <w:highlight w:val="none"/>
        </w:rPr>
      </w:pPr>
    </w:p>
    <w:p>
      <w:pPr>
        <w:tabs>
          <w:tab w:val="left" w:pos="5460"/>
        </w:tabs>
        <w:autoSpaceDE w:val="0"/>
        <w:autoSpaceDN w:val="0"/>
        <w:adjustRightInd w:val="0"/>
        <w:snapToGrid w:val="0"/>
        <w:spacing w:line="360" w:lineRule="auto"/>
        <w:ind w:firstLine="2100"/>
        <w:jc w:val="left"/>
        <w:rPr>
          <w:rFonts w:ascii="宋体"/>
          <w:color w:val="auto"/>
          <w:kern w:val="0"/>
          <w:highlight w:val="none"/>
        </w:rPr>
      </w:pPr>
      <w:r>
        <w:rPr>
          <w:rFonts w:hint="eastAsia" w:ascii="宋体" w:hAnsi="宋体"/>
          <w:color w:val="auto"/>
          <w:kern w:val="0"/>
          <w:highlight w:val="none"/>
        </w:rPr>
        <w:t>投标</w:t>
      </w:r>
      <w:r>
        <w:rPr>
          <w:rFonts w:hint="eastAsia" w:ascii="宋体" w:hAnsi="宋体"/>
          <w:color w:val="auto"/>
          <w:spacing w:val="-1"/>
          <w:kern w:val="0"/>
          <w:highlight w:val="none"/>
        </w:rPr>
        <w:t>人</w:t>
      </w:r>
      <w:r>
        <w:rPr>
          <w:rFonts w:hint="eastAsia" w:ascii="宋体" w:hAnsi="宋体"/>
          <w:color w:val="auto"/>
          <w:kern w:val="0"/>
          <w:highlight w:val="none"/>
        </w:rPr>
        <w:t>：</w:t>
      </w:r>
      <w:r>
        <w:rPr>
          <w:rFonts w:ascii="宋体"/>
          <w:color w:val="auto"/>
          <w:kern w:val="0"/>
          <w:highlight w:val="none"/>
          <w:u w:val="single"/>
        </w:rPr>
        <w:tab/>
      </w:r>
      <w:r>
        <w:rPr>
          <w:rFonts w:hint="eastAsia" w:ascii="宋体" w:hAnsi="宋体"/>
          <w:color w:val="auto"/>
          <w:spacing w:val="-1"/>
          <w:kern w:val="0"/>
          <w:highlight w:val="none"/>
        </w:rPr>
        <w:t>（</w:t>
      </w:r>
      <w:r>
        <w:rPr>
          <w:rFonts w:hint="eastAsia" w:ascii="宋体" w:hAnsi="宋体"/>
          <w:color w:val="auto"/>
          <w:kern w:val="0"/>
          <w:highlight w:val="none"/>
        </w:rPr>
        <w:t>盖单位公章）</w:t>
      </w:r>
    </w:p>
    <w:p>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r>
        <w:rPr>
          <w:rFonts w:ascii="宋体"/>
          <w:color w:val="auto"/>
          <w:kern w:val="0"/>
          <w:highlight w:val="none"/>
          <w:u w:val="single"/>
        </w:rPr>
        <w:tab/>
      </w:r>
      <w:r>
        <w:rPr>
          <w:rFonts w:hint="eastAsia" w:ascii="宋体" w:hAnsi="宋体"/>
          <w:color w:val="auto"/>
          <w:spacing w:val="-1"/>
          <w:kern w:val="0"/>
          <w:highlight w:val="none"/>
        </w:rPr>
        <w:t>年</w:t>
      </w:r>
      <w:r>
        <w:rPr>
          <w:rFonts w:hint="eastAsia" w:ascii="宋体" w:hAnsi="宋体"/>
          <w:i w:val="0"/>
          <w:iCs w:val="0"/>
          <w:color w:val="auto"/>
          <w:spacing w:val="-1"/>
          <w:kern w:val="0"/>
          <w:highlight w:val="none"/>
          <w:u w:val="single"/>
          <w:lang w:val="en-US" w:eastAsia="zh-CN"/>
        </w:rPr>
        <w:t xml:space="preserve">   </w:t>
      </w:r>
      <w:r>
        <w:rPr>
          <w:rFonts w:hint="eastAsia" w:ascii="宋体" w:hAnsi="宋体"/>
          <w:color w:val="auto"/>
          <w:kern w:val="0"/>
          <w:highlight w:val="none"/>
        </w:rPr>
        <w:t>月</w:t>
      </w:r>
      <w:r>
        <w:rPr>
          <w:rFonts w:hint="eastAsia" w:ascii="宋体" w:hAnsi="宋体"/>
          <w:color w:val="auto"/>
          <w:kern w:val="0"/>
          <w:highlight w:val="none"/>
          <w:lang w:val="en-US" w:eastAsia="zh-CN"/>
        </w:rPr>
        <w:t xml:space="preserve"> </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rPr>
        <w:t>日</w:t>
      </w:r>
    </w:p>
    <w:tbl>
      <w:tblPr>
        <w:tblStyle w:val="11"/>
        <w:tblpPr w:leftFromText="180" w:rightFromText="180" w:vertAnchor="text" w:horzAnchor="page" w:tblpX="1964" w:tblpY="383"/>
        <w:tblW w:w="3960" w:type="dxa"/>
        <w:tblInd w:w="-5"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0" w:type="dxa"/>
          <w:bottom w:w="0" w:type="dxa"/>
          <w:right w:w="0" w:type="dxa"/>
        </w:tblCellMar>
      </w:tblPr>
      <w:tblGrid>
        <w:gridCol w:w="39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0" w:type="dxa"/>
            <w:bottom w:w="0" w:type="dxa"/>
            <w:right w:w="0" w:type="dxa"/>
          </w:tblCellMar>
        </w:tblPrEx>
        <w:trPr>
          <w:trHeight w:val="2340" w:hRule="atLeast"/>
        </w:trPr>
        <w:tc>
          <w:tcPr>
            <w:tcW w:w="3960" w:type="dxa"/>
            <w:vAlign w:val="center"/>
          </w:tcPr>
          <w:p>
            <w:pPr>
              <w:spacing w:line="520" w:lineRule="exact"/>
              <w:jc w:val="center"/>
              <w:rPr>
                <w:rFonts w:ascii="宋体"/>
                <w:b/>
                <w:color w:val="auto"/>
                <w:sz w:val="28"/>
                <w:highlight w:val="none"/>
              </w:rPr>
            </w:pPr>
            <w:r>
              <w:rPr>
                <w:rFonts w:hint="eastAsia" w:ascii="宋体" w:hAnsi="宋体"/>
                <w:b/>
                <w:color w:val="auto"/>
                <w:sz w:val="28"/>
                <w:highlight w:val="none"/>
              </w:rPr>
              <w:t>法定代表人身份证复印件正面</w:t>
            </w:r>
          </w:p>
        </w:tc>
      </w:tr>
    </w:tbl>
    <w:p>
      <w:pPr>
        <w:rPr>
          <w:vanish/>
          <w:color w:val="auto"/>
          <w:highlight w:val="none"/>
        </w:rPr>
      </w:pPr>
    </w:p>
    <w:tbl>
      <w:tblPr>
        <w:tblStyle w:val="11"/>
        <w:tblpPr w:leftFromText="180" w:rightFromText="180" w:vertAnchor="text" w:horzAnchor="margin" w:tblpXSpec="right" w:tblpY="383"/>
        <w:tblW w:w="3960" w:type="dxa"/>
        <w:tblInd w:w="-5"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0" w:type="dxa"/>
          <w:bottom w:w="0" w:type="dxa"/>
          <w:right w:w="0" w:type="dxa"/>
        </w:tblCellMar>
      </w:tblPr>
      <w:tblGrid>
        <w:gridCol w:w="39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0" w:type="dxa"/>
            <w:bottom w:w="0" w:type="dxa"/>
            <w:right w:w="0" w:type="dxa"/>
          </w:tblCellMar>
        </w:tblPrEx>
        <w:trPr>
          <w:trHeight w:val="2340" w:hRule="atLeast"/>
        </w:trPr>
        <w:tc>
          <w:tcPr>
            <w:tcW w:w="3960" w:type="dxa"/>
            <w:vAlign w:val="center"/>
          </w:tcPr>
          <w:p>
            <w:pPr>
              <w:spacing w:line="520" w:lineRule="exact"/>
              <w:jc w:val="center"/>
              <w:rPr>
                <w:rFonts w:ascii="宋体"/>
                <w:b/>
                <w:color w:val="auto"/>
                <w:sz w:val="28"/>
                <w:highlight w:val="none"/>
              </w:rPr>
            </w:pPr>
            <w:r>
              <w:rPr>
                <w:rFonts w:hint="eastAsia" w:ascii="宋体" w:hAnsi="宋体"/>
                <w:b/>
                <w:color w:val="auto"/>
                <w:sz w:val="28"/>
                <w:highlight w:val="none"/>
              </w:rPr>
              <w:t>法定代表人身份证复印件反面</w:t>
            </w:r>
          </w:p>
        </w:tc>
      </w:tr>
    </w:tbl>
    <w:p>
      <w:pPr>
        <w:tabs>
          <w:tab w:val="left" w:pos="1680"/>
          <w:tab w:val="left" w:pos="4215"/>
          <w:tab w:val="left" w:pos="4305"/>
          <w:tab w:val="left" w:pos="8000"/>
        </w:tabs>
        <w:autoSpaceDE w:val="0"/>
        <w:autoSpaceDN w:val="0"/>
        <w:adjustRightInd w:val="0"/>
        <w:snapToGrid w:val="0"/>
        <w:spacing w:line="360" w:lineRule="auto"/>
        <w:jc w:val="center"/>
        <w:rPr>
          <w:rFonts w:ascii="宋体"/>
          <w:b/>
          <w:color w:val="auto"/>
          <w:kern w:val="0"/>
          <w:sz w:val="28"/>
          <w:highlight w:val="none"/>
        </w:rPr>
      </w:pPr>
    </w:p>
    <w:p>
      <w:pPr>
        <w:tabs>
          <w:tab w:val="left" w:pos="1680"/>
          <w:tab w:val="left" w:pos="4215"/>
          <w:tab w:val="left" w:pos="4305"/>
          <w:tab w:val="left" w:pos="8000"/>
        </w:tabs>
        <w:autoSpaceDE w:val="0"/>
        <w:autoSpaceDN w:val="0"/>
        <w:adjustRightInd w:val="0"/>
        <w:snapToGrid w:val="0"/>
        <w:spacing w:line="360" w:lineRule="auto"/>
        <w:jc w:val="center"/>
        <w:rPr>
          <w:rFonts w:hint="eastAsia" w:ascii="宋体" w:hAnsi="宋体" w:eastAsia="微软雅黑"/>
          <w:b/>
          <w:color w:val="auto"/>
          <w:kern w:val="0"/>
          <w:sz w:val="28"/>
          <w:highlight w:val="none"/>
          <w:lang w:eastAsia="zh-CN"/>
        </w:rPr>
      </w:pPr>
    </w:p>
    <w:p>
      <w:pPr>
        <w:tabs>
          <w:tab w:val="left" w:pos="1680"/>
          <w:tab w:val="left" w:pos="4215"/>
          <w:tab w:val="left" w:pos="4305"/>
          <w:tab w:val="left" w:pos="8000"/>
        </w:tabs>
        <w:autoSpaceDE w:val="0"/>
        <w:autoSpaceDN w:val="0"/>
        <w:adjustRightInd w:val="0"/>
        <w:snapToGrid w:val="0"/>
        <w:spacing w:line="360" w:lineRule="auto"/>
        <w:jc w:val="center"/>
        <w:rPr>
          <w:rFonts w:hint="eastAsia" w:ascii="宋体" w:hAnsi="宋体"/>
          <w:b/>
          <w:color w:val="auto"/>
          <w:kern w:val="0"/>
          <w:sz w:val="28"/>
          <w:highlight w:val="none"/>
        </w:rPr>
      </w:pPr>
      <w:r>
        <w:rPr>
          <w:rFonts w:hint="eastAsia" w:ascii="宋体" w:hAnsi="宋体"/>
          <w:b/>
          <w:color w:val="auto"/>
          <w:kern w:val="0"/>
          <w:sz w:val="28"/>
          <w:highlight w:val="none"/>
        </w:rPr>
        <w:br w:type="page"/>
      </w:r>
    </w:p>
    <w:p>
      <w:pPr>
        <w:tabs>
          <w:tab w:val="left" w:pos="1680"/>
          <w:tab w:val="left" w:pos="4215"/>
          <w:tab w:val="left" w:pos="4305"/>
          <w:tab w:val="left" w:pos="8000"/>
        </w:tabs>
        <w:autoSpaceDE w:val="0"/>
        <w:autoSpaceDN w:val="0"/>
        <w:adjustRightInd w:val="0"/>
        <w:snapToGrid w:val="0"/>
        <w:spacing w:line="360" w:lineRule="auto"/>
        <w:jc w:val="center"/>
        <w:rPr>
          <w:rFonts w:ascii="宋体"/>
          <w:b/>
          <w:color w:val="auto"/>
          <w:kern w:val="0"/>
          <w:sz w:val="28"/>
          <w:highlight w:val="none"/>
        </w:rPr>
      </w:pPr>
      <w:r>
        <w:rPr>
          <w:rFonts w:hint="eastAsia" w:ascii="宋体" w:hAnsi="宋体"/>
          <w:b/>
          <w:color w:val="auto"/>
          <w:kern w:val="0"/>
          <w:sz w:val="28"/>
          <w:highlight w:val="none"/>
        </w:rPr>
        <w:t>授权委托书</w:t>
      </w:r>
    </w:p>
    <w:p>
      <w:pPr>
        <w:autoSpaceDE w:val="0"/>
        <w:autoSpaceDN w:val="0"/>
        <w:adjustRightInd w:val="0"/>
        <w:snapToGrid w:val="0"/>
        <w:spacing w:line="360" w:lineRule="auto"/>
        <w:jc w:val="left"/>
        <w:rPr>
          <w:rFonts w:ascii="宋体"/>
          <w:color w:val="auto"/>
          <w:kern w:val="0"/>
          <w:sz w:val="20"/>
          <w:highlight w:val="none"/>
        </w:rPr>
      </w:pPr>
    </w:p>
    <w:p>
      <w:pPr>
        <w:tabs>
          <w:tab w:val="left" w:pos="1680"/>
          <w:tab w:val="left" w:pos="4215"/>
          <w:tab w:val="left" w:pos="4305"/>
          <w:tab w:val="left" w:pos="7890"/>
        </w:tabs>
        <w:autoSpaceDE w:val="0"/>
        <w:autoSpaceDN w:val="0"/>
        <w:adjustRightInd w:val="0"/>
        <w:snapToGrid w:val="0"/>
        <w:spacing w:line="360" w:lineRule="auto"/>
        <w:ind w:firstLine="420"/>
        <w:rPr>
          <w:rFonts w:ascii="宋体"/>
          <w:color w:val="auto"/>
          <w:kern w:val="0"/>
          <w:highlight w:val="none"/>
        </w:rPr>
      </w:pPr>
      <w:r>
        <w:rPr>
          <w:rFonts w:hint="eastAsia" w:ascii="宋体" w:hAnsi="宋体"/>
          <w:color w:val="auto"/>
          <w:kern w:val="0"/>
          <w:highlight w:val="none"/>
        </w:rPr>
        <w:t>本人</w:t>
      </w:r>
      <w:r>
        <w:rPr>
          <w:rFonts w:ascii="宋体"/>
          <w:color w:val="auto"/>
          <w:kern w:val="0"/>
          <w:highlight w:val="none"/>
          <w:u w:val="single"/>
        </w:rPr>
        <w:tab/>
      </w:r>
      <w:r>
        <w:rPr>
          <w:rFonts w:hint="eastAsia" w:ascii="宋体" w:hAnsi="宋体"/>
          <w:color w:val="auto"/>
          <w:kern w:val="0"/>
          <w:highlight w:val="none"/>
        </w:rPr>
        <w:t>（姓名）系</w:t>
      </w:r>
      <w:r>
        <w:rPr>
          <w:rFonts w:ascii="宋体"/>
          <w:color w:val="auto"/>
          <w:kern w:val="0"/>
          <w:highlight w:val="none"/>
          <w:u w:val="single"/>
        </w:rPr>
        <w:tab/>
      </w:r>
      <w:r>
        <w:rPr>
          <w:rFonts w:hint="eastAsia" w:ascii="宋体" w:hAnsi="宋体"/>
          <w:color w:val="auto"/>
          <w:kern w:val="0"/>
          <w:highlight w:val="none"/>
        </w:rPr>
        <w:t>（</w:t>
      </w:r>
      <w:r>
        <w:rPr>
          <w:rFonts w:hint="eastAsia" w:ascii="宋体" w:hAnsi="宋体"/>
          <w:color w:val="auto"/>
          <w:spacing w:val="-1"/>
          <w:kern w:val="0"/>
          <w:highlight w:val="none"/>
        </w:rPr>
        <w:t>投</w:t>
      </w:r>
      <w:r>
        <w:rPr>
          <w:rFonts w:hint="eastAsia" w:ascii="宋体" w:hAnsi="宋体"/>
          <w:color w:val="auto"/>
          <w:kern w:val="0"/>
          <w:highlight w:val="none"/>
        </w:rPr>
        <w:t>标人名称</w:t>
      </w:r>
      <w:r>
        <w:rPr>
          <w:rFonts w:hint="eastAsia" w:ascii="宋体" w:hAnsi="宋体"/>
          <w:color w:val="auto"/>
          <w:spacing w:val="1"/>
          <w:kern w:val="0"/>
          <w:highlight w:val="none"/>
        </w:rPr>
        <w:t>）</w:t>
      </w:r>
      <w:r>
        <w:rPr>
          <w:rFonts w:hint="eastAsia" w:ascii="宋体" w:hAnsi="宋体"/>
          <w:color w:val="auto"/>
          <w:kern w:val="0"/>
          <w:highlight w:val="none"/>
        </w:rPr>
        <w:t>的法定代</w:t>
      </w:r>
      <w:r>
        <w:rPr>
          <w:rFonts w:hint="eastAsia" w:ascii="宋体" w:hAnsi="宋体"/>
          <w:color w:val="auto"/>
          <w:spacing w:val="1"/>
          <w:kern w:val="0"/>
          <w:highlight w:val="none"/>
        </w:rPr>
        <w:t>表</w:t>
      </w:r>
      <w:r>
        <w:rPr>
          <w:rFonts w:hint="eastAsia" w:ascii="宋体" w:hAnsi="宋体"/>
          <w:color w:val="auto"/>
          <w:kern w:val="0"/>
          <w:highlight w:val="none"/>
        </w:rPr>
        <w:t>人，现委托</w:t>
      </w:r>
      <w:r>
        <w:rPr>
          <w:rFonts w:ascii="宋体"/>
          <w:color w:val="auto"/>
          <w:kern w:val="0"/>
          <w:highlight w:val="none"/>
          <w:u w:val="single"/>
        </w:rPr>
        <w:tab/>
      </w:r>
      <w:r>
        <w:rPr>
          <w:rFonts w:ascii="宋体"/>
          <w:color w:val="auto"/>
          <w:kern w:val="0"/>
          <w:highlight w:val="none"/>
          <w:u w:val="single"/>
        </w:rPr>
        <w:tab/>
      </w:r>
      <w:r>
        <w:rPr>
          <w:rFonts w:hint="eastAsia" w:ascii="宋体" w:hAnsi="宋体"/>
          <w:color w:val="auto"/>
          <w:kern w:val="0"/>
          <w:highlight w:val="none"/>
        </w:rPr>
        <w:t>为我方代理人。代理人根据授权，以我方名义签署、澄清、说明、补正、递交、撤回、修改</w:t>
      </w:r>
      <w:r>
        <w:rPr>
          <w:rFonts w:ascii="宋体"/>
          <w:color w:val="auto"/>
          <w:kern w:val="0"/>
          <w:highlight w:val="none"/>
          <w:u w:val="single"/>
        </w:rPr>
        <w:tab/>
      </w:r>
      <w:r>
        <w:rPr>
          <w:rFonts w:hint="eastAsia" w:ascii="宋体" w:hAnsi="宋体"/>
          <w:color w:val="auto"/>
          <w:kern w:val="0"/>
          <w:highlight w:val="none"/>
        </w:rPr>
        <w:t>（项</w:t>
      </w:r>
      <w:r>
        <w:rPr>
          <w:rFonts w:hint="eastAsia" w:ascii="宋体" w:hAnsi="宋体"/>
          <w:color w:val="auto"/>
          <w:spacing w:val="-1"/>
          <w:kern w:val="0"/>
          <w:highlight w:val="none"/>
        </w:rPr>
        <w:t>目</w:t>
      </w:r>
      <w:r>
        <w:rPr>
          <w:rFonts w:hint="eastAsia" w:ascii="宋体" w:hAnsi="宋体"/>
          <w:color w:val="auto"/>
          <w:kern w:val="0"/>
          <w:highlight w:val="none"/>
        </w:rPr>
        <w:t>名称）投标文件、签订合同和处理有关事宜，其法律后果由我方承担。</w:t>
      </w: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olor w:val="auto"/>
          <w:kern w:val="0"/>
          <w:highlight w:val="none"/>
        </w:rPr>
      </w:pPr>
      <w:r>
        <w:rPr>
          <w:rFonts w:hint="eastAsia" w:ascii="宋体" w:hAnsi="宋体"/>
          <w:color w:val="auto"/>
          <w:kern w:val="0"/>
          <w:highlight w:val="none"/>
        </w:rPr>
        <w:t>委托</w:t>
      </w:r>
      <w:r>
        <w:rPr>
          <w:rFonts w:hint="eastAsia" w:ascii="宋体" w:hAnsi="宋体"/>
          <w:color w:val="auto"/>
          <w:spacing w:val="-1"/>
          <w:kern w:val="0"/>
          <w:highlight w:val="none"/>
        </w:rPr>
        <w:t>期</w:t>
      </w:r>
      <w:r>
        <w:rPr>
          <w:rFonts w:hint="eastAsia" w:ascii="宋体" w:hAnsi="宋体"/>
          <w:color w:val="auto"/>
          <w:kern w:val="0"/>
          <w:highlight w:val="none"/>
        </w:rPr>
        <w:t>限：</w:t>
      </w:r>
      <w:r>
        <w:rPr>
          <w:rFonts w:ascii="宋体"/>
          <w:color w:val="auto"/>
          <w:kern w:val="0"/>
          <w:highlight w:val="none"/>
          <w:u w:val="single"/>
        </w:rPr>
        <w:tab/>
      </w:r>
      <w:r>
        <w:rPr>
          <w:rFonts w:hint="eastAsia" w:ascii="宋体" w:hAnsi="宋体"/>
          <w:color w:val="auto"/>
          <w:kern w:val="0"/>
          <w:highlight w:val="none"/>
        </w:rPr>
        <w:t>。</w:t>
      </w:r>
    </w:p>
    <w:p>
      <w:pPr>
        <w:tabs>
          <w:tab w:val="left" w:pos="1680"/>
          <w:tab w:val="left" w:pos="4215"/>
          <w:tab w:val="left" w:pos="4305"/>
          <w:tab w:val="left" w:pos="8000"/>
        </w:tabs>
        <w:autoSpaceDE w:val="0"/>
        <w:autoSpaceDN w:val="0"/>
        <w:adjustRightInd w:val="0"/>
        <w:snapToGrid w:val="0"/>
        <w:spacing w:line="360" w:lineRule="auto"/>
        <w:ind w:firstLine="420"/>
        <w:rPr>
          <w:rFonts w:ascii="宋体"/>
          <w:color w:val="auto"/>
          <w:kern w:val="0"/>
          <w:highlight w:val="none"/>
        </w:rPr>
      </w:pPr>
      <w:r>
        <w:rPr>
          <w:rFonts w:hint="eastAsia" w:ascii="宋体" w:hAnsi="宋体"/>
          <w:color w:val="auto"/>
          <w:kern w:val="0"/>
          <w:highlight w:val="none"/>
        </w:rPr>
        <w:t>代理人无转委托权。</w:t>
      </w:r>
    </w:p>
    <w:p>
      <w:pPr>
        <w:tabs>
          <w:tab w:val="left" w:pos="1680"/>
          <w:tab w:val="left" w:pos="4215"/>
          <w:tab w:val="left" w:pos="4305"/>
          <w:tab w:val="left" w:pos="8000"/>
        </w:tabs>
        <w:autoSpaceDE w:val="0"/>
        <w:autoSpaceDN w:val="0"/>
        <w:adjustRightInd w:val="0"/>
        <w:snapToGrid w:val="0"/>
        <w:spacing w:line="360" w:lineRule="auto"/>
        <w:ind w:firstLine="420"/>
        <w:rPr>
          <w:rFonts w:ascii="宋体"/>
          <w:color w:val="auto"/>
          <w:kern w:val="0"/>
          <w:highlight w:val="none"/>
        </w:rPr>
      </w:pPr>
      <w:r>
        <w:rPr>
          <w:rFonts w:hint="eastAsia" w:ascii="宋体" w:hAnsi="宋体"/>
          <w:color w:val="auto"/>
          <w:kern w:val="0"/>
          <w:highlight w:val="none"/>
        </w:rPr>
        <w:t>附委托代理人身份证复印件。</w:t>
      </w:r>
    </w:p>
    <w:p>
      <w:pPr>
        <w:autoSpaceDE w:val="0"/>
        <w:autoSpaceDN w:val="0"/>
        <w:adjustRightInd w:val="0"/>
        <w:snapToGrid w:val="0"/>
        <w:spacing w:line="360" w:lineRule="auto"/>
        <w:jc w:val="left"/>
        <w:rPr>
          <w:rFonts w:ascii="宋体"/>
          <w:color w:val="auto"/>
          <w:kern w:val="0"/>
          <w:sz w:val="12"/>
          <w:highlight w:val="none"/>
        </w:rPr>
      </w:pPr>
    </w:p>
    <w:p>
      <w:pPr>
        <w:autoSpaceDE w:val="0"/>
        <w:autoSpaceDN w:val="0"/>
        <w:adjustRightInd w:val="0"/>
        <w:snapToGrid w:val="0"/>
        <w:spacing w:line="360" w:lineRule="auto"/>
        <w:jc w:val="left"/>
        <w:rPr>
          <w:rFonts w:ascii="宋体"/>
          <w:color w:val="auto"/>
          <w:kern w:val="0"/>
          <w:sz w:val="20"/>
          <w:highlight w:val="none"/>
        </w:rPr>
      </w:pPr>
    </w:p>
    <w:p>
      <w:pPr>
        <w:tabs>
          <w:tab w:val="left" w:pos="4200"/>
          <w:tab w:val="left" w:pos="4620"/>
        </w:tabs>
        <w:autoSpaceDE w:val="0"/>
        <w:autoSpaceDN w:val="0"/>
        <w:adjustRightInd w:val="0"/>
        <w:snapToGrid w:val="0"/>
        <w:spacing w:line="360" w:lineRule="auto"/>
        <w:ind w:firstLine="1694"/>
        <w:jc w:val="left"/>
        <w:rPr>
          <w:rFonts w:ascii="宋体" w:hAnsi="宋体"/>
          <w:color w:val="auto"/>
          <w:kern w:val="0"/>
          <w:highlight w:val="none"/>
        </w:rPr>
      </w:pPr>
      <w:r>
        <w:rPr>
          <w:rFonts w:hint="eastAsia" w:ascii="宋体" w:hAnsi="宋体"/>
          <w:color w:val="auto"/>
          <w:kern w:val="0"/>
          <w:highlight w:val="none"/>
        </w:rPr>
        <w:t>投标人：</w:t>
      </w:r>
      <w:r>
        <w:rPr>
          <w:rFonts w:ascii="宋体"/>
          <w:color w:val="auto"/>
          <w:kern w:val="0"/>
          <w:highlight w:val="none"/>
          <w:u w:val="single"/>
        </w:rPr>
        <w:tab/>
      </w:r>
      <w:r>
        <w:rPr>
          <w:rFonts w:hint="eastAsia" w:ascii="宋体" w:hAnsi="宋体"/>
          <w:color w:val="auto"/>
          <w:kern w:val="0"/>
          <w:highlight w:val="none"/>
        </w:rPr>
        <w:t>（</w:t>
      </w:r>
      <w:r>
        <w:rPr>
          <w:rFonts w:hint="eastAsia" w:ascii="宋体" w:hAnsi="宋体"/>
          <w:color w:val="auto"/>
          <w:spacing w:val="-1"/>
          <w:kern w:val="0"/>
          <w:highlight w:val="none"/>
        </w:rPr>
        <w:t>盖</w:t>
      </w:r>
      <w:r>
        <w:rPr>
          <w:rFonts w:hint="eastAsia" w:ascii="宋体" w:hAnsi="宋体"/>
          <w:color w:val="auto"/>
          <w:kern w:val="0"/>
          <w:highlight w:val="none"/>
        </w:rPr>
        <w:t>单位公章）</w:t>
      </w:r>
    </w:p>
    <w:p>
      <w:pPr>
        <w:tabs>
          <w:tab w:val="left" w:pos="6300"/>
        </w:tabs>
        <w:autoSpaceDE w:val="0"/>
        <w:autoSpaceDN w:val="0"/>
        <w:adjustRightInd w:val="0"/>
        <w:snapToGrid w:val="0"/>
        <w:spacing w:line="360" w:lineRule="auto"/>
        <w:ind w:firstLine="1680"/>
        <w:jc w:val="left"/>
        <w:rPr>
          <w:rFonts w:ascii="宋体"/>
          <w:color w:val="auto"/>
          <w:kern w:val="0"/>
          <w:highlight w:val="none"/>
        </w:rPr>
      </w:pPr>
      <w:r>
        <w:rPr>
          <w:rFonts w:hint="eastAsia" w:ascii="宋体" w:hAnsi="宋体"/>
          <w:color w:val="auto"/>
          <w:kern w:val="0"/>
          <w:highlight w:val="none"/>
        </w:rPr>
        <w:t>法定代表人：</w:t>
      </w:r>
      <w:r>
        <w:rPr>
          <w:rFonts w:ascii="宋体"/>
          <w:color w:val="auto"/>
          <w:kern w:val="0"/>
          <w:highlight w:val="none"/>
          <w:u w:val="single"/>
        </w:rPr>
        <w:tab/>
      </w:r>
      <w:r>
        <w:rPr>
          <w:rFonts w:ascii="宋体"/>
          <w:color w:val="auto"/>
          <w:kern w:val="0"/>
          <w:highlight w:val="none"/>
          <w:u w:val="single"/>
        </w:rPr>
        <w:tab/>
      </w:r>
      <w:r>
        <w:rPr>
          <w:rFonts w:hint="eastAsia" w:ascii="宋体" w:hAnsi="宋体"/>
          <w:color w:val="auto"/>
          <w:kern w:val="0"/>
          <w:highlight w:val="none"/>
        </w:rPr>
        <w:t>（签字）</w:t>
      </w:r>
    </w:p>
    <w:p>
      <w:pPr>
        <w:tabs>
          <w:tab w:val="left" w:pos="5260"/>
        </w:tabs>
        <w:autoSpaceDE w:val="0"/>
        <w:autoSpaceDN w:val="0"/>
        <w:adjustRightInd w:val="0"/>
        <w:snapToGrid w:val="0"/>
        <w:spacing w:line="360" w:lineRule="auto"/>
        <w:ind w:firstLine="1680"/>
        <w:jc w:val="left"/>
        <w:rPr>
          <w:rFonts w:ascii="宋体"/>
          <w:color w:val="auto"/>
          <w:kern w:val="0"/>
          <w:highlight w:val="none"/>
        </w:rPr>
      </w:pPr>
      <w:r>
        <w:rPr>
          <w:rFonts w:hint="eastAsia" w:ascii="宋体" w:hAnsi="宋体"/>
          <w:color w:val="auto"/>
          <w:kern w:val="0"/>
          <w:highlight w:val="none"/>
        </w:rPr>
        <w:t>身份证号码：</w:t>
      </w:r>
      <w:r>
        <w:rPr>
          <w:rFonts w:ascii="宋体"/>
          <w:color w:val="auto"/>
          <w:kern w:val="0"/>
          <w:highlight w:val="none"/>
          <w:u w:val="single"/>
        </w:rPr>
        <w:tab/>
      </w:r>
    </w:p>
    <w:p>
      <w:pPr>
        <w:tabs>
          <w:tab w:val="left" w:pos="6720"/>
        </w:tabs>
        <w:autoSpaceDE w:val="0"/>
        <w:autoSpaceDN w:val="0"/>
        <w:adjustRightInd w:val="0"/>
        <w:snapToGrid w:val="0"/>
        <w:spacing w:line="360" w:lineRule="auto"/>
        <w:ind w:firstLine="1680"/>
        <w:jc w:val="left"/>
        <w:rPr>
          <w:rFonts w:ascii="宋体"/>
          <w:color w:val="auto"/>
          <w:kern w:val="0"/>
          <w:highlight w:val="none"/>
        </w:rPr>
      </w:pPr>
      <w:r>
        <w:rPr>
          <w:rFonts w:hint="eastAsia" w:ascii="宋体" w:hAnsi="宋体"/>
          <w:color w:val="auto"/>
          <w:kern w:val="0"/>
          <w:highlight w:val="none"/>
        </w:rPr>
        <w:t>委托代理人：</w:t>
      </w:r>
      <w:r>
        <w:rPr>
          <w:rFonts w:ascii="宋体"/>
          <w:color w:val="auto"/>
          <w:kern w:val="0"/>
          <w:highlight w:val="none"/>
          <w:u w:val="single"/>
        </w:rPr>
        <w:tab/>
      </w:r>
      <w:r>
        <w:rPr>
          <w:rFonts w:hint="eastAsia" w:ascii="宋体" w:hAnsi="宋体"/>
          <w:color w:val="auto"/>
          <w:kern w:val="0"/>
          <w:highlight w:val="none"/>
        </w:rPr>
        <w:t>（签</w:t>
      </w:r>
      <w:r>
        <w:rPr>
          <w:rFonts w:hint="eastAsia" w:ascii="宋体" w:hAnsi="宋体"/>
          <w:color w:val="auto"/>
          <w:spacing w:val="-1"/>
          <w:kern w:val="0"/>
          <w:highlight w:val="none"/>
        </w:rPr>
        <w:t>字</w:t>
      </w:r>
      <w:r>
        <w:rPr>
          <w:rFonts w:hint="eastAsia" w:ascii="宋体" w:hAnsi="宋体"/>
          <w:color w:val="auto"/>
          <w:kern w:val="0"/>
          <w:highlight w:val="none"/>
        </w:rPr>
        <w:t>）</w:t>
      </w:r>
    </w:p>
    <w:p>
      <w:pPr>
        <w:tabs>
          <w:tab w:val="left" w:pos="6825"/>
        </w:tabs>
        <w:autoSpaceDE w:val="0"/>
        <w:autoSpaceDN w:val="0"/>
        <w:adjustRightInd w:val="0"/>
        <w:snapToGrid w:val="0"/>
        <w:spacing w:line="360" w:lineRule="auto"/>
        <w:ind w:firstLine="1680"/>
        <w:jc w:val="left"/>
        <w:rPr>
          <w:rFonts w:ascii="宋体"/>
          <w:color w:val="auto"/>
          <w:kern w:val="0"/>
          <w:highlight w:val="none"/>
        </w:rPr>
      </w:pPr>
      <w:r>
        <w:rPr>
          <w:rFonts w:hint="eastAsia" w:ascii="宋体" w:hAnsi="宋体"/>
          <w:color w:val="auto"/>
          <w:kern w:val="0"/>
          <w:highlight w:val="none"/>
        </w:rPr>
        <w:t>身份证号码：</w:t>
      </w:r>
      <w:r>
        <w:rPr>
          <w:rFonts w:ascii="宋体"/>
          <w:color w:val="auto"/>
          <w:kern w:val="0"/>
          <w:highlight w:val="none"/>
          <w:u w:val="single"/>
        </w:rPr>
        <w:tab/>
      </w:r>
    </w:p>
    <w:p>
      <w:pPr>
        <w:tabs>
          <w:tab w:val="left" w:pos="4005"/>
          <w:tab w:val="left" w:pos="4100"/>
          <w:tab w:val="left" w:pos="5040"/>
        </w:tabs>
        <w:autoSpaceDE w:val="0"/>
        <w:autoSpaceDN w:val="0"/>
        <w:adjustRightInd w:val="0"/>
        <w:snapToGrid w:val="0"/>
        <w:spacing w:line="360" w:lineRule="auto"/>
        <w:ind w:firstLine="3780"/>
        <w:jc w:val="left"/>
        <w:rPr>
          <w:rFonts w:ascii="宋体"/>
          <w:color w:val="auto"/>
          <w:kern w:val="0"/>
          <w:highlight w:val="none"/>
        </w:rPr>
      </w:pPr>
      <w:r>
        <w:rPr>
          <w:rFonts w:ascii="宋体"/>
          <w:color w:val="auto"/>
          <w:kern w:val="0"/>
          <w:highlight w:val="none"/>
          <w:u w:val="single"/>
        </w:rPr>
        <w:tab/>
      </w:r>
      <w:r>
        <w:rPr>
          <w:rFonts w:hint="eastAsia" w:ascii="宋体"/>
          <w:color w:val="auto"/>
          <w:kern w:val="0"/>
          <w:highlight w:val="none"/>
          <w:u w:val="single"/>
          <w:lang w:val="en-US" w:eastAsia="zh-CN"/>
        </w:rPr>
        <w:t xml:space="preserve">     </w:t>
      </w:r>
      <w:r>
        <w:rPr>
          <w:rFonts w:hint="eastAsia" w:ascii="宋体" w:hAnsi="宋体"/>
          <w:color w:val="auto"/>
          <w:kern w:val="0"/>
          <w:highlight w:val="none"/>
        </w:rPr>
        <w:t>年</w:t>
      </w:r>
      <w:r>
        <w:rPr>
          <w:rFonts w:hint="eastAsia" w:ascii="宋体" w:hAnsi="宋体"/>
          <w:color w:val="auto"/>
          <w:kern w:val="0"/>
          <w:highlight w:val="none"/>
          <w:lang w:val="en-US" w:eastAsia="zh-CN"/>
        </w:rPr>
        <w:t xml:space="preserve"> </w:t>
      </w:r>
      <w:r>
        <w:rPr>
          <w:rFonts w:ascii="宋体"/>
          <w:color w:val="auto"/>
          <w:kern w:val="0"/>
          <w:highlight w:val="none"/>
          <w:u w:val="single"/>
        </w:rPr>
        <w:tab/>
      </w:r>
      <w:r>
        <w:rPr>
          <w:rFonts w:hint="eastAsia" w:ascii="宋体" w:hAnsi="宋体"/>
          <w:color w:val="auto"/>
          <w:kern w:val="0"/>
          <w:highlight w:val="none"/>
        </w:rPr>
        <w:t>月</w:t>
      </w:r>
      <w:r>
        <w:rPr>
          <w:rFonts w:ascii="宋体"/>
          <w:color w:val="auto"/>
          <w:kern w:val="0"/>
          <w:highlight w:val="none"/>
          <w:u w:val="single"/>
        </w:rPr>
        <w:tab/>
      </w:r>
      <w:r>
        <w:rPr>
          <w:rFonts w:hint="eastAsia" w:ascii="宋体" w:hAnsi="宋体"/>
          <w:color w:val="auto"/>
          <w:kern w:val="0"/>
          <w:highlight w:val="none"/>
        </w:rPr>
        <w:t>日</w:t>
      </w:r>
    </w:p>
    <w:p>
      <w:pPr>
        <w:adjustRightInd w:val="0"/>
        <w:snapToGrid w:val="0"/>
        <w:spacing w:line="360" w:lineRule="auto"/>
        <w:rPr>
          <w:rFonts w:ascii="宋体"/>
          <w:color w:val="auto"/>
          <w:sz w:val="32"/>
          <w:highlight w:val="none"/>
        </w:rPr>
      </w:pPr>
    </w:p>
    <w:tbl>
      <w:tblPr>
        <w:tblStyle w:val="11"/>
        <w:tblpPr w:leftFromText="180" w:rightFromText="180" w:vertAnchor="text" w:horzAnchor="page" w:tblpX="1964" w:tblpY="383"/>
        <w:tblW w:w="3960" w:type="dxa"/>
        <w:tblInd w:w="-5"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0" w:type="dxa"/>
          <w:bottom w:w="0" w:type="dxa"/>
          <w:right w:w="0" w:type="dxa"/>
        </w:tblCellMar>
      </w:tblPr>
      <w:tblGrid>
        <w:gridCol w:w="39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0" w:type="dxa"/>
            <w:bottom w:w="0" w:type="dxa"/>
            <w:right w:w="0" w:type="dxa"/>
          </w:tblCellMar>
        </w:tblPrEx>
        <w:trPr>
          <w:trHeight w:val="2477" w:hRule="atLeast"/>
        </w:trPr>
        <w:tc>
          <w:tcPr>
            <w:tcW w:w="3960" w:type="dxa"/>
            <w:vAlign w:val="center"/>
          </w:tcPr>
          <w:p>
            <w:pPr>
              <w:spacing w:line="520" w:lineRule="exact"/>
              <w:jc w:val="center"/>
              <w:rPr>
                <w:rFonts w:ascii="宋体"/>
                <w:b/>
                <w:color w:val="auto"/>
                <w:sz w:val="28"/>
                <w:highlight w:val="none"/>
              </w:rPr>
            </w:pPr>
            <w:r>
              <w:rPr>
                <w:rFonts w:hint="eastAsia" w:ascii="宋体" w:hAnsi="宋体"/>
                <w:b/>
                <w:color w:val="auto"/>
                <w:sz w:val="28"/>
                <w:highlight w:val="none"/>
              </w:rPr>
              <w:t>委托代理人身份证复印件正面</w:t>
            </w:r>
          </w:p>
        </w:tc>
      </w:tr>
    </w:tbl>
    <w:p>
      <w:pPr>
        <w:rPr>
          <w:vanish/>
          <w:color w:val="auto"/>
          <w:highlight w:val="none"/>
        </w:rPr>
      </w:pPr>
    </w:p>
    <w:tbl>
      <w:tblPr>
        <w:tblStyle w:val="11"/>
        <w:tblpPr w:leftFromText="180" w:rightFromText="180" w:vertAnchor="text" w:horzAnchor="margin" w:tblpXSpec="right" w:tblpY="383"/>
        <w:tblW w:w="3960" w:type="dxa"/>
        <w:tblInd w:w="-5"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0" w:type="dxa"/>
          <w:bottom w:w="0" w:type="dxa"/>
          <w:right w:w="0" w:type="dxa"/>
        </w:tblCellMar>
      </w:tblPr>
      <w:tblGrid>
        <w:gridCol w:w="39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0" w:type="dxa"/>
            <w:bottom w:w="0" w:type="dxa"/>
            <w:right w:w="0" w:type="dxa"/>
          </w:tblCellMar>
        </w:tblPrEx>
        <w:trPr>
          <w:trHeight w:val="2483" w:hRule="atLeast"/>
        </w:trPr>
        <w:tc>
          <w:tcPr>
            <w:tcW w:w="3960" w:type="dxa"/>
            <w:vAlign w:val="center"/>
          </w:tcPr>
          <w:p>
            <w:pPr>
              <w:spacing w:line="520" w:lineRule="exact"/>
              <w:jc w:val="center"/>
              <w:rPr>
                <w:rFonts w:ascii="宋体"/>
                <w:b/>
                <w:color w:val="auto"/>
                <w:sz w:val="28"/>
                <w:highlight w:val="none"/>
              </w:rPr>
            </w:pPr>
            <w:r>
              <w:rPr>
                <w:rFonts w:hint="eastAsia" w:ascii="宋体" w:hAnsi="宋体"/>
                <w:b/>
                <w:color w:val="auto"/>
                <w:sz w:val="28"/>
                <w:highlight w:val="none"/>
              </w:rPr>
              <w:t>委托代理人身份证复印件反面</w:t>
            </w:r>
          </w:p>
        </w:tc>
      </w:tr>
    </w:tbl>
    <w:p>
      <w:pPr>
        <w:autoSpaceDE w:val="0"/>
        <w:autoSpaceDN w:val="0"/>
        <w:adjustRightInd w:val="0"/>
        <w:snapToGrid w:val="0"/>
        <w:spacing w:line="360" w:lineRule="auto"/>
        <w:jc w:val="left"/>
        <w:rPr>
          <w:rFonts w:ascii="宋体"/>
          <w:color w:val="auto"/>
          <w:kern w:val="0"/>
          <w:highlight w:val="none"/>
        </w:rPr>
      </w:pPr>
    </w:p>
    <w:p>
      <w:pPr>
        <w:autoSpaceDE w:val="0"/>
        <w:autoSpaceDN w:val="0"/>
        <w:adjustRightInd w:val="0"/>
        <w:snapToGrid w:val="0"/>
        <w:spacing w:line="360" w:lineRule="auto"/>
        <w:jc w:val="left"/>
        <w:rPr>
          <w:rFonts w:ascii="宋体"/>
          <w:color w:val="auto"/>
          <w:kern w:val="0"/>
          <w:highlight w:val="none"/>
        </w:rPr>
      </w:pPr>
    </w:p>
    <w:p>
      <w:pPr>
        <w:autoSpaceDE w:val="0"/>
        <w:autoSpaceDN w:val="0"/>
        <w:adjustRightInd w:val="0"/>
        <w:snapToGrid w:val="0"/>
        <w:spacing w:line="360" w:lineRule="auto"/>
        <w:jc w:val="left"/>
        <w:rPr>
          <w:rFonts w:ascii="宋体"/>
          <w:color w:val="auto"/>
          <w:kern w:val="0"/>
          <w:highlight w:val="none"/>
        </w:rPr>
      </w:pPr>
    </w:p>
    <w:p>
      <w:pPr>
        <w:autoSpaceDE w:val="0"/>
        <w:autoSpaceDN w:val="0"/>
        <w:adjustRightInd w:val="0"/>
        <w:snapToGrid w:val="0"/>
        <w:spacing w:line="360" w:lineRule="auto"/>
        <w:jc w:val="left"/>
        <w:rPr>
          <w:rFonts w:ascii="宋体"/>
          <w:color w:val="auto"/>
          <w:kern w:val="0"/>
          <w:highlight w:val="none"/>
        </w:rPr>
      </w:pPr>
    </w:p>
    <w:p>
      <w:pPr>
        <w:autoSpaceDE w:val="0"/>
        <w:autoSpaceDN w:val="0"/>
        <w:adjustRightInd w:val="0"/>
        <w:snapToGrid w:val="0"/>
        <w:spacing w:line="360" w:lineRule="auto"/>
        <w:jc w:val="left"/>
        <w:rPr>
          <w:rFonts w:ascii="宋体"/>
          <w:color w:val="auto"/>
          <w:kern w:val="0"/>
          <w:highlight w:val="none"/>
        </w:rPr>
      </w:pPr>
    </w:p>
    <w:p>
      <w:pPr>
        <w:autoSpaceDE w:val="0"/>
        <w:autoSpaceDN w:val="0"/>
        <w:adjustRightInd w:val="0"/>
        <w:snapToGrid w:val="0"/>
        <w:spacing w:line="360" w:lineRule="auto"/>
        <w:jc w:val="left"/>
        <w:rPr>
          <w:rFonts w:ascii="宋体"/>
          <w:color w:val="auto"/>
          <w:kern w:val="0"/>
          <w:highlight w:val="none"/>
        </w:rPr>
      </w:pPr>
    </w:p>
    <w:p>
      <w:pPr>
        <w:autoSpaceDE w:val="0"/>
        <w:autoSpaceDN w:val="0"/>
        <w:adjustRightInd w:val="0"/>
        <w:snapToGrid w:val="0"/>
        <w:spacing w:line="360" w:lineRule="auto"/>
        <w:jc w:val="left"/>
        <w:rPr>
          <w:rFonts w:ascii="宋体"/>
          <w:color w:val="auto"/>
          <w:kern w:val="0"/>
          <w:highlight w:val="none"/>
        </w:rPr>
      </w:pPr>
    </w:p>
    <w:p>
      <w:pPr>
        <w:autoSpaceDE w:val="0"/>
        <w:autoSpaceDN w:val="0"/>
        <w:adjustRightInd w:val="0"/>
        <w:snapToGrid w:val="0"/>
        <w:spacing w:line="360" w:lineRule="auto"/>
        <w:jc w:val="left"/>
        <w:rPr>
          <w:rFonts w:ascii="宋体"/>
          <w:color w:val="auto"/>
          <w:kern w:val="0"/>
          <w:highlight w:val="none"/>
        </w:rPr>
      </w:pPr>
    </w:p>
    <w:p>
      <w:pPr>
        <w:autoSpaceDE w:val="0"/>
        <w:autoSpaceDN w:val="0"/>
        <w:adjustRightInd w:val="0"/>
        <w:snapToGrid w:val="0"/>
        <w:spacing w:line="360" w:lineRule="auto"/>
        <w:jc w:val="left"/>
        <w:rPr>
          <w:rFonts w:ascii="宋体"/>
          <w:color w:val="auto"/>
          <w:kern w:val="0"/>
          <w:highlight w:val="none"/>
        </w:rPr>
      </w:pPr>
      <w:r>
        <w:rPr>
          <w:color w:val="auto"/>
          <w:highlight w:val="none"/>
        </w:rPr>
        <w:pict>
          <v:line id="_x0000_s1026" o:spid="_x0000_s1026" o:spt="20" style="position:absolute;left:0pt;margin-left:-5.2pt;margin-top:18.6pt;height:0.05pt;width:225.7pt;z-index:251659264;mso-width-relative:page;mso-height-relative:page;" coordsize="21600,21600" o:gfxdata="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y0PzZAAAACQEAAA8AAAAAAAAAAQAgAAAAIgAA&#10;AGRycy9kb3ducmV2LnhtbFBLAQIUABQAAAAIAIdO4kBxXvNGzgEAAI8DAAAOAAAAAAAAAAEAIAAA&#10;ACgBAABkcnMvZTJvRG9jLnhtbFBLBQYAAAAABgAGAFkBAABoBQAAAAA=&#10;">
            <v:path arrowok="t"/>
            <v:fill focussize="0,0"/>
            <v:stroke weight="0.25pt"/>
            <v:imagedata o:title=""/>
            <o:lock v:ext="edit"/>
          </v:line>
        </w:pict>
      </w:r>
    </w:p>
    <w:p>
      <w:pPr>
        <w:tabs>
          <w:tab w:val="left" w:pos="5760"/>
        </w:tabs>
        <w:autoSpaceDE w:val="0"/>
        <w:autoSpaceDN w:val="0"/>
        <w:adjustRightInd w:val="0"/>
        <w:spacing w:line="300" w:lineRule="exact"/>
        <w:ind w:left="735" w:right="11" w:hanging="735" w:hangingChars="350"/>
        <w:rPr>
          <w:rFonts w:ascii="宋体"/>
          <w:color w:val="auto"/>
          <w:kern w:val="0"/>
          <w:highlight w:val="none"/>
        </w:rPr>
      </w:pPr>
      <w:r>
        <w:rPr>
          <w:rFonts w:hint="eastAsia" w:ascii="宋体" w:hAnsi="宋体"/>
          <w:color w:val="auto"/>
          <w:kern w:val="0"/>
          <w:highlight w:val="none"/>
        </w:rPr>
        <w:t>注：</w:t>
      </w:r>
      <w:r>
        <w:rPr>
          <w:rFonts w:ascii="宋体" w:hAnsi="宋体"/>
          <w:color w:val="auto"/>
          <w:kern w:val="0"/>
          <w:highlight w:val="none"/>
        </w:rPr>
        <w:t>1</w:t>
      </w:r>
      <w:r>
        <w:rPr>
          <w:rFonts w:hint="eastAsia" w:ascii="宋体" w:hAnsi="宋体"/>
          <w:color w:val="auto"/>
          <w:kern w:val="0"/>
          <w:highlight w:val="none"/>
        </w:rPr>
        <w:t>、法定代表人参加投标活动并签署文件的不需要授权委托书，只需提供法定代表人身份证明；非法定代表人参加投标活动及签署文件的除提供法定代表人身份证明外还须提供授权委托书。</w:t>
      </w:r>
    </w:p>
    <w:p>
      <w:pPr>
        <w:spacing w:line="440" w:lineRule="exact"/>
        <w:jc w:val="center"/>
        <w:outlineLvl w:val="1"/>
        <w:rPr>
          <w:b/>
          <w:color w:val="auto"/>
          <w:sz w:val="28"/>
          <w:szCs w:val="28"/>
          <w:highlight w:val="none"/>
        </w:rPr>
      </w:pPr>
    </w:p>
    <w:p>
      <w:pPr>
        <w:numPr>
          <w:ilvl w:val="0"/>
          <w:numId w:val="0"/>
        </w:numPr>
        <w:spacing w:line="440" w:lineRule="exact"/>
        <w:jc w:val="both"/>
        <w:outlineLvl w:val="1"/>
        <w:rPr>
          <w:rFonts w:hint="eastAsia"/>
          <w:b/>
          <w:color w:val="auto"/>
          <w:sz w:val="28"/>
          <w:szCs w:val="28"/>
          <w:highlight w:val="none"/>
          <w:lang w:eastAsia="zh-CN"/>
        </w:rPr>
      </w:pPr>
      <w:r>
        <w:rPr>
          <w:rFonts w:hint="eastAsia"/>
          <w:b/>
          <w:color w:val="auto"/>
          <w:sz w:val="28"/>
          <w:szCs w:val="28"/>
          <w:highlight w:val="none"/>
          <w:lang w:val="en-US" w:eastAsia="zh-CN"/>
        </w:rPr>
        <w:t>2.</w:t>
      </w:r>
      <w:r>
        <w:rPr>
          <w:rFonts w:hint="eastAsia"/>
          <w:b/>
          <w:color w:val="auto"/>
          <w:sz w:val="28"/>
          <w:szCs w:val="28"/>
          <w:highlight w:val="none"/>
        </w:rPr>
        <w:t>投标人有效的营业执照</w:t>
      </w:r>
      <w:r>
        <w:rPr>
          <w:rFonts w:hint="eastAsia"/>
          <w:b/>
          <w:color w:val="auto"/>
          <w:sz w:val="28"/>
          <w:szCs w:val="28"/>
          <w:highlight w:val="none"/>
          <w:lang w:eastAsia="zh-CN"/>
        </w:rPr>
        <w:t>副本</w:t>
      </w:r>
    </w:p>
    <w:p>
      <w:pPr>
        <w:pStyle w:val="2"/>
        <w:numPr>
          <w:ilvl w:val="0"/>
          <w:numId w:val="0"/>
        </w:numPr>
        <w:jc w:val="center"/>
        <w:rPr>
          <w:rFonts w:hint="eastAsia" w:eastAsia="仿宋_GB2312"/>
          <w:color w:val="auto"/>
          <w:highlight w:val="none"/>
          <w:lang w:val="en-US" w:eastAsia="zh-CN"/>
        </w:rPr>
      </w:pPr>
      <w:r>
        <w:rPr>
          <w:rFonts w:hint="eastAsia"/>
          <w:b/>
          <w:color w:val="auto"/>
          <w:sz w:val="28"/>
          <w:szCs w:val="28"/>
          <w:highlight w:val="none"/>
          <w:lang w:eastAsia="zh-CN"/>
        </w:rPr>
        <w:t>（全本</w:t>
      </w:r>
      <w:r>
        <w:rPr>
          <w:rFonts w:hint="eastAsia"/>
          <w:b/>
          <w:color w:val="auto"/>
          <w:sz w:val="28"/>
          <w:szCs w:val="28"/>
          <w:highlight w:val="none"/>
        </w:rPr>
        <w:t>复印件并加盖单位</w:t>
      </w:r>
      <w:r>
        <w:rPr>
          <w:rFonts w:hint="eastAsia"/>
          <w:b/>
          <w:color w:val="auto"/>
          <w:sz w:val="28"/>
          <w:szCs w:val="28"/>
          <w:highlight w:val="none"/>
          <w:lang w:eastAsia="zh-CN"/>
        </w:rPr>
        <w:t>公</w:t>
      </w:r>
      <w:r>
        <w:rPr>
          <w:rFonts w:hint="eastAsia"/>
          <w:b/>
          <w:color w:val="auto"/>
          <w:sz w:val="28"/>
          <w:szCs w:val="28"/>
          <w:highlight w:val="none"/>
        </w:rPr>
        <w:t>章</w:t>
      </w:r>
      <w:r>
        <w:rPr>
          <w:rFonts w:hint="eastAsia"/>
          <w:b/>
          <w:color w:val="auto"/>
          <w:sz w:val="28"/>
          <w:szCs w:val="28"/>
          <w:highlight w:val="none"/>
          <w:lang w:eastAsia="zh-CN"/>
        </w:rPr>
        <w:t>）</w:t>
      </w: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numPr>
          <w:ilvl w:val="0"/>
          <w:numId w:val="0"/>
        </w:numPr>
        <w:spacing w:line="440" w:lineRule="exact"/>
        <w:jc w:val="both"/>
        <w:outlineLvl w:val="1"/>
        <w:rPr>
          <w:rFonts w:hint="eastAsia"/>
          <w:b/>
          <w:color w:val="auto"/>
          <w:sz w:val="28"/>
          <w:szCs w:val="28"/>
          <w:highlight w:val="none"/>
        </w:rPr>
      </w:pPr>
      <w:r>
        <w:rPr>
          <w:rFonts w:hint="eastAsia"/>
          <w:b/>
          <w:color w:val="auto"/>
          <w:sz w:val="28"/>
          <w:szCs w:val="28"/>
          <w:highlight w:val="none"/>
          <w:lang w:val="en-US" w:eastAsia="zh-CN"/>
        </w:rPr>
        <w:t>3.</w:t>
      </w:r>
      <w:r>
        <w:rPr>
          <w:rFonts w:hint="eastAsia"/>
          <w:b/>
          <w:color w:val="auto"/>
          <w:sz w:val="28"/>
          <w:szCs w:val="28"/>
          <w:highlight w:val="none"/>
        </w:rPr>
        <w:t>投标人有效的资质证书副本</w:t>
      </w:r>
    </w:p>
    <w:p>
      <w:pPr>
        <w:pStyle w:val="2"/>
        <w:numPr>
          <w:ilvl w:val="0"/>
          <w:numId w:val="0"/>
        </w:numPr>
        <w:jc w:val="center"/>
        <w:rPr>
          <w:rFonts w:hint="eastAsia"/>
          <w:b/>
          <w:color w:val="auto"/>
          <w:sz w:val="28"/>
          <w:szCs w:val="28"/>
          <w:highlight w:val="none"/>
          <w:lang w:eastAsia="zh-CN"/>
        </w:rPr>
      </w:pPr>
      <w:r>
        <w:rPr>
          <w:rFonts w:hint="eastAsia"/>
          <w:b/>
          <w:color w:val="auto"/>
          <w:sz w:val="28"/>
          <w:szCs w:val="28"/>
          <w:highlight w:val="none"/>
          <w:lang w:eastAsia="zh-CN"/>
        </w:rPr>
        <w:t>（全本复印件并加盖单位公章）</w:t>
      </w:r>
    </w:p>
    <w:p>
      <w:pPr>
        <w:pStyle w:val="2"/>
        <w:rPr>
          <w:rFonts w:ascii="Arial" w:hAnsi="Arial" w:cs="Arial"/>
          <w:color w:val="auto"/>
          <w:highlight w:val="none"/>
        </w:rPr>
      </w:pPr>
    </w:p>
    <w:p>
      <w:pPr>
        <w:rPr>
          <w:rFonts w:ascii="Arial" w:hAnsi="Arial" w:cs="Arial"/>
          <w:b/>
          <w:color w:val="auto"/>
          <w:sz w:val="24"/>
          <w:highlight w:val="none"/>
        </w:rPr>
      </w:pPr>
    </w:p>
    <w:p>
      <w:pPr>
        <w:pStyle w:val="2"/>
        <w:rPr>
          <w:color w:val="auto"/>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spacing w:line="360" w:lineRule="auto"/>
        <w:jc w:val="both"/>
        <w:rPr>
          <w:rFonts w:hint="eastAsia"/>
          <w:b/>
          <w:color w:val="auto"/>
          <w:sz w:val="28"/>
          <w:szCs w:val="28"/>
          <w:highlight w:val="none"/>
        </w:rPr>
      </w:pPr>
      <w:r>
        <w:rPr>
          <w:rFonts w:hint="eastAsia"/>
          <w:b/>
          <w:color w:val="auto"/>
          <w:sz w:val="28"/>
          <w:szCs w:val="28"/>
          <w:highlight w:val="none"/>
          <w:lang w:val="en-US" w:eastAsia="zh-CN"/>
        </w:rPr>
        <w:t>4.</w:t>
      </w:r>
      <w:r>
        <w:rPr>
          <w:rFonts w:hint="eastAsia"/>
          <w:b/>
          <w:color w:val="auto"/>
          <w:sz w:val="28"/>
          <w:szCs w:val="28"/>
          <w:highlight w:val="none"/>
          <w:lang w:eastAsia="zh-CN"/>
        </w:rPr>
        <w:t>投标人有效的</w:t>
      </w:r>
      <w:r>
        <w:rPr>
          <w:rFonts w:hint="eastAsia"/>
          <w:b/>
          <w:color w:val="auto"/>
          <w:sz w:val="28"/>
          <w:szCs w:val="28"/>
          <w:highlight w:val="none"/>
        </w:rPr>
        <w:t>基本账户开户许可证</w:t>
      </w:r>
    </w:p>
    <w:p>
      <w:pPr>
        <w:spacing w:line="360" w:lineRule="auto"/>
        <w:jc w:val="center"/>
        <w:rPr>
          <w:rFonts w:hint="eastAsia" w:ascii="仿宋_GB2312" w:hAnsi="Calibri" w:eastAsia="仿宋_GB2312" w:cs="MingLiU"/>
          <w:b/>
          <w:bCs/>
          <w:color w:val="auto"/>
          <w:kern w:val="0"/>
          <w:sz w:val="28"/>
          <w:szCs w:val="28"/>
          <w:highlight w:val="none"/>
          <w:lang w:val="en-US" w:eastAsia="zh-CN" w:bidi="ar-SA"/>
        </w:rPr>
      </w:pPr>
      <w:r>
        <w:rPr>
          <w:rFonts w:hint="eastAsia" w:ascii="仿宋_GB2312" w:hAnsi="Calibri" w:eastAsia="仿宋_GB2312" w:cs="MingLiU"/>
          <w:b/>
          <w:bCs/>
          <w:color w:val="auto"/>
          <w:kern w:val="0"/>
          <w:sz w:val="28"/>
          <w:szCs w:val="28"/>
          <w:highlight w:val="none"/>
          <w:lang w:val="en-US" w:eastAsia="zh-CN" w:bidi="ar-SA"/>
        </w:rPr>
        <w:t>（复印件并加盖单位</w:t>
      </w:r>
      <w:r>
        <w:rPr>
          <w:rFonts w:hint="eastAsia" w:ascii="仿宋_GB2312" w:eastAsia="仿宋_GB2312" w:cs="MingLiU"/>
          <w:b/>
          <w:bCs/>
          <w:color w:val="auto"/>
          <w:kern w:val="0"/>
          <w:sz w:val="28"/>
          <w:szCs w:val="28"/>
          <w:highlight w:val="none"/>
          <w:lang w:val="en-US" w:eastAsia="zh-CN" w:bidi="ar-SA"/>
        </w:rPr>
        <w:t>公</w:t>
      </w:r>
      <w:r>
        <w:rPr>
          <w:rFonts w:hint="eastAsia" w:ascii="仿宋_GB2312" w:hAnsi="Calibri" w:eastAsia="仿宋_GB2312" w:cs="MingLiU"/>
          <w:b/>
          <w:bCs/>
          <w:color w:val="auto"/>
          <w:kern w:val="0"/>
          <w:sz w:val="28"/>
          <w:szCs w:val="28"/>
          <w:highlight w:val="none"/>
          <w:lang w:val="en-US" w:eastAsia="zh-CN" w:bidi="ar-SA"/>
        </w:rPr>
        <w:t>章）</w:t>
      </w: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p>
      <w:pPr>
        <w:spacing w:line="440" w:lineRule="exact"/>
        <w:jc w:val="center"/>
        <w:outlineLvl w:val="1"/>
        <w:rPr>
          <w:b/>
          <w:color w:val="auto"/>
          <w:sz w:val="28"/>
          <w:szCs w:val="28"/>
          <w:highlight w:val="none"/>
        </w:rPr>
      </w:pPr>
      <w:r>
        <w:rPr>
          <w:rFonts w:hint="eastAsia"/>
          <w:b/>
          <w:color w:val="auto"/>
          <w:sz w:val="28"/>
          <w:szCs w:val="28"/>
          <w:highlight w:val="none"/>
        </w:rPr>
        <w:br w:type="page"/>
      </w:r>
    </w:p>
    <w:p>
      <w:pPr>
        <w:pStyle w:val="2"/>
        <w:rPr>
          <w:rFonts w:ascii="Arial" w:hAnsi="Arial" w:cs="Arial"/>
          <w:color w:val="auto"/>
          <w:highlight w:val="none"/>
        </w:rPr>
      </w:pPr>
    </w:p>
    <w:p>
      <w:pPr>
        <w:autoSpaceDE w:val="0"/>
        <w:autoSpaceDN w:val="0"/>
        <w:adjustRightInd w:val="0"/>
        <w:snapToGrid w:val="0"/>
        <w:spacing w:line="360" w:lineRule="auto"/>
        <w:jc w:val="both"/>
        <w:rPr>
          <w:rFonts w:ascii="宋体" w:cs="MingLiU_x0004_falt"/>
          <w:b/>
          <w:color w:val="auto"/>
          <w:kern w:val="0"/>
          <w:sz w:val="28"/>
          <w:szCs w:val="28"/>
          <w:highlight w:val="none"/>
        </w:rPr>
      </w:pPr>
      <w:r>
        <w:rPr>
          <w:rFonts w:hint="eastAsia" w:ascii="宋体" w:hAnsi="宋体" w:cs="MingLiU_x0004_falt"/>
          <w:b/>
          <w:color w:val="auto"/>
          <w:kern w:val="0"/>
          <w:sz w:val="28"/>
          <w:szCs w:val="28"/>
          <w:highlight w:val="none"/>
          <w:lang w:val="en-US" w:eastAsia="zh-CN"/>
        </w:rPr>
        <w:t>5.</w:t>
      </w:r>
      <w:r>
        <w:rPr>
          <w:rFonts w:hint="eastAsia" w:ascii="宋体" w:hAnsi="宋体" w:cs="MingLiU_x0004_falt"/>
          <w:b/>
          <w:color w:val="auto"/>
          <w:kern w:val="0"/>
          <w:sz w:val="28"/>
          <w:szCs w:val="28"/>
          <w:highlight w:val="none"/>
        </w:rPr>
        <w:t>拟派往本项目主要人员情况表及附件</w:t>
      </w:r>
    </w:p>
    <w:p>
      <w:pPr>
        <w:rPr>
          <w:rFonts w:ascii="宋体"/>
          <w:color w:val="auto"/>
          <w:highlight w:val="none"/>
        </w:rPr>
      </w:pPr>
    </w:p>
    <w:tbl>
      <w:tblPr>
        <w:tblStyle w:val="11"/>
        <w:tblW w:w="8523" w:type="dxa"/>
        <w:tblInd w:w="102" w:type="dxa"/>
        <w:tblLayout w:type="fixed"/>
        <w:tblCellMar>
          <w:top w:w="0" w:type="dxa"/>
          <w:left w:w="0" w:type="dxa"/>
          <w:bottom w:w="0" w:type="dxa"/>
          <w:right w:w="0" w:type="dxa"/>
        </w:tblCellMar>
      </w:tblPr>
      <w:tblGrid>
        <w:gridCol w:w="1186"/>
        <w:gridCol w:w="360"/>
        <w:gridCol w:w="720"/>
        <w:gridCol w:w="926"/>
        <w:gridCol w:w="1066"/>
        <w:gridCol w:w="708"/>
        <w:gridCol w:w="1260"/>
        <w:gridCol w:w="162"/>
        <w:gridCol w:w="2135"/>
      </w:tblGrid>
      <w:tr>
        <w:tblPrEx>
          <w:tblLayout w:type="fixed"/>
          <w:tblCellMar>
            <w:top w:w="0" w:type="dxa"/>
            <w:left w:w="0" w:type="dxa"/>
            <w:bottom w:w="0" w:type="dxa"/>
            <w:right w:w="0" w:type="dxa"/>
          </w:tblCellMar>
        </w:tblPrEx>
        <w:trPr>
          <w:trHeight w:val="646" w:hRule="exact"/>
        </w:trPr>
        <w:tc>
          <w:tcPr>
            <w:tcW w:w="1186" w:type="dxa"/>
            <w:tcBorders>
              <w:top w:val="single" w:color="000000" w:sz="4" w:space="0"/>
              <w:left w:val="single" w:color="000000" w:sz="4" w:space="0"/>
              <w:bottom w:val="single" w:color="000000" w:sz="4" w:space="0"/>
              <w:right w:val="single" w:color="000000" w:sz="4" w:space="0"/>
            </w:tcBorders>
            <w:vAlign w:val="center"/>
          </w:tcPr>
          <w:p>
            <w:pPr>
              <w:tabs>
                <w:tab w:val="left" w:pos="520"/>
              </w:tabs>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姓</w:t>
            </w:r>
            <w:r>
              <w:rPr>
                <w:rFonts w:ascii="宋体"/>
                <w:color w:val="auto"/>
                <w:kern w:val="0"/>
                <w:szCs w:val="21"/>
                <w:highlight w:val="none"/>
              </w:rPr>
              <w:tab/>
            </w:r>
            <w:r>
              <w:rPr>
                <w:rFonts w:hint="eastAsia" w:ascii="宋体" w:hAnsi="宋体" w:cs="MingLiU_x0004_falt"/>
                <w:color w:val="auto"/>
                <w:kern w:val="0"/>
                <w:szCs w:val="21"/>
                <w:highlight w:val="none"/>
              </w:rPr>
              <w:t>名</w:t>
            </w:r>
          </w:p>
        </w:tc>
        <w:tc>
          <w:tcPr>
            <w:tcW w:w="108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p>
        </w:tc>
        <w:tc>
          <w:tcPr>
            <w:tcW w:w="9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年龄</w:t>
            </w:r>
          </w:p>
        </w:tc>
        <w:tc>
          <w:tcPr>
            <w:tcW w:w="10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p>
        </w:tc>
        <w:tc>
          <w:tcPr>
            <w:tcW w:w="213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学历</w:t>
            </w:r>
          </w:p>
        </w:tc>
        <w:tc>
          <w:tcPr>
            <w:tcW w:w="2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p>
        </w:tc>
      </w:tr>
      <w:tr>
        <w:tblPrEx>
          <w:tblLayout w:type="fixed"/>
          <w:tblCellMar>
            <w:top w:w="0" w:type="dxa"/>
            <w:left w:w="0" w:type="dxa"/>
            <w:bottom w:w="0" w:type="dxa"/>
            <w:right w:w="0" w:type="dxa"/>
          </w:tblCellMar>
        </w:tblPrEx>
        <w:trPr>
          <w:trHeight w:val="1933" w:hRule="exact"/>
        </w:trPr>
        <w:tc>
          <w:tcPr>
            <w:tcW w:w="1186" w:type="dxa"/>
            <w:tcBorders>
              <w:top w:val="single" w:color="000000" w:sz="4" w:space="0"/>
              <w:left w:val="single" w:color="000000" w:sz="4" w:space="0"/>
              <w:bottom w:val="single" w:color="000000" w:sz="4" w:space="0"/>
              <w:right w:val="single" w:color="000000" w:sz="4" w:space="0"/>
            </w:tcBorders>
            <w:vAlign w:val="center"/>
          </w:tcPr>
          <w:p>
            <w:pPr>
              <w:tabs>
                <w:tab w:val="left" w:pos="520"/>
              </w:tabs>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从事专业和职称情况</w:t>
            </w:r>
          </w:p>
        </w:tc>
        <w:tc>
          <w:tcPr>
            <w:tcW w:w="108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p>
        </w:tc>
        <w:tc>
          <w:tcPr>
            <w:tcW w:w="9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r>
              <w:rPr>
                <w:rFonts w:hint="eastAsia" w:ascii="宋体"/>
                <w:color w:val="auto"/>
                <w:kern w:val="0"/>
                <w:sz w:val="24"/>
                <w:highlight w:val="none"/>
              </w:rPr>
              <w:t>执业资格证情况</w:t>
            </w:r>
          </w:p>
        </w:tc>
        <w:tc>
          <w:tcPr>
            <w:tcW w:w="10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p>
        </w:tc>
        <w:tc>
          <w:tcPr>
            <w:tcW w:w="213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hAnsi="宋体" w:cs="MingLiU_x0004_falt"/>
                <w:color w:val="auto"/>
                <w:kern w:val="0"/>
                <w:szCs w:val="21"/>
                <w:highlight w:val="none"/>
              </w:rPr>
            </w:pPr>
            <w:r>
              <w:rPr>
                <w:rFonts w:hint="eastAsia" w:ascii="宋体" w:hAnsi="宋体" w:cs="MingLiU_x0004_falt"/>
                <w:color w:val="auto"/>
                <w:kern w:val="0"/>
                <w:szCs w:val="21"/>
                <w:highlight w:val="none"/>
              </w:rPr>
              <w:t>承诺在本合同</w:t>
            </w:r>
          </w:p>
          <w:p>
            <w:pPr>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所担任职务</w:t>
            </w:r>
          </w:p>
        </w:tc>
        <w:tc>
          <w:tcPr>
            <w:tcW w:w="2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p>
        </w:tc>
      </w:tr>
      <w:tr>
        <w:tblPrEx>
          <w:tblLayout w:type="fixed"/>
          <w:tblCellMar>
            <w:top w:w="0" w:type="dxa"/>
            <w:left w:w="0" w:type="dxa"/>
            <w:bottom w:w="0" w:type="dxa"/>
            <w:right w:w="0" w:type="dxa"/>
          </w:tblCellMar>
        </w:tblPrEx>
        <w:trPr>
          <w:trHeight w:val="450" w:hRule="exact"/>
        </w:trPr>
        <w:tc>
          <w:tcPr>
            <w:tcW w:w="8523" w:type="dxa"/>
            <w:gridSpan w:val="9"/>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r>
              <w:rPr>
                <w:rFonts w:hint="eastAsia" w:ascii="宋体" w:hAnsi="宋体"/>
                <w:color w:val="auto"/>
                <w:kern w:val="0"/>
                <w:sz w:val="24"/>
                <w:highlight w:val="none"/>
              </w:rPr>
              <w:t>承担项目一览表</w:t>
            </w:r>
          </w:p>
        </w:tc>
      </w:tr>
      <w:tr>
        <w:tblPrEx>
          <w:tblLayout w:type="fixed"/>
          <w:tblCellMar>
            <w:top w:w="0" w:type="dxa"/>
            <w:left w:w="0" w:type="dxa"/>
            <w:bottom w:w="0" w:type="dxa"/>
            <w:right w:w="0" w:type="dxa"/>
          </w:tblCellMar>
        </w:tblPrEx>
        <w:trPr>
          <w:trHeight w:val="450" w:hRule="exact"/>
        </w:trPr>
        <w:tc>
          <w:tcPr>
            <w:tcW w:w="1546" w:type="dxa"/>
            <w:gridSpan w:val="2"/>
            <w:tcBorders>
              <w:top w:val="single" w:color="000000" w:sz="4" w:space="0"/>
              <w:left w:val="single" w:color="000000" w:sz="4" w:space="0"/>
              <w:bottom w:val="single" w:color="000000" w:sz="4" w:space="0"/>
              <w:right w:val="single" w:color="000000" w:sz="4" w:space="0"/>
            </w:tcBorders>
            <w:vAlign w:val="center"/>
          </w:tcPr>
          <w:p>
            <w:pPr>
              <w:tabs>
                <w:tab w:val="left" w:pos="520"/>
              </w:tabs>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时</w:t>
            </w:r>
            <w:r>
              <w:rPr>
                <w:rFonts w:ascii="宋体"/>
                <w:color w:val="auto"/>
                <w:kern w:val="0"/>
                <w:szCs w:val="21"/>
                <w:highlight w:val="none"/>
              </w:rPr>
              <w:tab/>
            </w:r>
            <w:r>
              <w:rPr>
                <w:rFonts w:hint="eastAsia" w:ascii="宋体" w:hAnsi="宋体" w:cs="MingLiU_x0004_falt"/>
                <w:color w:val="auto"/>
                <w:kern w:val="0"/>
                <w:szCs w:val="21"/>
                <w:highlight w:val="none"/>
              </w:rPr>
              <w:t>间</w:t>
            </w:r>
          </w:p>
        </w:tc>
        <w:tc>
          <w:tcPr>
            <w:tcW w:w="342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参加过的类似项目（从业业绩）</w:t>
            </w:r>
          </w:p>
        </w:tc>
        <w:tc>
          <w:tcPr>
            <w:tcW w:w="126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担任职务</w:t>
            </w:r>
          </w:p>
        </w:tc>
        <w:tc>
          <w:tcPr>
            <w:tcW w:w="22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jc w:val="center"/>
              <w:rPr>
                <w:rFonts w:ascii="宋体"/>
                <w:color w:val="auto"/>
                <w:kern w:val="0"/>
                <w:sz w:val="24"/>
                <w:highlight w:val="none"/>
              </w:rPr>
            </w:pPr>
            <w:r>
              <w:rPr>
                <w:rFonts w:hint="eastAsia" w:ascii="宋体" w:hAnsi="宋体" w:cs="MingLiU_x0004_falt"/>
                <w:color w:val="auto"/>
                <w:kern w:val="0"/>
                <w:szCs w:val="21"/>
                <w:highlight w:val="none"/>
              </w:rPr>
              <w:t>其发包人及联系电话</w:t>
            </w:r>
          </w:p>
        </w:tc>
      </w:tr>
      <w:tr>
        <w:tblPrEx>
          <w:tblLayout w:type="fixed"/>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r>
        <w:tblPrEx>
          <w:tblLayout w:type="fixed"/>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r>
        <w:tblPrEx>
          <w:tblLayout w:type="fixed"/>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r>
        <w:tblPrEx>
          <w:tblLayout w:type="fixed"/>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r>
        <w:tblPrEx>
          <w:tblLayout w:type="fixed"/>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r>
        <w:tblPrEx>
          <w:tblLayout w:type="fixed"/>
          <w:tblCellMar>
            <w:top w:w="0" w:type="dxa"/>
            <w:left w:w="0" w:type="dxa"/>
            <w:bottom w:w="0" w:type="dxa"/>
            <w:right w:w="0" w:type="dxa"/>
          </w:tblCellMar>
        </w:tblPrEx>
        <w:trPr>
          <w:trHeight w:val="700"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r>
        <w:tblPrEx>
          <w:tblLayout w:type="fixed"/>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r>
        <w:tblPrEx>
          <w:tblLayout w:type="fixed"/>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r>
        <w:tblPrEx>
          <w:tblLayout w:type="fixed"/>
          <w:tblCellMar>
            <w:top w:w="0" w:type="dxa"/>
            <w:left w:w="0" w:type="dxa"/>
            <w:bottom w:w="0" w:type="dxa"/>
            <w:right w:w="0" w:type="dxa"/>
          </w:tblCellMar>
        </w:tblPrEx>
        <w:trPr>
          <w:trHeight w:val="701" w:hRule="exact"/>
        </w:trPr>
        <w:tc>
          <w:tcPr>
            <w:tcW w:w="1546"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3420" w:type="dxa"/>
            <w:gridSpan w:val="4"/>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12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c>
          <w:tcPr>
            <w:tcW w:w="229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jc w:val="left"/>
              <w:rPr>
                <w:rFonts w:ascii="宋体"/>
                <w:color w:val="auto"/>
                <w:kern w:val="0"/>
                <w:sz w:val="24"/>
                <w:highlight w:val="none"/>
              </w:rPr>
            </w:pPr>
          </w:p>
        </w:tc>
      </w:tr>
    </w:tbl>
    <w:p>
      <w:pPr>
        <w:pStyle w:val="2"/>
        <w:rPr>
          <w:rFonts w:eastAsiaTheme="minorEastAsia"/>
          <w:color w:val="auto"/>
          <w:highlight w:val="none"/>
        </w:rPr>
      </w:pPr>
      <w:r>
        <w:rPr>
          <w:rFonts w:hint="eastAsia" w:eastAsiaTheme="minorEastAsia"/>
          <w:color w:val="auto"/>
          <w:highlight w:val="none"/>
        </w:rPr>
        <w:t>附件需提供：</w:t>
      </w:r>
    </w:p>
    <w:p>
      <w:pPr>
        <w:pStyle w:val="2"/>
        <w:rPr>
          <w:rFonts w:hint="eastAsia" w:eastAsiaTheme="minorEastAsia"/>
          <w:color w:val="auto"/>
          <w:highlight w:val="none"/>
        </w:rPr>
      </w:pPr>
      <w:r>
        <w:rPr>
          <w:rFonts w:hint="eastAsia" w:ascii="宋体" w:hAnsi="宋体" w:eastAsia="宋体" w:cs="宋体"/>
          <w:color w:val="auto"/>
          <w:highlight w:val="none"/>
        </w:rPr>
        <w:t>1.</w:t>
      </w:r>
      <w:r>
        <w:rPr>
          <w:rFonts w:hint="eastAsia" w:eastAsiaTheme="minorEastAsia"/>
          <w:color w:val="auto"/>
          <w:highlight w:val="none"/>
        </w:rPr>
        <w:t>拟派本工程项目负责人相应证书（职称证、执业资格证及社保证明）</w:t>
      </w:r>
    </w:p>
    <w:p>
      <w:pPr>
        <w:pStyle w:val="2"/>
        <w:rPr>
          <w:rFonts w:hint="eastAsia" w:eastAsiaTheme="minorEastAsia"/>
          <w:color w:val="auto"/>
          <w:highlight w:val="none"/>
        </w:rPr>
      </w:pPr>
      <w:r>
        <w:rPr>
          <w:rFonts w:hint="eastAsia" w:ascii="宋体" w:hAnsi="宋体" w:eastAsia="宋体" w:cs="宋体"/>
          <w:color w:val="auto"/>
          <w:highlight w:val="none"/>
        </w:rPr>
        <w:t>2.</w:t>
      </w:r>
      <w:r>
        <w:rPr>
          <w:rFonts w:hint="eastAsia" w:eastAsiaTheme="minorEastAsia"/>
          <w:color w:val="auto"/>
          <w:highlight w:val="none"/>
        </w:rPr>
        <w:t>拟派本工程</w:t>
      </w:r>
      <w:r>
        <w:rPr>
          <w:rFonts w:hint="eastAsia" w:eastAsiaTheme="minorEastAsia"/>
          <w:color w:val="auto"/>
          <w:highlight w:val="none"/>
          <w:lang w:eastAsia="zh-CN"/>
        </w:rPr>
        <w:t>各</w:t>
      </w:r>
      <w:r>
        <w:rPr>
          <w:rFonts w:hint="eastAsia" w:eastAsiaTheme="minorEastAsia"/>
          <w:color w:val="auto"/>
          <w:highlight w:val="none"/>
        </w:rPr>
        <w:t>交通专业负责人（至少包含道路、桥梁、建筑、造价专业）相应证书（职称证、执业资格证及社保证明）</w:t>
      </w:r>
    </w:p>
    <w:p>
      <w:pPr>
        <w:pStyle w:val="2"/>
        <w:ind w:firstLine="236" w:firstLineChars="98"/>
        <w:rPr>
          <w:rFonts w:hint="eastAsia" w:eastAsiaTheme="minorEastAsia"/>
          <w:color w:val="auto"/>
          <w:highlight w:val="none"/>
        </w:rPr>
      </w:pPr>
      <w:r>
        <w:rPr>
          <w:rFonts w:hint="eastAsia" w:eastAsiaTheme="minorEastAsia"/>
          <w:color w:val="auto"/>
          <w:highlight w:val="none"/>
        </w:rPr>
        <w:t>以上从业业绩填写必须真实有效，否则取消其中标资格。</w:t>
      </w:r>
    </w:p>
    <w:p>
      <w:pPr>
        <w:rPr>
          <w:color w:val="auto"/>
          <w:highlight w:val="none"/>
        </w:rPr>
        <w:sectPr>
          <w:footerReference r:id="rId5" w:type="default"/>
          <w:pgSz w:w="11906" w:h="16838"/>
          <w:pgMar w:top="1440" w:right="1800" w:bottom="1440" w:left="1380" w:header="851" w:footer="992" w:gutter="0"/>
          <w:pgNumType w:fmt="decimal"/>
          <w:cols w:space="720" w:num="1"/>
          <w:docGrid w:type="lines" w:linePitch="312" w:charSpace="0"/>
        </w:sectPr>
      </w:pPr>
    </w:p>
    <w:p>
      <w:pPr>
        <w:pStyle w:val="2"/>
        <w:jc w:val="both"/>
        <w:rPr>
          <w:color w:val="auto"/>
          <w:highlight w:val="none"/>
        </w:rPr>
      </w:pPr>
      <w:r>
        <w:rPr>
          <w:rFonts w:hint="eastAsia" w:ascii="宋体" w:hAnsi="宋体" w:eastAsia="微软雅黑" w:cs="MingLiU_x0004_falt"/>
          <w:bCs w:val="0"/>
          <w:color w:val="auto"/>
          <w:sz w:val="28"/>
          <w:highlight w:val="none"/>
          <w:lang w:val="en-US" w:eastAsia="zh-CN"/>
        </w:rPr>
        <w:t>6.</w:t>
      </w:r>
      <w:r>
        <w:rPr>
          <w:rFonts w:hint="eastAsia" w:ascii="宋体" w:hAnsi="宋体" w:eastAsia="微软雅黑" w:cs="MingLiU_x0004_falt"/>
          <w:bCs w:val="0"/>
          <w:color w:val="auto"/>
          <w:sz w:val="28"/>
          <w:highlight w:val="none"/>
        </w:rPr>
        <w:t>拟派往本项目主要人员情况汇总表</w:t>
      </w:r>
    </w:p>
    <w:p>
      <w:pPr>
        <w:tabs>
          <w:tab w:val="left" w:pos="900"/>
          <w:tab w:val="left" w:pos="1080"/>
        </w:tabs>
        <w:spacing w:line="300" w:lineRule="auto"/>
        <w:jc w:val="left"/>
        <w:outlineLvl w:val="0"/>
        <w:rPr>
          <w:rFonts w:ascii="Arial" w:hAnsi="Arial" w:cs="Arial"/>
          <w:b/>
          <w:color w:val="auto"/>
          <w:sz w:val="24"/>
          <w:highlight w:val="none"/>
        </w:rPr>
      </w:pPr>
    </w:p>
    <w:p>
      <w:pPr>
        <w:tabs>
          <w:tab w:val="left" w:pos="900"/>
          <w:tab w:val="left" w:pos="1080"/>
        </w:tabs>
        <w:spacing w:line="300" w:lineRule="auto"/>
        <w:jc w:val="left"/>
        <w:outlineLvl w:val="0"/>
        <w:rPr>
          <w:rFonts w:ascii="Arial" w:hAnsi="Arial" w:cs="Arial"/>
          <w:b/>
          <w:color w:val="auto"/>
          <w:sz w:val="24"/>
          <w:highlight w:val="none"/>
        </w:rPr>
      </w:pPr>
    </w:p>
    <w:tbl>
      <w:tblPr>
        <w:tblStyle w:val="12"/>
        <w:tblW w:w="13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547"/>
        <w:gridCol w:w="1721"/>
        <w:gridCol w:w="2072"/>
        <w:gridCol w:w="2944"/>
        <w:gridCol w:w="2644"/>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tcPr>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序</w:t>
            </w:r>
          </w:p>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号</w:t>
            </w:r>
          </w:p>
        </w:tc>
        <w:tc>
          <w:tcPr>
            <w:tcW w:w="1547" w:type="dxa"/>
          </w:tcPr>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人员</w:t>
            </w:r>
          </w:p>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姓名</w:t>
            </w:r>
          </w:p>
        </w:tc>
        <w:tc>
          <w:tcPr>
            <w:tcW w:w="1721" w:type="dxa"/>
          </w:tcPr>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本项目中</w:t>
            </w:r>
          </w:p>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拟任职务</w:t>
            </w:r>
          </w:p>
        </w:tc>
        <w:tc>
          <w:tcPr>
            <w:tcW w:w="2072" w:type="dxa"/>
          </w:tcPr>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专业</w:t>
            </w:r>
          </w:p>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及职称</w:t>
            </w:r>
          </w:p>
        </w:tc>
        <w:tc>
          <w:tcPr>
            <w:tcW w:w="2944" w:type="dxa"/>
          </w:tcPr>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有关执</w:t>
            </w:r>
          </w:p>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业资格</w:t>
            </w:r>
          </w:p>
        </w:tc>
        <w:tc>
          <w:tcPr>
            <w:tcW w:w="2644" w:type="dxa"/>
          </w:tcPr>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有关</w:t>
            </w:r>
          </w:p>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工作年限</w:t>
            </w:r>
          </w:p>
        </w:tc>
        <w:tc>
          <w:tcPr>
            <w:tcW w:w="2137" w:type="dxa"/>
          </w:tcPr>
          <w:p>
            <w:pPr>
              <w:tabs>
                <w:tab w:val="left" w:pos="900"/>
                <w:tab w:val="left" w:pos="1080"/>
              </w:tabs>
              <w:spacing w:line="300" w:lineRule="auto"/>
              <w:jc w:val="center"/>
              <w:outlineLvl w:val="0"/>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tcPr>
          <w:p>
            <w:pPr>
              <w:tabs>
                <w:tab w:val="left" w:pos="900"/>
                <w:tab w:val="left" w:pos="1080"/>
              </w:tabs>
              <w:spacing w:line="300" w:lineRule="auto"/>
              <w:outlineLvl w:val="0"/>
              <w:rPr>
                <w:b/>
                <w:color w:val="auto"/>
                <w:sz w:val="28"/>
                <w:szCs w:val="28"/>
                <w:highlight w:val="none"/>
              </w:rPr>
            </w:pPr>
          </w:p>
        </w:tc>
        <w:tc>
          <w:tcPr>
            <w:tcW w:w="1547" w:type="dxa"/>
          </w:tcPr>
          <w:p>
            <w:pPr>
              <w:tabs>
                <w:tab w:val="left" w:pos="900"/>
                <w:tab w:val="left" w:pos="1080"/>
              </w:tabs>
              <w:spacing w:line="300" w:lineRule="auto"/>
              <w:outlineLvl w:val="0"/>
              <w:rPr>
                <w:b/>
                <w:color w:val="auto"/>
                <w:sz w:val="28"/>
                <w:szCs w:val="28"/>
                <w:highlight w:val="none"/>
              </w:rPr>
            </w:pPr>
          </w:p>
        </w:tc>
        <w:tc>
          <w:tcPr>
            <w:tcW w:w="1721" w:type="dxa"/>
          </w:tcPr>
          <w:p>
            <w:pPr>
              <w:tabs>
                <w:tab w:val="left" w:pos="900"/>
                <w:tab w:val="left" w:pos="1080"/>
              </w:tabs>
              <w:spacing w:line="300" w:lineRule="auto"/>
              <w:outlineLvl w:val="0"/>
              <w:rPr>
                <w:b/>
                <w:color w:val="auto"/>
                <w:sz w:val="28"/>
                <w:szCs w:val="28"/>
                <w:highlight w:val="none"/>
              </w:rPr>
            </w:pPr>
          </w:p>
        </w:tc>
        <w:tc>
          <w:tcPr>
            <w:tcW w:w="2072" w:type="dxa"/>
          </w:tcPr>
          <w:p>
            <w:pPr>
              <w:tabs>
                <w:tab w:val="left" w:pos="900"/>
                <w:tab w:val="left" w:pos="1080"/>
              </w:tabs>
              <w:spacing w:line="300" w:lineRule="auto"/>
              <w:outlineLvl w:val="0"/>
              <w:rPr>
                <w:b/>
                <w:color w:val="auto"/>
                <w:sz w:val="28"/>
                <w:szCs w:val="28"/>
                <w:highlight w:val="none"/>
              </w:rPr>
            </w:pPr>
          </w:p>
        </w:tc>
        <w:tc>
          <w:tcPr>
            <w:tcW w:w="2944" w:type="dxa"/>
          </w:tcPr>
          <w:p>
            <w:pPr>
              <w:tabs>
                <w:tab w:val="left" w:pos="900"/>
                <w:tab w:val="left" w:pos="1080"/>
              </w:tabs>
              <w:spacing w:line="300" w:lineRule="auto"/>
              <w:outlineLvl w:val="0"/>
              <w:rPr>
                <w:b/>
                <w:color w:val="auto"/>
                <w:sz w:val="28"/>
                <w:szCs w:val="28"/>
                <w:highlight w:val="none"/>
              </w:rPr>
            </w:pPr>
          </w:p>
        </w:tc>
        <w:tc>
          <w:tcPr>
            <w:tcW w:w="2644" w:type="dxa"/>
          </w:tcPr>
          <w:p>
            <w:pPr>
              <w:tabs>
                <w:tab w:val="left" w:pos="900"/>
                <w:tab w:val="left" w:pos="1080"/>
              </w:tabs>
              <w:spacing w:line="300" w:lineRule="auto"/>
              <w:outlineLvl w:val="0"/>
              <w:rPr>
                <w:b/>
                <w:color w:val="auto"/>
                <w:sz w:val="28"/>
                <w:szCs w:val="28"/>
                <w:highlight w:val="none"/>
              </w:rPr>
            </w:pPr>
          </w:p>
        </w:tc>
        <w:tc>
          <w:tcPr>
            <w:tcW w:w="2137" w:type="dxa"/>
          </w:tcPr>
          <w:p>
            <w:pPr>
              <w:tabs>
                <w:tab w:val="left" w:pos="900"/>
                <w:tab w:val="left" w:pos="1080"/>
              </w:tabs>
              <w:spacing w:line="300" w:lineRule="auto"/>
              <w:outlineLvl w:val="0"/>
              <w:rPr>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tcPr>
          <w:p>
            <w:pPr>
              <w:tabs>
                <w:tab w:val="left" w:pos="900"/>
                <w:tab w:val="left" w:pos="1080"/>
              </w:tabs>
              <w:spacing w:line="300" w:lineRule="auto"/>
              <w:outlineLvl w:val="0"/>
              <w:rPr>
                <w:b/>
                <w:color w:val="auto"/>
                <w:sz w:val="28"/>
                <w:szCs w:val="28"/>
                <w:highlight w:val="none"/>
              </w:rPr>
            </w:pPr>
          </w:p>
        </w:tc>
        <w:tc>
          <w:tcPr>
            <w:tcW w:w="1547" w:type="dxa"/>
          </w:tcPr>
          <w:p>
            <w:pPr>
              <w:tabs>
                <w:tab w:val="left" w:pos="900"/>
                <w:tab w:val="left" w:pos="1080"/>
              </w:tabs>
              <w:spacing w:line="300" w:lineRule="auto"/>
              <w:outlineLvl w:val="0"/>
              <w:rPr>
                <w:b/>
                <w:color w:val="auto"/>
                <w:sz w:val="28"/>
                <w:szCs w:val="28"/>
                <w:highlight w:val="none"/>
              </w:rPr>
            </w:pPr>
          </w:p>
        </w:tc>
        <w:tc>
          <w:tcPr>
            <w:tcW w:w="1721" w:type="dxa"/>
          </w:tcPr>
          <w:p>
            <w:pPr>
              <w:tabs>
                <w:tab w:val="left" w:pos="900"/>
                <w:tab w:val="left" w:pos="1080"/>
              </w:tabs>
              <w:spacing w:line="300" w:lineRule="auto"/>
              <w:outlineLvl w:val="0"/>
              <w:rPr>
                <w:b/>
                <w:color w:val="auto"/>
                <w:sz w:val="28"/>
                <w:szCs w:val="28"/>
                <w:highlight w:val="none"/>
              </w:rPr>
            </w:pPr>
          </w:p>
        </w:tc>
        <w:tc>
          <w:tcPr>
            <w:tcW w:w="2072" w:type="dxa"/>
          </w:tcPr>
          <w:p>
            <w:pPr>
              <w:tabs>
                <w:tab w:val="left" w:pos="900"/>
                <w:tab w:val="left" w:pos="1080"/>
              </w:tabs>
              <w:spacing w:line="300" w:lineRule="auto"/>
              <w:outlineLvl w:val="0"/>
              <w:rPr>
                <w:b/>
                <w:color w:val="auto"/>
                <w:sz w:val="28"/>
                <w:szCs w:val="28"/>
                <w:highlight w:val="none"/>
              </w:rPr>
            </w:pPr>
          </w:p>
        </w:tc>
        <w:tc>
          <w:tcPr>
            <w:tcW w:w="2944" w:type="dxa"/>
          </w:tcPr>
          <w:p>
            <w:pPr>
              <w:tabs>
                <w:tab w:val="left" w:pos="900"/>
                <w:tab w:val="left" w:pos="1080"/>
              </w:tabs>
              <w:spacing w:line="300" w:lineRule="auto"/>
              <w:outlineLvl w:val="0"/>
              <w:rPr>
                <w:b/>
                <w:color w:val="auto"/>
                <w:sz w:val="28"/>
                <w:szCs w:val="28"/>
                <w:highlight w:val="none"/>
              </w:rPr>
            </w:pPr>
          </w:p>
        </w:tc>
        <w:tc>
          <w:tcPr>
            <w:tcW w:w="2644" w:type="dxa"/>
          </w:tcPr>
          <w:p>
            <w:pPr>
              <w:tabs>
                <w:tab w:val="left" w:pos="900"/>
                <w:tab w:val="left" w:pos="1080"/>
              </w:tabs>
              <w:spacing w:line="300" w:lineRule="auto"/>
              <w:outlineLvl w:val="0"/>
              <w:rPr>
                <w:b/>
                <w:color w:val="auto"/>
                <w:sz w:val="28"/>
                <w:szCs w:val="28"/>
                <w:highlight w:val="none"/>
              </w:rPr>
            </w:pPr>
          </w:p>
        </w:tc>
        <w:tc>
          <w:tcPr>
            <w:tcW w:w="2137" w:type="dxa"/>
          </w:tcPr>
          <w:p>
            <w:pPr>
              <w:tabs>
                <w:tab w:val="left" w:pos="900"/>
                <w:tab w:val="left" w:pos="1080"/>
              </w:tabs>
              <w:spacing w:line="300" w:lineRule="auto"/>
              <w:outlineLvl w:val="0"/>
              <w:rPr>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tcPr>
          <w:p>
            <w:pPr>
              <w:tabs>
                <w:tab w:val="left" w:pos="900"/>
                <w:tab w:val="left" w:pos="1080"/>
              </w:tabs>
              <w:spacing w:line="300" w:lineRule="auto"/>
              <w:outlineLvl w:val="0"/>
              <w:rPr>
                <w:b/>
                <w:color w:val="auto"/>
                <w:sz w:val="28"/>
                <w:szCs w:val="28"/>
                <w:highlight w:val="none"/>
              </w:rPr>
            </w:pPr>
          </w:p>
        </w:tc>
        <w:tc>
          <w:tcPr>
            <w:tcW w:w="1547" w:type="dxa"/>
          </w:tcPr>
          <w:p>
            <w:pPr>
              <w:tabs>
                <w:tab w:val="left" w:pos="900"/>
                <w:tab w:val="left" w:pos="1080"/>
              </w:tabs>
              <w:spacing w:line="300" w:lineRule="auto"/>
              <w:outlineLvl w:val="0"/>
              <w:rPr>
                <w:b/>
                <w:color w:val="auto"/>
                <w:sz w:val="28"/>
                <w:szCs w:val="28"/>
                <w:highlight w:val="none"/>
              </w:rPr>
            </w:pPr>
          </w:p>
        </w:tc>
        <w:tc>
          <w:tcPr>
            <w:tcW w:w="1721" w:type="dxa"/>
          </w:tcPr>
          <w:p>
            <w:pPr>
              <w:tabs>
                <w:tab w:val="left" w:pos="900"/>
                <w:tab w:val="left" w:pos="1080"/>
              </w:tabs>
              <w:spacing w:line="300" w:lineRule="auto"/>
              <w:outlineLvl w:val="0"/>
              <w:rPr>
                <w:b/>
                <w:color w:val="auto"/>
                <w:sz w:val="28"/>
                <w:szCs w:val="28"/>
                <w:highlight w:val="none"/>
              </w:rPr>
            </w:pPr>
          </w:p>
        </w:tc>
        <w:tc>
          <w:tcPr>
            <w:tcW w:w="2072" w:type="dxa"/>
          </w:tcPr>
          <w:p>
            <w:pPr>
              <w:tabs>
                <w:tab w:val="left" w:pos="900"/>
                <w:tab w:val="left" w:pos="1080"/>
              </w:tabs>
              <w:spacing w:line="300" w:lineRule="auto"/>
              <w:outlineLvl w:val="0"/>
              <w:rPr>
                <w:b/>
                <w:color w:val="auto"/>
                <w:sz w:val="28"/>
                <w:szCs w:val="28"/>
                <w:highlight w:val="none"/>
              </w:rPr>
            </w:pPr>
          </w:p>
        </w:tc>
        <w:tc>
          <w:tcPr>
            <w:tcW w:w="2944" w:type="dxa"/>
          </w:tcPr>
          <w:p>
            <w:pPr>
              <w:tabs>
                <w:tab w:val="left" w:pos="900"/>
                <w:tab w:val="left" w:pos="1080"/>
              </w:tabs>
              <w:spacing w:line="300" w:lineRule="auto"/>
              <w:outlineLvl w:val="0"/>
              <w:rPr>
                <w:b/>
                <w:color w:val="auto"/>
                <w:sz w:val="28"/>
                <w:szCs w:val="28"/>
                <w:highlight w:val="none"/>
              </w:rPr>
            </w:pPr>
          </w:p>
        </w:tc>
        <w:tc>
          <w:tcPr>
            <w:tcW w:w="2644" w:type="dxa"/>
          </w:tcPr>
          <w:p>
            <w:pPr>
              <w:tabs>
                <w:tab w:val="left" w:pos="900"/>
                <w:tab w:val="left" w:pos="1080"/>
              </w:tabs>
              <w:spacing w:line="300" w:lineRule="auto"/>
              <w:outlineLvl w:val="0"/>
              <w:rPr>
                <w:b/>
                <w:color w:val="auto"/>
                <w:sz w:val="28"/>
                <w:szCs w:val="28"/>
                <w:highlight w:val="none"/>
              </w:rPr>
            </w:pPr>
          </w:p>
        </w:tc>
        <w:tc>
          <w:tcPr>
            <w:tcW w:w="2137" w:type="dxa"/>
          </w:tcPr>
          <w:p>
            <w:pPr>
              <w:tabs>
                <w:tab w:val="left" w:pos="900"/>
                <w:tab w:val="left" w:pos="1080"/>
              </w:tabs>
              <w:spacing w:line="300" w:lineRule="auto"/>
              <w:outlineLvl w:val="0"/>
              <w:rPr>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tcPr>
          <w:p>
            <w:pPr>
              <w:tabs>
                <w:tab w:val="left" w:pos="900"/>
                <w:tab w:val="left" w:pos="1080"/>
              </w:tabs>
              <w:spacing w:line="300" w:lineRule="auto"/>
              <w:outlineLvl w:val="0"/>
              <w:rPr>
                <w:b/>
                <w:color w:val="auto"/>
                <w:sz w:val="28"/>
                <w:szCs w:val="28"/>
                <w:highlight w:val="none"/>
              </w:rPr>
            </w:pPr>
          </w:p>
        </w:tc>
        <w:tc>
          <w:tcPr>
            <w:tcW w:w="1547" w:type="dxa"/>
          </w:tcPr>
          <w:p>
            <w:pPr>
              <w:tabs>
                <w:tab w:val="left" w:pos="900"/>
                <w:tab w:val="left" w:pos="1080"/>
              </w:tabs>
              <w:spacing w:line="300" w:lineRule="auto"/>
              <w:outlineLvl w:val="0"/>
              <w:rPr>
                <w:b/>
                <w:color w:val="auto"/>
                <w:sz w:val="28"/>
                <w:szCs w:val="28"/>
                <w:highlight w:val="none"/>
              </w:rPr>
            </w:pPr>
          </w:p>
        </w:tc>
        <w:tc>
          <w:tcPr>
            <w:tcW w:w="1721" w:type="dxa"/>
          </w:tcPr>
          <w:p>
            <w:pPr>
              <w:tabs>
                <w:tab w:val="left" w:pos="900"/>
                <w:tab w:val="left" w:pos="1080"/>
              </w:tabs>
              <w:spacing w:line="300" w:lineRule="auto"/>
              <w:outlineLvl w:val="0"/>
              <w:rPr>
                <w:b/>
                <w:color w:val="auto"/>
                <w:sz w:val="28"/>
                <w:szCs w:val="28"/>
                <w:highlight w:val="none"/>
              </w:rPr>
            </w:pPr>
          </w:p>
        </w:tc>
        <w:tc>
          <w:tcPr>
            <w:tcW w:w="2072" w:type="dxa"/>
          </w:tcPr>
          <w:p>
            <w:pPr>
              <w:tabs>
                <w:tab w:val="left" w:pos="900"/>
                <w:tab w:val="left" w:pos="1080"/>
              </w:tabs>
              <w:spacing w:line="300" w:lineRule="auto"/>
              <w:outlineLvl w:val="0"/>
              <w:rPr>
                <w:b/>
                <w:color w:val="auto"/>
                <w:sz w:val="28"/>
                <w:szCs w:val="28"/>
                <w:highlight w:val="none"/>
              </w:rPr>
            </w:pPr>
          </w:p>
        </w:tc>
        <w:tc>
          <w:tcPr>
            <w:tcW w:w="2944" w:type="dxa"/>
          </w:tcPr>
          <w:p>
            <w:pPr>
              <w:tabs>
                <w:tab w:val="left" w:pos="900"/>
                <w:tab w:val="left" w:pos="1080"/>
              </w:tabs>
              <w:spacing w:line="300" w:lineRule="auto"/>
              <w:outlineLvl w:val="0"/>
              <w:rPr>
                <w:b/>
                <w:color w:val="auto"/>
                <w:sz w:val="28"/>
                <w:szCs w:val="28"/>
                <w:highlight w:val="none"/>
              </w:rPr>
            </w:pPr>
          </w:p>
        </w:tc>
        <w:tc>
          <w:tcPr>
            <w:tcW w:w="2644" w:type="dxa"/>
          </w:tcPr>
          <w:p>
            <w:pPr>
              <w:tabs>
                <w:tab w:val="left" w:pos="900"/>
                <w:tab w:val="left" w:pos="1080"/>
              </w:tabs>
              <w:spacing w:line="300" w:lineRule="auto"/>
              <w:outlineLvl w:val="0"/>
              <w:rPr>
                <w:b/>
                <w:color w:val="auto"/>
                <w:sz w:val="28"/>
                <w:szCs w:val="28"/>
                <w:highlight w:val="none"/>
              </w:rPr>
            </w:pPr>
          </w:p>
        </w:tc>
        <w:tc>
          <w:tcPr>
            <w:tcW w:w="2137" w:type="dxa"/>
          </w:tcPr>
          <w:p>
            <w:pPr>
              <w:tabs>
                <w:tab w:val="left" w:pos="900"/>
                <w:tab w:val="left" w:pos="1080"/>
              </w:tabs>
              <w:spacing w:line="300" w:lineRule="auto"/>
              <w:outlineLvl w:val="0"/>
              <w:rPr>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tcPr>
          <w:p>
            <w:pPr>
              <w:tabs>
                <w:tab w:val="left" w:pos="900"/>
                <w:tab w:val="left" w:pos="1080"/>
              </w:tabs>
              <w:spacing w:line="300" w:lineRule="auto"/>
              <w:outlineLvl w:val="0"/>
              <w:rPr>
                <w:b/>
                <w:color w:val="auto"/>
                <w:sz w:val="28"/>
                <w:szCs w:val="28"/>
                <w:highlight w:val="none"/>
              </w:rPr>
            </w:pPr>
          </w:p>
        </w:tc>
        <w:tc>
          <w:tcPr>
            <w:tcW w:w="1547" w:type="dxa"/>
          </w:tcPr>
          <w:p>
            <w:pPr>
              <w:tabs>
                <w:tab w:val="left" w:pos="900"/>
                <w:tab w:val="left" w:pos="1080"/>
              </w:tabs>
              <w:spacing w:line="300" w:lineRule="auto"/>
              <w:outlineLvl w:val="0"/>
              <w:rPr>
                <w:b/>
                <w:color w:val="auto"/>
                <w:sz w:val="28"/>
                <w:szCs w:val="28"/>
                <w:highlight w:val="none"/>
              </w:rPr>
            </w:pPr>
          </w:p>
        </w:tc>
        <w:tc>
          <w:tcPr>
            <w:tcW w:w="1721" w:type="dxa"/>
          </w:tcPr>
          <w:p>
            <w:pPr>
              <w:tabs>
                <w:tab w:val="left" w:pos="900"/>
                <w:tab w:val="left" w:pos="1080"/>
              </w:tabs>
              <w:spacing w:line="300" w:lineRule="auto"/>
              <w:outlineLvl w:val="0"/>
              <w:rPr>
                <w:b/>
                <w:color w:val="auto"/>
                <w:sz w:val="28"/>
                <w:szCs w:val="28"/>
                <w:highlight w:val="none"/>
              </w:rPr>
            </w:pPr>
          </w:p>
        </w:tc>
        <w:tc>
          <w:tcPr>
            <w:tcW w:w="2072" w:type="dxa"/>
          </w:tcPr>
          <w:p>
            <w:pPr>
              <w:tabs>
                <w:tab w:val="left" w:pos="900"/>
                <w:tab w:val="left" w:pos="1080"/>
              </w:tabs>
              <w:spacing w:line="300" w:lineRule="auto"/>
              <w:outlineLvl w:val="0"/>
              <w:rPr>
                <w:b/>
                <w:color w:val="auto"/>
                <w:sz w:val="28"/>
                <w:szCs w:val="28"/>
                <w:highlight w:val="none"/>
              </w:rPr>
            </w:pPr>
          </w:p>
        </w:tc>
        <w:tc>
          <w:tcPr>
            <w:tcW w:w="2944" w:type="dxa"/>
          </w:tcPr>
          <w:p>
            <w:pPr>
              <w:tabs>
                <w:tab w:val="left" w:pos="900"/>
                <w:tab w:val="left" w:pos="1080"/>
              </w:tabs>
              <w:spacing w:line="300" w:lineRule="auto"/>
              <w:outlineLvl w:val="0"/>
              <w:rPr>
                <w:b/>
                <w:color w:val="auto"/>
                <w:sz w:val="28"/>
                <w:szCs w:val="28"/>
                <w:highlight w:val="none"/>
              </w:rPr>
            </w:pPr>
          </w:p>
        </w:tc>
        <w:tc>
          <w:tcPr>
            <w:tcW w:w="2644" w:type="dxa"/>
          </w:tcPr>
          <w:p>
            <w:pPr>
              <w:tabs>
                <w:tab w:val="left" w:pos="900"/>
                <w:tab w:val="left" w:pos="1080"/>
              </w:tabs>
              <w:spacing w:line="300" w:lineRule="auto"/>
              <w:outlineLvl w:val="0"/>
              <w:rPr>
                <w:b/>
                <w:color w:val="auto"/>
                <w:sz w:val="28"/>
                <w:szCs w:val="28"/>
                <w:highlight w:val="none"/>
              </w:rPr>
            </w:pPr>
          </w:p>
        </w:tc>
        <w:tc>
          <w:tcPr>
            <w:tcW w:w="2137" w:type="dxa"/>
          </w:tcPr>
          <w:p>
            <w:pPr>
              <w:tabs>
                <w:tab w:val="left" w:pos="900"/>
                <w:tab w:val="left" w:pos="1080"/>
              </w:tabs>
              <w:spacing w:line="300" w:lineRule="auto"/>
              <w:outlineLvl w:val="0"/>
              <w:rPr>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tcPr>
          <w:p>
            <w:pPr>
              <w:tabs>
                <w:tab w:val="left" w:pos="900"/>
                <w:tab w:val="left" w:pos="1080"/>
              </w:tabs>
              <w:spacing w:line="300" w:lineRule="auto"/>
              <w:outlineLvl w:val="0"/>
              <w:rPr>
                <w:b/>
                <w:color w:val="auto"/>
                <w:sz w:val="28"/>
                <w:szCs w:val="28"/>
                <w:highlight w:val="none"/>
              </w:rPr>
            </w:pPr>
          </w:p>
        </w:tc>
        <w:tc>
          <w:tcPr>
            <w:tcW w:w="1547" w:type="dxa"/>
          </w:tcPr>
          <w:p>
            <w:pPr>
              <w:tabs>
                <w:tab w:val="left" w:pos="900"/>
                <w:tab w:val="left" w:pos="1080"/>
              </w:tabs>
              <w:spacing w:line="300" w:lineRule="auto"/>
              <w:outlineLvl w:val="0"/>
              <w:rPr>
                <w:b/>
                <w:color w:val="auto"/>
                <w:sz w:val="28"/>
                <w:szCs w:val="28"/>
                <w:highlight w:val="none"/>
              </w:rPr>
            </w:pPr>
          </w:p>
        </w:tc>
        <w:tc>
          <w:tcPr>
            <w:tcW w:w="1721" w:type="dxa"/>
          </w:tcPr>
          <w:p>
            <w:pPr>
              <w:tabs>
                <w:tab w:val="left" w:pos="900"/>
                <w:tab w:val="left" w:pos="1080"/>
              </w:tabs>
              <w:spacing w:line="300" w:lineRule="auto"/>
              <w:outlineLvl w:val="0"/>
              <w:rPr>
                <w:b/>
                <w:color w:val="auto"/>
                <w:sz w:val="28"/>
                <w:szCs w:val="28"/>
                <w:highlight w:val="none"/>
              </w:rPr>
            </w:pPr>
          </w:p>
        </w:tc>
        <w:tc>
          <w:tcPr>
            <w:tcW w:w="2072" w:type="dxa"/>
          </w:tcPr>
          <w:p>
            <w:pPr>
              <w:tabs>
                <w:tab w:val="left" w:pos="900"/>
                <w:tab w:val="left" w:pos="1080"/>
              </w:tabs>
              <w:spacing w:line="300" w:lineRule="auto"/>
              <w:outlineLvl w:val="0"/>
              <w:rPr>
                <w:b/>
                <w:color w:val="auto"/>
                <w:sz w:val="28"/>
                <w:szCs w:val="28"/>
                <w:highlight w:val="none"/>
              </w:rPr>
            </w:pPr>
          </w:p>
        </w:tc>
        <w:tc>
          <w:tcPr>
            <w:tcW w:w="2944" w:type="dxa"/>
          </w:tcPr>
          <w:p>
            <w:pPr>
              <w:tabs>
                <w:tab w:val="left" w:pos="900"/>
                <w:tab w:val="left" w:pos="1080"/>
              </w:tabs>
              <w:spacing w:line="300" w:lineRule="auto"/>
              <w:outlineLvl w:val="0"/>
              <w:rPr>
                <w:b/>
                <w:color w:val="auto"/>
                <w:sz w:val="28"/>
                <w:szCs w:val="28"/>
                <w:highlight w:val="none"/>
              </w:rPr>
            </w:pPr>
          </w:p>
        </w:tc>
        <w:tc>
          <w:tcPr>
            <w:tcW w:w="2644" w:type="dxa"/>
          </w:tcPr>
          <w:p>
            <w:pPr>
              <w:tabs>
                <w:tab w:val="left" w:pos="900"/>
                <w:tab w:val="left" w:pos="1080"/>
              </w:tabs>
              <w:spacing w:line="300" w:lineRule="auto"/>
              <w:outlineLvl w:val="0"/>
              <w:rPr>
                <w:b/>
                <w:color w:val="auto"/>
                <w:sz w:val="28"/>
                <w:szCs w:val="28"/>
                <w:highlight w:val="none"/>
              </w:rPr>
            </w:pPr>
          </w:p>
        </w:tc>
        <w:tc>
          <w:tcPr>
            <w:tcW w:w="2137" w:type="dxa"/>
          </w:tcPr>
          <w:p>
            <w:pPr>
              <w:tabs>
                <w:tab w:val="left" w:pos="900"/>
                <w:tab w:val="left" w:pos="1080"/>
              </w:tabs>
              <w:spacing w:line="300" w:lineRule="auto"/>
              <w:outlineLvl w:val="0"/>
              <w:rPr>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tcPr>
          <w:p>
            <w:pPr>
              <w:tabs>
                <w:tab w:val="left" w:pos="900"/>
                <w:tab w:val="left" w:pos="1080"/>
              </w:tabs>
              <w:spacing w:line="300" w:lineRule="auto"/>
              <w:outlineLvl w:val="0"/>
              <w:rPr>
                <w:b/>
                <w:color w:val="auto"/>
                <w:sz w:val="28"/>
                <w:szCs w:val="28"/>
                <w:highlight w:val="none"/>
              </w:rPr>
            </w:pPr>
          </w:p>
        </w:tc>
        <w:tc>
          <w:tcPr>
            <w:tcW w:w="1547" w:type="dxa"/>
          </w:tcPr>
          <w:p>
            <w:pPr>
              <w:tabs>
                <w:tab w:val="left" w:pos="900"/>
                <w:tab w:val="left" w:pos="1080"/>
              </w:tabs>
              <w:spacing w:line="300" w:lineRule="auto"/>
              <w:outlineLvl w:val="0"/>
              <w:rPr>
                <w:b/>
                <w:color w:val="auto"/>
                <w:sz w:val="28"/>
                <w:szCs w:val="28"/>
                <w:highlight w:val="none"/>
              </w:rPr>
            </w:pPr>
          </w:p>
        </w:tc>
        <w:tc>
          <w:tcPr>
            <w:tcW w:w="1721" w:type="dxa"/>
          </w:tcPr>
          <w:p>
            <w:pPr>
              <w:tabs>
                <w:tab w:val="left" w:pos="900"/>
                <w:tab w:val="left" w:pos="1080"/>
              </w:tabs>
              <w:spacing w:line="300" w:lineRule="auto"/>
              <w:outlineLvl w:val="0"/>
              <w:rPr>
                <w:b/>
                <w:color w:val="auto"/>
                <w:sz w:val="28"/>
                <w:szCs w:val="28"/>
                <w:highlight w:val="none"/>
              </w:rPr>
            </w:pPr>
          </w:p>
        </w:tc>
        <w:tc>
          <w:tcPr>
            <w:tcW w:w="2072" w:type="dxa"/>
          </w:tcPr>
          <w:p>
            <w:pPr>
              <w:tabs>
                <w:tab w:val="left" w:pos="900"/>
                <w:tab w:val="left" w:pos="1080"/>
              </w:tabs>
              <w:spacing w:line="300" w:lineRule="auto"/>
              <w:outlineLvl w:val="0"/>
              <w:rPr>
                <w:b/>
                <w:color w:val="auto"/>
                <w:sz w:val="28"/>
                <w:szCs w:val="28"/>
                <w:highlight w:val="none"/>
              </w:rPr>
            </w:pPr>
          </w:p>
        </w:tc>
        <w:tc>
          <w:tcPr>
            <w:tcW w:w="2944" w:type="dxa"/>
          </w:tcPr>
          <w:p>
            <w:pPr>
              <w:tabs>
                <w:tab w:val="left" w:pos="900"/>
                <w:tab w:val="left" w:pos="1080"/>
              </w:tabs>
              <w:spacing w:line="300" w:lineRule="auto"/>
              <w:outlineLvl w:val="0"/>
              <w:rPr>
                <w:b/>
                <w:color w:val="auto"/>
                <w:sz w:val="28"/>
                <w:szCs w:val="28"/>
                <w:highlight w:val="none"/>
              </w:rPr>
            </w:pPr>
          </w:p>
        </w:tc>
        <w:tc>
          <w:tcPr>
            <w:tcW w:w="2644" w:type="dxa"/>
          </w:tcPr>
          <w:p>
            <w:pPr>
              <w:tabs>
                <w:tab w:val="left" w:pos="900"/>
                <w:tab w:val="left" w:pos="1080"/>
              </w:tabs>
              <w:spacing w:line="300" w:lineRule="auto"/>
              <w:outlineLvl w:val="0"/>
              <w:rPr>
                <w:b/>
                <w:color w:val="auto"/>
                <w:sz w:val="28"/>
                <w:szCs w:val="28"/>
                <w:highlight w:val="none"/>
              </w:rPr>
            </w:pPr>
          </w:p>
        </w:tc>
        <w:tc>
          <w:tcPr>
            <w:tcW w:w="2137" w:type="dxa"/>
          </w:tcPr>
          <w:p>
            <w:pPr>
              <w:tabs>
                <w:tab w:val="left" w:pos="900"/>
                <w:tab w:val="left" w:pos="1080"/>
              </w:tabs>
              <w:spacing w:line="300" w:lineRule="auto"/>
              <w:outlineLvl w:val="0"/>
              <w:rPr>
                <w:b/>
                <w:color w:val="auto"/>
                <w:sz w:val="28"/>
                <w:szCs w:val="28"/>
                <w:highlight w:val="none"/>
              </w:rPr>
            </w:pPr>
          </w:p>
        </w:tc>
      </w:tr>
    </w:tbl>
    <w:p>
      <w:pPr>
        <w:tabs>
          <w:tab w:val="left" w:pos="900"/>
          <w:tab w:val="left" w:pos="1080"/>
        </w:tabs>
        <w:spacing w:line="300" w:lineRule="auto"/>
        <w:outlineLvl w:val="0"/>
        <w:rPr>
          <w:b/>
          <w:color w:val="auto"/>
          <w:sz w:val="28"/>
          <w:szCs w:val="28"/>
          <w:highlight w:val="none"/>
        </w:rPr>
        <w:sectPr>
          <w:pgSz w:w="16838" w:h="11906" w:orient="landscape"/>
          <w:pgMar w:top="1380" w:right="1440" w:bottom="1800" w:left="1440" w:header="851" w:footer="992" w:gutter="0"/>
          <w:pgNumType w:fmt="decimal"/>
          <w:cols w:space="720" w:num="1"/>
          <w:docGrid w:type="lines" w:linePitch="312" w:charSpace="0"/>
        </w:sectPr>
      </w:pPr>
    </w:p>
    <w:p>
      <w:pPr>
        <w:pStyle w:val="2"/>
        <w:jc w:val="both"/>
        <w:rPr>
          <w:rFonts w:ascii="宋体" w:hAnsi="宋体" w:eastAsia="微软雅黑" w:cs="MingLiU_x0004_falt"/>
          <w:bCs w:val="0"/>
          <w:color w:val="auto"/>
          <w:sz w:val="28"/>
          <w:highlight w:val="none"/>
        </w:rPr>
      </w:pPr>
      <w:r>
        <w:rPr>
          <w:rFonts w:hint="eastAsia" w:ascii="宋体" w:hAnsi="宋体" w:eastAsia="微软雅黑" w:cs="MingLiU_x0004_falt"/>
          <w:bCs w:val="0"/>
          <w:color w:val="auto"/>
          <w:sz w:val="28"/>
          <w:highlight w:val="none"/>
          <w:lang w:val="en-US" w:eastAsia="zh-CN"/>
        </w:rPr>
        <w:t>7.</w:t>
      </w:r>
      <w:r>
        <w:rPr>
          <w:rFonts w:hint="eastAsia" w:ascii="宋体" w:hAnsi="宋体" w:eastAsia="微软雅黑" w:cs="MingLiU_x0004_falt"/>
          <w:bCs w:val="0"/>
          <w:color w:val="auto"/>
          <w:sz w:val="28"/>
          <w:highlight w:val="none"/>
        </w:rPr>
        <w:t>投标人业绩证明表及附件</w:t>
      </w:r>
    </w:p>
    <w:tbl>
      <w:tblPr>
        <w:tblStyle w:val="12"/>
        <w:tblW w:w="12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406"/>
        <w:gridCol w:w="1959"/>
        <w:gridCol w:w="1191"/>
        <w:gridCol w:w="1331"/>
        <w:gridCol w:w="1322"/>
        <w:gridCol w:w="1472"/>
        <w:gridCol w:w="1734"/>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731" w:type="dxa"/>
          </w:tcPr>
          <w:p>
            <w:pPr>
              <w:jc w:val="center"/>
              <w:outlineLvl w:val="0"/>
              <w:rPr>
                <w:b/>
                <w:color w:val="auto"/>
                <w:sz w:val="24"/>
                <w:highlight w:val="none"/>
              </w:rPr>
            </w:pPr>
            <w:r>
              <w:rPr>
                <w:rFonts w:hint="eastAsia"/>
                <w:b/>
                <w:color w:val="auto"/>
                <w:sz w:val="24"/>
                <w:highlight w:val="none"/>
              </w:rPr>
              <w:t>序号</w:t>
            </w:r>
          </w:p>
        </w:tc>
        <w:tc>
          <w:tcPr>
            <w:tcW w:w="1406" w:type="dxa"/>
          </w:tcPr>
          <w:p>
            <w:pPr>
              <w:jc w:val="center"/>
              <w:outlineLvl w:val="0"/>
              <w:rPr>
                <w:b/>
                <w:color w:val="auto"/>
                <w:sz w:val="24"/>
                <w:highlight w:val="none"/>
              </w:rPr>
            </w:pPr>
            <w:r>
              <w:rPr>
                <w:rFonts w:hint="eastAsia"/>
                <w:b/>
                <w:color w:val="auto"/>
                <w:sz w:val="24"/>
                <w:highlight w:val="none"/>
              </w:rPr>
              <w:t>项目名称</w:t>
            </w:r>
          </w:p>
        </w:tc>
        <w:tc>
          <w:tcPr>
            <w:tcW w:w="1959" w:type="dxa"/>
          </w:tcPr>
          <w:p>
            <w:pPr>
              <w:jc w:val="center"/>
              <w:outlineLvl w:val="0"/>
              <w:rPr>
                <w:b/>
                <w:color w:val="auto"/>
                <w:sz w:val="24"/>
                <w:highlight w:val="none"/>
              </w:rPr>
            </w:pPr>
            <w:r>
              <w:rPr>
                <w:rFonts w:hint="eastAsia"/>
                <w:b/>
                <w:color w:val="auto"/>
                <w:sz w:val="24"/>
                <w:highlight w:val="none"/>
              </w:rPr>
              <w:t>项目发包单位</w:t>
            </w:r>
          </w:p>
        </w:tc>
        <w:tc>
          <w:tcPr>
            <w:tcW w:w="1191" w:type="dxa"/>
          </w:tcPr>
          <w:p>
            <w:pPr>
              <w:jc w:val="center"/>
              <w:outlineLvl w:val="0"/>
              <w:rPr>
                <w:b/>
                <w:color w:val="auto"/>
                <w:sz w:val="24"/>
                <w:highlight w:val="none"/>
              </w:rPr>
            </w:pPr>
            <w:r>
              <w:rPr>
                <w:rFonts w:hint="eastAsia"/>
                <w:b/>
                <w:color w:val="auto"/>
                <w:sz w:val="24"/>
                <w:highlight w:val="none"/>
              </w:rPr>
              <w:t>项目地址</w:t>
            </w:r>
          </w:p>
        </w:tc>
        <w:tc>
          <w:tcPr>
            <w:tcW w:w="1331" w:type="dxa"/>
          </w:tcPr>
          <w:p>
            <w:pPr>
              <w:jc w:val="center"/>
              <w:outlineLvl w:val="0"/>
              <w:rPr>
                <w:b/>
                <w:color w:val="auto"/>
                <w:sz w:val="24"/>
                <w:highlight w:val="none"/>
              </w:rPr>
            </w:pPr>
            <w:r>
              <w:rPr>
                <w:rFonts w:hint="eastAsia"/>
                <w:b/>
                <w:color w:val="auto"/>
                <w:sz w:val="24"/>
                <w:highlight w:val="none"/>
              </w:rPr>
              <w:t>项目类型</w:t>
            </w:r>
          </w:p>
        </w:tc>
        <w:tc>
          <w:tcPr>
            <w:tcW w:w="1322" w:type="dxa"/>
          </w:tcPr>
          <w:p>
            <w:pPr>
              <w:jc w:val="center"/>
              <w:outlineLvl w:val="0"/>
              <w:rPr>
                <w:b/>
                <w:color w:val="auto"/>
                <w:sz w:val="24"/>
                <w:highlight w:val="none"/>
              </w:rPr>
            </w:pPr>
            <w:r>
              <w:rPr>
                <w:rFonts w:hint="eastAsia"/>
                <w:b/>
                <w:color w:val="auto"/>
                <w:sz w:val="24"/>
                <w:highlight w:val="none"/>
              </w:rPr>
              <w:t>项目规模</w:t>
            </w:r>
          </w:p>
        </w:tc>
        <w:tc>
          <w:tcPr>
            <w:tcW w:w="1472" w:type="dxa"/>
          </w:tcPr>
          <w:p>
            <w:pPr>
              <w:jc w:val="center"/>
              <w:outlineLvl w:val="0"/>
              <w:rPr>
                <w:b/>
                <w:color w:val="auto"/>
                <w:sz w:val="24"/>
                <w:highlight w:val="none"/>
              </w:rPr>
            </w:pPr>
            <w:r>
              <w:rPr>
                <w:rFonts w:hint="eastAsia"/>
                <w:b/>
                <w:color w:val="auto"/>
                <w:sz w:val="24"/>
                <w:highlight w:val="none"/>
              </w:rPr>
              <w:t>合同金额</w:t>
            </w:r>
          </w:p>
        </w:tc>
        <w:tc>
          <w:tcPr>
            <w:tcW w:w="1734" w:type="dxa"/>
          </w:tcPr>
          <w:p>
            <w:pPr>
              <w:jc w:val="center"/>
              <w:outlineLvl w:val="0"/>
              <w:rPr>
                <w:b/>
                <w:color w:val="auto"/>
                <w:sz w:val="24"/>
                <w:highlight w:val="none"/>
              </w:rPr>
            </w:pPr>
            <w:r>
              <w:rPr>
                <w:rFonts w:hint="eastAsia"/>
                <w:b/>
                <w:color w:val="auto"/>
                <w:sz w:val="24"/>
                <w:highlight w:val="none"/>
              </w:rPr>
              <w:t>服务时间</w:t>
            </w:r>
          </w:p>
        </w:tc>
        <w:tc>
          <w:tcPr>
            <w:tcW w:w="1669" w:type="dxa"/>
          </w:tcPr>
          <w:p>
            <w:pPr>
              <w:jc w:val="center"/>
              <w:outlineLvl w:val="0"/>
              <w:rPr>
                <w:b/>
                <w:color w:val="auto"/>
                <w:sz w:val="24"/>
                <w:highlight w:val="none"/>
              </w:rPr>
            </w:pPr>
            <w:r>
              <w:rPr>
                <w:rFonts w:hint="eastAsia"/>
                <w:b/>
                <w:color w:val="auto"/>
                <w:sz w:val="24"/>
                <w:highlight w:val="none"/>
              </w:rPr>
              <w:t>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1" w:type="dxa"/>
          </w:tcPr>
          <w:p>
            <w:pPr>
              <w:jc w:val="center"/>
              <w:outlineLvl w:val="0"/>
              <w:rPr>
                <w:b/>
                <w:color w:val="auto"/>
                <w:sz w:val="24"/>
                <w:highlight w:val="none"/>
              </w:rPr>
            </w:pPr>
          </w:p>
        </w:tc>
        <w:tc>
          <w:tcPr>
            <w:tcW w:w="1406" w:type="dxa"/>
          </w:tcPr>
          <w:p>
            <w:pPr>
              <w:jc w:val="center"/>
              <w:outlineLvl w:val="0"/>
              <w:rPr>
                <w:b/>
                <w:color w:val="auto"/>
                <w:sz w:val="24"/>
                <w:highlight w:val="none"/>
              </w:rPr>
            </w:pPr>
          </w:p>
        </w:tc>
        <w:tc>
          <w:tcPr>
            <w:tcW w:w="1959" w:type="dxa"/>
          </w:tcPr>
          <w:p>
            <w:pPr>
              <w:jc w:val="center"/>
              <w:outlineLvl w:val="0"/>
              <w:rPr>
                <w:b/>
                <w:color w:val="auto"/>
                <w:sz w:val="24"/>
                <w:highlight w:val="none"/>
              </w:rPr>
            </w:pPr>
          </w:p>
        </w:tc>
        <w:tc>
          <w:tcPr>
            <w:tcW w:w="1191" w:type="dxa"/>
          </w:tcPr>
          <w:p>
            <w:pPr>
              <w:jc w:val="center"/>
              <w:outlineLvl w:val="0"/>
              <w:rPr>
                <w:b/>
                <w:color w:val="auto"/>
                <w:sz w:val="24"/>
                <w:highlight w:val="none"/>
              </w:rPr>
            </w:pPr>
          </w:p>
        </w:tc>
        <w:tc>
          <w:tcPr>
            <w:tcW w:w="1331" w:type="dxa"/>
          </w:tcPr>
          <w:p>
            <w:pPr>
              <w:jc w:val="center"/>
              <w:outlineLvl w:val="0"/>
              <w:rPr>
                <w:b/>
                <w:color w:val="auto"/>
                <w:sz w:val="24"/>
                <w:highlight w:val="none"/>
              </w:rPr>
            </w:pPr>
          </w:p>
        </w:tc>
        <w:tc>
          <w:tcPr>
            <w:tcW w:w="1322" w:type="dxa"/>
          </w:tcPr>
          <w:p>
            <w:pPr>
              <w:jc w:val="center"/>
              <w:outlineLvl w:val="0"/>
              <w:rPr>
                <w:b/>
                <w:color w:val="auto"/>
                <w:sz w:val="24"/>
                <w:highlight w:val="none"/>
              </w:rPr>
            </w:pPr>
          </w:p>
        </w:tc>
        <w:tc>
          <w:tcPr>
            <w:tcW w:w="1472" w:type="dxa"/>
          </w:tcPr>
          <w:p>
            <w:pPr>
              <w:jc w:val="center"/>
              <w:outlineLvl w:val="0"/>
              <w:rPr>
                <w:b/>
                <w:color w:val="auto"/>
                <w:sz w:val="24"/>
                <w:highlight w:val="none"/>
              </w:rPr>
            </w:pPr>
          </w:p>
        </w:tc>
        <w:tc>
          <w:tcPr>
            <w:tcW w:w="1734" w:type="dxa"/>
          </w:tcPr>
          <w:p>
            <w:pPr>
              <w:jc w:val="center"/>
              <w:outlineLvl w:val="0"/>
              <w:rPr>
                <w:b/>
                <w:color w:val="auto"/>
                <w:sz w:val="24"/>
                <w:highlight w:val="none"/>
              </w:rPr>
            </w:pPr>
          </w:p>
        </w:tc>
        <w:tc>
          <w:tcPr>
            <w:tcW w:w="1669" w:type="dxa"/>
          </w:tcPr>
          <w:p>
            <w:pPr>
              <w:jc w:val="center"/>
              <w:outlineLvl w:val="0"/>
              <w:rPr>
                <w:b/>
                <w:color w:val="auto"/>
                <w:sz w:val="24"/>
                <w:highlight w:val="none"/>
              </w:rPr>
            </w:pPr>
          </w:p>
        </w:tc>
      </w:tr>
    </w:tbl>
    <w:p>
      <w:pPr>
        <w:jc w:val="center"/>
        <w:outlineLvl w:val="0"/>
        <w:rPr>
          <w:b/>
          <w:color w:val="auto"/>
          <w:sz w:val="30"/>
          <w:szCs w:val="30"/>
          <w:highlight w:val="none"/>
        </w:rPr>
      </w:pPr>
    </w:p>
    <w:p>
      <w:pPr>
        <w:tabs>
          <w:tab w:val="left" w:pos="900"/>
          <w:tab w:val="left" w:pos="1080"/>
        </w:tabs>
        <w:spacing w:line="300" w:lineRule="auto"/>
        <w:outlineLvl w:val="0"/>
        <w:rPr>
          <w:b/>
          <w:color w:val="auto"/>
          <w:sz w:val="28"/>
          <w:szCs w:val="28"/>
          <w:highlight w:val="none"/>
        </w:rPr>
      </w:pPr>
      <w:r>
        <w:rPr>
          <w:rFonts w:hint="eastAsia"/>
          <w:b/>
          <w:color w:val="auto"/>
          <w:sz w:val="28"/>
          <w:szCs w:val="28"/>
          <w:highlight w:val="none"/>
        </w:rPr>
        <w:t>备注：支撑材料附后，需附</w:t>
      </w:r>
      <w:r>
        <w:rPr>
          <w:rFonts w:hint="eastAsia"/>
          <w:b/>
          <w:color w:val="auto"/>
          <w:sz w:val="28"/>
          <w:szCs w:val="28"/>
          <w:highlight w:val="none"/>
          <w:lang w:eastAsia="zh-CN"/>
        </w:rPr>
        <w:t>业绩</w:t>
      </w:r>
      <w:r>
        <w:rPr>
          <w:rFonts w:hint="eastAsia"/>
          <w:b/>
          <w:color w:val="auto"/>
          <w:sz w:val="28"/>
          <w:szCs w:val="28"/>
          <w:highlight w:val="none"/>
        </w:rPr>
        <w:t>合同首页，金额页，签字页、其他重要内容，并加盖投标单位</w:t>
      </w:r>
      <w:r>
        <w:rPr>
          <w:rFonts w:hint="eastAsia"/>
          <w:b/>
          <w:color w:val="auto"/>
          <w:sz w:val="28"/>
          <w:szCs w:val="28"/>
          <w:highlight w:val="none"/>
          <w:lang w:eastAsia="zh-CN"/>
        </w:rPr>
        <w:t>（鲜）公</w:t>
      </w:r>
      <w:r>
        <w:rPr>
          <w:rFonts w:hint="eastAsia"/>
          <w:b/>
          <w:color w:val="auto"/>
          <w:sz w:val="28"/>
          <w:szCs w:val="28"/>
          <w:highlight w:val="none"/>
        </w:rPr>
        <w:t>章。</w:t>
      </w:r>
    </w:p>
    <w:p>
      <w:pPr>
        <w:rPr>
          <w:b/>
          <w:color w:val="auto"/>
          <w:sz w:val="28"/>
          <w:szCs w:val="28"/>
          <w:highlight w:val="none"/>
        </w:rPr>
        <w:sectPr>
          <w:footerReference r:id="rId6" w:type="default"/>
          <w:pgSz w:w="16838" w:h="11906" w:orient="landscape"/>
          <w:pgMar w:top="1531" w:right="2098" w:bottom="1531" w:left="1984" w:header="851" w:footer="992" w:gutter="0"/>
          <w:pgNumType w:fmt="decimal"/>
          <w:cols w:space="425" w:num="1"/>
          <w:docGrid w:type="lines" w:linePitch="312" w:charSpace="0"/>
        </w:sectPr>
      </w:pPr>
    </w:p>
    <w:p>
      <w:pPr>
        <w:spacing w:line="480" w:lineRule="auto"/>
        <w:jc w:val="both"/>
        <w:rPr>
          <w:rFonts w:ascii="宋体" w:hAnsi="宋体"/>
          <w:b/>
          <w:bCs/>
          <w:color w:val="auto"/>
          <w:sz w:val="32"/>
          <w:szCs w:val="32"/>
          <w:highlight w:val="none"/>
        </w:rPr>
      </w:pPr>
      <w:r>
        <w:rPr>
          <w:rFonts w:hint="eastAsia" w:ascii="宋体" w:hAnsi="宋体"/>
          <w:b/>
          <w:bCs/>
          <w:color w:val="auto"/>
          <w:sz w:val="32"/>
          <w:szCs w:val="32"/>
          <w:highlight w:val="none"/>
          <w:lang w:val="en-US" w:eastAsia="zh-CN"/>
        </w:rPr>
        <w:t xml:space="preserve">8.                    </w:t>
      </w:r>
      <w:r>
        <w:rPr>
          <w:rFonts w:hint="eastAsia" w:ascii="宋体" w:hAnsi="宋体"/>
          <w:b/>
          <w:bCs/>
          <w:color w:val="auto"/>
          <w:sz w:val="32"/>
          <w:szCs w:val="32"/>
          <w:highlight w:val="none"/>
        </w:rPr>
        <w:t>联合体协议书</w:t>
      </w:r>
    </w:p>
    <w:p>
      <w:pPr>
        <w:autoSpaceDE w:val="0"/>
        <w:autoSpaceDN w:val="0"/>
        <w:adjustRightInd w:val="0"/>
        <w:snapToGrid w:val="0"/>
        <w:spacing w:line="360" w:lineRule="auto"/>
        <w:ind w:firstLine="485" w:firstLineChars="202"/>
        <w:rPr>
          <w:rFonts w:ascii="宋体" w:hAnsi="宋体" w:cs="MingLiUfalt"/>
          <w:snapToGrid w:val="0"/>
          <w:color w:val="auto"/>
          <w:kern w:val="0"/>
          <w:sz w:val="24"/>
          <w:highlight w:val="none"/>
        </w:rPr>
      </w:pPr>
      <w:r>
        <w:rPr>
          <w:rFonts w:hint="eastAsia" w:ascii="宋体" w:hAnsi="宋体" w:cs="MingLiUfalt"/>
          <w:snapToGrid w:val="0"/>
          <w:color w:val="auto"/>
          <w:kern w:val="0"/>
          <w:sz w:val="24"/>
          <w:highlight w:val="none"/>
          <w:u w:val="single"/>
        </w:rPr>
        <w:t>（所有成员单位名称）</w:t>
      </w:r>
      <w:r>
        <w:rPr>
          <w:rFonts w:hint="eastAsia" w:ascii="宋体" w:hAnsi="宋体" w:cs="MingLiUfalt"/>
          <w:snapToGrid w:val="0"/>
          <w:color w:val="auto"/>
          <w:kern w:val="0"/>
          <w:sz w:val="24"/>
          <w:highlight w:val="none"/>
        </w:rPr>
        <w:t>自愿组成联合体，共同参加（项目名称）投标。现就联合体比选事宜订立如下协议。</w:t>
      </w:r>
    </w:p>
    <w:p>
      <w:pPr>
        <w:tabs>
          <w:tab w:val="left" w:pos="3465"/>
          <w:tab w:val="left" w:pos="4200"/>
        </w:tabs>
        <w:autoSpaceDE w:val="0"/>
        <w:autoSpaceDN w:val="0"/>
        <w:adjustRightInd w:val="0"/>
        <w:snapToGrid w:val="0"/>
        <w:spacing w:line="360" w:lineRule="auto"/>
        <w:ind w:firstLine="463" w:firstLineChars="193"/>
        <w:jc w:val="left"/>
        <w:rPr>
          <w:rFonts w:ascii="宋体" w:hAnsi="宋体" w:cs="MingLiUfalt"/>
          <w:snapToGrid w:val="0"/>
          <w:color w:val="auto"/>
          <w:kern w:val="0"/>
          <w:sz w:val="24"/>
          <w:highlight w:val="none"/>
        </w:rPr>
      </w:pPr>
      <w:r>
        <w:rPr>
          <w:rFonts w:ascii="宋体" w:hAnsi="宋体"/>
          <w:snapToGrid w:val="0"/>
          <w:color w:val="auto"/>
          <w:kern w:val="0"/>
          <w:sz w:val="24"/>
          <w:highlight w:val="none"/>
        </w:rPr>
        <w:t>1</w:t>
      </w:r>
      <w:r>
        <w:rPr>
          <w:rFonts w:hint="eastAsia" w:ascii="宋体" w:hAnsi="宋体" w:cs="MingLiUfalt"/>
          <w:snapToGrid w:val="0"/>
          <w:color w:val="auto"/>
          <w:kern w:val="0"/>
          <w:sz w:val="24"/>
          <w:highlight w:val="none"/>
        </w:rPr>
        <w:t>、</w:t>
      </w:r>
      <w:r>
        <w:rPr>
          <w:rFonts w:hint="eastAsia" w:ascii="宋体" w:hAnsi="宋体" w:cs="MingLiUfalt"/>
          <w:snapToGrid w:val="0"/>
          <w:color w:val="auto"/>
          <w:kern w:val="0"/>
          <w:sz w:val="24"/>
          <w:highlight w:val="none"/>
          <w:u w:val="single"/>
        </w:rPr>
        <w:t>（某成员单位名称）</w:t>
      </w:r>
      <w:r>
        <w:rPr>
          <w:rFonts w:hint="eastAsia" w:ascii="宋体" w:hAnsi="宋体" w:cs="MingLiUfalt"/>
          <w:snapToGrid w:val="0"/>
          <w:color w:val="auto"/>
          <w:kern w:val="0"/>
          <w:sz w:val="24"/>
          <w:highlight w:val="none"/>
        </w:rPr>
        <w:t>为本次项目的牵头人。</w:t>
      </w:r>
    </w:p>
    <w:p>
      <w:pPr>
        <w:autoSpaceDE w:val="0"/>
        <w:autoSpaceDN w:val="0"/>
        <w:adjustRightInd w:val="0"/>
        <w:snapToGrid w:val="0"/>
        <w:spacing w:line="360" w:lineRule="auto"/>
        <w:ind w:firstLine="420"/>
        <w:rPr>
          <w:rFonts w:ascii="宋体" w:hAnsi="宋体" w:cs="MingLiUfalt"/>
          <w:snapToGrid w:val="0"/>
          <w:color w:val="auto"/>
          <w:kern w:val="0"/>
          <w:sz w:val="24"/>
          <w:highlight w:val="none"/>
        </w:rPr>
      </w:pPr>
      <w:r>
        <w:rPr>
          <w:rFonts w:ascii="宋体" w:hAnsi="宋体"/>
          <w:snapToGrid w:val="0"/>
          <w:color w:val="auto"/>
          <w:kern w:val="0"/>
          <w:sz w:val="24"/>
          <w:highlight w:val="none"/>
        </w:rPr>
        <w:t>2</w:t>
      </w:r>
      <w:r>
        <w:rPr>
          <w:rFonts w:hint="eastAsia" w:ascii="宋体" w:hAnsi="宋体" w:cs="MingLiUfalt"/>
          <w:snapToGrid w:val="0"/>
          <w:color w:val="auto"/>
          <w:kern w:val="0"/>
          <w:sz w:val="24"/>
          <w:highlight w:val="none"/>
        </w:rPr>
        <w:t>、联合体牵头人合法代表联合体各成员负责本项目比选文件编制和合同谈判活动，并代表联合体提交和接收相关的资料、信息及指示，并处理与之有关的一切事务，负责合同实施阶段的主办、组织和协调工作。</w:t>
      </w:r>
    </w:p>
    <w:p>
      <w:pPr>
        <w:autoSpaceDE w:val="0"/>
        <w:autoSpaceDN w:val="0"/>
        <w:adjustRightInd w:val="0"/>
        <w:snapToGrid w:val="0"/>
        <w:spacing w:line="360" w:lineRule="auto"/>
        <w:ind w:firstLine="420"/>
        <w:jc w:val="left"/>
        <w:rPr>
          <w:rFonts w:ascii="宋体" w:hAnsi="宋体" w:cs="MingLiUfalt"/>
          <w:snapToGrid w:val="0"/>
          <w:color w:val="auto"/>
          <w:kern w:val="0"/>
          <w:sz w:val="24"/>
          <w:highlight w:val="none"/>
        </w:rPr>
      </w:pPr>
      <w:r>
        <w:rPr>
          <w:rFonts w:ascii="宋体" w:hAnsi="宋体"/>
          <w:snapToGrid w:val="0"/>
          <w:color w:val="auto"/>
          <w:kern w:val="0"/>
          <w:sz w:val="24"/>
          <w:highlight w:val="none"/>
        </w:rPr>
        <w:t>3</w:t>
      </w:r>
      <w:r>
        <w:rPr>
          <w:rFonts w:hint="eastAsia" w:ascii="宋体" w:hAnsi="宋体" w:cs="MingLiUfalt"/>
          <w:snapToGrid w:val="0"/>
          <w:color w:val="auto"/>
          <w:kern w:val="0"/>
          <w:sz w:val="24"/>
          <w:highlight w:val="none"/>
        </w:rPr>
        <w:t>、联合体将严格按照比选文件的各项要求，递交竞争性比选响应文件，履行合同，并对外承担连带责任。</w:t>
      </w:r>
    </w:p>
    <w:p>
      <w:pPr>
        <w:tabs>
          <w:tab w:val="left" w:pos="6300"/>
          <w:tab w:val="left" w:pos="8295"/>
        </w:tabs>
        <w:autoSpaceDE w:val="0"/>
        <w:autoSpaceDN w:val="0"/>
        <w:adjustRightInd w:val="0"/>
        <w:snapToGrid w:val="0"/>
        <w:spacing w:line="360" w:lineRule="auto"/>
        <w:ind w:firstLine="480" w:firstLineChars="200"/>
        <w:jc w:val="left"/>
        <w:rPr>
          <w:rFonts w:ascii="宋体" w:hAnsi="宋体" w:cs="MingLiUfalt"/>
          <w:snapToGrid w:val="0"/>
          <w:color w:val="auto"/>
          <w:kern w:val="0"/>
          <w:sz w:val="24"/>
          <w:highlight w:val="none"/>
        </w:rPr>
      </w:pPr>
      <w:r>
        <w:rPr>
          <w:rFonts w:ascii="宋体" w:hAnsi="宋体"/>
          <w:snapToGrid w:val="0"/>
          <w:color w:val="auto"/>
          <w:kern w:val="0"/>
          <w:sz w:val="24"/>
          <w:highlight w:val="none"/>
        </w:rPr>
        <w:t>4</w:t>
      </w:r>
      <w:r>
        <w:rPr>
          <w:rFonts w:hint="eastAsia" w:ascii="宋体" w:hAnsi="宋体" w:cs="MingLiUfalt"/>
          <w:snapToGrid w:val="0"/>
          <w:color w:val="auto"/>
          <w:kern w:val="0"/>
          <w:sz w:val="24"/>
          <w:highlight w:val="none"/>
        </w:rPr>
        <w:t>、联合体各成员单位内部的职责分工如下：</w:t>
      </w:r>
    </w:p>
    <w:p>
      <w:pPr>
        <w:tabs>
          <w:tab w:val="left" w:pos="6300"/>
          <w:tab w:val="left" w:pos="8295"/>
        </w:tabs>
        <w:autoSpaceDE w:val="0"/>
        <w:autoSpaceDN w:val="0"/>
        <w:adjustRightInd w:val="0"/>
        <w:snapToGrid w:val="0"/>
        <w:spacing w:line="360" w:lineRule="auto"/>
        <w:ind w:firstLine="480" w:firstLineChars="200"/>
        <w:rPr>
          <w:rFonts w:ascii="宋体" w:hAnsi="宋体"/>
          <w:snapToGrid w:val="0"/>
          <w:color w:val="auto"/>
          <w:kern w:val="0"/>
          <w:sz w:val="24"/>
          <w:highlight w:val="none"/>
          <w:u w:val="single"/>
        </w:rPr>
      </w:pPr>
      <w:r>
        <w:rPr>
          <w:rFonts w:ascii="宋体" w:hAnsi="宋体"/>
          <w:snapToGrid w:val="0"/>
          <w:color w:val="auto"/>
          <w:kern w:val="0"/>
          <w:sz w:val="24"/>
          <w:highlight w:val="none"/>
          <w:u w:val="single"/>
        </w:rPr>
        <w:t xml:space="preserve">                    的职责：</w:t>
      </w:r>
      <w:r>
        <w:rPr>
          <w:rFonts w:hint="eastAsia" w:ascii="宋体" w:hAnsi="宋体"/>
          <w:snapToGrid w:val="0"/>
          <w:color w:val="auto"/>
          <w:kern w:val="0"/>
          <w:sz w:val="24"/>
          <w:highlight w:val="none"/>
          <w:u w:val="single"/>
        </w:rPr>
        <w:t xml:space="preserve">      </w:t>
      </w:r>
      <w:r>
        <w:rPr>
          <w:rFonts w:ascii="宋体" w:hAnsi="宋体"/>
          <w:snapToGrid w:val="0"/>
          <w:color w:val="auto"/>
          <w:kern w:val="0"/>
          <w:sz w:val="24"/>
          <w:highlight w:val="none"/>
          <w:u w:val="single"/>
        </w:rPr>
        <w:t xml:space="preserve">； </w:t>
      </w:r>
    </w:p>
    <w:p>
      <w:pPr>
        <w:tabs>
          <w:tab w:val="left" w:pos="6300"/>
          <w:tab w:val="left" w:pos="8295"/>
        </w:tabs>
        <w:autoSpaceDE w:val="0"/>
        <w:autoSpaceDN w:val="0"/>
        <w:adjustRightInd w:val="0"/>
        <w:snapToGrid w:val="0"/>
        <w:spacing w:line="360" w:lineRule="auto"/>
        <w:ind w:firstLine="480" w:firstLineChars="200"/>
        <w:rPr>
          <w:rFonts w:ascii="宋体" w:hAnsi="宋体"/>
          <w:snapToGrid w:val="0"/>
          <w:color w:val="auto"/>
          <w:kern w:val="0"/>
          <w:sz w:val="24"/>
          <w:highlight w:val="none"/>
          <w:u w:val="single"/>
        </w:rPr>
      </w:pPr>
      <w:r>
        <w:rPr>
          <w:rFonts w:ascii="宋体" w:hAnsi="宋体"/>
          <w:snapToGrid w:val="0"/>
          <w:color w:val="auto"/>
          <w:kern w:val="0"/>
          <w:sz w:val="24"/>
          <w:highlight w:val="none"/>
          <w:u w:val="single"/>
        </w:rPr>
        <w:t xml:space="preserve">                    的职责：</w:t>
      </w:r>
      <w:r>
        <w:rPr>
          <w:rFonts w:hint="eastAsia" w:ascii="宋体" w:hAnsi="宋体"/>
          <w:snapToGrid w:val="0"/>
          <w:color w:val="auto"/>
          <w:kern w:val="0"/>
          <w:sz w:val="24"/>
          <w:highlight w:val="none"/>
          <w:u w:val="single"/>
        </w:rPr>
        <w:t xml:space="preserve">      </w:t>
      </w:r>
      <w:r>
        <w:rPr>
          <w:rFonts w:ascii="宋体" w:hAnsi="宋体"/>
          <w:snapToGrid w:val="0"/>
          <w:color w:val="auto"/>
          <w:kern w:val="0"/>
          <w:sz w:val="24"/>
          <w:highlight w:val="none"/>
          <w:u w:val="single"/>
        </w:rPr>
        <w:t xml:space="preserve">； </w:t>
      </w:r>
    </w:p>
    <w:p>
      <w:pPr>
        <w:autoSpaceDE w:val="0"/>
        <w:autoSpaceDN w:val="0"/>
        <w:adjustRightInd w:val="0"/>
        <w:snapToGrid w:val="0"/>
        <w:spacing w:line="360" w:lineRule="auto"/>
        <w:ind w:firstLine="463" w:firstLineChars="193"/>
        <w:jc w:val="left"/>
        <w:rPr>
          <w:rFonts w:ascii="宋体" w:hAnsi="宋体" w:cs="MingLiUfalt"/>
          <w:snapToGrid w:val="0"/>
          <w:color w:val="auto"/>
          <w:kern w:val="0"/>
          <w:sz w:val="24"/>
          <w:highlight w:val="none"/>
        </w:rPr>
      </w:pPr>
      <w:r>
        <w:rPr>
          <w:rFonts w:ascii="宋体" w:hAnsi="宋体"/>
          <w:snapToGrid w:val="0"/>
          <w:color w:val="auto"/>
          <w:kern w:val="0"/>
          <w:sz w:val="24"/>
          <w:highlight w:val="none"/>
        </w:rPr>
        <w:t>5</w:t>
      </w:r>
      <w:r>
        <w:rPr>
          <w:rFonts w:hint="eastAsia" w:ascii="宋体" w:hAnsi="宋体" w:cs="MingLiUfalt"/>
          <w:snapToGrid w:val="0"/>
          <w:color w:val="auto"/>
          <w:kern w:val="0"/>
          <w:sz w:val="24"/>
          <w:highlight w:val="none"/>
        </w:rPr>
        <w:t>、本协议书自签署之日起生效，合同履行完毕后自动失效。</w:t>
      </w:r>
    </w:p>
    <w:p>
      <w:pPr>
        <w:autoSpaceDE w:val="0"/>
        <w:autoSpaceDN w:val="0"/>
        <w:adjustRightInd w:val="0"/>
        <w:snapToGrid w:val="0"/>
        <w:spacing w:line="360" w:lineRule="auto"/>
        <w:ind w:firstLine="446" w:firstLineChars="186"/>
        <w:jc w:val="left"/>
        <w:rPr>
          <w:rFonts w:ascii="宋体" w:hAnsi="宋体" w:cs="MingLiUfalt"/>
          <w:snapToGrid w:val="0"/>
          <w:color w:val="auto"/>
          <w:kern w:val="0"/>
          <w:sz w:val="24"/>
          <w:highlight w:val="none"/>
        </w:rPr>
      </w:pPr>
      <w:r>
        <w:rPr>
          <w:rFonts w:ascii="宋体" w:hAnsi="宋体"/>
          <w:snapToGrid w:val="0"/>
          <w:color w:val="auto"/>
          <w:kern w:val="0"/>
          <w:sz w:val="24"/>
          <w:highlight w:val="none"/>
        </w:rPr>
        <w:t>6</w:t>
      </w:r>
      <w:r>
        <w:rPr>
          <w:rFonts w:hint="eastAsia" w:ascii="宋体" w:hAnsi="宋体" w:cs="MingLiUfalt"/>
          <w:snapToGrid w:val="0"/>
          <w:color w:val="auto"/>
          <w:kern w:val="0"/>
          <w:sz w:val="24"/>
          <w:highlight w:val="none"/>
        </w:rPr>
        <w:t>、本协议书一式叁份，联合体成员和比选人各执一份。</w:t>
      </w:r>
    </w:p>
    <w:p>
      <w:pPr>
        <w:tabs>
          <w:tab w:val="left" w:pos="4840"/>
        </w:tabs>
        <w:autoSpaceDE w:val="0"/>
        <w:autoSpaceDN w:val="0"/>
        <w:adjustRightInd w:val="0"/>
        <w:snapToGrid w:val="0"/>
        <w:spacing w:line="360" w:lineRule="auto"/>
        <w:ind w:firstLine="1416" w:firstLineChars="590"/>
        <w:jc w:val="left"/>
        <w:rPr>
          <w:rFonts w:ascii="宋体" w:hAnsi="宋体" w:cs="MingLiUfalt"/>
          <w:snapToGrid w:val="0"/>
          <w:color w:val="auto"/>
          <w:kern w:val="0"/>
          <w:sz w:val="24"/>
          <w:highlight w:val="none"/>
        </w:rPr>
      </w:pPr>
    </w:p>
    <w:p>
      <w:pPr>
        <w:tabs>
          <w:tab w:val="left" w:pos="4840"/>
        </w:tabs>
        <w:autoSpaceDE w:val="0"/>
        <w:autoSpaceDN w:val="0"/>
        <w:adjustRightInd w:val="0"/>
        <w:snapToGrid w:val="0"/>
        <w:spacing w:line="360" w:lineRule="auto"/>
        <w:ind w:firstLine="1416" w:firstLineChars="590"/>
        <w:jc w:val="left"/>
        <w:rPr>
          <w:rFonts w:ascii="宋体" w:hAnsi="宋体" w:cs="MingLiUfalt"/>
          <w:snapToGrid w:val="0"/>
          <w:color w:val="auto"/>
          <w:kern w:val="0"/>
          <w:sz w:val="24"/>
          <w:highlight w:val="none"/>
        </w:rPr>
      </w:pPr>
      <w:r>
        <w:rPr>
          <w:rFonts w:hint="eastAsia" w:ascii="宋体" w:hAnsi="宋体" w:cs="MingLiUfalt"/>
          <w:snapToGrid w:val="0"/>
          <w:color w:val="auto"/>
          <w:kern w:val="0"/>
          <w:sz w:val="24"/>
          <w:highlight w:val="none"/>
        </w:rPr>
        <w:t>牵头人名称：（盖单位章）</w:t>
      </w:r>
    </w:p>
    <w:p>
      <w:pPr>
        <w:tabs>
          <w:tab w:val="left" w:pos="5260"/>
        </w:tabs>
        <w:autoSpaceDE w:val="0"/>
        <w:autoSpaceDN w:val="0"/>
        <w:adjustRightInd w:val="0"/>
        <w:snapToGrid w:val="0"/>
        <w:spacing w:line="360" w:lineRule="auto"/>
        <w:ind w:firstLine="1416" w:firstLineChars="590"/>
        <w:jc w:val="left"/>
        <w:rPr>
          <w:rFonts w:ascii="宋体" w:hAnsi="宋体" w:cs="MingLiUfalt"/>
          <w:snapToGrid w:val="0"/>
          <w:color w:val="auto"/>
          <w:kern w:val="0"/>
          <w:sz w:val="24"/>
          <w:highlight w:val="none"/>
        </w:rPr>
      </w:pPr>
      <w:r>
        <w:rPr>
          <w:rFonts w:hint="eastAsia" w:ascii="宋体" w:hAnsi="宋体" w:cs="MingLiUfalt"/>
          <w:snapToGrid w:val="0"/>
          <w:color w:val="auto"/>
          <w:kern w:val="0"/>
          <w:position w:val="-2"/>
          <w:sz w:val="24"/>
          <w:highlight w:val="none"/>
        </w:rPr>
        <w:t>法定代表人或其委托代理人：（签字或盖章）</w:t>
      </w:r>
    </w:p>
    <w:p>
      <w:pPr>
        <w:tabs>
          <w:tab w:val="left" w:pos="6735"/>
        </w:tabs>
        <w:autoSpaceDE w:val="0"/>
        <w:autoSpaceDN w:val="0"/>
        <w:adjustRightInd w:val="0"/>
        <w:snapToGrid w:val="0"/>
        <w:spacing w:line="360" w:lineRule="auto"/>
        <w:ind w:firstLine="1416" w:firstLineChars="590"/>
        <w:jc w:val="left"/>
        <w:rPr>
          <w:rFonts w:ascii="宋体" w:hAnsi="宋体" w:cs="MingLiUfalt"/>
          <w:snapToGrid w:val="0"/>
          <w:color w:val="auto"/>
          <w:kern w:val="0"/>
          <w:sz w:val="24"/>
          <w:highlight w:val="none"/>
        </w:rPr>
      </w:pPr>
      <w:r>
        <w:rPr>
          <w:rFonts w:hint="eastAsia" w:ascii="宋体" w:hAnsi="宋体" w:cs="MingLiUfalt"/>
          <w:snapToGrid w:val="0"/>
          <w:color w:val="auto"/>
          <w:kern w:val="0"/>
          <w:sz w:val="24"/>
          <w:highlight w:val="none"/>
        </w:rPr>
        <w:t>成员名称：（盖单位章）</w:t>
      </w:r>
    </w:p>
    <w:p>
      <w:pPr>
        <w:tabs>
          <w:tab w:val="left" w:pos="4840"/>
          <w:tab w:val="left" w:pos="5260"/>
        </w:tabs>
        <w:autoSpaceDE w:val="0"/>
        <w:autoSpaceDN w:val="0"/>
        <w:adjustRightInd w:val="0"/>
        <w:snapToGrid w:val="0"/>
        <w:spacing w:line="360" w:lineRule="auto"/>
        <w:ind w:firstLine="1416" w:firstLineChars="590"/>
        <w:jc w:val="left"/>
        <w:rPr>
          <w:rFonts w:ascii="宋体" w:hAnsi="宋体" w:cs="MingLiUfalt"/>
          <w:snapToGrid w:val="0"/>
          <w:color w:val="auto"/>
          <w:kern w:val="0"/>
          <w:sz w:val="24"/>
          <w:highlight w:val="none"/>
        </w:rPr>
      </w:pPr>
      <w:r>
        <w:rPr>
          <w:rFonts w:hint="eastAsia" w:ascii="宋体" w:hAnsi="宋体" w:cs="MingLiUfalt"/>
          <w:snapToGrid w:val="0"/>
          <w:color w:val="auto"/>
          <w:kern w:val="0"/>
          <w:sz w:val="24"/>
          <w:highlight w:val="none"/>
        </w:rPr>
        <w:t>法定代表人或其委托代理人：（</w:t>
      </w:r>
      <w:r>
        <w:rPr>
          <w:rFonts w:hint="eastAsia" w:ascii="宋体" w:hAnsi="宋体" w:cs="MingLiUfalt"/>
          <w:snapToGrid w:val="0"/>
          <w:color w:val="auto"/>
          <w:kern w:val="0"/>
          <w:position w:val="-2"/>
          <w:sz w:val="24"/>
          <w:highlight w:val="none"/>
        </w:rPr>
        <w:t>签字或盖章</w:t>
      </w:r>
      <w:r>
        <w:rPr>
          <w:rFonts w:hint="eastAsia" w:ascii="宋体" w:hAnsi="宋体" w:cs="MingLiUfalt"/>
          <w:snapToGrid w:val="0"/>
          <w:color w:val="auto"/>
          <w:kern w:val="0"/>
          <w:sz w:val="24"/>
          <w:highlight w:val="none"/>
        </w:rPr>
        <w:t>）</w:t>
      </w:r>
    </w:p>
    <w:p>
      <w:pPr>
        <w:tabs>
          <w:tab w:val="left" w:pos="3840"/>
          <w:tab w:val="left" w:pos="4780"/>
          <w:tab w:val="left" w:pos="5720"/>
        </w:tabs>
        <w:autoSpaceDE w:val="0"/>
        <w:autoSpaceDN w:val="0"/>
        <w:adjustRightInd w:val="0"/>
        <w:snapToGrid w:val="0"/>
        <w:spacing w:line="360" w:lineRule="auto"/>
        <w:ind w:firstLine="4560" w:firstLineChars="1900"/>
        <w:jc w:val="left"/>
        <w:rPr>
          <w:rFonts w:ascii="宋体" w:hAnsi="宋体" w:cs="MingLiUfalt"/>
          <w:snapToGrid w:val="0"/>
          <w:color w:val="auto"/>
          <w:kern w:val="0"/>
          <w:sz w:val="24"/>
          <w:highlight w:val="none"/>
        </w:rPr>
      </w:pPr>
      <w:r>
        <w:rPr>
          <w:rFonts w:ascii="宋体" w:hAnsi="宋体"/>
          <w:snapToGrid w:val="0"/>
          <w:color w:val="auto"/>
          <w:kern w:val="0"/>
          <w:sz w:val="24"/>
          <w:highlight w:val="none"/>
          <w:u w:val="single"/>
        </w:rPr>
        <w:t xml:space="preserve"> 2021 </w:t>
      </w:r>
      <w:r>
        <w:rPr>
          <w:rFonts w:hint="eastAsia" w:ascii="宋体" w:hAnsi="宋体" w:cs="MingLiUfalt"/>
          <w:snapToGrid w:val="0"/>
          <w:color w:val="auto"/>
          <w:kern w:val="0"/>
          <w:sz w:val="24"/>
          <w:highlight w:val="none"/>
        </w:rPr>
        <w:t>年    月     日</w:t>
      </w:r>
    </w:p>
    <w:p>
      <w:pPr>
        <w:tabs>
          <w:tab w:val="left" w:pos="3840"/>
          <w:tab w:val="left" w:pos="4780"/>
          <w:tab w:val="left" w:pos="5720"/>
        </w:tabs>
        <w:autoSpaceDE w:val="0"/>
        <w:autoSpaceDN w:val="0"/>
        <w:adjustRightInd w:val="0"/>
        <w:snapToGrid w:val="0"/>
        <w:spacing w:line="360" w:lineRule="auto"/>
        <w:jc w:val="left"/>
        <w:rPr>
          <w:rFonts w:ascii="宋体" w:hAnsi="宋体" w:cs="MingLiUfalt"/>
          <w:snapToGrid w:val="0"/>
          <w:color w:val="auto"/>
          <w:kern w:val="0"/>
          <w:sz w:val="24"/>
          <w:highlight w:val="none"/>
        </w:rPr>
      </w:pPr>
      <w:r>
        <w:rPr>
          <w:rFonts w:hint="eastAsia" w:ascii="宋体" w:hAnsi="宋体" w:cs="MingLiUfalt"/>
          <w:snapToGrid w:val="0"/>
          <w:color w:val="auto"/>
          <w:kern w:val="0"/>
          <w:sz w:val="24"/>
          <w:highlight w:val="none"/>
        </w:rPr>
        <w:t>注：如果不是联合体投标，则不需要。</w:t>
      </w:r>
    </w:p>
    <w:p>
      <w:pPr>
        <w:numPr>
          <w:ilvl w:val="0"/>
          <w:numId w:val="9"/>
        </w:numPr>
        <w:tabs>
          <w:tab w:val="left" w:pos="3840"/>
          <w:tab w:val="left" w:pos="4780"/>
          <w:tab w:val="left" w:pos="5720"/>
        </w:tabs>
        <w:autoSpaceDE w:val="0"/>
        <w:autoSpaceDN w:val="0"/>
        <w:adjustRightInd w:val="0"/>
        <w:snapToGrid w:val="0"/>
        <w:spacing w:line="360" w:lineRule="auto"/>
        <w:jc w:val="center"/>
        <w:rPr>
          <w:rFonts w:hint="eastAsia" w:ascii="宋体" w:hAnsi="宋体"/>
          <w:b/>
          <w:bCs/>
          <w:color w:val="auto"/>
          <w:sz w:val="32"/>
          <w:szCs w:val="32"/>
          <w:highlight w:val="none"/>
          <w:lang w:eastAsia="zh-CN"/>
        </w:rPr>
      </w:pPr>
      <w:r>
        <w:rPr>
          <w:rFonts w:hint="eastAsia" w:ascii="宋体" w:hAnsi="宋体"/>
          <w:b/>
          <w:bCs/>
          <w:color w:val="auto"/>
          <w:sz w:val="32"/>
          <w:szCs w:val="32"/>
          <w:highlight w:val="none"/>
          <w:lang w:eastAsia="zh-CN"/>
        </w:rPr>
        <w:t>技术部分</w:t>
      </w:r>
    </w:p>
    <w:p>
      <w:pPr>
        <w:pStyle w:val="2"/>
        <w:numPr>
          <w:ilvl w:val="0"/>
          <w:numId w:val="0"/>
        </w:numPr>
        <w:jc w:val="center"/>
        <w:rPr>
          <w:rFonts w:hint="eastAsia" w:eastAsia="仿宋_GB2312"/>
          <w:color w:val="auto"/>
          <w:highlight w:val="none"/>
          <w:lang w:eastAsia="zh-CN"/>
        </w:rPr>
      </w:pPr>
      <w:r>
        <w:rPr>
          <w:rFonts w:hint="eastAsia"/>
          <w:color w:val="auto"/>
          <w:highlight w:val="none"/>
          <w:lang w:eastAsia="zh-CN"/>
        </w:rPr>
        <w:t>（格式不限）</w:t>
      </w:r>
    </w:p>
    <w:p>
      <w:pPr>
        <w:tabs>
          <w:tab w:val="left" w:pos="3840"/>
          <w:tab w:val="left" w:pos="4780"/>
          <w:tab w:val="left" w:pos="5720"/>
        </w:tabs>
        <w:autoSpaceDE w:val="0"/>
        <w:autoSpaceDN w:val="0"/>
        <w:adjustRightInd w:val="0"/>
        <w:snapToGrid w:val="0"/>
        <w:spacing w:line="360" w:lineRule="auto"/>
        <w:jc w:val="center"/>
        <w:rPr>
          <w:rFonts w:hint="eastAsia"/>
          <w:b/>
          <w:color w:val="auto"/>
          <w:sz w:val="28"/>
          <w:szCs w:val="28"/>
          <w:highlight w:val="none"/>
          <w:lang w:eastAsia="zh-CN"/>
        </w:rPr>
      </w:pPr>
    </w:p>
    <w:p>
      <w:pPr>
        <w:tabs>
          <w:tab w:val="left" w:pos="3840"/>
          <w:tab w:val="left" w:pos="4780"/>
          <w:tab w:val="left" w:pos="5720"/>
        </w:tabs>
        <w:autoSpaceDE w:val="0"/>
        <w:autoSpaceDN w:val="0"/>
        <w:adjustRightInd w:val="0"/>
        <w:snapToGrid w:val="0"/>
        <w:spacing w:line="360" w:lineRule="auto"/>
        <w:jc w:val="center"/>
        <w:rPr>
          <w:rFonts w:hint="eastAsia"/>
          <w:b/>
          <w:color w:val="auto"/>
          <w:sz w:val="28"/>
          <w:szCs w:val="28"/>
          <w:highlight w:val="none"/>
          <w:lang w:eastAsia="zh-CN"/>
        </w:rPr>
      </w:pPr>
    </w:p>
    <w:p>
      <w:pPr>
        <w:tabs>
          <w:tab w:val="left" w:pos="3840"/>
          <w:tab w:val="left" w:pos="4780"/>
          <w:tab w:val="left" w:pos="5720"/>
        </w:tabs>
        <w:autoSpaceDE w:val="0"/>
        <w:autoSpaceDN w:val="0"/>
        <w:adjustRightInd w:val="0"/>
        <w:snapToGrid w:val="0"/>
        <w:spacing w:line="360" w:lineRule="auto"/>
        <w:jc w:val="center"/>
        <w:rPr>
          <w:rFonts w:hint="eastAsia"/>
          <w:b/>
          <w:color w:val="auto"/>
          <w:sz w:val="28"/>
          <w:szCs w:val="28"/>
          <w:highlight w:val="none"/>
          <w:lang w:eastAsia="zh-CN"/>
        </w:rPr>
      </w:pPr>
    </w:p>
    <w:p>
      <w:pPr>
        <w:pStyle w:val="2"/>
        <w:rPr>
          <w:rFonts w:hint="eastAsia"/>
          <w:b/>
          <w:color w:val="auto"/>
          <w:sz w:val="28"/>
          <w:szCs w:val="28"/>
          <w:highlight w:val="none"/>
          <w:lang w:eastAsia="zh-CN"/>
        </w:rPr>
      </w:pPr>
    </w:p>
    <w:p>
      <w:pPr>
        <w:rPr>
          <w:rFonts w:hint="eastAsia"/>
          <w:b/>
          <w:color w:val="auto"/>
          <w:sz w:val="28"/>
          <w:szCs w:val="28"/>
          <w:highlight w:val="none"/>
          <w:lang w:eastAsia="zh-CN"/>
        </w:rPr>
      </w:pPr>
    </w:p>
    <w:p>
      <w:pPr>
        <w:pStyle w:val="2"/>
        <w:rPr>
          <w:rFonts w:hint="eastAsia"/>
          <w:b/>
          <w:color w:val="auto"/>
          <w:sz w:val="28"/>
          <w:szCs w:val="28"/>
          <w:highlight w:val="none"/>
          <w:lang w:eastAsia="zh-CN"/>
        </w:rPr>
      </w:pPr>
    </w:p>
    <w:p>
      <w:pPr>
        <w:rPr>
          <w:rFonts w:hint="eastAsia"/>
          <w:color w:val="auto"/>
          <w:highlight w:val="none"/>
          <w:lang w:eastAsia="zh-CN"/>
        </w:rPr>
      </w:pPr>
    </w:p>
    <w:p>
      <w:pPr>
        <w:tabs>
          <w:tab w:val="left" w:pos="3840"/>
          <w:tab w:val="left" w:pos="4780"/>
          <w:tab w:val="left" w:pos="5720"/>
        </w:tabs>
        <w:autoSpaceDE w:val="0"/>
        <w:autoSpaceDN w:val="0"/>
        <w:adjustRightInd w:val="0"/>
        <w:snapToGrid w:val="0"/>
        <w:spacing w:line="360" w:lineRule="auto"/>
        <w:jc w:val="center"/>
        <w:rPr>
          <w:rFonts w:hint="eastAsia"/>
          <w:b/>
          <w:color w:val="auto"/>
          <w:sz w:val="28"/>
          <w:szCs w:val="28"/>
          <w:highlight w:val="none"/>
          <w:lang w:eastAsia="zh-CN"/>
        </w:rPr>
      </w:pPr>
    </w:p>
    <w:p>
      <w:pPr>
        <w:tabs>
          <w:tab w:val="left" w:pos="3840"/>
          <w:tab w:val="left" w:pos="4780"/>
          <w:tab w:val="left" w:pos="5720"/>
        </w:tabs>
        <w:autoSpaceDE w:val="0"/>
        <w:autoSpaceDN w:val="0"/>
        <w:adjustRightInd w:val="0"/>
        <w:snapToGrid w:val="0"/>
        <w:spacing w:line="360" w:lineRule="auto"/>
        <w:jc w:val="center"/>
        <w:rPr>
          <w:rFonts w:hint="eastAsia"/>
          <w:b/>
          <w:color w:val="auto"/>
          <w:sz w:val="28"/>
          <w:szCs w:val="28"/>
          <w:highlight w:val="none"/>
          <w:lang w:eastAsia="zh-CN"/>
        </w:rPr>
      </w:pPr>
    </w:p>
    <w:p>
      <w:pPr>
        <w:tabs>
          <w:tab w:val="left" w:pos="3840"/>
          <w:tab w:val="left" w:pos="4780"/>
          <w:tab w:val="left" w:pos="5720"/>
        </w:tabs>
        <w:autoSpaceDE w:val="0"/>
        <w:autoSpaceDN w:val="0"/>
        <w:adjustRightInd w:val="0"/>
        <w:snapToGrid w:val="0"/>
        <w:spacing w:line="360" w:lineRule="auto"/>
        <w:jc w:val="center"/>
        <w:rPr>
          <w:b/>
          <w:color w:val="auto"/>
          <w:sz w:val="28"/>
          <w:szCs w:val="28"/>
          <w:highlight w:val="none"/>
        </w:rPr>
      </w:pPr>
      <w:r>
        <w:rPr>
          <w:rFonts w:hint="eastAsia"/>
          <w:b/>
          <w:color w:val="auto"/>
          <w:sz w:val="28"/>
          <w:szCs w:val="28"/>
          <w:highlight w:val="none"/>
          <w:lang w:eastAsia="zh-CN"/>
        </w:rPr>
        <w:t>四、</w:t>
      </w:r>
      <w:r>
        <w:rPr>
          <w:rFonts w:hint="eastAsia"/>
          <w:b/>
          <w:color w:val="auto"/>
          <w:sz w:val="28"/>
          <w:szCs w:val="28"/>
          <w:highlight w:val="none"/>
        </w:rPr>
        <w:t>其他相关资料</w:t>
      </w:r>
    </w:p>
    <w:sectPr>
      <w:pgSz w:w="11906" w:h="16838"/>
      <w:pgMar w:top="2098" w:right="1531" w:bottom="1984"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3CC0721-8C82-4454-B5C3-750F8FAA49C4}"/>
  </w:font>
  <w:font w:name="Arial">
    <w:panose1 w:val="020B0604020202020204"/>
    <w:charset w:val="01"/>
    <w:family w:val="swiss"/>
    <w:pitch w:val="default"/>
    <w:sig w:usb0="E0002EFF" w:usb1="C000785B" w:usb2="00000009" w:usb3="00000000" w:csb0="400001FF" w:csb1="FFFF0000"/>
    <w:embedRegular r:id="rId2" w:fontKey="{2C5BF8A3-943A-4AE5-B82C-08AF2058D527}"/>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776D036-0ACB-4C1B-ADB5-73289B60E0A2}"/>
  </w:font>
  <w:font w:name="Symbol">
    <w:panose1 w:val="05050102010706020507"/>
    <w:charset w:val="02"/>
    <w:family w:val="roman"/>
    <w:pitch w:val="default"/>
    <w:sig w:usb0="00000000" w:usb1="00000000" w:usb2="00000000" w:usb3="00000000" w:csb0="80000000" w:csb1="00000000"/>
    <w:embedRegular r:id="rId4" w:fontKey="{AFC15AC4-82D0-432E-B794-940F8F06A1F6}"/>
  </w:font>
  <w:font w:name="Cambria">
    <w:panose1 w:val="02040503050406030204"/>
    <w:charset w:val="00"/>
    <w:family w:val="roman"/>
    <w:pitch w:val="default"/>
    <w:sig w:usb0="E00006FF" w:usb1="420024FF" w:usb2="02000000" w:usb3="00000000" w:csb0="2000019F" w:csb1="00000000"/>
    <w:embedRegular r:id="rId5" w:fontKey="{86030517-0DB1-4B4C-9ABF-CC500750CE36}"/>
  </w:font>
  <w:font w:name="Calibri">
    <w:panose1 w:val="020F0502020204030204"/>
    <w:charset w:val="00"/>
    <w:family w:val="swiss"/>
    <w:pitch w:val="default"/>
    <w:sig w:usb0="E4002EFF" w:usb1="C000247B" w:usb2="00000009" w:usb3="00000000" w:csb0="200001FF" w:csb1="00000000"/>
    <w:embedRegular r:id="rId6" w:fontKey="{2B99804B-8D14-469B-885C-E78D3637AC8B}"/>
  </w:font>
  <w:font w:name="微软雅黑">
    <w:panose1 w:val="020B0503020204020204"/>
    <w:charset w:val="86"/>
    <w:family w:val="swiss"/>
    <w:pitch w:val="default"/>
    <w:sig w:usb0="80000287" w:usb1="2ACF3C50" w:usb2="00000016" w:usb3="00000000" w:csb0="0004001F" w:csb1="00000000"/>
    <w:embedRegular r:id="rId7" w:fontKey="{16846293-F6FA-46CC-98EF-0B23B549E4B6}"/>
  </w:font>
  <w:font w:name="仿宋_GB2312">
    <w:panose1 w:val="02010609030101010101"/>
    <w:charset w:val="86"/>
    <w:family w:val="modern"/>
    <w:pitch w:val="default"/>
    <w:sig w:usb0="00000001" w:usb1="080E0000" w:usb2="00000000" w:usb3="00000000" w:csb0="00040000" w:csb1="00000000"/>
    <w:embedRegular r:id="rId8" w:fontKey="{9E4E1789-C95D-4C6D-BDAB-E330E9A664B7}"/>
  </w:font>
  <w:font w:name="MingLiU">
    <w:panose1 w:val="02020509000000000000"/>
    <w:charset w:val="88"/>
    <w:family w:val="modern"/>
    <w:pitch w:val="default"/>
    <w:sig w:usb0="00000000" w:usb1="00000000" w:usb2="00000000" w:usb3="00000000" w:csb0="00000000" w:csb1="00000000"/>
    <w:embedRegular r:id="rId9" w:fontKey="{0ECD33E2-9DF1-4D79-A92A-65208699B03A}"/>
  </w:font>
  <w:font w:name="Courier New">
    <w:panose1 w:val="02070309020205020404"/>
    <w:charset w:val="00"/>
    <w:family w:val="modern"/>
    <w:pitch w:val="default"/>
    <w:sig w:usb0="E0002EFF" w:usb1="C0007843" w:usb2="00000009" w:usb3="00000000" w:csb0="400001FF" w:csb1="FFFF0000"/>
    <w:embedRegular r:id="rId10" w:fontKey="{FB219C90-73C2-44AC-A4A9-86026C01D6FF}"/>
  </w:font>
  <w:font w:name="Arial">
    <w:panose1 w:val="020B0604020202020204"/>
    <w:charset w:val="00"/>
    <w:family w:val="swiss"/>
    <w:pitch w:val="default"/>
    <w:sig w:usb0="E0002EFF" w:usb1="C000785B" w:usb2="00000009" w:usb3="00000000" w:csb0="400001FF" w:csb1="FFFF0000"/>
    <w:embedRegular r:id="rId11" w:fontKey="{DCC5E318-2678-4ECA-A060-D8A9073C0853}"/>
  </w:font>
  <w:font w:name="方正小标宋_GBK">
    <w:panose1 w:val="03000509000000000000"/>
    <w:charset w:val="86"/>
    <w:family w:val="script"/>
    <w:pitch w:val="default"/>
    <w:sig w:usb0="00000001" w:usb1="080E0000" w:usb2="00000000" w:usb3="00000000" w:csb0="00040000" w:csb1="00000000"/>
    <w:embedRegular r:id="rId12" w:fontKey="{BACDAA30-7460-46A6-A32B-AEBBDF597449}"/>
  </w:font>
  <w:font w:name="华文仿宋">
    <w:panose1 w:val="02010600040101010101"/>
    <w:charset w:val="86"/>
    <w:family w:val="auto"/>
    <w:pitch w:val="default"/>
    <w:sig w:usb0="00000287" w:usb1="080F0000" w:usb2="00000000" w:usb3="00000000" w:csb0="0004009F" w:csb1="DFD70000"/>
    <w:embedRegular r:id="rId13" w:fontKey="{6EA64B93-1519-4D97-AF5E-6B3A73A9CD17}"/>
  </w:font>
  <w:font w:name="MingLiU_x0004_falt">
    <w:altName w:val="PMingLiU-ExtB"/>
    <w:panose1 w:val="00000000000000000000"/>
    <w:charset w:val="88"/>
    <w:family w:val="swiss"/>
    <w:pitch w:val="default"/>
    <w:sig w:usb0="00000000" w:usb1="00000000" w:usb2="00000010" w:usb3="00000000" w:csb0="00100000" w:csb1="00000000"/>
    <w:embedRegular r:id="rId14" w:fontKey="{BD05DF16-F5FC-4D9B-9CFC-D931FE5D9138}"/>
  </w:font>
  <w:font w:name="MingLiUfalt">
    <w:altName w:val="MingLiU-ExtB"/>
    <w:panose1 w:val="00000000000000000000"/>
    <w:charset w:val="88"/>
    <w:family w:val="decorative"/>
    <w:pitch w:val="default"/>
    <w:sig w:usb0="00000000" w:usb1="00000000" w:usb2="00000010" w:usb3="00000000" w:csb0="00100000" w:csb1="00000000"/>
    <w:embedRegular r:id="rId15" w:fontKey="{F44F91C5-39D7-4596-9328-B67FF38FE893}"/>
  </w:font>
  <w:font w:name="PMingLiU-ExtB">
    <w:panose1 w:val="02020500000000000000"/>
    <w:charset w:val="88"/>
    <w:family w:val="auto"/>
    <w:pitch w:val="default"/>
    <w:sig w:usb0="8000002F" w:usb1="02000008" w:usb2="00000000" w:usb3="00000000" w:csb0="00100001" w:csb1="00000000"/>
  </w:font>
  <w:font w:name="MingLiU-ExtB">
    <w:panose1 w:val="02020500000000000000"/>
    <w:charset w:val="88"/>
    <w:family w:val="auto"/>
    <w:pitch w:val="default"/>
    <w:sig w:usb0="8000002F" w:usb1="02000008" w:usb2="00000000" w:usb3="00000000" w:csb0="00100001" w:csb1="00000000"/>
  </w:font>
  <w:font w:name="PMingLiU">
    <w:altName w:val="PMingLiU-ExtB"/>
    <w:panose1 w:val="02020500000000000000"/>
    <w:charset w:val="88"/>
    <w:family w:val="auto"/>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auto"/>
    <w:pitch w:val="default"/>
    <w:sig w:usb0="00000000" w:usb1="00000000" w:usb2="00000030" w:usb3="00000000" w:csb0="4008009F" w:csb1="DFD70000"/>
  </w:font>
  <w:font w:name="Verdana">
    <w:panose1 w:val="020B0604030504040204"/>
    <w:charset w:val="00"/>
    <w:family w:val="swiss"/>
    <w:pitch w:val="default"/>
    <w:sig w:usb0="A00006FF" w:usb1="4000205B" w:usb2="00000010" w:usb3="00000000" w:csb0="2000019F" w:csb1="00000000"/>
    <w:embedRegular r:id="rId16" w:fontKey="{482169F1-1C56-4508-83DA-EFBA2667CE15}"/>
  </w:font>
  <w:font w:name="Century Gothic">
    <w:panose1 w:val="020B0502020202020204"/>
    <w:charset w:val="00"/>
    <w:family w:val="swiss"/>
    <w:pitch w:val="default"/>
    <w:sig w:usb0="00000287" w:usb1="00000000" w:usb2="00000000" w:usb3="00000000" w:csb0="2000009F" w:csb1="DFD70000"/>
    <w:embedRegular r:id="rId17" w:fontKey="{81E7E786-5F5E-4167-B04E-C4D0A4E78665}"/>
  </w:font>
  <w:font w:name="Trebuchet MS">
    <w:panose1 w:val="020B0603020202020204"/>
    <w:charset w:val="00"/>
    <w:family w:val="auto"/>
    <w:pitch w:val="default"/>
    <w:sig w:usb0="00000687" w:usb1="00000000" w:usb2="00000000" w:usb3="00000000" w:csb0="2000009F" w:csb1="00000000"/>
    <w:embedRegular r:id="rId18" w:fontKey="{18CC218C-4496-41E9-A057-A42A8EF41505}"/>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2052" o:spid="_x0000_s2052"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微软雅黑"/>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微软雅黑"/>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21"/>
      </w:rPr>
      <w:pict>
        <v:shape id="_x0000_s2054" o:spid="_x0000_s205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微软雅黑"/>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28</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2A8685"/>
    <w:multiLevelType w:val="singleLevel"/>
    <w:tmpl w:val="8B2A8685"/>
    <w:lvl w:ilvl="0" w:tentative="0">
      <w:start w:val="1"/>
      <w:numFmt w:val="decimal"/>
      <w:suff w:val="nothing"/>
      <w:lvlText w:val="%1．"/>
      <w:lvlJc w:val="left"/>
    </w:lvl>
  </w:abstractNum>
  <w:abstractNum w:abstractNumId="1">
    <w:nsid w:val="BB310BB7"/>
    <w:multiLevelType w:val="singleLevel"/>
    <w:tmpl w:val="BB310BB7"/>
    <w:lvl w:ilvl="0" w:tentative="0">
      <w:start w:val="2"/>
      <w:numFmt w:val="decimal"/>
      <w:lvlText w:val="%1."/>
      <w:lvlJc w:val="left"/>
      <w:pPr>
        <w:tabs>
          <w:tab w:val="left" w:pos="312"/>
        </w:tabs>
      </w:pPr>
    </w:lvl>
  </w:abstractNum>
  <w:abstractNum w:abstractNumId="2">
    <w:nsid w:val="2E482E59"/>
    <w:multiLevelType w:val="multilevel"/>
    <w:tmpl w:val="2E482E5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89AB4D9"/>
    <w:multiLevelType w:val="singleLevel"/>
    <w:tmpl w:val="589AB4D9"/>
    <w:lvl w:ilvl="0" w:tentative="0">
      <w:start w:val="4"/>
      <w:numFmt w:val="chineseCounting"/>
      <w:suff w:val="nothing"/>
      <w:lvlText w:val="%1、"/>
      <w:lvlJc w:val="left"/>
    </w:lvl>
  </w:abstractNum>
  <w:abstractNum w:abstractNumId="4">
    <w:nsid w:val="589AC42F"/>
    <w:multiLevelType w:val="singleLevel"/>
    <w:tmpl w:val="589AC42F"/>
    <w:lvl w:ilvl="0" w:tentative="0">
      <w:start w:val="5"/>
      <w:numFmt w:val="chineseCounting"/>
      <w:suff w:val="nothing"/>
      <w:lvlText w:val="%1、"/>
      <w:lvlJc w:val="left"/>
    </w:lvl>
  </w:abstractNum>
  <w:abstractNum w:abstractNumId="5">
    <w:nsid w:val="6176859C"/>
    <w:multiLevelType w:val="singleLevel"/>
    <w:tmpl w:val="6176859C"/>
    <w:lvl w:ilvl="0" w:tentative="0">
      <w:start w:val="5"/>
      <w:numFmt w:val="decimal"/>
      <w:suff w:val="nothing"/>
      <w:lvlText w:val="%1."/>
      <w:lvlJc w:val="left"/>
    </w:lvl>
  </w:abstractNum>
  <w:abstractNum w:abstractNumId="6">
    <w:nsid w:val="6189DD85"/>
    <w:multiLevelType w:val="singleLevel"/>
    <w:tmpl w:val="6189DD85"/>
    <w:lvl w:ilvl="0" w:tentative="0">
      <w:start w:val="3"/>
      <w:numFmt w:val="chineseCounting"/>
      <w:suff w:val="nothing"/>
      <w:lvlText w:val="%1、"/>
      <w:lvlJc w:val="left"/>
    </w:lvl>
  </w:abstractNum>
  <w:abstractNum w:abstractNumId="7">
    <w:nsid w:val="6189DDE8"/>
    <w:multiLevelType w:val="singleLevel"/>
    <w:tmpl w:val="6189DDE8"/>
    <w:lvl w:ilvl="0" w:tentative="0">
      <w:start w:val="2"/>
      <w:numFmt w:val="chineseCounting"/>
      <w:suff w:val="nothing"/>
      <w:lvlText w:val="%1、"/>
      <w:lvlJc w:val="left"/>
    </w:lvl>
  </w:abstractNum>
  <w:abstractNum w:abstractNumId="8">
    <w:nsid w:val="737F203A"/>
    <w:multiLevelType w:val="singleLevel"/>
    <w:tmpl w:val="737F203A"/>
    <w:lvl w:ilvl="0" w:tentative="0">
      <w:start w:val="1"/>
      <w:numFmt w:val="upperLetter"/>
      <w:suff w:val="nothing"/>
      <w:lvlText w:val="%1、"/>
      <w:lvlJc w:val="left"/>
    </w:lvl>
  </w:abstractNum>
  <w:num w:numId="1">
    <w:abstractNumId w:val="1"/>
  </w:num>
  <w:num w:numId="2">
    <w:abstractNumId w:val="5"/>
  </w:num>
  <w:num w:numId="3">
    <w:abstractNumId w:val="3"/>
  </w:num>
  <w:num w:numId="4">
    <w:abstractNumId w:val="2"/>
  </w:num>
  <w:num w:numId="5">
    <w:abstractNumId w:val="8"/>
  </w:num>
  <w:num w:numId="6">
    <w:abstractNumId w:val="4"/>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A77B2"/>
    <w:rsid w:val="000439A1"/>
    <w:rsid w:val="000A77B2"/>
    <w:rsid w:val="00141402"/>
    <w:rsid w:val="00166D74"/>
    <w:rsid w:val="001A0B7E"/>
    <w:rsid w:val="001C75D1"/>
    <w:rsid w:val="0028621E"/>
    <w:rsid w:val="00323061"/>
    <w:rsid w:val="003A6AD1"/>
    <w:rsid w:val="003B095A"/>
    <w:rsid w:val="00414DC8"/>
    <w:rsid w:val="00457E9F"/>
    <w:rsid w:val="00464E86"/>
    <w:rsid w:val="004A18C8"/>
    <w:rsid w:val="004B4121"/>
    <w:rsid w:val="004B67F6"/>
    <w:rsid w:val="004F6A03"/>
    <w:rsid w:val="00500EF6"/>
    <w:rsid w:val="00511968"/>
    <w:rsid w:val="00534B8B"/>
    <w:rsid w:val="00556679"/>
    <w:rsid w:val="00563036"/>
    <w:rsid w:val="005B73DE"/>
    <w:rsid w:val="005C24B1"/>
    <w:rsid w:val="006163E6"/>
    <w:rsid w:val="00674BBA"/>
    <w:rsid w:val="00713399"/>
    <w:rsid w:val="00793F80"/>
    <w:rsid w:val="00822665"/>
    <w:rsid w:val="0083077F"/>
    <w:rsid w:val="00871594"/>
    <w:rsid w:val="00963875"/>
    <w:rsid w:val="009774AB"/>
    <w:rsid w:val="00A542D7"/>
    <w:rsid w:val="00AC4F85"/>
    <w:rsid w:val="00B32E5B"/>
    <w:rsid w:val="00B47378"/>
    <w:rsid w:val="00BC067D"/>
    <w:rsid w:val="00BF06E4"/>
    <w:rsid w:val="00C010F7"/>
    <w:rsid w:val="00C83FB9"/>
    <w:rsid w:val="00D84A95"/>
    <w:rsid w:val="00E3493F"/>
    <w:rsid w:val="00F45547"/>
    <w:rsid w:val="00F65B2A"/>
    <w:rsid w:val="00F75536"/>
    <w:rsid w:val="00FD2A3A"/>
    <w:rsid w:val="01BA6443"/>
    <w:rsid w:val="01CA142A"/>
    <w:rsid w:val="02142A9F"/>
    <w:rsid w:val="04323572"/>
    <w:rsid w:val="056F347B"/>
    <w:rsid w:val="068B762A"/>
    <w:rsid w:val="07B520F1"/>
    <w:rsid w:val="0866510C"/>
    <w:rsid w:val="0A0E1860"/>
    <w:rsid w:val="0A432D7B"/>
    <w:rsid w:val="0A964217"/>
    <w:rsid w:val="0B640B1B"/>
    <w:rsid w:val="0C2A6478"/>
    <w:rsid w:val="0DBC6189"/>
    <w:rsid w:val="0E0618D5"/>
    <w:rsid w:val="11D21BB9"/>
    <w:rsid w:val="121B32F3"/>
    <w:rsid w:val="1259446E"/>
    <w:rsid w:val="13B611A9"/>
    <w:rsid w:val="148C5BED"/>
    <w:rsid w:val="15006723"/>
    <w:rsid w:val="15037881"/>
    <w:rsid w:val="15EC75A4"/>
    <w:rsid w:val="16450255"/>
    <w:rsid w:val="1664225E"/>
    <w:rsid w:val="186F7E45"/>
    <w:rsid w:val="18AE0344"/>
    <w:rsid w:val="1991203B"/>
    <w:rsid w:val="19F5064F"/>
    <w:rsid w:val="1AC46546"/>
    <w:rsid w:val="1C017792"/>
    <w:rsid w:val="1C8C35A6"/>
    <w:rsid w:val="1CAF2B8B"/>
    <w:rsid w:val="1D6D53C4"/>
    <w:rsid w:val="1EEF037D"/>
    <w:rsid w:val="1F62338E"/>
    <w:rsid w:val="1F8405D3"/>
    <w:rsid w:val="21AA31E9"/>
    <w:rsid w:val="21E83E3E"/>
    <w:rsid w:val="21FC5A0F"/>
    <w:rsid w:val="2207231B"/>
    <w:rsid w:val="2275623A"/>
    <w:rsid w:val="2332429F"/>
    <w:rsid w:val="23A660BC"/>
    <w:rsid w:val="24B10DD9"/>
    <w:rsid w:val="2518486A"/>
    <w:rsid w:val="25D622B4"/>
    <w:rsid w:val="273D4428"/>
    <w:rsid w:val="27BE3476"/>
    <w:rsid w:val="284753C3"/>
    <w:rsid w:val="28E96B0F"/>
    <w:rsid w:val="2AEB1DF6"/>
    <w:rsid w:val="2B037848"/>
    <w:rsid w:val="2CAF2228"/>
    <w:rsid w:val="2D150457"/>
    <w:rsid w:val="2D4F2E55"/>
    <w:rsid w:val="2E081759"/>
    <w:rsid w:val="2E697FA7"/>
    <w:rsid w:val="2F0317BF"/>
    <w:rsid w:val="303E0954"/>
    <w:rsid w:val="30B97EF0"/>
    <w:rsid w:val="30C37390"/>
    <w:rsid w:val="30D95AB3"/>
    <w:rsid w:val="31C306F0"/>
    <w:rsid w:val="31D94A13"/>
    <w:rsid w:val="323D546D"/>
    <w:rsid w:val="327D6E17"/>
    <w:rsid w:val="33BB4E97"/>
    <w:rsid w:val="33C12BB4"/>
    <w:rsid w:val="34223ED2"/>
    <w:rsid w:val="34594716"/>
    <w:rsid w:val="34A72C17"/>
    <w:rsid w:val="34BC2D11"/>
    <w:rsid w:val="36FD122B"/>
    <w:rsid w:val="380868FD"/>
    <w:rsid w:val="38914E9E"/>
    <w:rsid w:val="39095B30"/>
    <w:rsid w:val="392F3042"/>
    <w:rsid w:val="39866D26"/>
    <w:rsid w:val="398F35CB"/>
    <w:rsid w:val="3A0F5F70"/>
    <w:rsid w:val="3A84616C"/>
    <w:rsid w:val="3A88599B"/>
    <w:rsid w:val="3A944C64"/>
    <w:rsid w:val="3CD21734"/>
    <w:rsid w:val="3E317AB5"/>
    <w:rsid w:val="3E40267D"/>
    <w:rsid w:val="3F916930"/>
    <w:rsid w:val="41095EB9"/>
    <w:rsid w:val="429047F8"/>
    <w:rsid w:val="440B41F5"/>
    <w:rsid w:val="46790A64"/>
    <w:rsid w:val="468F1663"/>
    <w:rsid w:val="47297A77"/>
    <w:rsid w:val="475C7989"/>
    <w:rsid w:val="48F56CAA"/>
    <w:rsid w:val="4A414029"/>
    <w:rsid w:val="4BFC53E0"/>
    <w:rsid w:val="4CAD57BE"/>
    <w:rsid w:val="4CD564A1"/>
    <w:rsid w:val="4D227701"/>
    <w:rsid w:val="4E232856"/>
    <w:rsid w:val="4F7F26F7"/>
    <w:rsid w:val="50AF3875"/>
    <w:rsid w:val="50D25256"/>
    <w:rsid w:val="50EF29E8"/>
    <w:rsid w:val="5106312E"/>
    <w:rsid w:val="51164724"/>
    <w:rsid w:val="522821FD"/>
    <w:rsid w:val="54AF1573"/>
    <w:rsid w:val="54B80C91"/>
    <w:rsid w:val="55071FEA"/>
    <w:rsid w:val="559C055A"/>
    <w:rsid w:val="570F1798"/>
    <w:rsid w:val="575E04C2"/>
    <w:rsid w:val="57B35EF0"/>
    <w:rsid w:val="588818BF"/>
    <w:rsid w:val="5A3C10F0"/>
    <w:rsid w:val="5AF43F7C"/>
    <w:rsid w:val="5C261CC7"/>
    <w:rsid w:val="5CE02424"/>
    <w:rsid w:val="5D7161EA"/>
    <w:rsid w:val="5EB95831"/>
    <w:rsid w:val="5EC01F19"/>
    <w:rsid w:val="5EF458F6"/>
    <w:rsid w:val="5F2F3EA3"/>
    <w:rsid w:val="5FA17105"/>
    <w:rsid w:val="60F4134F"/>
    <w:rsid w:val="62C4473D"/>
    <w:rsid w:val="63336E74"/>
    <w:rsid w:val="64A34D11"/>
    <w:rsid w:val="65320C88"/>
    <w:rsid w:val="670F27C5"/>
    <w:rsid w:val="67A35F8D"/>
    <w:rsid w:val="68B27DF5"/>
    <w:rsid w:val="6A5F29DC"/>
    <w:rsid w:val="6B2511B1"/>
    <w:rsid w:val="6B5F362B"/>
    <w:rsid w:val="6D195814"/>
    <w:rsid w:val="6D9F0D9D"/>
    <w:rsid w:val="6E00055F"/>
    <w:rsid w:val="6F650BF6"/>
    <w:rsid w:val="6F8535C6"/>
    <w:rsid w:val="6F9E2C83"/>
    <w:rsid w:val="6FA0320D"/>
    <w:rsid w:val="6FCF39DF"/>
    <w:rsid w:val="6FD87378"/>
    <w:rsid w:val="71E0073A"/>
    <w:rsid w:val="724F4306"/>
    <w:rsid w:val="7263065C"/>
    <w:rsid w:val="726E7C5D"/>
    <w:rsid w:val="72B04940"/>
    <w:rsid w:val="732C1EAA"/>
    <w:rsid w:val="73377794"/>
    <w:rsid w:val="73BE3E64"/>
    <w:rsid w:val="7410795B"/>
    <w:rsid w:val="742A6F86"/>
    <w:rsid w:val="74A33ECA"/>
    <w:rsid w:val="750124A7"/>
    <w:rsid w:val="76522EA1"/>
    <w:rsid w:val="76A87023"/>
    <w:rsid w:val="76C5466A"/>
    <w:rsid w:val="77030D1B"/>
    <w:rsid w:val="77136B27"/>
    <w:rsid w:val="783F0412"/>
    <w:rsid w:val="78FE478C"/>
    <w:rsid w:val="7A2500C5"/>
    <w:rsid w:val="7BAF5131"/>
    <w:rsid w:val="7BE83DF8"/>
    <w:rsid w:val="7C2B0102"/>
    <w:rsid w:val="7D3C0E24"/>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微软雅黑" w:cs="Times New Roman"/>
      <w:kern w:val="2"/>
      <w:sz w:val="21"/>
      <w:szCs w:val="24"/>
      <w:lang w:val="en-US" w:eastAsia="zh-CN" w:bidi="ar-SA"/>
    </w:rPr>
  </w:style>
  <w:style w:type="paragraph" w:styleId="2">
    <w:name w:val="heading 3"/>
    <w:basedOn w:val="1"/>
    <w:next w:val="1"/>
    <w:unhideWhenUsed/>
    <w:qFormat/>
    <w:uiPriority w:val="9"/>
    <w:pPr>
      <w:autoSpaceDE w:val="0"/>
      <w:autoSpaceDN w:val="0"/>
      <w:adjustRightInd w:val="0"/>
      <w:spacing w:before="16"/>
      <w:jc w:val="left"/>
      <w:outlineLvl w:val="2"/>
    </w:pPr>
    <w:rPr>
      <w:rFonts w:ascii="仿宋_GB2312" w:eastAsia="仿宋_GB2312" w:cs="MingLiU"/>
      <w:b/>
      <w:bCs/>
      <w:kern w:val="0"/>
      <w:sz w:val="24"/>
      <w:szCs w:val="28"/>
    </w:rPr>
  </w:style>
  <w:style w:type="character" w:default="1" w:styleId="10">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Plain Text"/>
    <w:basedOn w:val="1"/>
    <w:qFormat/>
    <w:uiPriority w:val="0"/>
    <w:rPr>
      <w:rFonts w:ascii="宋体" w:hAnsi="Courier New"/>
    </w:rPr>
  </w:style>
  <w:style w:type="paragraph" w:styleId="5">
    <w:name w:val="Date"/>
    <w:basedOn w:val="1"/>
    <w:next w:val="1"/>
    <w:qFormat/>
    <w:uiPriority w:val="0"/>
    <w:pPr>
      <w:ind w:left="100" w:leftChars="2500"/>
    </w:pPr>
  </w:style>
  <w:style w:type="paragraph" w:styleId="6">
    <w:name w:val="footer"/>
    <w:basedOn w:val="1"/>
    <w:link w:val="14"/>
    <w:unhideWhenUsed/>
    <w:qFormat/>
    <w:uiPriority w:val="0"/>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Title"/>
    <w:basedOn w:val="1"/>
    <w:next w:val="1"/>
    <w:link w:val="17"/>
    <w:qFormat/>
    <w:uiPriority w:val="0"/>
    <w:pPr>
      <w:spacing w:before="240" w:after="60"/>
      <w:outlineLvl w:val="0"/>
    </w:pPr>
    <w:rPr>
      <w:rFonts w:ascii="Arial" w:hAnsi="Arial" w:cs="Arial"/>
      <w:b/>
      <w:bCs/>
      <w:sz w:val="32"/>
      <w:szCs w:val="32"/>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10"/>
    <w:link w:val="7"/>
    <w:qFormat/>
    <w:uiPriority w:val="99"/>
    <w:rPr>
      <w:kern w:val="2"/>
      <w:sz w:val="18"/>
      <w:szCs w:val="18"/>
    </w:rPr>
  </w:style>
  <w:style w:type="character" w:customStyle="1" w:styleId="14">
    <w:name w:val="页脚 Char"/>
    <w:basedOn w:val="10"/>
    <w:link w:val="6"/>
    <w:qFormat/>
    <w:uiPriority w:val="0"/>
    <w:rPr>
      <w:kern w:val="2"/>
      <w:sz w:val="18"/>
      <w:szCs w:val="18"/>
    </w:rPr>
  </w:style>
  <w:style w:type="paragraph" w:customStyle="1" w:styleId="15">
    <w:name w:val="列出段落1"/>
    <w:basedOn w:val="1"/>
    <w:unhideWhenUsed/>
    <w:qFormat/>
    <w:uiPriority w:val="99"/>
    <w:pPr>
      <w:ind w:firstLine="420" w:firstLineChars="200"/>
    </w:pPr>
  </w:style>
  <w:style w:type="paragraph" w:customStyle="1" w:styleId="16">
    <w:name w:val="Char Char Char Char Char Char Char"/>
    <w:basedOn w:val="1"/>
    <w:qFormat/>
    <w:uiPriority w:val="0"/>
    <w:pPr>
      <w:widowControl/>
      <w:adjustRightInd w:val="0"/>
      <w:spacing w:after="160" w:line="240" w:lineRule="exact"/>
      <w:jc w:val="left"/>
    </w:pPr>
    <w:rPr>
      <w:rFonts w:ascii="Times New Roman" w:hAnsi="Times New Roman" w:eastAsia="宋体"/>
    </w:rPr>
  </w:style>
  <w:style w:type="character" w:customStyle="1" w:styleId="17">
    <w:name w:val="标题 Char"/>
    <w:basedOn w:val="10"/>
    <w:link w:val="9"/>
    <w:qFormat/>
    <w:uiPriority w:val="10"/>
    <w:rPr>
      <w:rFonts w:ascii="Arial" w:hAnsi="Arial" w:cs="Arial" w:eastAsiaTheme="minorEastAsia"/>
      <w:b/>
      <w:bCs/>
      <w:kern w:val="2"/>
      <w:sz w:val="32"/>
      <w:szCs w:val="32"/>
    </w:rPr>
  </w:style>
  <w:style w:type="paragraph" w:customStyle="1" w:styleId="18">
    <w:name w:val="No Spacing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
    <w:name w:val="Body text|1"/>
    <w:basedOn w:val="1"/>
    <w:qFormat/>
    <w:uiPriority w:val="0"/>
    <w:pPr>
      <w:spacing w:line="430" w:lineRule="auto"/>
    </w:pPr>
    <w:rPr>
      <w:rFonts w:ascii="宋体" w:hAnsi="宋体" w:eastAsia="宋体" w:cs="宋体"/>
      <w:sz w:val="19"/>
      <w:szCs w:val="19"/>
      <w:lang w:val="zh-TW" w:eastAsia="zh-TW" w:bidi="zh-TW"/>
    </w:rPr>
  </w:style>
  <w:style w:type="paragraph" w:customStyle="1" w:styleId="20">
    <w:name w:val="Heading #1|1"/>
    <w:basedOn w:val="1"/>
    <w:qFormat/>
    <w:uiPriority w:val="0"/>
    <w:pPr>
      <w:spacing w:after="400"/>
      <w:jc w:val="center"/>
      <w:outlineLvl w:val="0"/>
    </w:pPr>
    <w:rPr>
      <w:rFonts w:ascii="宋体" w:hAnsi="宋体" w:eastAsia="宋体" w:cs="宋体"/>
      <w:sz w:val="26"/>
      <w:szCs w:val="26"/>
      <w:lang w:val="zh-TW" w:eastAsia="zh-TW" w:bidi="zh-TW"/>
    </w:rPr>
  </w:style>
  <w:style w:type="paragraph" w:customStyle="1" w:styleId="21">
    <w:name w:val="Heading #2|1"/>
    <w:basedOn w:val="1"/>
    <w:qFormat/>
    <w:uiPriority w:val="0"/>
    <w:pPr>
      <w:spacing w:after="60"/>
      <w:jc w:val="center"/>
      <w:outlineLvl w:val="1"/>
    </w:pPr>
    <w:rPr>
      <w:rFonts w:ascii="宋体" w:hAnsi="宋体" w:eastAsia="宋体" w:cs="宋体"/>
      <w:sz w:val="22"/>
      <w:szCs w:val="22"/>
      <w:lang w:val="zh-TW" w:eastAsia="zh-TW" w:bidi="zh-TW"/>
    </w:rPr>
  </w:style>
  <w:style w:type="paragraph" w:customStyle="1" w:styleId="22">
    <w:name w:val="Other|1"/>
    <w:basedOn w:val="1"/>
    <w:qFormat/>
    <w:uiPriority w:val="0"/>
    <w:pPr>
      <w:spacing w:line="430" w:lineRule="auto"/>
    </w:pPr>
    <w:rPr>
      <w:rFonts w:ascii="宋体" w:hAnsi="宋体" w:eastAsia="宋体" w:cs="宋体"/>
      <w:sz w:val="19"/>
      <w:szCs w:val="19"/>
      <w:lang w:val="zh-TW" w:eastAsia="zh-TW" w:bidi="zh-TW"/>
    </w:rPr>
  </w:style>
  <w:style w:type="paragraph" w:customStyle="1" w:styleId="23">
    <w:name w:val="Table caption|1"/>
    <w:basedOn w:val="1"/>
    <w:qFormat/>
    <w:uiPriority w:val="0"/>
    <w:rPr>
      <w:rFonts w:ascii="宋体" w:hAnsi="宋体" w:eastAsia="宋体" w:cs="宋体"/>
      <w:sz w:val="19"/>
      <w:szCs w:val="19"/>
      <w:lang w:val="zh-TW" w:eastAsia="zh-TW" w:bidi="zh-TW"/>
    </w:rPr>
  </w:style>
  <w:style w:type="paragraph" w:customStyle="1" w:styleId="24">
    <w:name w:val="Body text|2"/>
    <w:basedOn w:val="1"/>
    <w:qFormat/>
    <w:uiPriority w:val="0"/>
    <w:pPr>
      <w:spacing w:line="389" w:lineRule="exact"/>
      <w:ind w:firstLine="520"/>
    </w:pPr>
    <w:rPr>
      <w:sz w:val="19"/>
      <w:szCs w:val="19"/>
      <w:lang w:val="zh-TW" w:eastAsia="zh-TW" w:bidi="zh-TW"/>
    </w:rPr>
  </w:style>
  <w:style w:type="paragraph" w:customStyle="1" w:styleId="25">
    <w:name w:val="Body text|4"/>
    <w:basedOn w:val="1"/>
    <w:qFormat/>
    <w:uiPriority w:val="0"/>
    <w:pPr>
      <w:jc w:val="center"/>
    </w:pPr>
    <w:rPr>
      <w:sz w:val="38"/>
      <w:szCs w:val="38"/>
      <w:lang w:val="zh-TW" w:eastAsia="zh-TW" w:bidi="zh-TW"/>
    </w:rPr>
  </w:style>
  <w:style w:type="paragraph" w:customStyle="1" w:styleId="26">
    <w:name w:val="Body text|3"/>
    <w:basedOn w:val="1"/>
    <w:qFormat/>
    <w:uiPriority w:val="0"/>
    <w:pPr>
      <w:spacing w:after="100" w:line="307" w:lineRule="auto"/>
      <w:ind w:firstLine="480"/>
    </w:pPr>
    <w:rPr>
      <w:u w:val="single"/>
    </w:rPr>
  </w:style>
  <w:style w:type="paragraph" w:customStyle="1" w:styleId="27">
    <w:name w:val="Header or footer|2"/>
    <w:basedOn w:val="1"/>
    <w:qFormat/>
    <w:uiPriority w:val="0"/>
    <w:rPr>
      <w:sz w:val="20"/>
      <w:szCs w:val="20"/>
      <w:lang w:val="zh-TW" w:eastAsia="zh-TW" w:bidi="zh-TW"/>
    </w:rPr>
  </w:style>
  <w:style w:type="paragraph" w:customStyle="1" w:styleId="28">
    <w:name w:val="样式1"/>
    <w:basedOn w:val="1"/>
    <w:qFormat/>
    <w:uiPriority w:val="0"/>
    <w:pPr>
      <w:widowControl/>
      <w:spacing w:line="500" w:lineRule="exact"/>
      <w:jc w:val="left"/>
      <w:outlineLvl w:val="0"/>
    </w:pPr>
    <w:rPr>
      <w:b/>
      <w:kern w:val="0"/>
      <w:sz w:val="36"/>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2" textRotate="1"/>
    <customShpInfo spid="_x0000_s2053" textRotate="1"/>
    <customShpInfo spid="_x0000_s2054"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Dash Brands</Company>
  <Pages>1</Pages>
  <Words>1624</Words>
  <Characters>9259</Characters>
  <Lines>77</Lines>
  <Paragraphs>21</Paragraphs>
  <ScaleCrop>false</ScaleCrop>
  <LinksUpToDate>false</LinksUpToDate>
  <CharactersWithSpaces>10862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2021-04-07T01:20:00Z</dcterms:created>
  <dc:creator>User</dc:creator>
  <cp:lastModifiedBy>Administrator</cp:lastModifiedBy>
  <dcterms:modified xsi:type="dcterms:W3CDTF">2021-11-09T09:44:33Z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0_embed</vt:lpwstr>
  </property>
  <property fmtid="{D5CDD505-2E9C-101B-9397-08002B2CF9AE}" pid="3" name="KSOProductBuildVer">
    <vt:lpwstr>2052-10.8.0.5715</vt:lpwstr>
  </property>
  <property fmtid="{D5CDD505-2E9C-101B-9397-08002B2CF9AE}" pid="4" name="ICV">
    <vt:lpwstr>B5917898B74E413B9F8A583DE3006FCB</vt:lpwstr>
  </property>
</Properties>
</file>