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000000" w:themeColor="text1"/>
          <w:szCs w:val="21"/>
          <w14:textFill>
            <w14:solidFill>
              <w14:schemeClr w14:val="tx1"/>
            </w14:solidFill>
          </w14:textFill>
        </w:rPr>
      </w:pPr>
    </w:p>
    <w:p>
      <w:pPr>
        <w:jc w:val="center"/>
        <w:rPr>
          <w:rFonts w:ascii="宋体" w:hAnsi="宋体"/>
          <w:b/>
          <w:color w:val="000000" w:themeColor="text1"/>
          <w:spacing w:val="20"/>
          <w:sz w:val="72"/>
          <w:szCs w:val="72"/>
          <w14:textFill>
            <w14:solidFill>
              <w14:schemeClr w14:val="tx1"/>
            </w14:solidFill>
          </w14:textFill>
        </w:rPr>
      </w:pPr>
    </w:p>
    <w:p>
      <w:pPr>
        <w:jc w:val="center"/>
        <w:rPr>
          <w:rFonts w:ascii="宋体" w:hAnsi="宋体"/>
          <w:b/>
          <w:color w:val="000000" w:themeColor="text1"/>
          <w:spacing w:val="20"/>
          <w:sz w:val="72"/>
          <w:szCs w:val="72"/>
          <w14:textFill>
            <w14:solidFill>
              <w14:schemeClr w14:val="tx1"/>
            </w14:solidFill>
          </w14:textFill>
        </w:rPr>
      </w:pPr>
      <w:bookmarkStart w:id="0" w:name="OLE_LINK4"/>
      <w:r>
        <w:rPr>
          <w:rFonts w:hint="eastAsia" w:ascii="宋体" w:hAnsi="宋体"/>
          <w:b/>
          <w:color w:val="000000" w:themeColor="text1"/>
          <w:spacing w:val="20"/>
          <w:sz w:val="72"/>
          <w:szCs w:val="72"/>
          <w14:textFill>
            <w14:solidFill>
              <w14:schemeClr w14:val="tx1"/>
            </w14:solidFill>
          </w14:textFill>
        </w:rPr>
        <w:t>2</w:t>
      </w:r>
      <w:r>
        <w:rPr>
          <w:rFonts w:ascii="宋体" w:hAnsi="宋体"/>
          <w:b/>
          <w:color w:val="000000" w:themeColor="text1"/>
          <w:spacing w:val="20"/>
          <w:sz w:val="72"/>
          <w:szCs w:val="72"/>
          <w14:textFill>
            <w14:solidFill>
              <w14:schemeClr w14:val="tx1"/>
            </w14:solidFill>
          </w14:textFill>
        </w:rPr>
        <w:t>021</w:t>
      </w:r>
      <w:r>
        <w:rPr>
          <w:rFonts w:hint="eastAsia" w:ascii="宋体" w:hAnsi="宋体"/>
          <w:b/>
          <w:color w:val="000000" w:themeColor="text1"/>
          <w:spacing w:val="20"/>
          <w:sz w:val="72"/>
          <w:szCs w:val="72"/>
          <w14:textFill>
            <w14:solidFill>
              <w14:schemeClr w14:val="tx1"/>
            </w14:solidFill>
          </w14:textFill>
        </w:rPr>
        <w:t>年网络安全</w:t>
      </w:r>
    </w:p>
    <w:p>
      <w:pPr>
        <w:jc w:val="center"/>
        <w:rPr>
          <w:rFonts w:ascii="宋体" w:hAnsi="宋体"/>
          <w:b/>
          <w:color w:val="000000" w:themeColor="text1"/>
          <w:spacing w:val="20"/>
          <w:sz w:val="72"/>
          <w:szCs w:val="72"/>
          <w14:textFill>
            <w14:solidFill>
              <w14:schemeClr w14:val="tx1"/>
            </w14:solidFill>
          </w14:textFill>
        </w:rPr>
      </w:pPr>
      <w:r>
        <w:rPr>
          <w:rFonts w:hint="eastAsia" w:ascii="宋体" w:hAnsi="宋体"/>
          <w:b/>
          <w:color w:val="000000" w:themeColor="text1"/>
          <w:spacing w:val="20"/>
          <w:sz w:val="72"/>
          <w:szCs w:val="72"/>
          <w14:textFill>
            <w14:solidFill>
              <w14:schemeClr w14:val="tx1"/>
            </w14:solidFill>
          </w14:textFill>
        </w:rPr>
        <w:t>咨询服务（二）</w:t>
      </w:r>
      <w:bookmarkEnd w:id="0"/>
    </w:p>
    <w:p>
      <w:pPr>
        <w:jc w:val="center"/>
        <w:rPr>
          <w:rFonts w:ascii="宋体" w:hAnsi="宋体"/>
          <w:b/>
          <w:color w:val="000000" w:themeColor="text1"/>
          <w:spacing w:val="20"/>
          <w:sz w:val="72"/>
          <w:szCs w:val="72"/>
          <w14:textFill>
            <w14:solidFill>
              <w14:schemeClr w14:val="tx1"/>
            </w14:solidFill>
          </w14:textFill>
        </w:rPr>
      </w:pPr>
    </w:p>
    <w:p>
      <w:pPr>
        <w:rPr>
          <w:rFonts w:ascii="宋体" w:hAnsi="宋体"/>
          <w:color w:val="000000" w:themeColor="text1"/>
          <w:szCs w:val="21"/>
          <w14:textFill>
            <w14:solidFill>
              <w14:schemeClr w14:val="tx1"/>
            </w14:solidFill>
          </w14:textFill>
        </w:rPr>
      </w:pPr>
    </w:p>
    <w:p>
      <w:pPr>
        <w:jc w:val="center"/>
        <w:rPr>
          <w:rFonts w:ascii="宋体" w:hAnsi="宋体"/>
          <w:b/>
          <w:color w:val="000000" w:themeColor="text1"/>
          <w:spacing w:val="20"/>
          <w:sz w:val="72"/>
          <w:szCs w:val="72"/>
          <w14:textFill>
            <w14:solidFill>
              <w14:schemeClr w14:val="tx1"/>
            </w14:solidFill>
          </w14:textFill>
        </w:rPr>
      </w:pPr>
      <w:r>
        <w:rPr>
          <w:rFonts w:hint="eastAsia" w:ascii="宋体" w:hAnsi="宋体"/>
          <w:b/>
          <w:color w:val="000000" w:themeColor="text1"/>
          <w:spacing w:val="20"/>
          <w:sz w:val="72"/>
          <w:szCs w:val="72"/>
          <w14:textFill>
            <w14:solidFill>
              <w14:schemeClr w14:val="tx1"/>
            </w14:solidFill>
          </w14:textFill>
        </w:rPr>
        <w:t>竞争性比选文件</w:t>
      </w:r>
    </w:p>
    <w:p>
      <w:pPr>
        <w:jc w:val="center"/>
        <w:rPr>
          <w:rFonts w:ascii="宋体" w:hAnsi="宋体"/>
          <w:b/>
          <w:color w:val="000000" w:themeColor="text1"/>
          <w:spacing w:val="20"/>
          <w:sz w:val="72"/>
          <w:szCs w:val="72"/>
          <w14:textFill>
            <w14:solidFill>
              <w14:schemeClr w14:val="tx1"/>
            </w14:solidFill>
          </w14:textFill>
        </w:rPr>
      </w:pPr>
    </w:p>
    <w:p>
      <w:pPr>
        <w:jc w:val="center"/>
        <w:rPr>
          <w:rFonts w:ascii="宋体" w:hAnsi="宋体"/>
          <w:b/>
          <w:color w:val="000000" w:themeColor="text1"/>
          <w:spacing w:val="20"/>
          <w:sz w:val="72"/>
          <w:szCs w:val="72"/>
          <w14:textFill>
            <w14:solidFill>
              <w14:schemeClr w14:val="tx1"/>
            </w14:solidFill>
          </w14:textFill>
        </w:rPr>
      </w:pPr>
    </w:p>
    <w:p>
      <w:pPr>
        <w:jc w:val="center"/>
        <w:rPr>
          <w:rFonts w:ascii="宋体" w:hAnsi="宋体"/>
          <w:b/>
          <w:color w:val="000000" w:themeColor="text1"/>
          <w:spacing w:val="20"/>
          <w:sz w:val="72"/>
          <w:szCs w:val="72"/>
          <w14:textFill>
            <w14:solidFill>
              <w14:schemeClr w14:val="tx1"/>
            </w14:solidFill>
          </w14:textFill>
        </w:rPr>
      </w:pPr>
    </w:p>
    <w:p>
      <w:pPr>
        <w:jc w:val="center"/>
        <w:rPr>
          <w:rFonts w:ascii="宋体" w:hAnsi="宋体"/>
          <w:b/>
          <w:color w:val="000000" w:themeColor="text1"/>
          <w:spacing w:val="20"/>
          <w:sz w:val="72"/>
          <w:szCs w:val="72"/>
          <w14:textFill>
            <w14:solidFill>
              <w14:schemeClr w14:val="tx1"/>
            </w14:solidFill>
          </w14:textFill>
        </w:rPr>
      </w:pPr>
    </w:p>
    <w:p>
      <w:pPr>
        <w:pStyle w:val="9"/>
        <w:snapToGrid w:val="0"/>
        <w:ind w:firstLine="577" w:firstLineChars="150"/>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重庆首讯科技股份有限公司</w:t>
      </w:r>
    </w:p>
    <w:p>
      <w:pPr>
        <w:pStyle w:val="9"/>
        <w:snapToGrid w:val="0"/>
        <w:ind w:firstLine="577" w:firstLineChars="150"/>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202</w:t>
      </w:r>
      <w:r>
        <w:rPr>
          <w:rFonts w:ascii="宋体" w:hAnsi="宋体"/>
          <w:color w:val="000000" w:themeColor="text1"/>
          <w:sz w:val="32"/>
          <w:szCs w:val="32"/>
          <w14:textFill>
            <w14:solidFill>
              <w14:schemeClr w14:val="tx1"/>
            </w14:solidFill>
          </w14:textFill>
        </w:rPr>
        <w:t>1</w:t>
      </w:r>
      <w:r>
        <w:rPr>
          <w:rFonts w:hint="eastAsia" w:ascii="宋体" w:hAnsi="宋体"/>
          <w:color w:val="000000" w:themeColor="text1"/>
          <w:sz w:val="32"/>
          <w:szCs w:val="32"/>
          <w14:textFill>
            <w14:solidFill>
              <w14:schemeClr w14:val="tx1"/>
            </w14:solidFill>
          </w14:textFill>
        </w:rPr>
        <w:t>年7月</w:t>
      </w:r>
    </w:p>
    <w:p>
      <w:pPr>
        <w:rPr>
          <w:color w:val="000000" w:themeColor="text1"/>
          <w14:textFill>
            <w14:solidFill>
              <w14:schemeClr w14:val="tx1"/>
            </w14:solidFill>
          </w14:textFill>
        </w:rPr>
      </w:pPr>
    </w:p>
    <w:p>
      <w:pPr>
        <w:pStyle w:val="14"/>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4"/>
        <w:rPr>
          <w:color w:val="000000" w:themeColor="text1"/>
          <w14:textFill>
            <w14:solidFill>
              <w14:schemeClr w14:val="tx1"/>
            </w14:solidFill>
          </w14:textFill>
        </w:rPr>
        <w:sectPr>
          <w:headerReference r:id="rId3" w:type="default"/>
          <w:footerReference r:id="rId4" w:type="default"/>
          <w:pgSz w:w="11906" w:h="16838"/>
          <w:pgMar w:top="1440" w:right="1797" w:bottom="1440" w:left="1797" w:header="851" w:footer="992" w:gutter="0"/>
          <w:cols w:space="720" w:num="1"/>
          <w:docGrid w:type="linesAndChars" w:linePitch="317" w:charSpace="640"/>
        </w:sectPr>
      </w:pPr>
    </w:p>
    <w:p>
      <w:pPr>
        <w:pStyle w:val="3"/>
        <w:spacing w:before="0" w:after="0" w:line="360" w:lineRule="auto"/>
        <w:rPr>
          <w:rFonts w:ascii="宋体" w:hAnsi="宋体" w:cs="宋体"/>
          <w:bCs/>
          <w:sz w:val="48"/>
          <w:szCs w:val="48"/>
        </w:rPr>
      </w:pPr>
      <w:r>
        <w:rPr>
          <w:rFonts w:hint="eastAsia"/>
          <w:color w:val="000000" w:themeColor="text1"/>
          <w:spacing w:val="10"/>
          <w:sz w:val="48"/>
          <w:szCs w:val="48"/>
          <w14:textFill>
            <w14:solidFill>
              <w14:schemeClr w14:val="tx1"/>
            </w14:solidFill>
          </w14:textFill>
        </w:rPr>
        <w:t>第一章 竞争性比选公告</w:t>
      </w:r>
    </w:p>
    <w:p>
      <w:pPr>
        <w:spacing w:line="360" w:lineRule="auto"/>
        <w:ind w:firstLine="486" w:firstLineChars="200"/>
        <w:rPr>
          <w:color w:val="000000" w:themeColor="text1"/>
          <w:sz w:val="24"/>
          <w:szCs w:val="28"/>
          <w14:textFill>
            <w14:solidFill>
              <w14:schemeClr w14:val="tx1"/>
            </w14:solidFill>
          </w14:textFill>
        </w:rPr>
      </w:pPr>
    </w:p>
    <w:p>
      <w:pPr>
        <w:pStyle w:val="4"/>
        <w:spacing w:before="0" w:after="0" w:line="360" w:lineRule="auto"/>
        <w:rPr>
          <w:rFonts w:ascii="宋体" w:hAnsi="宋体" w:cs="宋体"/>
        </w:rPr>
      </w:pPr>
      <w:bookmarkStart w:id="1" w:name="_Toc6549"/>
      <w:bookmarkStart w:id="2" w:name="_Toc24874"/>
      <w:bookmarkStart w:id="3" w:name="_Toc246996901"/>
      <w:bookmarkStart w:id="4" w:name="_Toc246996158"/>
      <w:bookmarkStart w:id="5" w:name="_Toc12048"/>
      <w:bookmarkStart w:id="6" w:name="_Toc144974480"/>
      <w:bookmarkStart w:id="7" w:name="_Toc152042288"/>
      <w:bookmarkStart w:id="8" w:name="_Toc11329213"/>
      <w:bookmarkStart w:id="9" w:name="_Toc10076"/>
      <w:bookmarkStart w:id="10" w:name="_Toc247085672"/>
      <w:bookmarkStart w:id="11" w:name="_Toc179632528"/>
      <w:bookmarkStart w:id="12" w:name="_Toc507319891"/>
      <w:bookmarkStart w:id="13" w:name="_Toc152045512"/>
      <w:r>
        <w:rPr>
          <w:rFonts w:hint="eastAsia" w:ascii="宋体" w:hAnsi="宋体" w:cs="宋体"/>
        </w:rPr>
        <w:t>1.比选条件</w:t>
      </w:r>
      <w:bookmarkEnd w:id="1"/>
      <w:bookmarkEnd w:id="2"/>
      <w:bookmarkEnd w:id="3"/>
      <w:bookmarkEnd w:id="4"/>
      <w:bookmarkEnd w:id="5"/>
      <w:bookmarkEnd w:id="6"/>
      <w:bookmarkEnd w:id="7"/>
      <w:bookmarkEnd w:id="8"/>
      <w:bookmarkEnd w:id="9"/>
      <w:bookmarkEnd w:id="10"/>
      <w:bookmarkEnd w:id="11"/>
      <w:bookmarkEnd w:id="12"/>
      <w:bookmarkEnd w:id="13"/>
    </w:p>
    <w:p>
      <w:pPr>
        <w:spacing w:line="360" w:lineRule="auto"/>
        <w:ind w:firstLine="486" w:firstLineChars="200"/>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本竞争性比选项目</w:t>
      </w:r>
      <w:r>
        <w:rPr>
          <w:rFonts w:hint="eastAsia"/>
          <w:color w:val="000000" w:themeColor="text1"/>
          <w:sz w:val="24"/>
          <w:szCs w:val="28"/>
          <w:u w:val="single"/>
          <w14:textFill>
            <w14:solidFill>
              <w14:schemeClr w14:val="tx1"/>
            </w14:solidFill>
          </w14:textFill>
        </w:rPr>
        <w:t>2021年网络安全咨询服务(二）项目</w:t>
      </w:r>
      <w:r>
        <w:rPr>
          <w:rFonts w:hint="eastAsia"/>
          <w:color w:val="000000" w:themeColor="text1"/>
          <w:sz w:val="24"/>
          <w:szCs w:val="28"/>
          <w14:textFill>
            <w14:solidFill>
              <w14:schemeClr w14:val="tx1"/>
            </w14:solidFill>
          </w14:textFill>
        </w:rPr>
        <w:t>，采购人为</w:t>
      </w:r>
      <w:r>
        <w:rPr>
          <w:rFonts w:hint="eastAsia"/>
          <w:color w:val="000000" w:themeColor="text1"/>
          <w:sz w:val="24"/>
          <w:szCs w:val="28"/>
          <w:u w:val="single"/>
          <w14:textFill>
            <w14:solidFill>
              <w14:schemeClr w14:val="tx1"/>
            </w14:solidFill>
          </w14:textFill>
        </w:rPr>
        <w:t>重庆首讯科技股份有限公司</w:t>
      </w:r>
      <w:r>
        <w:rPr>
          <w:rFonts w:hint="eastAsia"/>
          <w:color w:val="000000" w:themeColor="text1"/>
          <w:sz w:val="24"/>
          <w:szCs w:val="28"/>
          <w14:textFill>
            <w14:solidFill>
              <w14:schemeClr w14:val="tx1"/>
            </w14:solidFill>
          </w14:textFill>
        </w:rPr>
        <w:t>，该项目已具备比选条件，现对该项目进行竞争性比选。</w:t>
      </w:r>
    </w:p>
    <w:p>
      <w:pPr>
        <w:pStyle w:val="4"/>
        <w:spacing w:before="0" w:after="0" w:line="360" w:lineRule="auto"/>
        <w:rPr>
          <w:rFonts w:ascii="宋体" w:hAnsi="宋体" w:cs="宋体"/>
        </w:rPr>
      </w:pPr>
      <w:r>
        <w:rPr>
          <w:rFonts w:hint="eastAsia" w:ascii="宋体" w:hAnsi="宋体" w:cs="宋体"/>
        </w:rPr>
        <w:t>2.项目概述</w:t>
      </w:r>
    </w:p>
    <w:p>
      <w:pPr>
        <w:tabs>
          <w:tab w:val="left" w:pos="3621"/>
        </w:tabs>
        <w:spacing w:line="360" w:lineRule="auto"/>
        <w:ind w:firstLine="486" w:firstLineChars="200"/>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2.1服务内容：本次服务按路段收费，服务单位包含南方营运公司（</w:t>
      </w:r>
      <w:r>
        <w:rPr>
          <w:color w:val="000000" w:themeColor="text1"/>
          <w:sz w:val="24"/>
          <w:szCs w:val="28"/>
          <w14:textFill>
            <w14:solidFill>
              <w14:schemeClr w14:val="tx1"/>
            </w14:solidFill>
          </w14:textFill>
        </w:rPr>
        <w:t>6</w:t>
      </w:r>
      <w:r>
        <w:rPr>
          <w:rFonts w:hint="eastAsia"/>
          <w:color w:val="000000" w:themeColor="text1"/>
          <w:sz w:val="24"/>
          <w:szCs w:val="28"/>
          <w14:textFill>
            <w14:solidFill>
              <w14:schemeClr w14:val="tx1"/>
            </w14:solidFill>
          </w14:textFill>
        </w:rPr>
        <w:t>个路段中心）、东南营运公司（</w:t>
      </w:r>
      <w:r>
        <w:rPr>
          <w:color w:val="000000" w:themeColor="text1"/>
          <w:sz w:val="24"/>
          <w:szCs w:val="28"/>
          <w14:textFill>
            <w14:solidFill>
              <w14:schemeClr w14:val="tx1"/>
            </w14:solidFill>
          </w14:textFill>
        </w:rPr>
        <w:t>4</w:t>
      </w:r>
      <w:r>
        <w:rPr>
          <w:rFonts w:hint="eastAsia"/>
          <w:color w:val="000000" w:themeColor="text1"/>
          <w:sz w:val="24"/>
          <w:szCs w:val="28"/>
          <w14:textFill>
            <w14:solidFill>
              <w14:schemeClr w14:val="tx1"/>
            </w14:solidFill>
          </w14:textFill>
        </w:rPr>
        <w:t>个路段中心）、高速集团生产业务系统、办公网相关业务系统及基础设施的网络安全服务。路段收费站、门架数量发生增减或基础设施数目发生变化，维护费用不变。</w:t>
      </w:r>
    </w:p>
    <w:p>
      <w:pPr>
        <w:tabs>
          <w:tab w:val="left" w:pos="3621"/>
        </w:tabs>
        <w:spacing w:line="360" w:lineRule="auto"/>
        <w:ind w:firstLine="486" w:firstLineChars="200"/>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根据《网络安全法》及GB/T 22239-2019《信息安全技术 网络安全等级保护要求》（以下简称“等保2.0”）等要求，对其提供包括且不限于安全管理体系建设、培训及演练服务、应急响应服务、网络安全检查、安全咨询服务、专项通报服务等服务，具体详“网络安全服务清单”。</w:t>
      </w:r>
    </w:p>
    <w:p>
      <w:pPr>
        <w:tabs>
          <w:tab w:val="left" w:pos="3621"/>
        </w:tabs>
        <w:spacing w:line="360" w:lineRule="auto"/>
        <w:ind w:firstLine="486" w:firstLineChars="200"/>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2.2服务地点：重庆高速集团不少于</w:t>
      </w:r>
      <w:r>
        <w:rPr>
          <w:color w:val="000000" w:themeColor="text1"/>
          <w:sz w:val="24"/>
          <w:szCs w:val="28"/>
          <w14:textFill>
            <w14:solidFill>
              <w14:schemeClr w14:val="tx1"/>
            </w14:solidFill>
          </w14:textFill>
        </w:rPr>
        <w:t>1</w:t>
      </w:r>
      <w:r>
        <w:rPr>
          <w:rFonts w:hint="eastAsia"/>
          <w:color w:val="000000" w:themeColor="text1"/>
          <w:sz w:val="24"/>
          <w:szCs w:val="28"/>
          <w14:textFill>
            <w14:solidFill>
              <w14:schemeClr w14:val="tx1"/>
            </w14:solidFill>
          </w14:textFill>
        </w:rPr>
        <w:t>人驻场,重保期间不少于</w:t>
      </w:r>
      <w:r>
        <w:rPr>
          <w:color w:val="000000" w:themeColor="text1"/>
          <w:sz w:val="24"/>
          <w:szCs w:val="28"/>
          <w14:textFill>
            <w14:solidFill>
              <w14:schemeClr w14:val="tx1"/>
            </w14:solidFill>
          </w14:textFill>
        </w:rPr>
        <w:t>4</w:t>
      </w:r>
      <w:r>
        <w:rPr>
          <w:rFonts w:hint="eastAsia"/>
          <w:color w:val="000000" w:themeColor="text1"/>
          <w:sz w:val="24"/>
          <w:szCs w:val="28"/>
          <w14:textFill>
            <w14:solidFill>
              <w14:schemeClr w14:val="tx1"/>
            </w14:solidFill>
          </w14:textFill>
        </w:rPr>
        <w:t>人驻场。</w:t>
      </w:r>
    </w:p>
    <w:p>
      <w:pPr>
        <w:tabs>
          <w:tab w:val="left" w:pos="3621"/>
        </w:tabs>
        <w:spacing w:line="360" w:lineRule="auto"/>
        <w:ind w:firstLine="486" w:firstLineChars="200"/>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2.3服务期：自签订合同之日起1年。</w:t>
      </w:r>
    </w:p>
    <w:p>
      <w:pPr>
        <w:pStyle w:val="4"/>
        <w:spacing w:before="0" w:after="0" w:line="360" w:lineRule="auto"/>
        <w:rPr>
          <w:rFonts w:ascii="宋体" w:hAnsi="宋体" w:cs="宋体"/>
        </w:rPr>
      </w:pPr>
      <w:r>
        <w:rPr>
          <w:rFonts w:hint="eastAsia" w:ascii="宋体" w:hAnsi="宋体" w:cs="宋体"/>
        </w:rPr>
        <w:t>3.报价人资格要求</w:t>
      </w:r>
    </w:p>
    <w:p>
      <w:pPr>
        <w:spacing w:line="360" w:lineRule="auto"/>
        <w:ind w:firstLine="486" w:firstLineChars="200"/>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3.1资质要求：</w:t>
      </w:r>
    </w:p>
    <w:p>
      <w:pPr>
        <w:numPr>
          <w:ilvl w:val="0"/>
          <w:numId w:val="1"/>
        </w:numPr>
        <w:spacing w:line="360" w:lineRule="auto"/>
        <w:ind w:firstLine="486" w:firstLineChars="200"/>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具有独立法人资格，具有有效的营业执照；</w:t>
      </w:r>
    </w:p>
    <w:p>
      <w:pPr>
        <w:numPr>
          <w:ilvl w:val="0"/>
          <w:numId w:val="1"/>
        </w:numPr>
        <w:spacing w:line="360" w:lineRule="auto"/>
        <w:ind w:firstLine="486" w:firstLineChars="200"/>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网站安全监测厂商资质要求：厂商需为微软安全响应中心MAPP计划成员，具备国家信息安全测评中心颁发的信息安全服务资质证书-安全工程类三级以上，</w:t>
      </w:r>
    </w:p>
    <w:p>
      <w:pPr>
        <w:numPr>
          <w:ilvl w:val="0"/>
          <w:numId w:val="1"/>
        </w:numPr>
        <w:spacing w:line="360" w:lineRule="auto"/>
        <w:ind w:firstLine="486" w:firstLineChars="200"/>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安全服务商资质要求：具备国家信息安全测评信息安全服务资质证书-安全开发类二级资质。</w:t>
      </w:r>
    </w:p>
    <w:p>
      <w:pPr>
        <w:spacing w:line="360" w:lineRule="auto"/>
        <w:ind w:firstLine="486" w:firstLineChars="200"/>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4．信誉良好：在国家企业信用信息公示系统（http://www.gsxt.gov.cn/）中未被列入严重违法失信企业名单（黑名单）信息；在“信用中国”网站（http://www.creditchina.gov.cn/）中未被列入失信惩戒执行人名单；</w:t>
      </w:r>
    </w:p>
    <w:p>
      <w:pPr>
        <w:spacing w:line="360" w:lineRule="auto"/>
        <w:ind w:firstLine="488" w:firstLineChars="200"/>
      </w:pPr>
      <w:r>
        <w:rPr>
          <w:rFonts w:hint="eastAsia"/>
          <w:b/>
          <w:bCs/>
          <w:color w:val="000000" w:themeColor="text1"/>
          <w:sz w:val="24"/>
          <w:szCs w:val="28"/>
          <w14:textFill>
            <w14:solidFill>
              <w14:schemeClr w14:val="tx1"/>
            </w14:solidFill>
          </w14:textFill>
        </w:rPr>
        <w:t>说明：本项目安全服务内容均需要安全服务提供商提供原厂服务，如代理商投标，则需要提供安全服务提供商原厂出具对此项目的授权函、原厂技术支持及售后服务承诺函，从而代表安全服务提供商参与本项目。</w:t>
      </w:r>
    </w:p>
    <w:p>
      <w:pPr>
        <w:spacing w:line="360" w:lineRule="auto"/>
        <w:ind w:firstLine="486" w:firstLineChars="200"/>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3.2 本次比选不接受联合体报价。</w:t>
      </w:r>
    </w:p>
    <w:p>
      <w:pPr>
        <w:spacing w:line="360" w:lineRule="auto"/>
        <w:ind w:firstLine="486" w:firstLineChars="200"/>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3.3与采购人存在利害关系可能影响比选公正性的法人、其他组织或者个人，不得参加本项目报价；单位负责人为同一人或者存在控股、管理关系的不同单位，不得同时参加本项目报价，否则均按无效报价处理。</w:t>
      </w:r>
    </w:p>
    <w:p>
      <w:pPr>
        <w:pStyle w:val="4"/>
        <w:spacing w:before="120" w:after="0" w:line="400" w:lineRule="exact"/>
        <w:rPr>
          <w:rFonts w:ascii="宋体" w:hAnsi="宋体" w:cs="宋体"/>
        </w:rPr>
      </w:pPr>
      <w:bookmarkStart w:id="14" w:name="_Toc14361"/>
      <w:bookmarkStart w:id="15" w:name="_Toc11329216"/>
      <w:bookmarkStart w:id="16" w:name="_Toc17662"/>
      <w:bookmarkStart w:id="17" w:name="_Toc12460"/>
      <w:bookmarkStart w:id="18" w:name="_Toc25619"/>
      <w:bookmarkStart w:id="19" w:name="_Toc507319894"/>
      <w:r>
        <w:rPr>
          <w:rFonts w:hint="eastAsia" w:ascii="宋体" w:hAnsi="宋体" w:cs="宋体"/>
        </w:rPr>
        <w:t>4. 比选文件的获取</w:t>
      </w:r>
      <w:bookmarkEnd w:id="14"/>
      <w:bookmarkEnd w:id="15"/>
      <w:bookmarkEnd w:id="16"/>
      <w:bookmarkEnd w:id="17"/>
      <w:bookmarkEnd w:id="18"/>
      <w:bookmarkEnd w:id="19"/>
    </w:p>
    <w:p>
      <w:pPr>
        <w:spacing w:line="360" w:lineRule="auto"/>
        <w:ind w:firstLine="486" w:firstLineChars="200"/>
        <w:rPr>
          <w:rFonts w:ascii="宋体" w:hAnsi="宋体"/>
          <w:sz w:val="24"/>
        </w:rPr>
      </w:pPr>
      <w:bookmarkStart w:id="20" w:name="_Toc246996905"/>
      <w:bookmarkStart w:id="21" w:name="_Toc507319895"/>
      <w:bookmarkStart w:id="22" w:name="_Toc247085676"/>
      <w:bookmarkStart w:id="23" w:name="_Toc11329217"/>
      <w:bookmarkStart w:id="24" w:name="_Toc152042292"/>
      <w:bookmarkStart w:id="25" w:name="_Toc144974484"/>
      <w:bookmarkStart w:id="26" w:name="_Toc246996162"/>
      <w:bookmarkStart w:id="27" w:name="_Toc152045516"/>
      <w:bookmarkStart w:id="28" w:name="_Toc179632532"/>
      <w:r>
        <w:rPr>
          <w:rFonts w:ascii="宋体" w:hAnsi="宋体"/>
          <w:sz w:val="24"/>
        </w:rPr>
        <w:t>凡愿意参加的潜在</w:t>
      </w:r>
      <w:r>
        <w:rPr>
          <w:rFonts w:hint="eastAsia" w:ascii="宋体" w:hAnsi="宋体"/>
          <w:sz w:val="24"/>
        </w:rPr>
        <w:t>报价</w:t>
      </w:r>
      <w:r>
        <w:rPr>
          <w:rFonts w:ascii="宋体" w:hAnsi="宋体"/>
          <w:sz w:val="24"/>
        </w:rPr>
        <w:t>人，</w:t>
      </w:r>
      <w:r>
        <w:rPr>
          <w:rFonts w:hint="eastAsia" w:ascii="宋体" w:hAnsi="宋体"/>
          <w:sz w:val="24"/>
        </w:rPr>
        <w:t>在2021年7月23日上午11:00前在重庆高速集团官网上获取比选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cs="宋体"/>
        </w:rPr>
      </w:pPr>
      <w:bookmarkStart w:id="29" w:name="_Toc6426"/>
      <w:bookmarkStart w:id="30" w:name="_Toc31493"/>
      <w:bookmarkStart w:id="31" w:name="_Toc16686"/>
      <w:bookmarkStart w:id="32" w:name="_Toc9131"/>
      <w:r>
        <w:rPr>
          <w:rFonts w:hint="eastAsia" w:ascii="宋体" w:hAnsi="宋体" w:cs="宋体"/>
        </w:rPr>
        <w:t>5. 竞争性比选响应文件的递交</w:t>
      </w:r>
      <w:bookmarkEnd w:id="20"/>
      <w:bookmarkEnd w:id="21"/>
      <w:bookmarkEnd w:id="22"/>
      <w:bookmarkEnd w:id="23"/>
      <w:bookmarkEnd w:id="24"/>
      <w:bookmarkEnd w:id="25"/>
      <w:bookmarkEnd w:id="26"/>
      <w:bookmarkEnd w:id="27"/>
      <w:bookmarkEnd w:id="28"/>
      <w:r>
        <w:rPr>
          <w:rFonts w:hint="eastAsia" w:ascii="宋体" w:hAnsi="宋体" w:cs="宋体"/>
        </w:rPr>
        <w:t>及相关事宜</w:t>
      </w:r>
      <w:bookmarkEnd w:id="29"/>
      <w:bookmarkEnd w:id="30"/>
      <w:bookmarkEnd w:id="31"/>
      <w:bookmarkEnd w:id="32"/>
    </w:p>
    <w:p>
      <w:pPr>
        <w:spacing w:line="360" w:lineRule="auto"/>
        <w:ind w:firstLine="486" w:firstLineChars="200"/>
        <w:rPr>
          <w:rFonts w:ascii="宋体" w:hAnsi="宋体"/>
          <w:sz w:val="24"/>
        </w:rPr>
      </w:pPr>
      <w:r>
        <w:rPr>
          <w:rFonts w:hint="eastAsia" w:ascii="宋体" w:hAnsi="宋体"/>
          <w:sz w:val="24"/>
        </w:rPr>
        <w:t>5.1报价截止时间和开标时间：2021年7月 23日上午 11 时 00 分（北京时间）。</w:t>
      </w:r>
    </w:p>
    <w:p>
      <w:pPr>
        <w:spacing w:line="360" w:lineRule="auto"/>
        <w:ind w:firstLine="486" w:firstLineChars="200"/>
        <w:rPr>
          <w:rFonts w:ascii="宋体" w:hAnsi="宋体"/>
          <w:sz w:val="24"/>
        </w:rPr>
      </w:pPr>
      <w:r>
        <w:rPr>
          <w:rFonts w:hint="eastAsia" w:ascii="宋体" w:hAnsi="宋体"/>
          <w:sz w:val="24"/>
        </w:rPr>
        <w:t>5.2报价的递交：重庆市南岸区四公里内环入口200米处重庆首讯科技大楼</w:t>
      </w:r>
    </w:p>
    <w:p>
      <w:pPr>
        <w:tabs>
          <w:tab w:val="left" w:pos="360"/>
        </w:tabs>
        <w:spacing w:line="400" w:lineRule="exact"/>
        <w:ind w:firstLine="486" w:firstLineChars="200"/>
        <w:rPr>
          <w:rFonts w:ascii="宋体" w:hAnsi="宋体" w:cs="宋体"/>
          <w:sz w:val="24"/>
        </w:rPr>
      </w:pPr>
      <w:r>
        <w:rPr>
          <w:rFonts w:hint="eastAsia" w:ascii="宋体" w:hAnsi="宋体" w:cs="宋体"/>
          <w:sz w:val="24"/>
        </w:rPr>
        <w:t>5.3</w:t>
      </w:r>
      <w:r>
        <w:rPr>
          <w:rFonts w:ascii="宋体" w:hAnsi="宋体" w:cs="宋体"/>
          <w:sz w:val="24"/>
        </w:rPr>
        <w:t>采购人不组织工程现场踏勘，不召开报价预备会。</w:t>
      </w:r>
    </w:p>
    <w:p>
      <w:pPr>
        <w:pStyle w:val="4"/>
        <w:spacing w:before="120" w:after="0" w:line="400" w:lineRule="exact"/>
        <w:rPr>
          <w:rFonts w:ascii="宋体" w:hAnsi="宋体" w:cs="宋体"/>
        </w:rPr>
      </w:pPr>
      <w:bookmarkStart w:id="33" w:name="_Toc152045517"/>
      <w:bookmarkStart w:id="34" w:name="_Toc393"/>
      <w:bookmarkStart w:id="35" w:name="_Toc3341"/>
      <w:bookmarkStart w:id="36" w:name="_Toc507319897"/>
      <w:bookmarkStart w:id="37" w:name="_Toc179632534"/>
      <w:bookmarkStart w:id="38" w:name="_Toc11329219"/>
      <w:bookmarkStart w:id="39" w:name="_Toc144974485"/>
      <w:bookmarkStart w:id="40" w:name="_Toc247085678"/>
      <w:bookmarkStart w:id="41" w:name="_Toc21615"/>
      <w:bookmarkStart w:id="42" w:name="_Toc152042293"/>
      <w:bookmarkStart w:id="43" w:name="_Toc246996907"/>
      <w:bookmarkStart w:id="44" w:name="_Toc246996164"/>
      <w:bookmarkStart w:id="45" w:name="_Toc18402"/>
      <w:r>
        <w:rPr>
          <w:rFonts w:hint="eastAsia" w:ascii="宋体" w:hAnsi="宋体" w:cs="宋体"/>
        </w:rPr>
        <w:t>6. 联系方式</w:t>
      </w:r>
      <w:bookmarkEnd w:id="33"/>
      <w:bookmarkEnd w:id="34"/>
      <w:bookmarkEnd w:id="35"/>
      <w:bookmarkEnd w:id="36"/>
      <w:bookmarkEnd w:id="37"/>
      <w:bookmarkEnd w:id="38"/>
      <w:bookmarkEnd w:id="39"/>
      <w:bookmarkEnd w:id="40"/>
      <w:bookmarkEnd w:id="41"/>
      <w:bookmarkEnd w:id="42"/>
      <w:bookmarkEnd w:id="43"/>
      <w:bookmarkEnd w:id="44"/>
      <w:bookmarkEnd w:id="45"/>
    </w:p>
    <w:tbl>
      <w:tblPr>
        <w:tblStyle w:val="19"/>
        <w:tblW w:w="9628" w:type="dxa"/>
        <w:tblInd w:w="0" w:type="dxa"/>
        <w:tblLayout w:type="fixed"/>
        <w:tblCellMar>
          <w:top w:w="0" w:type="dxa"/>
          <w:left w:w="108" w:type="dxa"/>
          <w:bottom w:w="0" w:type="dxa"/>
          <w:right w:w="108" w:type="dxa"/>
        </w:tblCellMar>
      </w:tblPr>
      <w:tblGrid>
        <w:gridCol w:w="8213"/>
        <w:gridCol w:w="1415"/>
      </w:tblGrid>
      <w:tr>
        <w:tblPrEx>
          <w:tblLayout w:type="fixed"/>
          <w:tblCellMar>
            <w:top w:w="0" w:type="dxa"/>
            <w:left w:w="108" w:type="dxa"/>
            <w:bottom w:w="0" w:type="dxa"/>
            <w:right w:w="108" w:type="dxa"/>
          </w:tblCellMar>
        </w:tblPrEx>
        <w:trPr>
          <w:trHeight w:val="470" w:hRule="atLeast"/>
        </w:trPr>
        <w:tc>
          <w:tcPr>
            <w:tcW w:w="8213" w:type="dxa"/>
            <w:vAlign w:val="center"/>
          </w:tcPr>
          <w:p>
            <w:pPr>
              <w:pStyle w:val="29"/>
              <w:spacing w:before="0" w:beforeAutospacing="0" w:after="0" w:afterAutospacing="0" w:line="400" w:lineRule="exact"/>
              <w:ind w:firstLine="486" w:firstLineChars="200"/>
              <w:jc w:val="both"/>
              <w:rPr>
                <w:rFonts w:ascii="宋体" w:hAnsi="宋体" w:cs="宋体"/>
                <w:kern w:val="2"/>
                <w:sz w:val="24"/>
                <w:szCs w:val="24"/>
              </w:rPr>
            </w:pPr>
            <w:r>
              <w:rPr>
                <w:rFonts w:hint="eastAsia" w:ascii="宋体" w:hAnsi="宋体" w:cs="宋体"/>
                <w:kern w:val="2"/>
                <w:sz w:val="24"/>
                <w:szCs w:val="24"/>
              </w:rPr>
              <w:t>采购人：重庆首讯科技股份有限公司</w:t>
            </w:r>
          </w:p>
        </w:tc>
        <w:tc>
          <w:tcPr>
            <w:tcW w:w="1415" w:type="dxa"/>
            <w:vAlign w:val="center"/>
          </w:tcPr>
          <w:p>
            <w:pPr>
              <w:pStyle w:val="29"/>
              <w:spacing w:before="0" w:beforeAutospacing="0" w:after="0" w:afterAutospacing="0" w:line="400" w:lineRule="exact"/>
              <w:ind w:firstLine="486" w:firstLineChars="200"/>
              <w:jc w:val="both"/>
              <w:rPr>
                <w:rFonts w:ascii="宋体" w:hAnsi="宋体" w:cs="宋体"/>
                <w:kern w:val="2"/>
                <w:sz w:val="24"/>
                <w:szCs w:val="24"/>
              </w:rPr>
            </w:pPr>
          </w:p>
        </w:tc>
      </w:tr>
      <w:tr>
        <w:tblPrEx>
          <w:tblLayout w:type="fixed"/>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155" w:leftChars="200" w:hanging="729" w:hangingChars="300"/>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地址：重庆市南岸区四公里内环入口高速集团首讯科技大楼</w:t>
            </w:r>
          </w:p>
        </w:tc>
        <w:tc>
          <w:tcPr>
            <w:tcW w:w="1415" w:type="dxa"/>
            <w:vAlign w:val="center"/>
          </w:tcPr>
          <w:p>
            <w:pPr>
              <w:spacing w:line="400" w:lineRule="exact"/>
              <w:ind w:firstLine="486" w:firstLineChars="200"/>
              <w:rPr>
                <w:rFonts w:ascii="宋体" w:hAnsi="宋体" w:cs="宋体"/>
                <w:sz w:val="24"/>
              </w:rPr>
            </w:pPr>
          </w:p>
        </w:tc>
      </w:tr>
      <w:tr>
        <w:tblPrEx>
          <w:tblLayout w:type="fixed"/>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86" w:firstLineChars="200"/>
              <w:rPr>
                <w:rFonts w:ascii="宋体" w:hAnsi="宋体" w:cs="宋体"/>
                <w:sz w:val="24"/>
              </w:rPr>
            </w:pPr>
            <w:r>
              <w:rPr>
                <w:rFonts w:hint="eastAsia" w:ascii="宋体" w:hAnsi="宋体" w:cs="宋体"/>
                <w:sz w:val="24"/>
              </w:rPr>
              <w:t>联系人：费老师/蒋老师</w:t>
            </w:r>
          </w:p>
        </w:tc>
        <w:tc>
          <w:tcPr>
            <w:tcW w:w="1415" w:type="dxa"/>
            <w:vAlign w:val="center"/>
          </w:tcPr>
          <w:p>
            <w:pPr>
              <w:spacing w:line="400" w:lineRule="exact"/>
              <w:ind w:firstLine="486" w:firstLineChars="200"/>
              <w:rPr>
                <w:rFonts w:ascii="宋体" w:hAnsi="宋体" w:cs="宋体"/>
                <w:sz w:val="24"/>
              </w:rPr>
            </w:pPr>
          </w:p>
        </w:tc>
      </w:tr>
      <w:tr>
        <w:tblPrEx>
          <w:tblLayout w:type="fixed"/>
          <w:tblCellMar>
            <w:top w:w="0" w:type="dxa"/>
            <w:left w:w="108" w:type="dxa"/>
            <w:bottom w:w="0" w:type="dxa"/>
            <w:right w:w="108" w:type="dxa"/>
          </w:tblCellMar>
        </w:tblPrEx>
        <w:trPr>
          <w:trHeight w:val="80" w:hRule="atLeast"/>
        </w:trPr>
        <w:tc>
          <w:tcPr>
            <w:tcW w:w="8213" w:type="dxa"/>
            <w:vAlign w:val="center"/>
          </w:tcPr>
          <w:p>
            <w:pPr>
              <w:topLinePunct/>
              <w:spacing w:line="420" w:lineRule="exact"/>
              <w:ind w:firstLine="486" w:firstLineChars="200"/>
              <w:rPr>
                <w:sz w:val="24"/>
              </w:rPr>
            </w:pPr>
            <w:r>
              <w:rPr>
                <w:rFonts w:hint="eastAsia" w:ascii="宋体" w:hAnsi="宋体" w:cs="宋体"/>
                <w:sz w:val="24"/>
              </w:rPr>
              <w:t>电 话：</w:t>
            </w:r>
            <w:r>
              <w:rPr>
                <w:rFonts w:hint="eastAsia" w:ascii="宋体" w:hAnsi="宋体"/>
                <w:color w:val="000000" w:themeColor="text1"/>
                <w:sz w:val="24"/>
                <w14:textFill>
                  <w14:solidFill>
                    <w14:schemeClr w14:val="tx1"/>
                  </w14:solidFill>
                </w14:textFill>
              </w:rPr>
              <w:t xml:space="preserve">13438076652/17783017837   </w:t>
            </w:r>
          </w:p>
        </w:tc>
        <w:tc>
          <w:tcPr>
            <w:tcW w:w="1415" w:type="dxa"/>
            <w:vAlign w:val="center"/>
          </w:tcPr>
          <w:p>
            <w:pPr>
              <w:spacing w:line="400" w:lineRule="exact"/>
              <w:ind w:firstLine="486" w:firstLineChars="200"/>
              <w:rPr>
                <w:rFonts w:ascii="宋体" w:hAnsi="宋体" w:cs="宋体"/>
                <w:sz w:val="24"/>
              </w:rPr>
            </w:pPr>
          </w:p>
        </w:tc>
      </w:tr>
    </w:tbl>
    <w:p>
      <w:pPr>
        <w:pStyle w:val="14"/>
      </w:pPr>
    </w:p>
    <w:p/>
    <w:p>
      <w:pPr>
        <w:pStyle w:val="14"/>
      </w:pPr>
    </w:p>
    <w:p/>
    <w:p>
      <w:pPr>
        <w:pStyle w:val="14"/>
      </w:pPr>
    </w:p>
    <w:p/>
    <w:p>
      <w:pPr>
        <w:pStyle w:val="14"/>
      </w:pPr>
    </w:p>
    <w:p/>
    <w:p>
      <w:pPr>
        <w:pStyle w:val="14"/>
      </w:pPr>
    </w:p>
    <w:p/>
    <w:p>
      <w:pPr>
        <w:pStyle w:val="14"/>
      </w:pPr>
    </w:p>
    <w:p/>
    <w:p>
      <w:pPr>
        <w:pStyle w:val="14"/>
      </w:pPr>
    </w:p>
    <w:p/>
    <w:p>
      <w:pPr>
        <w:pStyle w:val="14"/>
      </w:pPr>
    </w:p>
    <w:p/>
    <w:p>
      <w:pPr>
        <w:pStyle w:val="14"/>
      </w:pPr>
    </w:p>
    <w:p>
      <w:pPr>
        <w:widowControl/>
        <w:jc w:val="left"/>
      </w:pPr>
      <w:r>
        <w:br w:type="page"/>
      </w:r>
    </w:p>
    <w:p/>
    <w:p>
      <w:pPr>
        <w:pStyle w:val="3"/>
        <w:spacing w:before="0" w:after="0" w:line="360" w:lineRule="auto"/>
        <w:rPr>
          <w:color w:val="000000" w:themeColor="text1"/>
          <w:spacing w:val="10"/>
          <w:sz w:val="48"/>
          <w:szCs w:val="48"/>
          <w14:textFill>
            <w14:solidFill>
              <w14:schemeClr w14:val="tx1"/>
            </w14:solidFill>
          </w14:textFill>
        </w:rPr>
      </w:pPr>
      <w:r>
        <w:rPr>
          <w:rFonts w:hint="eastAsia"/>
          <w:color w:val="000000" w:themeColor="text1"/>
          <w:spacing w:val="10"/>
          <w:sz w:val="48"/>
          <w:szCs w:val="48"/>
          <w14:textFill>
            <w14:solidFill>
              <w14:schemeClr w14:val="tx1"/>
            </w14:solidFill>
          </w14:textFill>
        </w:rPr>
        <w:t>第二章 报价人须知</w:t>
      </w:r>
    </w:p>
    <w:p>
      <w:pPr>
        <w:pStyle w:val="4"/>
        <w:spacing w:before="120" w:after="0" w:line="400" w:lineRule="exact"/>
        <w:rPr>
          <w:rFonts w:ascii="宋体" w:hAnsi="宋体" w:cs="宋体"/>
          <w:sz w:val="24"/>
          <w:szCs w:val="24"/>
        </w:rPr>
      </w:pPr>
      <w:r>
        <w:rPr>
          <w:rFonts w:hint="eastAsia" w:ascii="宋体" w:hAnsi="宋体" w:cs="宋体"/>
          <w:sz w:val="24"/>
          <w:szCs w:val="24"/>
        </w:rPr>
        <w:t>1.网络安全服务内容</w:t>
      </w:r>
    </w:p>
    <w:tbl>
      <w:tblPr>
        <w:tblStyle w:val="19"/>
        <w:tblpPr w:leftFromText="180" w:rightFromText="180" w:vertAnchor="text" w:horzAnchor="page" w:tblpX="1493" w:tblpY="451"/>
        <w:tblOverlap w:val="never"/>
        <w:tblW w:w="9806" w:type="dxa"/>
        <w:tblInd w:w="0" w:type="dxa"/>
        <w:tblLayout w:type="fixed"/>
        <w:tblCellMar>
          <w:top w:w="0" w:type="dxa"/>
          <w:left w:w="0" w:type="dxa"/>
          <w:bottom w:w="0" w:type="dxa"/>
          <w:right w:w="0" w:type="dxa"/>
        </w:tblCellMar>
      </w:tblPr>
      <w:tblGrid>
        <w:gridCol w:w="812"/>
        <w:gridCol w:w="680"/>
        <w:gridCol w:w="1120"/>
        <w:gridCol w:w="7194"/>
      </w:tblGrid>
      <w:tr>
        <w:tblPrEx>
          <w:tblLayout w:type="fixed"/>
          <w:tblCellMar>
            <w:top w:w="0" w:type="dxa"/>
            <w:left w:w="0" w:type="dxa"/>
            <w:bottom w:w="0" w:type="dxa"/>
            <w:right w:w="0" w:type="dxa"/>
          </w:tblCellMar>
        </w:tblPrEx>
        <w:trPr>
          <w:trHeight w:val="345" w:hRule="atLeast"/>
        </w:trPr>
        <w:tc>
          <w:tcPr>
            <w:tcW w:w="812" w:type="dxa"/>
            <w:tcBorders>
              <w:top w:val="single" w:color="000000" w:sz="4" w:space="0"/>
              <w:left w:val="single" w:color="000000" w:sz="4" w:space="0"/>
              <w:bottom w:val="single" w:color="000000" w:sz="4" w:space="0"/>
              <w:right w:val="single" w:color="000000" w:sz="4" w:space="0"/>
            </w:tcBorders>
            <w:shd w:val="clear" w:color="auto" w:fill="9BC2E6"/>
            <w:tcMar>
              <w:top w:w="15" w:type="dxa"/>
              <w:left w:w="15" w:type="dxa"/>
              <w:right w:w="15" w:type="dxa"/>
            </w:tcMar>
            <w:vAlign w:val="center"/>
          </w:tcPr>
          <w:p>
            <w:pPr>
              <w:widowControl/>
              <w:jc w:val="center"/>
              <w:textAlignment w:val="center"/>
              <w:rPr>
                <w:rFonts w:ascii="宋体" w:hAnsi="宋体" w:cs="微软雅黑"/>
                <w:b/>
                <w:color w:val="000000"/>
                <w:sz w:val="24"/>
              </w:rPr>
            </w:pPr>
            <w:r>
              <w:rPr>
                <w:rFonts w:hint="eastAsia" w:ascii="宋体" w:hAnsi="宋体" w:cs="微软雅黑"/>
                <w:b/>
                <w:color w:val="000000"/>
                <w:kern w:val="0"/>
                <w:sz w:val="24"/>
                <w:lang w:bidi="ar"/>
              </w:rPr>
              <w:t>序号</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9BC2E6"/>
            <w:tcMar>
              <w:top w:w="15" w:type="dxa"/>
              <w:left w:w="15" w:type="dxa"/>
              <w:right w:w="15" w:type="dxa"/>
            </w:tcMar>
            <w:vAlign w:val="center"/>
          </w:tcPr>
          <w:p>
            <w:pPr>
              <w:widowControl/>
              <w:jc w:val="center"/>
              <w:textAlignment w:val="center"/>
              <w:rPr>
                <w:rFonts w:ascii="宋体" w:hAnsi="宋体" w:cs="微软雅黑"/>
                <w:b/>
                <w:color w:val="000000"/>
                <w:sz w:val="24"/>
              </w:rPr>
            </w:pPr>
            <w:r>
              <w:rPr>
                <w:rFonts w:hint="eastAsia" w:ascii="宋体" w:hAnsi="宋体" w:cs="微软雅黑"/>
                <w:b/>
                <w:color w:val="000000"/>
                <w:kern w:val="0"/>
                <w:sz w:val="24"/>
                <w:lang w:bidi="ar"/>
              </w:rPr>
              <w:t>服务类型</w:t>
            </w:r>
          </w:p>
        </w:tc>
        <w:tc>
          <w:tcPr>
            <w:tcW w:w="7194" w:type="dxa"/>
            <w:tcBorders>
              <w:top w:val="single" w:color="000000" w:sz="4" w:space="0"/>
              <w:left w:val="single" w:color="000000" w:sz="4" w:space="0"/>
              <w:bottom w:val="single" w:color="000000" w:sz="4" w:space="0"/>
              <w:right w:val="single" w:color="000000" w:sz="4" w:space="0"/>
            </w:tcBorders>
            <w:shd w:val="clear" w:color="auto" w:fill="9BC2E6"/>
            <w:tcMar>
              <w:top w:w="15" w:type="dxa"/>
              <w:left w:w="15" w:type="dxa"/>
              <w:right w:w="15" w:type="dxa"/>
            </w:tcMar>
            <w:vAlign w:val="center"/>
          </w:tcPr>
          <w:p>
            <w:pPr>
              <w:widowControl/>
              <w:jc w:val="center"/>
              <w:textAlignment w:val="center"/>
              <w:rPr>
                <w:rFonts w:ascii="宋体" w:hAnsi="宋体" w:cs="微软雅黑"/>
                <w:b/>
                <w:color w:val="000000"/>
                <w:sz w:val="24"/>
              </w:rPr>
            </w:pPr>
            <w:r>
              <w:rPr>
                <w:rFonts w:hint="eastAsia" w:ascii="宋体" w:hAnsi="宋体" w:cs="微软雅黑"/>
                <w:b/>
                <w:color w:val="000000"/>
                <w:kern w:val="0"/>
                <w:sz w:val="24"/>
                <w:lang w:bidi="ar"/>
              </w:rPr>
              <w:t>服务要求</w:t>
            </w:r>
          </w:p>
        </w:tc>
      </w:tr>
      <w:tr>
        <w:tblPrEx>
          <w:tblLayout w:type="fixed"/>
          <w:tblCellMar>
            <w:top w:w="0" w:type="dxa"/>
            <w:left w:w="0" w:type="dxa"/>
            <w:bottom w:w="0" w:type="dxa"/>
            <w:right w:w="0" w:type="dxa"/>
          </w:tblCellMar>
        </w:tblPrEx>
        <w:trPr>
          <w:trHeight w:val="1453"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cs="微软雅黑"/>
                <w:color w:val="000000"/>
                <w:szCs w:val="21"/>
              </w:rPr>
            </w:pPr>
            <w:r>
              <w:rPr>
                <w:rFonts w:hint="eastAsia" w:ascii="宋体" w:hAnsi="宋体" w:cs="微软雅黑"/>
                <w:color w:val="000000"/>
                <w:kern w:val="0"/>
                <w:szCs w:val="21"/>
                <w:lang w:bidi="ar"/>
              </w:rPr>
              <w:t>1</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cs="微软雅黑"/>
                <w:color w:val="000000"/>
                <w:szCs w:val="21"/>
              </w:rPr>
            </w:pPr>
            <w:r>
              <w:rPr>
                <w:rFonts w:hint="eastAsia" w:ascii="宋体" w:hAnsi="宋体" w:cs="微软雅黑"/>
                <w:color w:val="000000"/>
                <w:kern w:val="0"/>
                <w:szCs w:val="21"/>
                <w:lang w:bidi="ar"/>
              </w:rPr>
              <w:t>安全管理体系建设服务</w:t>
            </w:r>
          </w:p>
        </w:tc>
        <w:tc>
          <w:tcPr>
            <w:tcW w:w="7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ascii="宋体" w:hAnsi="宋体" w:cs="微软雅黑"/>
                <w:color w:val="000000"/>
                <w:szCs w:val="21"/>
              </w:rPr>
            </w:pPr>
            <w:r>
              <w:rPr>
                <w:rFonts w:hint="eastAsia" w:ascii="宋体" w:hAnsi="宋体" w:cs="微软雅黑"/>
                <w:color w:val="000000"/>
                <w:kern w:val="0"/>
                <w:szCs w:val="21"/>
                <w:lang w:bidi="ar"/>
              </w:rPr>
              <w:t>参照国家及行业相关政策要求以及国内国际权威安全管理体系标准，结合工作实际，配合业主单位完善和修订网络安全制度、应急预案、个人信息管理办法等相关安全管理制度，完善安全管理体系，并对制度的可实施性、可操作性提出相关合理建议。</w:t>
            </w:r>
          </w:p>
        </w:tc>
      </w:tr>
      <w:tr>
        <w:tblPrEx>
          <w:tblLayout w:type="fixed"/>
          <w:tblCellMar>
            <w:top w:w="0" w:type="dxa"/>
            <w:left w:w="0" w:type="dxa"/>
            <w:bottom w:w="0" w:type="dxa"/>
            <w:right w:w="0" w:type="dxa"/>
          </w:tblCellMar>
        </w:tblPrEx>
        <w:trPr>
          <w:trHeight w:val="2044"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cs="微软雅黑"/>
                <w:color w:val="000000"/>
                <w:szCs w:val="21"/>
              </w:rPr>
            </w:pPr>
            <w:r>
              <w:rPr>
                <w:rFonts w:hint="eastAsia" w:ascii="宋体" w:hAnsi="宋体" w:cs="微软雅黑"/>
                <w:color w:val="000000"/>
                <w:kern w:val="0"/>
                <w:szCs w:val="21"/>
                <w:lang w:bidi="ar"/>
              </w:rPr>
              <w:t>2</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cs="微软雅黑"/>
                <w:color w:val="000000"/>
                <w:szCs w:val="21"/>
              </w:rPr>
            </w:pPr>
            <w:r>
              <w:rPr>
                <w:rFonts w:hint="eastAsia" w:ascii="宋体" w:hAnsi="宋体" w:cs="微软雅黑"/>
                <w:color w:val="000000"/>
                <w:kern w:val="0"/>
                <w:szCs w:val="21"/>
                <w:lang w:bidi="ar"/>
              </w:rPr>
              <w:t>等保服务</w:t>
            </w:r>
          </w:p>
        </w:tc>
        <w:tc>
          <w:tcPr>
            <w:tcW w:w="7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ascii="宋体" w:hAnsi="宋体" w:cs="微软雅黑"/>
                <w:color w:val="000000"/>
                <w:szCs w:val="21"/>
              </w:rPr>
            </w:pPr>
            <w:r>
              <w:rPr>
                <w:rFonts w:hint="eastAsia" w:ascii="宋体" w:hAnsi="宋体" w:cs="微软雅黑"/>
                <w:color w:val="000000"/>
                <w:kern w:val="0"/>
                <w:szCs w:val="21"/>
                <w:lang w:bidi="ar"/>
              </w:rPr>
              <w:t>根据等保2.0等相关文件要求，协助业主单位对需要备案的信息系统完成定级备案，协调和邀请专家对所有需要定级备案的信息系统进行定级报告评审；针对二级及以上信息系统进行差距分析，出具可实施的《差距分析报告与整改方案》，协助业主开展整改工作，确保顺利通过等保；协助开展等保测评工作，根据等保测评结果，制订合理的整改方案，并提供多种形式的技术响应和支持协助落实。</w:t>
            </w:r>
          </w:p>
        </w:tc>
      </w:tr>
      <w:tr>
        <w:tblPrEx>
          <w:tblLayout w:type="fixed"/>
          <w:tblCellMar>
            <w:top w:w="0" w:type="dxa"/>
            <w:left w:w="0" w:type="dxa"/>
            <w:bottom w:w="0" w:type="dxa"/>
            <w:right w:w="0" w:type="dxa"/>
          </w:tblCellMar>
        </w:tblPrEx>
        <w:trPr>
          <w:trHeight w:val="1665"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cs="微软雅黑"/>
                <w:color w:val="000000"/>
                <w:szCs w:val="21"/>
              </w:rPr>
            </w:pPr>
            <w:r>
              <w:rPr>
                <w:rFonts w:hint="eastAsia" w:ascii="宋体" w:hAnsi="宋体" w:cs="微软雅黑"/>
                <w:color w:val="000000"/>
                <w:kern w:val="0"/>
                <w:szCs w:val="21"/>
                <w:lang w:bidi="ar"/>
              </w:rPr>
              <w:t>3</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cs="微软雅黑"/>
                <w:color w:val="000000"/>
                <w:szCs w:val="21"/>
              </w:rPr>
            </w:pPr>
            <w:r>
              <w:rPr>
                <w:rFonts w:hint="eastAsia" w:ascii="宋体" w:hAnsi="宋体" w:cs="微软雅黑"/>
                <w:color w:val="000000"/>
                <w:kern w:val="0"/>
                <w:szCs w:val="21"/>
                <w:lang w:bidi="ar"/>
              </w:rPr>
              <w:t>培训及演练服务</w:t>
            </w:r>
          </w:p>
        </w:tc>
        <w:tc>
          <w:tcPr>
            <w:tcW w:w="7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ascii="宋体" w:hAnsi="宋体" w:cs="微软雅黑"/>
                <w:color w:val="000000"/>
                <w:szCs w:val="21"/>
              </w:rPr>
            </w:pPr>
            <w:r>
              <w:rPr>
                <w:rFonts w:hint="eastAsia" w:ascii="宋体" w:hAnsi="宋体" w:cs="微软雅黑"/>
                <w:color w:val="000000"/>
                <w:kern w:val="0"/>
                <w:szCs w:val="21"/>
                <w:lang w:bidi="ar"/>
              </w:rPr>
              <w:t>根据业主安排，提供培训、演练服务，每年至少一次；提供完善的培训实施计划、培训材料，由有网络安全相关资质的讲师承担；提供全面的演练实施方案，提供相关应急物资，提供演练技术服务，并形成完整的演练资料，根据演练情况完善或修改应急预案；根据业主单位完成保网/护网工作，提供全面的保网/护网方案，提供技术支撑，并形成完整的保网/护网材料，并在保网/护网期间安排驻场值守人员。</w:t>
            </w:r>
          </w:p>
        </w:tc>
      </w:tr>
      <w:tr>
        <w:tblPrEx>
          <w:tblLayout w:type="fixed"/>
          <w:tblCellMar>
            <w:top w:w="0" w:type="dxa"/>
            <w:left w:w="0" w:type="dxa"/>
            <w:bottom w:w="0" w:type="dxa"/>
            <w:right w:w="0" w:type="dxa"/>
          </w:tblCellMar>
        </w:tblPrEx>
        <w:trPr>
          <w:trHeight w:val="231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cs="微软雅黑"/>
                <w:color w:val="000000"/>
                <w:szCs w:val="21"/>
              </w:rPr>
            </w:pPr>
            <w:r>
              <w:rPr>
                <w:rFonts w:hint="eastAsia" w:ascii="宋体" w:hAnsi="宋体" w:cs="微软雅黑"/>
                <w:color w:val="000000"/>
                <w:kern w:val="0"/>
                <w:szCs w:val="21"/>
                <w:lang w:bidi="ar"/>
              </w:rPr>
              <w:t>4</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cs="微软雅黑"/>
                <w:color w:val="000000"/>
                <w:szCs w:val="21"/>
              </w:rPr>
            </w:pPr>
            <w:r>
              <w:rPr>
                <w:rFonts w:hint="eastAsia" w:ascii="宋体" w:hAnsi="宋体" w:cs="微软雅黑"/>
                <w:color w:val="000000"/>
                <w:kern w:val="0"/>
                <w:szCs w:val="21"/>
                <w:lang w:bidi="ar"/>
              </w:rPr>
              <w:t>应急响应服务</w:t>
            </w:r>
          </w:p>
        </w:tc>
        <w:tc>
          <w:tcPr>
            <w:tcW w:w="7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ascii="宋体" w:hAnsi="宋体" w:cs="微软雅黑"/>
                <w:color w:val="000000"/>
                <w:szCs w:val="21"/>
              </w:rPr>
            </w:pPr>
            <w:r>
              <w:rPr>
                <w:rFonts w:hint="eastAsia" w:ascii="宋体" w:hAnsi="宋体" w:cs="微软雅黑"/>
                <w:color w:val="000000"/>
                <w:kern w:val="0"/>
                <w:szCs w:val="21"/>
                <w:lang w:bidi="ar"/>
              </w:rPr>
              <w:t>提供重大时刻安全保障；对业主网站提供7*24小时实时监测服务；当业主单位发生网络安全事件或事件预警时，应半小时响应，并根据情况派出安全专家团队开展事件响应工作，制订应急处置方案，现场排查处理安全事件，保障业务系统的连续性，阻止和减小安全事件带来的负面影响；专家团队必须第一时间通过电话进行远程指导，一小时内到达现场；事后完善相关过程资料。</w:t>
            </w:r>
          </w:p>
        </w:tc>
      </w:tr>
      <w:tr>
        <w:tblPrEx>
          <w:tblLayout w:type="fixed"/>
          <w:tblCellMar>
            <w:top w:w="0" w:type="dxa"/>
            <w:left w:w="0" w:type="dxa"/>
            <w:bottom w:w="0" w:type="dxa"/>
            <w:right w:w="0" w:type="dxa"/>
          </w:tblCellMar>
        </w:tblPrEx>
        <w:trPr>
          <w:trHeight w:val="1751" w:hRule="atLeast"/>
        </w:trPr>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cs="微软雅黑"/>
                <w:color w:val="000000"/>
                <w:szCs w:val="21"/>
              </w:rPr>
            </w:pPr>
            <w:r>
              <w:rPr>
                <w:rFonts w:hint="eastAsia" w:ascii="宋体" w:hAnsi="宋体" w:cs="微软雅黑"/>
                <w:color w:val="000000"/>
                <w:kern w:val="0"/>
                <w:szCs w:val="21"/>
                <w:lang w:bidi="ar"/>
              </w:rPr>
              <w:t>5</w:t>
            </w:r>
          </w:p>
        </w:tc>
        <w:tc>
          <w:tcPr>
            <w:tcW w:w="68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cs="微软雅黑"/>
                <w:color w:val="000000"/>
                <w:szCs w:val="21"/>
              </w:rPr>
            </w:pPr>
            <w:r>
              <w:rPr>
                <w:rFonts w:hint="eastAsia" w:ascii="宋体" w:hAnsi="宋体" w:cs="微软雅黑"/>
                <w:color w:val="000000"/>
                <w:kern w:val="0"/>
                <w:szCs w:val="21"/>
                <w:lang w:bidi="ar"/>
              </w:rPr>
              <w:t>网络安全检查服务</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cs="微软雅黑"/>
                <w:color w:val="000000"/>
                <w:szCs w:val="21"/>
              </w:rPr>
            </w:pPr>
            <w:r>
              <w:rPr>
                <w:rFonts w:hint="eastAsia" w:ascii="宋体" w:hAnsi="宋体" w:cs="微软雅黑"/>
                <w:color w:val="000000"/>
                <w:kern w:val="0"/>
                <w:szCs w:val="21"/>
                <w:lang w:bidi="ar"/>
              </w:rPr>
              <w:t>专项安全检查</w:t>
            </w:r>
          </w:p>
        </w:tc>
        <w:tc>
          <w:tcPr>
            <w:tcW w:w="7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ascii="宋体" w:hAnsi="宋体" w:cs="微软雅黑"/>
                <w:color w:val="000000"/>
                <w:szCs w:val="21"/>
              </w:rPr>
            </w:pPr>
            <w:r>
              <w:rPr>
                <w:rFonts w:hint="eastAsia" w:ascii="宋体" w:hAnsi="宋体" w:cs="微软雅黑"/>
                <w:color w:val="000000"/>
                <w:kern w:val="0"/>
                <w:szCs w:val="21"/>
                <w:lang w:bidi="ar"/>
              </w:rPr>
              <w:t>配合业主对业主及下属单位网络安全情况进行季度检查和不定期抽查，编制检查方案，形成检查记录，汇总分析，并提供可行整改方案；配合业主接受上级单位安全检查，编制迎检方案，协助准备迎检材料，做好前期迎检工作，现场协助检查，提供相关技术支持，对检查情况进行问题汇总分析，并提供可行整改方案；协助业主开展问题整改。</w:t>
            </w:r>
          </w:p>
        </w:tc>
      </w:tr>
      <w:tr>
        <w:tblPrEx>
          <w:tblLayout w:type="fixed"/>
          <w:tblCellMar>
            <w:top w:w="0" w:type="dxa"/>
            <w:left w:w="0" w:type="dxa"/>
            <w:bottom w:w="0" w:type="dxa"/>
            <w:right w:w="0" w:type="dxa"/>
          </w:tblCellMar>
        </w:tblPrEx>
        <w:trPr>
          <w:trHeight w:val="1095"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ascii="宋体" w:hAnsi="宋体" w:cs="微软雅黑"/>
                <w:color w:val="000000"/>
                <w:szCs w:val="21"/>
              </w:rPr>
            </w:pPr>
          </w:p>
        </w:tc>
        <w:tc>
          <w:tcPr>
            <w:tcW w:w="68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ascii="宋体" w:hAnsi="宋体" w:cs="微软雅黑"/>
                <w:color w:val="000000"/>
                <w:szCs w:val="21"/>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ascii="宋体" w:hAnsi="宋体" w:cs="微软雅黑"/>
                <w:color w:val="000000"/>
                <w:szCs w:val="21"/>
              </w:rPr>
            </w:pPr>
          </w:p>
        </w:tc>
        <w:tc>
          <w:tcPr>
            <w:tcW w:w="7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ascii="宋体" w:hAnsi="宋体" w:cs="微软雅黑"/>
                <w:color w:val="000000"/>
                <w:szCs w:val="21"/>
              </w:rPr>
            </w:pPr>
            <w:r>
              <w:rPr>
                <w:rFonts w:hint="eastAsia" w:ascii="宋体" w:hAnsi="宋体" w:cs="微软雅黑"/>
                <w:color w:val="000000"/>
                <w:kern w:val="0"/>
                <w:szCs w:val="21"/>
                <w:lang w:bidi="ar"/>
              </w:rPr>
              <w:t>重大节假日、重要会议、重大活动、敏感时期等重要期间前期配合业主开展节前巡检、安全自查、检查与整改，期间安全值守，形成相关方案、记录等。</w:t>
            </w:r>
          </w:p>
        </w:tc>
      </w:tr>
      <w:tr>
        <w:tblPrEx>
          <w:tblLayout w:type="fixed"/>
          <w:tblCellMar>
            <w:top w:w="0" w:type="dxa"/>
            <w:left w:w="0" w:type="dxa"/>
            <w:bottom w:w="0" w:type="dxa"/>
            <w:right w:w="0" w:type="dxa"/>
          </w:tblCellMar>
        </w:tblPrEx>
        <w:trPr>
          <w:trHeight w:val="701"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ascii="宋体" w:hAnsi="宋体" w:cs="微软雅黑"/>
                <w:color w:val="000000"/>
                <w:szCs w:val="21"/>
              </w:rPr>
            </w:pPr>
          </w:p>
        </w:tc>
        <w:tc>
          <w:tcPr>
            <w:tcW w:w="180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cs="微软雅黑"/>
                <w:color w:val="000000"/>
                <w:szCs w:val="21"/>
              </w:rPr>
            </w:pPr>
            <w:r>
              <w:rPr>
                <w:rFonts w:hint="eastAsia" w:ascii="宋体" w:hAnsi="宋体" w:cs="微软雅黑"/>
                <w:color w:val="000000"/>
                <w:kern w:val="0"/>
                <w:szCs w:val="21"/>
                <w:lang w:bidi="ar"/>
              </w:rPr>
              <w:t>新建信息化项目安全检查</w:t>
            </w:r>
          </w:p>
        </w:tc>
        <w:tc>
          <w:tcPr>
            <w:tcW w:w="7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ascii="宋体" w:hAnsi="宋体" w:cs="微软雅黑"/>
                <w:color w:val="000000"/>
                <w:szCs w:val="21"/>
              </w:rPr>
            </w:pPr>
            <w:r>
              <w:rPr>
                <w:rFonts w:hint="eastAsia" w:ascii="宋体" w:hAnsi="宋体" w:cs="微软雅黑"/>
                <w:color w:val="000000"/>
                <w:kern w:val="0"/>
                <w:szCs w:val="21"/>
                <w:lang w:bidi="ar"/>
              </w:rPr>
              <w:t>对新系统发布上线前进行安全漏洞扫描、渗透测试等，并提供检测报告。</w:t>
            </w:r>
          </w:p>
        </w:tc>
      </w:tr>
      <w:tr>
        <w:tblPrEx>
          <w:tblLayout w:type="fixed"/>
          <w:tblCellMar>
            <w:top w:w="0" w:type="dxa"/>
            <w:left w:w="0" w:type="dxa"/>
            <w:bottom w:w="0" w:type="dxa"/>
            <w:right w:w="0" w:type="dxa"/>
          </w:tblCellMar>
        </w:tblPrEx>
        <w:trPr>
          <w:trHeight w:val="1035"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ascii="宋体" w:hAnsi="宋体" w:cs="微软雅黑"/>
                <w:color w:val="000000"/>
                <w:szCs w:val="21"/>
              </w:rPr>
            </w:pPr>
          </w:p>
        </w:tc>
        <w:tc>
          <w:tcPr>
            <w:tcW w:w="180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cs="微软雅黑"/>
                <w:color w:val="000000"/>
                <w:szCs w:val="21"/>
              </w:rPr>
            </w:pPr>
            <w:r>
              <w:rPr>
                <w:rFonts w:hint="eastAsia" w:ascii="宋体" w:hAnsi="宋体" w:cs="微软雅黑"/>
                <w:color w:val="000000"/>
                <w:kern w:val="0"/>
                <w:szCs w:val="21"/>
                <w:lang w:bidi="ar"/>
              </w:rPr>
              <w:t>日常巡检</w:t>
            </w:r>
          </w:p>
        </w:tc>
        <w:tc>
          <w:tcPr>
            <w:tcW w:w="7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ascii="宋体" w:hAnsi="宋体" w:cs="微软雅黑"/>
                <w:color w:val="000000"/>
                <w:szCs w:val="21"/>
              </w:rPr>
            </w:pPr>
            <w:r>
              <w:rPr>
                <w:rFonts w:hint="eastAsia" w:ascii="宋体" w:hAnsi="宋体" w:cs="微软雅黑"/>
                <w:color w:val="000000"/>
                <w:kern w:val="0"/>
                <w:szCs w:val="21"/>
                <w:lang w:bidi="ar"/>
              </w:rPr>
              <w:t>提供资产梳理及日常巡检服务，7*24小时网站实时安全监测、不定期对服务器、网络、终端关键设备开展日常巡检，并形成记录文档，并及时更新资产。</w:t>
            </w:r>
          </w:p>
        </w:tc>
      </w:tr>
      <w:tr>
        <w:tblPrEx>
          <w:tblLayout w:type="fixed"/>
          <w:tblCellMar>
            <w:top w:w="0" w:type="dxa"/>
            <w:left w:w="0" w:type="dxa"/>
            <w:bottom w:w="0" w:type="dxa"/>
            <w:right w:w="0" w:type="dxa"/>
          </w:tblCellMar>
        </w:tblPrEx>
        <w:trPr>
          <w:trHeight w:val="613"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ascii="宋体" w:hAnsi="宋体" w:cs="微软雅黑"/>
                <w:color w:val="000000"/>
                <w:szCs w:val="21"/>
              </w:rPr>
            </w:pPr>
          </w:p>
        </w:tc>
        <w:tc>
          <w:tcPr>
            <w:tcW w:w="180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cs="微软雅黑"/>
                <w:color w:val="000000"/>
                <w:szCs w:val="21"/>
              </w:rPr>
            </w:pPr>
            <w:r>
              <w:rPr>
                <w:rFonts w:hint="eastAsia" w:ascii="宋体" w:hAnsi="宋体" w:cs="微软雅黑"/>
                <w:color w:val="000000"/>
                <w:kern w:val="0"/>
                <w:szCs w:val="21"/>
                <w:lang w:bidi="ar"/>
              </w:rPr>
              <w:t>风险评估</w:t>
            </w:r>
          </w:p>
        </w:tc>
        <w:tc>
          <w:tcPr>
            <w:tcW w:w="7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ascii="宋体" w:hAnsi="宋体" w:cs="微软雅黑"/>
                <w:color w:val="000000"/>
                <w:szCs w:val="21"/>
              </w:rPr>
            </w:pPr>
            <w:r>
              <w:rPr>
                <w:rFonts w:hint="eastAsia" w:ascii="宋体" w:hAnsi="宋体" w:cs="微软雅黑"/>
                <w:color w:val="000000"/>
                <w:kern w:val="0"/>
                <w:szCs w:val="21"/>
                <w:lang w:bidi="ar"/>
              </w:rPr>
              <w:t>每年至少开展一次风险评估。</w:t>
            </w:r>
          </w:p>
        </w:tc>
      </w:tr>
      <w:tr>
        <w:tblPrEx>
          <w:tblLayout w:type="fixed"/>
          <w:tblCellMar>
            <w:top w:w="0" w:type="dxa"/>
            <w:left w:w="0" w:type="dxa"/>
            <w:bottom w:w="0" w:type="dxa"/>
            <w:right w:w="0" w:type="dxa"/>
          </w:tblCellMar>
        </w:tblPrEx>
        <w:trPr>
          <w:trHeight w:val="962"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ascii="宋体" w:hAnsi="宋体" w:cs="微软雅黑"/>
                <w:color w:val="000000"/>
                <w:szCs w:val="21"/>
              </w:rPr>
            </w:pPr>
          </w:p>
        </w:tc>
        <w:tc>
          <w:tcPr>
            <w:tcW w:w="180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cs="微软雅黑"/>
                <w:color w:val="000000"/>
                <w:szCs w:val="21"/>
              </w:rPr>
            </w:pPr>
            <w:r>
              <w:rPr>
                <w:rFonts w:hint="eastAsia" w:ascii="宋体" w:hAnsi="宋体" w:cs="微软雅黑"/>
                <w:color w:val="000000"/>
                <w:kern w:val="0"/>
                <w:szCs w:val="21"/>
                <w:lang w:bidi="ar"/>
              </w:rPr>
              <w:t>季度巡检</w:t>
            </w:r>
          </w:p>
        </w:tc>
        <w:tc>
          <w:tcPr>
            <w:tcW w:w="7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ascii="宋体" w:hAnsi="宋体" w:cs="微软雅黑"/>
                <w:color w:val="000000"/>
                <w:szCs w:val="21"/>
              </w:rPr>
            </w:pPr>
            <w:r>
              <w:rPr>
                <w:rFonts w:hint="eastAsia" w:ascii="宋体" w:hAnsi="宋体" w:cs="微软雅黑"/>
                <w:color w:val="000000"/>
                <w:kern w:val="0"/>
                <w:szCs w:val="21"/>
                <w:lang w:bidi="ar"/>
              </w:rPr>
              <w:t>每季度开展不少于一次的巡检服务，内容包括且不限于渗透测试、风险评估、基线核查、WEB扫描、漏洞扫描、基线检查、弱口令、恶意代码检查、日志审计等。</w:t>
            </w:r>
          </w:p>
        </w:tc>
      </w:tr>
      <w:tr>
        <w:tblPrEx>
          <w:tblLayout w:type="fixed"/>
          <w:tblCellMar>
            <w:top w:w="0" w:type="dxa"/>
            <w:left w:w="0" w:type="dxa"/>
            <w:bottom w:w="0" w:type="dxa"/>
            <w:right w:w="0" w:type="dxa"/>
          </w:tblCellMar>
        </w:tblPrEx>
        <w:trPr>
          <w:trHeight w:val="99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cs="微软雅黑"/>
                <w:color w:val="000000"/>
                <w:szCs w:val="21"/>
              </w:rPr>
            </w:pPr>
            <w:r>
              <w:rPr>
                <w:rFonts w:hint="eastAsia" w:ascii="宋体" w:hAnsi="宋体" w:cs="微软雅黑"/>
                <w:color w:val="000000"/>
                <w:kern w:val="0"/>
                <w:szCs w:val="21"/>
                <w:lang w:bidi="ar"/>
              </w:rPr>
              <w:t>6</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cs="微软雅黑"/>
                <w:color w:val="000000"/>
                <w:szCs w:val="21"/>
              </w:rPr>
            </w:pPr>
            <w:r>
              <w:rPr>
                <w:rFonts w:hint="eastAsia" w:ascii="宋体" w:hAnsi="宋体" w:cs="微软雅黑"/>
                <w:color w:val="000000"/>
                <w:kern w:val="0"/>
                <w:szCs w:val="21"/>
                <w:lang w:bidi="ar"/>
              </w:rPr>
              <w:t>加固服务</w:t>
            </w:r>
          </w:p>
        </w:tc>
        <w:tc>
          <w:tcPr>
            <w:tcW w:w="7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ascii="宋体" w:hAnsi="宋体" w:cs="微软雅黑"/>
                <w:color w:val="000000"/>
                <w:szCs w:val="21"/>
              </w:rPr>
            </w:pPr>
            <w:r>
              <w:rPr>
                <w:rFonts w:hint="eastAsia" w:ascii="宋体" w:hAnsi="宋体" w:cs="微软雅黑"/>
                <w:color w:val="000000"/>
                <w:kern w:val="0"/>
                <w:szCs w:val="21"/>
                <w:lang w:bidi="ar"/>
              </w:rPr>
              <w:t>提供安全漏洞修复、安全基线配置、网络及主机安全策略优化等服务，若需外单位协助整改，提供整改细则说明及相关配合工作。</w:t>
            </w:r>
          </w:p>
        </w:tc>
      </w:tr>
      <w:tr>
        <w:tblPrEx>
          <w:tblLayout w:type="fixed"/>
          <w:tblCellMar>
            <w:top w:w="0" w:type="dxa"/>
            <w:left w:w="0" w:type="dxa"/>
            <w:bottom w:w="0" w:type="dxa"/>
            <w:right w:w="0" w:type="dxa"/>
          </w:tblCellMar>
        </w:tblPrEx>
        <w:trPr>
          <w:trHeight w:val="109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cs="微软雅黑"/>
                <w:color w:val="000000"/>
                <w:szCs w:val="21"/>
              </w:rPr>
            </w:pPr>
            <w:r>
              <w:rPr>
                <w:rFonts w:hint="eastAsia" w:ascii="宋体" w:hAnsi="宋体" w:cs="微软雅黑"/>
                <w:color w:val="000000"/>
                <w:kern w:val="0"/>
                <w:szCs w:val="21"/>
                <w:lang w:bidi="ar"/>
              </w:rPr>
              <w:t>7</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cs="微软雅黑"/>
                <w:color w:val="000000"/>
                <w:szCs w:val="21"/>
              </w:rPr>
            </w:pPr>
            <w:r>
              <w:rPr>
                <w:rFonts w:hint="eastAsia" w:ascii="宋体" w:hAnsi="宋体" w:cs="微软雅黑"/>
                <w:color w:val="000000"/>
                <w:kern w:val="0"/>
                <w:szCs w:val="21"/>
                <w:lang w:bidi="ar"/>
              </w:rPr>
              <w:t>安全咨询服务</w:t>
            </w:r>
          </w:p>
        </w:tc>
        <w:tc>
          <w:tcPr>
            <w:tcW w:w="7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ascii="宋体" w:hAnsi="宋体" w:cs="微软雅黑"/>
                <w:color w:val="000000"/>
                <w:szCs w:val="21"/>
              </w:rPr>
            </w:pPr>
            <w:r>
              <w:rPr>
                <w:rFonts w:hint="eastAsia" w:ascii="宋体" w:hAnsi="宋体" w:cs="微软雅黑"/>
                <w:color w:val="000000"/>
                <w:kern w:val="0"/>
                <w:szCs w:val="21"/>
                <w:lang w:bidi="ar"/>
              </w:rPr>
              <w:t>包含且不限于按照路网公司要求落实网络安全整体建设规划、设计网络结构改造及优化方案、网络技术咨询、安全技术咨询、安全需求分析、建设期间安全咨询、相关政策文件及上级单位文件落实咨询等服务。</w:t>
            </w:r>
          </w:p>
        </w:tc>
      </w:tr>
      <w:tr>
        <w:tblPrEx>
          <w:tblLayout w:type="fixed"/>
          <w:tblCellMar>
            <w:top w:w="0" w:type="dxa"/>
            <w:left w:w="0" w:type="dxa"/>
            <w:bottom w:w="0" w:type="dxa"/>
            <w:right w:w="0" w:type="dxa"/>
          </w:tblCellMar>
        </w:tblPrEx>
        <w:trPr>
          <w:trHeight w:val="198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cs="微软雅黑"/>
                <w:color w:val="000000"/>
                <w:szCs w:val="21"/>
              </w:rPr>
            </w:pPr>
            <w:r>
              <w:rPr>
                <w:rFonts w:hint="eastAsia" w:ascii="宋体" w:hAnsi="宋体" w:cs="微软雅黑"/>
                <w:color w:val="000000"/>
                <w:kern w:val="0"/>
                <w:szCs w:val="21"/>
                <w:lang w:bidi="ar"/>
              </w:rPr>
              <w:t>8</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cs="微软雅黑"/>
                <w:color w:val="000000"/>
                <w:szCs w:val="21"/>
              </w:rPr>
            </w:pPr>
            <w:r>
              <w:rPr>
                <w:rFonts w:hint="eastAsia" w:ascii="宋体" w:hAnsi="宋体" w:cs="微软雅黑"/>
                <w:color w:val="000000"/>
                <w:kern w:val="0"/>
                <w:szCs w:val="21"/>
                <w:lang w:bidi="ar"/>
              </w:rPr>
              <w:t>专项通报服务</w:t>
            </w:r>
          </w:p>
        </w:tc>
        <w:tc>
          <w:tcPr>
            <w:tcW w:w="7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ascii="宋体" w:hAnsi="宋体" w:cs="微软雅黑"/>
                <w:color w:val="000000"/>
                <w:szCs w:val="21"/>
              </w:rPr>
            </w:pPr>
            <w:r>
              <w:rPr>
                <w:rFonts w:hint="eastAsia" w:ascii="宋体" w:hAnsi="宋体" w:cs="微软雅黑"/>
                <w:color w:val="000000"/>
                <w:kern w:val="0"/>
                <w:szCs w:val="21"/>
                <w:lang w:bidi="ar"/>
              </w:rPr>
              <w:t>根据上级单位要求及本单位通报规范，提供通报数据来源分析、通报信息汇总等服务；针对网监、网信办、交通部、交通局等上级单位及互联网安全漏洞预警通知、安全通报、安全风险排查等响应，提供技术解决方案并处理，提交处理反馈报告；制定重大时刻工作计划与工作方案等。</w:t>
            </w:r>
          </w:p>
        </w:tc>
      </w:tr>
      <w:tr>
        <w:tblPrEx>
          <w:tblLayout w:type="fixed"/>
          <w:tblCellMar>
            <w:top w:w="0" w:type="dxa"/>
            <w:left w:w="0" w:type="dxa"/>
            <w:bottom w:w="0" w:type="dxa"/>
            <w:right w:w="0" w:type="dxa"/>
          </w:tblCellMar>
        </w:tblPrEx>
        <w:trPr>
          <w:trHeight w:val="1028"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cs="微软雅黑"/>
                <w:color w:val="000000"/>
                <w:kern w:val="0"/>
                <w:szCs w:val="21"/>
                <w:lang w:bidi="ar"/>
              </w:rPr>
            </w:pPr>
            <w:r>
              <w:rPr>
                <w:rFonts w:hint="eastAsia" w:ascii="宋体" w:hAnsi="宋体" w:cs="微软雅黑"/>
                <w:color w:val="000000"/>
                <w:kern w:val="0"/>
                <w:szCs w:val="21"/>
                <w:lang w:bidi="ar"/>
              </w:rPr>
              <w:t>9</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cs="微软雅黑"/>
                <w:color w:val="000000"/>
                <w:kern w:val="0"/>
                <w:szCs w:val="21"/>
                <w:lang w:bidi="ar"/>
              </w:rPr>
            </w:pPr>
            <w:r>
              <w:rPr>
                <w:rFonts w:hint="eastAsia" w:ascii="宋体" w:hAnsi="宋体" w:cs="微软雅黑"/>
                <w:color w:val="000000"/>
                <w:kern w:val="0"/>
                <w:szCs w:val="21"/>
                <w:lang w:bidi="ar"/>
              </w:rPr>
              <w:t>网站安全监测</w:t>
            </w:r>
          </w:p>
        </w:tc>
        <w:tc>
          <w:tcPr>
            <w:tcW w:w="7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outlineLvl w:val="9"/>
              <w:rPr>
                <w:rFonts w:ascii="宋体" w:hAnsi="宋体" w:cs="宋体"/>
                <w:color w:val="000000"/>
                <w:kern w:val="0"/>
                <w:szCs w:val="21"/>
              </w:rPr>
            </w:pPr>
            <w:r>
              <w:rPr>
                <w:rFonts w:hint="eastAsia" w:ascii="宋体" w:hAnsi="宋体" w:cs="宋体"/>
                <w:color w:val="000000"/>
                <w:kern w:val="0"/>
                <w:szCs w:val="21"/>
              </w:rPr>
              <w:t>1、对集团的三个业务系统（O</w:t>
            </w:r>
            <w:r>
              <w:rPr>
                <w:rFonts w:ascii="宋体" w:hAnsi="宋体" w:cs="宋体"/>
                <w:color w:val="000000"/>
                <w:kern w:val="0"/>
                <w:szCs w:val="21"/>
              </w:rPr>
              <w:t>A</w:t>
            </w:r>
            <w:r>
              <w:rPr>
                <w:rFonts w:hint="eastAsia" w:ascii="宋体" w:hAnsi="宋体" w:cs="宋体"/>
                <w:color w:val="000000"/>
                <w:kern w:val="0"/>
                <w:szCs w:val="21"/>
              </w:rPr>
              <w:t>系统、门户网站、财务）的安全状况进行监测和预警通报，及时发现网站的安全事件和存在的隐患。对网站各方面进行7</w:t>
            </w:r>
            <w:r>
              <w:rPr>
                <w:rFonts w:ascii="宋体" w:hAnsi="宋体" w:cs="宋体"/>
                <w:color w:val="000000"/>
                <w:kern w:val="0"/>
                <w:szCs w:val="21"/>
              </w:rPr>
              <w:t>x</w:t>
            </w:r>
            <w:r>
              <w:rPr>
                <w:rFonts w:hint="eastAsia" w:ascii="宋体" w:hAnsi="宋体" w:cs="宋体"/>
                <w:color w:val="000000"/>
                <w:kern w:val="0"/>
                <w:szCs w:val="21"/>
              </w:rPr>
              <w:t>24小时监测；</w:t>
            </w:r>
            <w:r>
              <w:rPr>
                <w:rFonts w:hint="eastAsia" w:ascii="宋体" w:hAnsi="宋体" w:cs="宋体"/>
                <w:color w:val="000000"/>
                <w:kern w:val="0"/>
                <w:szCs w:val="21"/>
              </w:rPr>
              <w:br w:type="textWrapping"/>
            </w:r>
            <w:r>
              <w:rPr>
                <w:rFonts w:hint="eastAsia" w:ascii="宋体" w:hAnsi="宋体" w:cs="宋体"/>
                <w:color w:val="000000"/>
                <w:kern w:val="0"/>
                <w:szCs w:val="21"/>
              </w:rPr>
              <w:t>2、网站安全监测要求如下：</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outlineLvl w:val="9"/>
              <w:rPr>
                <w:rFonts w:ascii="宋体" w:hAnsi="宋体" w:cs="宋体"/>
                <w:color w:val="000000"/>
                <w:kern w:val="0"/>
                <w:szCs w:val="21"/>
              </w:rPr>
            </w:pPr>
            <w:r>
              <w:rPr>
                <w:rFonts w:hint="eastAsia" w:ascii="宋体" w:hAnsi="宋体" w:cs="宋体"/>
                <w:color w:val="000000"/>
                <w:kern w:val="0"/>
                <w:szCs w:val="21"/>
              </w:rPr>
              <w:t>监测内容与范围：能够对网站常见的隐患和安全灾害事故进行监测：漏洞隐患包括Web漏洞和系统漏洞，常见的灾害事故包括挂马网页、篡改网页、含敏感内容网页。</w:t>
            </w:r>
            <w:r>
              <w:rPr>
                <w:rFonts w:hint="eastAsia" w:ascii="宋体" w:hAnsi="宋体" w:cs="宋体"/>
                <w:color w:val="000000"/>
                <w:kern w:val="0"/>
                <w:szCs w:val="21"/>
              </w:rPr>
              <w:tab/>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outlineLvl w:val="9"/>
              <w:rPr>
                <w:rFonts w:ascii="宋体" w:hAnsi="宋体" w:cs="宋体"/>
                <w:color w:val="000000"/>
                <w:kern w:val="0"/>
                <w:szCs w:val="21"/>
              </w:rPr>
            </w:pPr>
            <w:r>
              <w:rPr>
                <w:rFonts w:hint="eastAsia" w:ascii="宋体" w:hAnsi="宋体" w:cs="宋体"/>
                <w:b/>
                <w:bCs/>
                <w:color w:val="000000"/>
                <w:kern w:val="0"/>
                <w:szCs w:val="21"/>
              </w:rPr>
              <w:t>Web漏洞监测与扫描要求：</w:t>
            </w:r>
            <w:r>
              <w:rPr>
                <w:rFonts w:hint="eastAsia" w:ascii="宋体" w:hAnsi="宋体" w:cs="宋体"/>
                <w:color w:val="000000"/>
                <w:kern w:val="0"/>
                <w:szCs w:val="21"/>
              </w:rPr>
              <w:t>每个月可以对所监测的网站进行至少一次Web漏洞的扫描与检查。</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outlineLvl w:val="9"/>
              <w:rPr>
                <w:rFonts w:ascii="宋体" w:hAnsi="宋体" w:cs="宋体"/>
                <w:color w:val="000000"/>
                <w:kern w:val="0"/>
                <w:szCs w:val="21"/>
              </w:rPr>
            </w:pPr>
            <w:r>
              <w:rPr>
                <w:rFonts w:hint="eastAsia" w:ascii="宋体" w:hAnsi="宋体" w:cs="宋体"/>
                <w:b/>
                <w:bCs/>
                <w:color w:val="000000"/>
                <w:kern w:val="0"/>
                <w:szCs w:val="21"/>
              </w:rPr>
              <w:t>系统漏洞监测与扫描要求：</w:t>
            </w:r>
            <w:r>
              <w:rPr>
                <w:rFonts w:hint="eastAsia" w:ascii="宋体" w:hAnsi="宋体" w:cs="宋体"/>
                <w:color w:val="000000"/>
                <w:kern w:val="0"/>
                <w:szCs w:val="21"/>
              </w:rPr>
              <w:t>每个月可以对所监测的网站进行至少一次系统漏洞的扫描与检查。</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outlineLvl w:val="9"/>
              <w:rPr>
                <w:rFonts w:ascii="宋体" w:hAnsi="宋体" w:cs="宋体"/>
                <w:color w:val="000000"/>
                <w:kern w:val="0"/>
                <w:szCs w:val="21"/>
              </w:rPr>
            </w:pPr>
            <w:r>
              <w:rPr>
                <w:rFonts w:hint="eastAsia" w:ascii="宋体" w:hAnsi="宋体" w:cs="宋体"/>
                <w:b/>
                <w:bCs/>
                <w:color w:val="000000"/>
                <w:kern w:val="0"/>
                <w:szCs w:val="21"/>
              </w:rPr>
              <w:t>漏洞验证要求：</w:t>
            </w:r>
            <w:r>
              <w:rPr>
                <w:rFonts w:hint="eastAsia" w:ascii="宋体" w:hAnsi="宋体" w:cs="宋体"/>
                <w:color w:val="000000"/>
                <w:kern w:val="0"/>
                <w:szCs w:val="21"/>
              </w:rPr>
              <w:t>能够提供所有中高危漏洞的验证能力，通过周期扫描获取当前漏洞的所处状态，根据漏洞待修复、待复验、已修复等状态的指引，做好漏洞的闭环管理</w:t>
            </w:r>
            <w:r>
              <w:rPr>
                <w:rFonts w:hint="eastAsia" w:ascii="宋体" w:hAnsi="宋体" w:cs="宋体"/>
                <w:color w:val="000000"/>
                <w:kern w:val="0"/>
                <w:szCs w:val="21"/>
              </w:rPr>
              <w:tab/>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outlineLvl w:val="9"/>
              <w:rPr>
                <w:rFonts w:ascii="宋体" w:hAnsi="宋体" w:cs="宋体"/>
                <w:color w:val="000000"/>
                <w:kern w:val="0"/>
                <w:szCs w:val="21"/>
              </w:rPr>
            </w:pPr>
            <w:r>
              <w:rPr>
                <w:rFonts w:hint="eastAsia" w:ascii="宋体" w:hAnsi="宋体" w:cs="宋体"/>
                <w:b/>
                <w:bCs/>
                <w:color w:val="000000"/>
                <w:kern w:val="0"/>
                <w:szCs w:val="21"/>
              </w:rPr>
              <w:t>挂马监测要求：</w:t>
            </w:r>
            <w:r>
              <w:rPr>
                <w:rFonts w:hint="eastAsia" w:ascii="宋体" w:hAnsi="宋体" w:cs="宋体"/>
                <w:color w:val="000000"/>
                <w:kern w:val="0"/>
                <w:szCs w:val="21"/>
              </w:rPr>
              <w:t>能够对网站主要页面提供挂马监测能力，检测网页中嵌入的恶意代码，例如JS挂马，恶意加密挂马，框架隐藏，挖矿脚本，搜索引擎劫持等。根据不同页面的重要等级提供不同频率监测，提供事件验证能力，排除误报。</w:t>
            </w:r>
            <w:r>
              <w:rPr>
                <w:rFonts w:hint="eastAsia" w:ascii="宋体" w:hAnsi="宋体" w:cs="宋体"/>
                <w:color w:val="000000"/>
                <w:kern w:val="0"/>
                <w:szCs w:val="21"/>
              </w:rPr>
              <w:tab/>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outlineLvl w:val="9"/>
              <w:rPr>
                <w:rFonts w:ascii="宋体" w:hAnsi="宋体" w:cs="宋体"/>
                <w:color w:val="000000"/>
                <w:kern w:val="0"/>
                <w:szCs w:val="21"/>
              </w:rPr>
            </w:pPr>
            <w:r>
              <w:rPr>
                <w:rFonts w:hint="eastAsia" w:ascii="宋体" w:hAnsi="宋体" w:cs="宋体"/>
                <w:b/>
                <w:bCs/>
                <w:color w:val="000000"/>
                <w:kern w:val="0"/>
                <w:szCs w:val="21"/>
              </w:rPr>
              <w:t>黑链监测要求：</w:t>
            </w:r>
            <w:r>
              <w:rPr>
                <w:rFonts w:hint="eastAsia" w:ascii="宋体" w:hAnsi="宋体" w:cs="宋体"/>
                <w:color w:val="000000"/>
                <w:kern w:val="0"/>
                <w:szCs w:val="21"/>
              </w:rPr>
              <w:t>能够对网站主要页面提供黑链监测能力，检测网页中嵌入的恶意暗链（黄赌毒私服等）。根据不同页面的重要等级提供不同频率监测，提供事件验证能力，排除误报。</w:t>
            </w:r>
            <w:r>
              <w:rPr>
                <w:rFonts w:hint="eastAsia" w:ascii="宋体" w:hAnsi="宋体" w:cs="宋体"/>
                <w:color w:val="000000"/>
                <w:kern w:val="0"/>
                <w:szCs w:val="21"/>
              </w:rPr>
              <w:tab/>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outlineLvl w:val="9"/>
              <w:rPr>
                <w:rFonts w:ascii="宋体" w:hAnsi="宋体" w:cs="宋体"/>
                <w:color w:val="000000"/>
                <w:kern w:val="0"/>
                <w:szCs w:val="21"/>
              </w:rPr>
            </w:pPr>
            <w:r>
              <w:rPr>
                <w:rFonts w:hint="eastAsia" w:ascii="宋体" w:hAnsi="宋体" w:cs="宋体"/>
                <w:b/>
                <w:bCs/>
                <w:color w:val="000000"/>
                <w:kern w:val="0"/>
                <w:szCs w:val="21"/>
              </w:rPr>
              <w:t>篡改监测要求：</w:t>
            </w:r>
            <w:r>
              <w:rPr>
                <w:rFonts w:hint="eastAsia" w:ascii="宋体" w:hAnsi="宋体" w:cs="宋体"/>
                <w:color w:val="000000"/>
                <w:kern w:val="0"/>
                <w:szCs w:val="21"/>
              </w:rPr>
              <w:t>能够对网站主要页面提供篡改监测能力，根据不同页面的重要等级提供不同频率监测，提供事件验证能力，排除误报。</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outlineLvl w:val="9"/>
              <w:rPr>
                <w:rFonts w:ascii="宋体" w:hAnsi="宋体" w:cs="宋体"/>
                <w:color w:val="000000"/>
                <w:kern w:val="0"/>
                <w:szCs w:val="21"/>
              </w:rPr>
            </w:pPr>
            <w:r>
              <w:rPr>
                <w:rFonts w:hint="eastAsia" w:ascii="宋体" w:hAnsi="宋体" w:cs="宋体"/>
                <w:b/>
                <w:bCs/>
                <w:color w:val="000000"/>
                <w:kern w:val="0"/>
                <w:szCs w:val="21"/>
              </w:rPr>
              <w:t>敏感内容监测要求：</w:t>
            </w:r>
            <w:r>
              <w:rPr>
                <w:rFonts w:hint="eastAsia" w:ascii="宋体" w:hAnsi="宋体" w:cs="宋体"/>
                <w:color w:val="000000"/>
                <w:kern w:val="0"/>
                <w:szCs w:val="21"/>
              </w:rPr>
              <w:t>能够对网站主要页面提供敏感内容监测能力，根据不同页面的重要等级提供不同频率监测，提供事件验证能力，排除误报。可以在全网范围内进行搜索检测。</w:t>
            </w:r>
            <w:r>
              <w:rPr>
                <w:rFonts w:hint="eastAsia" w:ascii="宋体" w:hAnsi="宋体" w:cs="宋体"/>
                <w:color w:val="000000"/>
                <w:kern w:val="0"/>
                <w:szCs w:val="21"/>
              </w:rPr>
              <w:tab/>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outlineLvl w:val="9"/>
              <w:rPr>
                <w:rFonts w:ascii="宋体" w:hAnsi="宋体" w:cs="宋体"/>
                <w:color w:val="000000"/>
                <w:kern w:val="0"/>
                <w:szCs w:val="21"/>
              </w:rPr>
            </w:pPr>
            <w:r>
              <w:rPr>
                <w:rFonts w:hint="eastAsia" w:ascii="宋体" w:hAnsi="宋体" w:cs="宋体"/>
                <w:b/>
                <w:bCs/>
                <w:color w:val="000000"/>
                <w:kern w:val="0"/>
                <w:szCs w:val="21"/>
              </w:rPr>
              <w:t>运营支撑要求：</w:t>
            </w:r>
            <w:r>
              <w:rPr>
                <w:rFonts w:hint="eastAsia" w:ascii="宋体" w:hAnsi="宋体" w:cs="宋体"/>
                <w:color w:val="000000"/>
                <w:kern w:val="0"/>
                <w:szCs w:val="21"/>
              </w:rPr>
              <w:t>能够对监测的站点、监测项、进行配置与管理。</w:t>
            </w:r>
            <w:r>
              <w:rPr>
                <w:rFonts w:hint="eastAsia" w:ascii="宋体" w:hAnsi="宋体" w:cs="宋体"/>
                <w:color w:val="000000"/>
                <w:kern w:val="0"/>
                <w:szCs w:val="21"/>
              </w:rPr>
              <w:tab/>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ascii="宋体" w:hAnsi="宋体" w:cs="微软雅黑"/>
                <w:color w:val="000000"/>
                <w:kern w:val="0"/>
                <w:szCs w:val="21"/>
                <w:lang w:bidi="ar"/>
              </w:rPr>
            </w:pPr>
            <w:r>
              <w:rPr>
                <w:rFonts w:hint="eastAsia" w:ascii="宋体" w:hAnsi="宋体" w:cs="宋体"/>
                <w:b/>
                <w:bCs/>
                <w:color w:val="000000"/>
                <w:kern w:val="0"/>
                <w:szCs w:val="21"/>
              </w:rPr>
              <w:t>数据存储要求：</w:t>
            </w:r>
            <w:r>
              <w:rPr>
                <w:rFonts w:hint="eastAsia" w:ascii="宋体" w:hAnsi="宋体" w:cs="宋体"/>
                <w:color w:val="000000"/>
                <w:kern w:val="0"/>
                <w:szCs w:val="21"/>
              </w:rPr>
              <w:t>要求至少存储备份6个月以上监测数据。</w:t>
            </w:r>
            <w:r>
              <w:rPr>
                <w:rFonts w:hint="eastAsia" w:ascii="宋体" w:hAnsi="宋体" w:cs="宋体"/>
                <w:color w:val="000000"/>
                <w:kern w:val="0"/>
                <w:szCs w:val="21"/>
              </w:rPr>
              <w:tab/>
            </w:r>
          </w:p>
        </w:tc>
      </w:tr>
      <w:tr>
        <w:tblPrEx>
          <w:tblLayout w:type="fixed"/>
          <w:tblCellMar>
            <w:top w:w="0" w:type="dxa"/>
            <w:left w:w="0" w:type="dxa"/>
            <w:bottom w:w="0" w:type="dxa"/>
            <w:right w:w="0" w:type="dxa"/>
          </w:tblCellMar>
        </w:tblPrEx>
        <w:trPr>
          <w:trHeight w:val="605" w:hRule="atLeast"/>
        </w:trPr>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cs="微软雅黑"/>
                <w:color w:val="000000"/>
                <w:szCs w:val="21"/>
              </w:rPr>
            </w:pPr>
            <w:r>
              <w:rPr>
                <w:rFonts w:hint="eastAsia" w:ascii="宋体" w:hAnsi="宋体" w:cs="微软雅黑"/>
                <w:color w:val="000000"/>
                <w:szCs w:val="21"/>
              </w:rPr>
              <w:t>1</w:t>
            </w:r>
            <w:r>
              <w:rPr>
                <w:rFonts w:ascii="宋体" w:hAnsi="宋体" w:cs="微软雅黑"/>
                <w:color w:val="000000"/>
                <w:szCs w:val="21"/>
              </w:rPr>
              <w:t>0</w:t>
            </w:r>
          </w:p>
        </w:tc>
        <w:tc>
          <w:tcPr>
            <w:tcW w:w="18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cs="微软雅黑"/>
                <w:color w:val="000000"/>
                <w:szCs w:val="21"/>
              </w:rPr>
            </w:pPr>
            <w:r>
              <w:rPr>
                <w:rFonts w:hint="eastAsia" w:ascii="宋体" w:hAnsi="宋体" w:cs="微软雅黑"/>
                <w:color w:val="000000"/>
                <w:kern w:val="0"/>
                <w:szCs w:val="21"/>
                <w:lang w:bidi="ar"/>
              </w:rPr>
              <w:t>其它</w:t>
            </w:r>
          </w:p>
        </w:tc>
        <w:tc>
          <w:tcPr>
            <w:tcW w:w="7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ascii="宋体" w:hAnsi="宋体" w:cs="微软雅黑"/>
                <w:color w:val="000000"/>
                <w:szCs w:val="21"/>
              </w:rPr>
            </w:pPr>
            <w:r>
              <w:rPr>
                <w:rFonts w:hint="eastAsia" w:ascii="宋体" w:hAnsi="宋体" w:cs="微软雅黑"/>
                <w:color w:val="000000"/>
                <w:kern w:val="0"/>
                <w:szCs w:val="21"/>
                <w:lang w:bidi="ar"/>
              </w:rPr>
              <w:t>按季度提供全过程服务资料及工作总结。</w:t>
            </w:r>
          </w:p>
        </w:tc>
      </w:tr>
      <w:tr>
        <w:tblPrEx>
          <w:tblLayout w:type="fixed"/>
          <w:tblCellMar>
            <w:top w:w="0" w:type="dxa"/>
            <w:left w:w="0" w:type="dxa"/>
            <w:bottom w:w="0" w:type="dxa"/>
            <w:right w:w="0" w:type="dxa"/>
          </w:tblCellMar>
        </w:tblPrEx>
        <w:trPr>
          <w:trHeight w:val="805"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ascii="宋体" w:hAnsi="宋体" w:cs="微软雅黑"/>
                <w:color w:val="000000"/>
                <w:szCs w:val="21"/>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ascii="宋体" w:hAnsi="宋体" w:cs="微软雅黑"/>
                <w:color w:val="000000"/>
                <w:szCs w:val="21"/>
              </w:rPr>
            </w:pPr>
          </w:p>
        </w:tc>
        <w:tc>
          <w:tcPr>
            <w:tcW w:w="7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ascii="宋体" w:hAnsi="宋体" w:cs="微软雅黑"/>
                <w:color w:val="000000"/>
                <w:szCs w:val="21"/>
              </w:rPr>
            </w:pPr>
            <w:r>
              <w:rPr>
                <w:rFonts w:hint="eastAsia" w:ascii="宋体" w:hAnsi="宋体" w:cs="微软雅黑"/>
                <w:color w:val="000000"/>
                <w:kern w:val="0"/>
                <w:szCs w:val="21"/>
                <w:lang w:bidi="ar"/>
              </w:rPr>
              <w:t>根据业主需要，提供市场排名领先品牌的安全服务工具、基线核查工具、检测工具等。</w:t>
            </w:r>
          </w:p>
        </w:tc>
      </w:tr>
    </w:tbl>
    <w:p/>
    <w:p>
      <w:pPr>
        <w:pStyle w:val="16"/>
        <w:numPr>
          <w:ilvl w:val="0"/>
          <w:numId w:val="2"/>
        </w:numPr>
        <w:spacing w:before="0" w:line="360" w:lineRule="auto"/>
        <w:ind w:firstLine="488" w:firstLineChars="200"/>
        <w:jc w:val="left"/>
        <w:rPr>
          <w:rFonts w:asciiTheme="minorEastAsia" w:hAnsiTheme="minorEastAsia" w:eastAsiaTheme="minorEastAsia" w:cstheme="minorEastAsia"/>
          <w:b w:val="0"/>
          <w:bCs w:val="0"/>
          <w:sz w:val="24"/>
          <w:szCs w:val="24"/>
        </w:rPr>
      </w:pPr>
      <w:r>
        <w:rPr>
          <w:rFonts w:hint="eastAsia" w:ascii="宋体" w:hAnsi="宋体" w:cs="宋体"/>
          <w:kern w:val="0"/>
          <w:sz w:val="24"/>
          <w:szCs w:val="24"/>
        </w:rPr>
        <w:t>报价人需按路段分别完成以上工作内容</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，如部分内容不分路段共同实施需经采购人同意，否则采购人有权视情况收取合同金额2%的违约金。</w:t>
      </w:r>
    </w:p>
    <w:p>
      <w:pPr>
        <w:pStyle w:val="16"/>
        <w:numPr>
          <w:ilvl w:val="0"/>
          <w:numId w:val="2"/>
        </w:numPr>
        <w:spacing w:before="0" w:line="360" w:lineRule="auto"/>
        <w:ind w:firstLine="488" w:firstLineChars="200"/>
        <w:jc w:val="left"/>
        <w:rPr>
          <w:rFonts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本项目支付方式</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合同签订完成，乙方完成相应专业监测设备及配套工具箱、专业人员等进场准备工作经甲方确认合格后支付30%进度款；乙方履行全年安服工作完毕，并根据合同内容输出全套流程资料及相应的专业安全报告后，支付剩余70%尾款。</w:t>
      </w:r>
    </w:p>
    <w:p>
      <w:pPr>
        <w:numPr>
          <w:ilvl w:val="0"/>
          <w:numId w:val="2"/>
        </w:numPr>
        <w:spacing w:line="360" w:lineRule="auto"/>
        <w:ind w:firstLine="488"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b/>
          <w:bCs/>
          <w:color w:val="000000" w:themeColor="text1"/>
          <w:sz w:val="24"/>
          <w14:textFill>
            <w14:solidFill>
              <w14:schemeClr w14:val="tx1"/>
            </w14:solidFill>
          </w14:textFill>
        </w:rPr>
        <w:t>本项目最高限价928000元，</w:t>
      </w:r>
      <w:r>
        <w:rPr>
          <w:rFonts w:hint="eastAsia" w:asciiTheme="minorEastAsia" w:hAnsiTheme="minorEastAsia" w:eastAsiaTheme="minorEastAsia" w:cstheme="minorEastAsia"/>
          <w:color w:val="000000" w:themeColor="text1"/>
          <w:sz w:val="24"/>
          <w14:textFill>
            <w14:solidFill>
              <w14:schemeClr w14:val="tx1"/>
            </w14:solidFill>
          </w14:textFill>
        </w:rPr>
        <w:t>报</w:t>
      </w:r>
      <w:r>
        <w:rPr>
          <w:rFonts w:hint="eastAsia" w:asciiTheme="minorEastAsia" w:hAnsiTheme="minorEastAsia" w:eastAsiaTheme="minorEastAsia" w:cstheme="minorEastAsia"/>
          <w:sz w:val="24"/>
        </w:rPr>
        <w:t>价人总价及单项目报价均不得高于采购人发布的最高限价和单项目限价，否则其竞争性比选响应文件视为重大偏差，竞争性比选响应文件将按否决报价处理</w:t>
      </w:r>
      <w:r>
        <w:rPr>
          <w:rFonts w:hint="eastAsia" w:asciiTheme="minorEastAsia" w:hAnsiTheme="minorEastAsia" w:eastAsiaTheme="minorEastAsia" w:cstheme="minorEastAsia"/>
          <w:kern w:val="0"/>
          <w:sz w:val="24"/>
        </w:rPr>
        <w:t>。</w:t>
      </w:r>
    </w:p>
    <w:p>
      <w:pPr>
        <w:pStyle w:val="2"/>
        <w:numPr>
          <w:ilvl w:val="0"/>
          <w:numId w:val="2"/>
        </w:numPr>
        <w:spacing w:line="360" w:lineRule="auto"/>
        <w:ind w:firstLine="488"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若在报价人服务期间，采购人网络安全受到威胁，报价人应在第一时间相应并配合采购人处理相关问题</w:t>
      </w:r>
      <w:r>
        <w:rPr>
          <w:rFonts w:hint="eastAsia" w:asciiTheme="minorEastAsia" w:hAnsiTheme="minorEastAsia" w:eastAsiaTheme="minorEastAsia" w:cstheme="minorEastAsia"/>
          <w:b/>
          <w:bCs/>
          <w:sz w:val="24"/>
          <w:lang w:eastAsia="zh-CN"/>
        </w:rPr>
        <w:t>，</w:t>
      </w:r>
      <w:r>
        <w:rPr>
          <w:rFonts w:hint="eastAsia" w:asciiTheme="minorEastAsia" w:hAnsiTheme="minorEastAsia" w:eastAsiaTheme="minorEastAsia" w:cstheme="minorEastAsia"/>
          <w:b/>
          <w:bCs/>
          <w:sz w:val="24"/>
          <w:lang w:val="en-US" w:eastAsia="zh-CN"/>
        </w:rPr>
        <w:t>若报价人未及时响应导致采购人遭受响应损失，采购人有权终止合同，且要求报价人赔偿响应损失</w:t>
      </w:r>
      <w:r>
        <w:rPr>
          <w:rFonts w:hint="eastAsia" w:asciiTheme="minorEastAsia" w:hAnsiTheme="minorEastAsia" w:eastAsiaTheme="minorEastAsia" w:cstheme="minorEastAsia"/>
          <w:sz w:val="24"/>
        </w:rPr>
        <w:t>。</w:t>
      </w:r>
    </w:p>
    <w:p>
      <w:pPr>
        <w:pStyle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 xml:space="preserve">    6.</w:t>
      </w:r>
      <w:r>
        <w:rPr>
          <w:rFonts w:hint="eastAsia" w:asciiTheme="minorEastAsia" w:hAnsiTheme="minorEastAsia" w:eastAsiaTheme="minorEastAsia" w:cstheme="minorEastAsia"/>
          <w:b/>
          <w:bCs/>
          <w:sz w:val="24"/>
        </w:rPr>
        <w:t>资格要求：详见附录</w:t>
      </w:r>
    </w:p>
    <w:p>
      <w:pPr>
        <w:pStyle w:val="4"/>
        <w:jc w:val="center"/>
        <w:rPr>
          <w:rFonts w:ascii="宋体" w:hAnsi="宋体" w:cs="宋体"/>
          <w:sz w:val="24"/>
          <w:szCs w:val="24"/>
        </w:rPr>
      </w:pPr>
      <w:bookmarkStart w:id="46" w:name="_Toc11284"/>
      <w:bookmarkStart w:id="47" w:name="_Toc17532"/>
      <w:bookmarkStart w:id="48" w:name="_Toc31095"/>
      <w:bookmarkStart w:id="49" w:name="_Toc30198"/>
      <w:bookmarkStart w:id="50" w:name="_Toc11329222"/>
      <w:r>
        <w:rPr>
          <w:rFonts w:hint="eastAsia" w:ascii="宋体" w:hAnsi="宋体" w:cs="宋体"/>
          <w:sz w:val="24"/>
          <w:szCs w:val="24"/>
        </w:rPr>
        <w:t>附录1  资格审查条件（资质最低要求）</w:t>
      </w:r>
      <w:bookmarkEnd w:id="46"/>
      <w:bookmarkEnd w:id="47"/>
      <w:bookmarkEnd w:id="48"/>
      <w:bookmarkEnd w:id="49"/>
      <w:bookmarkEnd w:id="50"/>
    </w:p>
    <w:tbl>
      <w:tblPr>
        <w:tblStyle w:val="19"/>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108" w:type="dxa"/>
            <w:vAlign w:val="center"/>
          </w:tcPr>
          <w:p>
            <w:pPr>
              <w:spacing w:line="400" w:lineRule="exact"/>
              <w:jc w:val="center"/>
              <w:rPr>
                <w:rFonts w:ascii="宋体" w:hAnsi="宋体" w:cs="宋体"/>
                <w:szCs w:val="21"/>
              </w:rPr>
            </w:pPr>
            <w:r>
              <w:rPr>
                <w:rFonts w:hint="eastAsia" w:ascii="宋体" w:hAnsi="宋体" w:cs="宋体"/>
                <w:sz w:val="24"/>
                <w:szCs w:val="24"/>
              </w:rPr>
              <w:t>安全服务提供商企业资质要求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3" w:hRule="atLeast"/>
          <w:jc w:val="center"/>
        </w:trPr>
        <w:tc>
          <w:tcPr>
            <w:tcW w:w="9108" w:type="dxa"/>
          </w:tcPr>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lang w:val="en-US" w:eastAsia="zh-CN"/>
              </w:rPr>
              <w:t>1.</w:t>
            </w:r>
            <w:r>
              <w:rPr>
                <w:rFonts w:hint="eastAsia" w:asciiTheme="minorEastAsia" w:hAnsiTheme="minorEastAsia" w:eastAsiaTheme="minorEastAsia" w:cstheme="minorEastAsia"/>
                <w:sz w:val="24"/>
                <w:szCs w:val="32"/>
              </w:rPr>
              <w:t>具有有效的营业执照</w:t>
            </w:r>
            <w:r>
              <w:rPr>
                <w:rFonts w:hint="eastAsia" w:asciiTheme="minorEastAsia" w:hAnsiTheme="minorEastAsia" w:eastAsiaTheme="minorEastAsia" w:cstheme="minorEastAsia"/>
                <w:sz w:val="24"/>
                <w:szCs w:val="32"/>
                <w:lang w:val="en-US" w:eastAsia="zh-CN"/>
              </w:rPr>
              <w:t>;</w:t>
            </w:r>
          </w:p>
          <w:p>
            <w:pPr>
              <w:pStyle w:val="2"/>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lang w:val="en-US" w:eastAsia="zh-CN"/>
              </w:rPr>
              <w:t>2.</w:t>
            </w:r>
            <w:r>
              <w:rPr>
                <w:rFonts w:hint="eastAsia" w:asciiTheme="minorEastAsia" w:hAnsiTheme="minorEastAsia" w:eastAsiaTheme="minorEastAsia" w:cstheme="minorEastAsia"/>
                <w:sz w:val="24"/>
                <w:szCs w:val="32"/>
              </w:rPr>
              <w:t>网站安全监测厂商资质要求：厂商需为微软安全响应中心MAPP计划成员，具备国家信息安全测评中心颁发的信息安全服务资质证书-安全工程类三级以上，</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32"/>
                <w:lang w:val="en-US" w:eastAsia="zh-CN"/>
              </w:rPr>
              <w:t>3.</w:t>
            </w:r>
            <w:r>
              <w:rPr>
                <w:rFonts w:hint="eastAsia" w:asciiTheme="minorEastAsia" w:hAnsiTheme="minorEastAsia" w:eastAsiaTheme="minorEastAsia" w:cstheme="minorEastAsia"/>
                <w:sz w:val="24"/>
                <w:szCs w:val="32"/>
              </w:rPr>
              <w:t>安全服务商资质要求：具备国家信息安全测评信息安全服务资质证书-安全开发类二级资质。</w:t>
            </w:r>
          </w:p>
        </w:tc>
      </w:tr>
    </w:tbl>
    <w:p>
      <w:pPr>
        <w:spacing w:line="360" w:lineRule="auto"/>
        <w:rPr>
          <w:rFonts w:hint="eastAsia" w:asciiTheme="minorEastAsia" w:hAnsiTheme="minorEastAsia" w:eastAsiaTheme="minorEastAsia" w:cstheme="minorEastAsia"/>
          <w:b/>
          <w:bCs/>
          <w:caps/>
          <w:szCs w:val="21"/>
          <w:lang w:val="en-US" w:eastAsia="zh-CN"/>
        </w:rPr>
      </w:pPr>
      <w:bookmarkStart w:id="51" w:name="_Toc2766"/>
      <w:bookmarkStart w:id="52" w:name="_Toc11329225"/>
      <w:bookmarkStart w:id="53" w:name="_Toc26749"/>
      <w:bookmarkStart w:id="54" w:name="_Toc10083"/>
      <w:bookmarkStart w:id="55" w:name="_Toc12296"/>
      <w:r>
        <w:rPr>
          <w:rFonts w:hint="eastAsia"/>
          <w:lang w:val="en-US" w:eastAsia="zh-CN"/>
        </w:rPr>
        <w:t xml:space="preserve">   </w:t>
      </w:r>
      <w:r>
        <w:rPr>
          <w:rFonts w:hint="eastAsia" w:asciiTheme="minorEastAsia" w:hAnsiTheme="minorEastAsia" w:eastAsiaTheme="minorEastAsia" w:cstheme="minorEastAsia"/>
          <w:lang w:val="en-US" w:eastAsia="zh-CN"/>
        </w:rPr>
        <w:t xml:space="preserve"> 注：</w:t>
      </w:r>
      <w:r>
        <w:rPr>
          <w:rFonts w:hint="eastAsia" w:asciiTheme="minorEastAsia" w:hAnsiTheme="minorEastAsia" w:eastAsiaTheme="minorEastAsia" w:cstheme="minorEastAsia"/>
          <w:b/>
          <w:bCs/>
          <w:caps/>
          <w:szCs w:val="21"/>
          <w:lang w:val="en-US" w:eastAsia="zh-CN"/>
        </w:rPr>
        <w:t>1.提供营业执照复印件</w:t>
      </w:r>
    </w:p>
    <w:p>
      <w:pPr>
        <w:spacing w:line="360" w:lineRule="auto"/>
        <w:ind w:firstLine="428" w:firstLineChars="200"/>
        <w:rPr>
          <w:rFonts w:hint="eastAsia" w:asciiTheme="minorEastAsia" w:hAnsiTheme="minorEastAsia" w:eastAsiaTheme="minorEastAsia" w:cstheme="minorEastAsia"/>
          <w:b/>
          <w:bCs/>
          <w:caps/>
          <w:szCs w:val="21"/>
        </w:rPr>
      </w:pPr>
      <w:r>
        <w:rPr>
          <w:rFonts w:hint="eastAsia" w:asciiTheme="minorEastAsia" w:hAnsiTheme="minorEastAsia" w:eastAsiaTheme="minorEastAsia" w:cstheme="minorEastAsia"/>
          <w:b/>
          <w:bCs/>
          <w:caps/>
          <w:szCs w:val="21"/>
          <w:lang w:val="en-US" w:eastAsia="zh-CN"/>
        </w:rPr>
        <w:t xml:space="preserve">    2.本项目安全服务内容均需要安全服务提供商提供原厂服务，如代理商投标，则需要提供安全服务提供商原厂出具对此项目的授权函、原厂技术支持及售后服务承诺函，从而代表安全服务提供商参与本项目。</w:t>
      </w:r>
    </w:p>
    <w:p>
      <w:pPr>
        <w:pStyle w:val="4"/>
        <w:jc w:val="center"/>
        <w:rPr>
          <w:rFonts w:ascii="宋体" w:hAnsi="宋体" w:cs="宋体"/>
          <w:sz w:val="24"/>
          <w:szCs w:val="24"/>
        </w:rPr>
      </w:pPr>
      <w:r>
        <w:rPr>
          <w:rFonts w:hint="eastAsia" w:ascii="宋体" w:hAnsi="宋体" w:cs="宋体"/>
          <w:sz w:val="24"/>
          <w:szCs w:val="24"/>
        </w:rPr>
        <w:t>附录2资格审查条件（信誉最低要求）</w:t>
      </w:r>
      <w:bookmarkEnd w:id="51"/>
      <w:bookmarkEnd w:id="52"/>
      <w:bookmarkEnd w:id="53"/>
      <w:bookmarkEnd w:id="54"/>
      <w:bookmarkEnd w:id="55"/>
    </w:p>
    <w:tbl>
      <w:tblPr>
        <w:tblStyle w:val="19"/>
        <w:tblW w:w="92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jc w:val="center"/>
        </w:trPr>
        <w:tc>
          <w:tcPr>
            <w:tcW w:w="9213" w:type="dxa"/>
          </w:tcPr>
          <w:p>
            <w:pPr>
              <w:spacing w:line="400" w:lineRule="exact"/>
              <w:jc w:val="center"/>
              <w:rPr>
                <w:rFonts w:ascii="宋体" w:hAnsi="宋体" w:cs="宋体"/>
                <w:szCs w:val="21"/>
              </w:rPr>
            </w:pPr>
            <w:r>
              <w:rPr>
                <w:rFonts w:hint="eastAsia" w:ascii="宋体" w:hAnsi="宋体" w:cs="宋体"/>
                <w:sz w:val="24"/>
                <w:szCs w:val="24"/>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213" w:type="dxa"/>
          </w:tcPr>
          <w:p>
            <w:pPr>
              <w:spacing w:line="360" w:lineRule="auto"/>
              <w:jc w:val="left"/>
              <w:rPr>
                <w:rFonts w:ascii="宋体" w:hAnsi="宋体" w:cs="宋体"/>
                <w:sz w:val="24"/>
                <w:szCs w:val="32"/>
              </w:rPr>
            </w:pPr>
            <w:r>
              <w:rPr>
                <w:rFonts w:hint="eastAsia" w:ascii="宋体" w:hAnsi="宋体" w:cs="宋体"/>
                <w:sz w:val="24"/>
                <w:szCs w:val="32"/>
              </w:rPr>
              <w:t>1、在国家企业信用信息公示系统（http://www.gsxt.gov.cn/）中未被列入严重违法失信企业名单（</w:t>
            </w:r>
            <w:r>
              <w:rPr>
                <w:rFonts w:ascii="宋体" w:hAnsi="宋体" w:cs="宋体"/>
                <w:sz w:val="24"/>
                <w:szCs w:val="32"/>
              </w:rPr>
              <w:t>黑名单）信息</w:t>
            </w:r>
            <w:r>
              <w:rPr>
                <w:rFonts w:hint="eastAsia" w:ascii="宋体" w:hAnsi="宋体" w:cs="宋体"/>
                <w:sz w:val="24"/>
                <w:szCs w:val="32"/>
              </w:rPr>
              <w:t>；</w:t>
            </w:r>
          </w:p>
          <w:p>
            <w:pPr>
              <w:spacing w:line="360" w:lineRule="auto"/>
              <w:rPr>
                <w:rFonts w:ascii="宋体" w:hAnsi="宋体" w:cs="宋体"/>
                <w:szCs w:val="21"/>
                <w:shd w:val="clear" w:color="auto" w:fill="FFFFFF"/>
              </w:rPr>
            </w:pPr>
            <w:r>
              <w:rPr>
                <w:rFonts w:hint="eastAsia" w:ascii="宋体" w:hAnsi="宋体" w:cs="宋体"/>
                <w:sz w:val="24"/>
                <w:szCs w:val="32"/>
              </w:rPr>
              <w:t>2、在“信用中国”网站（http://www.creditchina.gov.cn/）中未被列入失信惩戒执行人名单。</w:t>
            </w:r>
          </w:p>
        </w:tc>
      </w:tr>
    </w:tbl>
    <w:p>
      <w:pPr>
        <w:spacing w:line="360" w:lineRule="auto"/>
        <w:ind w:firstLine="428" w:firstLineChars="200"/>
        <w:rPr>
          <w:rFonts w:hint="eastAsia" w:ascii="宋体" w:hAnsi="宋体"/>
          <w:b/>
          <w:bCs/>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bCs/>
          <w:caps/>
          <w:szCs w:val="21"/>
        </w:rPr>
        <w:t>注：须提供以上材料的截图的扫描件或复印件，加盖单位公章，并加盖单位鲜公章。</w:t>
      </w:r>
    </w:p>
    <w:p>
      <w:pPr>
        <w:pStyle w:val="34"/>
        <w:keepNext w:val="0"/>
        <w:keepLines w:val="0"/>
        <w:pageBreakBefore w:val="0"/>
        <w:widowControl w:val="0"/>
        <w:numPr>
          <w:ilvl w:val="0"/>
          <w:numId w:val="0"/>
        </w:numPr>
        <w:kinsoku/>
        <w:wordWrap/>
        <w:overflowPunct/>
        <w:topLinePunct w:val="0"/>
        <w:autoSpaceDE/>
        <w:autoSpaceDN/>
        <w:bidi w:val="0"/>
        <w:adjustRightInd/>
        <w:snapToGrid/>
        <w:spacing w:before="160" w:beforeLines="50" w:line="360" w:lineRule="auto"/>
        <w:ind w:left="0" w:leftChars="0" w:right="0" w:rightChars="0" w:firstLine="486" w:firstLineChars="200"/>
        <w:jc w:val="both"/>
        <w:textAlignment w:val="auto"/>
        <w:outlineLvl w:val="9"/>
        <w:rPr>
          <w:rFonts w:ascii="宋体" w:hAnsi="宋体"/>
          <w:color w:val="000000" w:themeColor="text1"/>
          <w:sz w:val="24"/>
          <w14:textFill>
            <w14:solidFill>
              <w14:schemeClr w14:val="tx1"/>
            </w14:solidFill>
          </w14:textFill>
        </w:rPr>
      </w:pPr>
      <w:r>
        <w:rPr>
          <w:rFonts w:hint="eastAsia" w:ascii="宋体" w:hAnsi="宋体"/>
          <w:b w:val="0"/>
          <w:bCs w:val="0"/>
          <w:color w:val="000000" w:themeColor="text1"/>
          <w:sz w:val="24"/>
          <w:lang w:val="en-US" w:eastAsia="zh-CN"/>
          <w14:textFill>
            <w14:solidFill>
              <w14:schemeClr w14:val="tx1"/>
            </w14:solidFill>
          </w14:textFill>
        </w:rPr>
        <w:t>7.</w:t>
      </w:r>
      <w:r>
        <w:rPr>
          <w:rFonts w:hint="eastAsia" w:ascii="宋体" w:hAnsi="宋体"/>
          <w:b/>
          <w:bCs/>
          <w:color w:val="000000" w:themeColor="text1"/>
          <w:sz w:val="24"/>
          <w14:textFill>
            <w14:solidFill>
              <w14:schemeClr w14:val="tx1"/>
            </w14:solidFill>
          </w14:textFill>
        </w:rPr>
        <w:t>竞争性比选文</w:t>
      </w:r>
      <w:r>
        <w:rPr>
          <w:rFonts w:hint="eastAsia" w:ascii="宋体" w:hAnsi="宋体"/>
          <w:b/>
          <w:bCs/>
          <w:color w:val="000000" w:themeColor="text1"/>
          <w:sz w:val="24"/>
          <w:lang w:val="en-US" w:eastAsia="zh-CN"/>
          <w14:textFill>
            <w14:solidFill>
              <w14:schemeClr w14:val="tx1"/>
            </w14:solidFill>
          </w14:textFill>
        </w:rPr>
        <w:t>件份数</w:t>
      </w:r>
    </w:p>
    <w:p>
      <w:pPr>
        <w:keepNext w:val="0"/>
        <w:keepLines w:val="0"/>
        <w:pageBreakBefore w:val="0"/>
        <w:widowControl w:val="0"/>
        <w:kinsoku/>
        <w:wordWrap/>
        <w:overflowPunct/>
        <w:topLinePunct w:val="0"/>
        <w:autoSpaceDE/>
        <w:autoSpaceDN/>
        <w:bidi w:val="0"/>
        <w:adjustRightInd/>
        <w:snapToGrid/>
        <w:spacing w:before="160" w:beforeLines="50" w:line="360" w:lineRule="auto"/>
        <w:ind w:left="0" w:leftChars="0" w:right="0" w:rightChars="0" w:firstLine="486" w:firstLineChars="200"/>
        <w:jc w:val="both"/>
        <w:textAlignment w:val="auto"/>
        <w:outlineLvl w:val="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竞争性比选响应文件提交正本1份，副本2份，副本可为正本的复印件，竞争性比选响应文件需装订成册；报价人应提供竞争性比选响应文件电子文件1份（U盘1份，电子文件内容须包括竞争性比选响应文件全部内容）。当电子文件与纸质版竞争性比选响应文件不一致时，以纸质版竞争性比选响应文件为准，当正本与副本不一致时，以正本为准。</w:t>
      </w:r>
    </w:p>
    <w:p>
      <w:pPr>
        <w:pStyle w:val="16"/>
        <w:spacing w:before="0" w:after="0" w:line="360" w:lineRule="auto"/>
        <w:ind w:firstLine="486" w:firstLineChars="200"/>
        <w:jc w:val="left"/>
        <w:rPr>
          <w:rFonts w:ascii="宋体" w:hAnsi="宋体"/>
          <w:color w:val="000000" w:themeColor="text1"/>
          <w:sz w:val="24"/>
          <w:szCs w:val="24"/>
          <w14:textFill>
            <w14:solidFill>
              <w14:schemeClr w14:val="tx1"/>
            </w14:solidFill>
          </w14:textFill>
        </w:rPr>
      </w:pPr>
      <w:r>
        <w:rPr>
          <w:rFonts w:hint="eastAsia" w:ascii="宋体" w:hAnsi="宋体"/>
          <w:b w:val="0"/>
          <w:bCs w:val="0"/>
          <w:color w:val="000000" w:themeColor="text1"/>
          <w:sz w:val="24"/>
          <w:szCs w:val="24"/>
          <w:lang w:val="en-US" w:eastAsia="zh-CN"/>
          <w14:textFill>
            <w14:solidFill>
              <w14:schemeClr w14:val="tx1"/>
            </w14:solidFill>
          </w14:textFill>
        </w:rPr>
        <w:t>8</w:t>
      </w:r>
      <w:r>
        <w:rPr>
          <w:rFonts w:hint="eastAsia" w:ascii="宋体" w:hAnsi="宋体"/>
          <w:b w:val="0"/>
          <w:bCs w:val="0"/>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本次竞争性比选响应文件的组成</w:t>
      </w:r>
    </w:p>
    <w:p>
      <w:pPr>
        <w:spacing w:line="360" w:lineRule="auto"/>
        <w:ind w:firstLine="486" w:firstLineChars="200"/>
      </w:pPr>
      <w:r>
        <w:rPr>
          <w:rFonts w:hint="eastAsia" w:ascii="宋体" w:hAnsi="宋体"/>
          <w:color w:val="000000" w:themeColor="text1"/>
          <w:sz w:val="24"/>
          <w14:textFill>
            <w14:solidFill>
              <w14:schemeClr w14:val="tx1"/>
            </w14:solidFill>
          </w14:textFill>
        </w:rPr>
        <w:t>竞争性比选响应声明书、法定代表人身份证明和法定代表人授权委托书、报价一览表、资格要求材料、承诺书、报价人认为需要提供的其他相关文件（注：以上所有文件均须加盖报价人的公章）。</w:t>
      </w:r>
    </w:p>
    <w:p>
      <w:pPr>
        <w:pStyle w:val="16"/>
        <w:spacing w:before="0" w:after="0" w:line="360" w:lineRule="auto"/>
        <w:ind w:firstLine="486" w:firstLineChars="200"/>
        <w:jc w:val="left"/>
        <w:rPr>
          <w:rFonts w:ascii="宋体" w:hAnsi="宋体"/>
          <w:color w:val="000000" w:themeColor="text1"/>
          <w:sz w:val="24"/>
          <w:szCs w:val="24"/>
          <w14:textFill>
            <w14:solidFill>
              <w14:schemeClr w14:val="tx1"/>
            </w14:solidFill>
          </w14:textFill>
        </w:rPr>
      </w:pPr>
      <w:r>
        <w:rPr>
          <w:rFonts w:hint="eastAsia" w:ascii="宋体" w:hAnsi="宋体"/>
          <w:b w:val="0"/>
          <w:bCs w:val="0"/>
          <w:color w:val="000000" w:themeColor="text1"/>
          <w:sz w:val="24"/>
          <w:szCs w:val="24"/>
          <w:lang w:val="en-US" w:eastAsia="zh-CN"/>
          <w14:textFill>
            <w14:solidFill>
              <w14:schemeClr w14:val="tx1"/>
            </w14:solidFill>
          </w14:textFill>
        </w:rPr>
        <w:t>9</w:t>
      </w:r>
      <w:r>
        <w:rPr>
          <w:rFonts w:hint="eastAsia" w:ascii="宋体" w:hAnsi="宋体"/>
          <w:b w:val="0"/>
          <w:bCs w:val="0"/>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密封要求</w:t>
      </w:r>
    </w:p>
    <w:p>
      <w:pPr>
        <w:spacing w:line="360" w:lineRule="auto"/>
        <w:ind w:firstLine="486"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竞争性比选响应文件密封到一个封袋中，在封套上写明：</w:t>
      </w:r>
    </w:p>
    <w:p>
      <w:pPr>
        <w:spacing w:line="360" w:lineRule="auto"/>
        <w:ind w:firstLine="486"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2021年网络安全咨询服务(二）竞争性比选响应文件</w:t>
      </w:r>
    </w:p>
    <w:p>
      <w:pPr>
        <w:spacing w:line="360" w:lineRule="auto"/>
        <w:ind w:left="426" w:left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在202</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7</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23</w:t>
      </w:r>
      <w:r>
        <w:rPr>
          <w:rFonts w:hint="eastAsia" w:ascii="宋体" w:hAnsi="宋体"/>
          <w:color w:val="000000" w:themeColor="text1"/>
          <w:sz w:val="24"/>
          <w14:textFill>
            <w14:solidFill>
              <w14:schemeClr w14:val="tx1"/>
            </w14:solidFill>
          </w14:textFill>
        </w:rPr>
        <w:t>日11：00时前不得开启</w:t>
      </w:r>
    </w:p>
    <w:p>
      <w:pPr>
        <w:pStyle w:val="16"/>
        <w:spacing w:before="0" w:after="0" w:line="360" w:lineRule="auto"/>
        <w:ind w:firstLine="486" w:firstLineChars="200"/>
        <w:jc w:val="left"/>
        <w:rPr>
          <w:rFonts w:ascii="宋体" w:hAnsi="宋体"/>
          <w:color w:val="000000" w:themeColor="text1"/>
          <w:sz w:val="24"/>
          <w:szCs w:val="24"/>
          <w14:textFill>
            <w14:solidFill>
              <w14:schemeClr w14:val="tx1"/>
            </w14:solidFill>
          </w14:textFill>
        </w:rPr>
      </w:pPr>
      <w:r>
        <w:rPr>
          <w:rFonts w:hint="eastAsia" w:ascii="宋体" w:hAnsi="宋体"/>
          <w:b w:val="0"/>
          <w:bCs w:val="0"/>
          <w:color w:val="000000" w:themeColor="text1"/>
          <w:sz w:val="24"/>
          <w:szCs w:val="24"/>
          <w:lang w:val="en-US" w:eastAsia="zh-CN"/>
          <w14:textFill>
            <w14:solidFill>
              <w14:schemeClr w14:val="tx1"/>
            </w14:solidFill>
          </w14:textFill>
        </w:rPr>
        <w:t>10</w:t>
      </w:r>
      <w:r>
        <w:rPr>
          <w:rFonts w:hint="eastAsia" w:ascii="宋体" w:hAnsi="宋体"/>
          <w:b w:val="0"/>
          <w:bCs w:val="0"/>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竞争性</w:t>
      </w:r>
      <w:r>
        <w:rPr>
          <w:rFonts w:ascii="宋体" w:hAnsi="宋体"/>
          <w:color w:val="000000" w:themeColor="text1"/>
          <w:sz w:val="24"/>
          <w:szCs w:val="24"/>
          <w14:textFill>
            <w14:solidFill>
              <w14:schemeClr w14:val="tx1"/>
            </w14:solidFill>
          </w14:textFill>
        </w:rPr>
        <w:t>比选响应文件的递交</w:t>
      </w:r>
    </w:p>
    <w:p>
      <w:pPr>
        <w:spacing w:line="360" w:lineRule="auto"/>
        <w:ind w:left="426" w:left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报价截止时间和开标时间：2021年</w:t>
      </w:r>
      <w:r>
        <w:rPr>
          <w:rFonts w:hint="eastAsia" w:ascii="宋体" w:hAnsi="宋体"/>
          <w:color w:val="000000" w:themeColor="text1"/>
          <w:sz w:val="24"/>
          <w:u w:val="single"/>
          <w14:textFill>
            <w14:solidFill>
              <w14:schemeClr w14:val="tx1"/>
            </w14:solidFill>
          </w14:textFill>
        </w:rPr>
        <w:t>7</w:t>
      </w:r>
      <w:r>
        <w:rPr>
          <w:rFonts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23</w:t>
      </w:r>
      <w:r>
        <w:rPr>
          <w:rFonts w:ascii="宋体" w:hAnsi="宋体"/>
          <w:color w:val="000000" w:themeColor="text1"/>
          <w:sz w:val="24"/>
          <w14:textFill>
            <w14:solidFill>
              <w14:schemeClr w14:val="tx1"/>
            </w14:solidFill>
          </w14:textFill>
        </w:rPr>
        <w:t>日1</w:t>
      </w:r>
      <w:r>
        <w:rPr>
          <w:rFonts w:hint="eastAsia" w:ascii="宋体" w:hAnsi="宋体"/>
          <w:color w:val="000000" w:themeColor="text1"/>
          <w:sz w:val="24"/>
          <w14:textFill>
            <w14:solidFill>
              <w14:schemeClr w14:val="tx1"/>
            </w14:solidFill>
          </w14:textFill>
        </w:rPr>
        <w:t>1:00</w:t>
      </w:r>
      <w:r>
        <w:rPr>
          <w:rFonts w:ascii="宋体" w:hAnsi="宋体"/>
          <w:color w:val="000000" w:themeColor="text1"/>
          <w:sz w:val="24"/>
          <w14:textFill>
            <w14:solidFill>
              <w14:schemeClr w14:val="tx1"/>
            </w14:solidFill>
          </w14:textFill>
        </w:rPr>
        <w:t>分（北京时间）。</w:t>
      </w:r>
    </w:p>
    <w:p>
      <w:pPr>
        <w:spacing w:line="360" w:lineRule="auto"/>
        <w:ind w:left="426" w:left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报价地点和开标地点：</w:t>
      </w:r>
      <w:r>
        <w:rPr>
          <w:rFonts w:hint="eastAsia" w:ascii="宋体" w:hAnsi="宋体"/>
          <w:color w:val="000000" w:themeColor="text1"/>
          <w:sz w:val="24"/>
          <w14:textFill>
            <w14:solidFill>
              <w14:schemeClr w14:val="tx1"/>
            </w14:solidFill>
          </w14:textFill>
        </w:rPr>
        <w:t>重庆市南岸区四公里内环入口200米处重庆首讯科技大楼三楼310会议室</w:t>
      </w:r>
    </w:p>
    <w:p>
      <w:pPr>
        <w:spacing w:line="360" w:lineRule="auto"/>
        <w:ind w:left="426" w:left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逾期送达，或未送达指定地点，或未密封的竞争性比选响应文件，采购人不予受理。</w:t>
      </w:r>
    </w:p>
    <w:p>
      <w:pPr>
        <w:spacing w:line="360" w:lineRule="auto"/>
        <w:ind w:left="426" w:left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）递交报价文件时，报价文件递交人员须出示由采购人出具的盖有采购人公章及有邀请单位名称文件。</w:t>
      </w:r>
    </w:p>
    <w:p>
      <w:pPr>
        <w:pStyle w:val="16"/>
        <w:spacing w:before="0" w:after="0" w:line="360" w:lineRule="auto"/>
        <w:jc w:val="left"/>
        <w:rPr>
          <w:rFonts w:ascii="宋体" w:hAnsi="宋体" w:cs="宋体"/>
          <w:sz w:val="24"/>
          <w:szCs w:val="24"/>
        </w:rPr>
      </w:pPr>
      <w:r>
        <w:rPr>
          <w:rFonts w:hint="eastAsia" w:ascii="宋体" w:hAnsi="宋体"/>
          <w:b w:val="0"/>
          <w:bCs w:val="0"/>
          <w:color w:val="000000" w:themeColor="text1"/>
          <w:sz w:val="24"/>
          <w:szCs w:val="24"/>
          <w14:textFill>
            <w14:solidFill>
              <w14:schemeClr w14:val="tx1"/>
            </w14:solidFill>
          </w14:textFill>
        </w:rPr>
        <w:t xml:space="preserve">   10.</w:t>
      </w:r>
      <w:r>
        <w:rPr>
          <w:rFonts w:hint="eastAsia" w:ascii="宋体" w:hAnsi="宋体"/>
          <w:color w:val="000000" w:themeColor="text1"/>
          <w:sz w:val="24"/>
          <w:szCs w:val="24"/>
          <w14:textFill>
            <w14:solidFill>
              <w14:schemeClr w14:val="tx1"/>
            </w14:solidFill>
          </w14:textFill>
        </w:rPr>
        <w:t>联系方式</w:t>
      </w:r>
    </w:p>
    <w:p>
      <w:pPr>
        <w:spacing w:line="360" w:lineRule="auto"/>
        <w:ind w:left="426" w:left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联系人:费老师/蒋老师       </w:t>
      </w:r>
    </w:p>
    <w:p>
      <w:pPr>
        <w:spacing w:line="360" w:lineRule="auto"/>
        <w:ind w:left="426" w:left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电话：13438076652/17783017837   </w:t>
      </w:r>
    </w:p>
    <w:p>
      <w:pPr>
        <w:spacing w:line="360" w:lineRule="auto"/>
        <w:ind w:left="426" w:left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邮箱：758075063@qq.com</w:t>
      </w:r>
    </w:p>
    <w:p>
      <w:pPr>
        <w:spacing w:line="360" w:lineRule="auto"/>
        <w:ind w:left="426" w:left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监督电话：02389021335  </w:t>
      </w:r>
    </w:p>
    <w:p>
      <w:pPr>
        <w:spacing w:line="360" w:lineRule="auto"/>
        <w:ind w:left="426" w:left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地址：庆市南岸区四公里内环入口200米处重庆首讯科技大楼</w:t>
      </w:r>
    </w:p>
    <w:p/>
    <w:p>
      <w:pPr>
        <w:jc w:val="center"/>
      </w:pPr>
    </w:p>
    <w:p/>
    <w:p>
      <w:pPr>
        <w:widowControl/>
        <w:jc w:val="left"/>
        <w:rPr>
          <w:rFonts w:ascii="宋体" w:hAnsi="宋体" w:cs="宋体"/>
          <w:smallCaps/>
          <w:sz w:val="48"/>
          <w:szCs w:val="48"/>
        </w:rPr>
      </w:pPr>
      <w:r>
        <w:br w:type="page"/>
      </w:r>
    </w:p>
    <w:p>
      <w:pPr>
        <w:pStyle w:val="3"/>
        <w:spacing w:before="0" w:after="0" w:line="360" w:lineRule="auto"/>
        <w:rPr>
          <w:color w:val="000000" w:themeColor="text1"/>
          <w:spacing w:val="10"/>
          <w:sz w:val="48"/>
          <w:szCs w:val="48"/>
          <w14:textFill>
            <w14:solidFill>
              <w14:schemeClr w14:val="tx1"/>
            </w14:solidFill>
          </w14:textFill>
        </w:rPr>
      </w:pPr>
      <w:r>
        <w:rPr>
          <w:rFonts w:hint="eastAsia"/>
          <w:color w:val="000000" w:themeColor="text1"/>
          <w:spacing w:val="10"/>
          <w:sz w:val="48"/>
          <w:szCs w:val="48"/>
          <w14:textFill>
            <w14:solidFill>
              <w14:schemeClr w14:val="tx1"/>
            </w14:solidFill>
          </w14:textFill>
        </w:rPr>
        <w:t>第三章 评标办法（综合评估法）</w:t>
      </w:r>
    </w:p>
    <w:p>
      <w:pPr>
        <w:spacing w:line="360" w:lineRule="auto"/>
        <w:rPr>
          <w:b/>
          <w:bCs/>
          <w:color w:val="000000" w:themeColor="text1"/>
          <w:sz w:val="24"/>
          <w:szCs w:val="28"/>
          <w14:textFill>
            <w14:solidFill>
              <w14:schemeClr w14:val="tx1"/>
            </w14:solidFill>
          </w14:textFill>
        </w:rPr>
      </w:pPr>
      <w:r>
        <w:rPr>
          <w:rFonts w:hint="eastAsia"/>
          <w:b/>
          <w:bCs/>
          <w:color w:val="000000" w:themeColor="text1"/>
          <w:sz w:val="24"/>
          <w:szCs w:val="28"/>
          <w14:textFill>
            <w14:solidFill>
              <w14:schemeClr w14:val="tx1"/>
            </w14:solidFill>
          </w14:textFill>
        </w:rPr>
        <w:t>本项目采用综合评估法进行评标。</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377"/>
        <w:gridCol w:w="352"/>
        <w:gridCol w:w="767"/>
        <w:gridCol w:w="493"/>
        <w:gridCol w:w="1084"/>
        <w:gridCol w:w="4379"/>
        <w:gridCol w:w="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022" w:type="dxa"/>
            <w:vAlign w:val="center"/>
          </w:tcPr>
          <w:p>
            <w:pPr>
              <w:snapToGrid w:val="0"/>
              <w:spacing w:line="400" w:lineRule="exact"/>
              <w:jc w:val="center"/>
              <w:rPr>
                <w:rFonts w:ascii="宋体" w:hAnsi="宋体" w:cs="宋体"/>
                <w:b/>
                <w:kern w:val="0"/>
              </w:rPr>
            </w:pPr>
            <w:r>
              <w:rPr>
                <w:rFonts w:hint="eastAsia" w:ascii="宋体" w:hAnsi="宋体" w:cs="宋体"/>
                <w:b/>
                <w:kern w:val="0"/>
              </w:rPr>
              <w:t>条款号</w:t>
            </w:r>
          </w:p>
        </w:tc>
        <w:tc>
          <w:tcPr>
            <w:tcW w:w="1496" w:type="dxa"/>
            <w:gridSpan w:val="3"/>
            <w:vAlign w:val="center"/>
          </w:tcPr>
          <w:p>
            <w:pPr>
              <w:snapToGrid w:val="0"/>
              <w:spacing w:line="400" w:lineRule="exact"/>
              <w:jc w:val="center"/>
              <w:rPr>
                <w:rFonts w:ascii="宋体" w:hAnsi="宋体" w:cs="宋体"/>
                <w:b/>
                <w:kern w:val="0"/>
              </w:rPr>
            </w:pPr>
            <w:r>
              <w:rPr>
                <w:rFonts w:hint="eastAsia" w:ascii="宋体" w:hAnsi="宋体" w:cs="宋体"/>
                <w:b/>
                <w:kern w:val="0"/>
              </w:rPr>
              <w:t>条款名称</w:t>
            </w:r>
          </w:p>
        </w:tc>
        <w:tc>
          <w:tcPr>
            <w:tcW w:w="6004" w:type="dxa"/>
            <w:gridSpan w:val="4"/>
            <w:vAlign w:val="center"/>
          </w:tcPr>
          <w:p>
            <w:pPr>
              <w:snapToGrid w:val="0"/>
              <w:spacing w:line="400" w:lineRule="exact"/>
              <w:jc w:val="center"/>
              <w:rPr>
                <w:rFonts w:ascii="宋体" w:hAnsi="宋体" w:cs="宋体"/>
                <w:b/>
                <w:kern w:val="0"/>
              </w:rPr>
            </w:pPr>
            <w:r>
              <w:rPr>
                <w:rFonts w:hint="eastAsia" w:ascii="宋体" w:hAnsi="宋体" w:cs="宋体"/>
                <w:b/>
                <w:kern w:val="0"/>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022" w:type="dxa"/>
            <w:vAlign w:val="center"/>
          </w:tcPr>
          <w:p>
            <w:pPr>
              <w:snapToGrid w:val="0"/>
              <w:spacing w:line="400" w:lineRule="exact"/>
              <w:jc w:val="center"/>
              <w:rPr>
                <w:rFonts w:ascii="宋体" w:hAnsi="宋体" w:cs="宋体"/>
                <w:b/>
                <w:kern w:val="0"/>
              </w:rPr>
            </w:pPr>
            <w:r>
              <w:rPr>
                <w:rFonts w:hint="eastAsia" w:ascii="宋体" w:hAnsi="宋体" w:cs="宋体"/>
                <w:b/>
                <w:kern w:val="0"/>
              </w:rPr>
              <w:t>1</w:t>
            </w:r>
          </w:p>
        </w:tc>
        <w:tc>
          <w:tcPr>
            <w:tcW w:w="7500" w:type="dxa"/>
            <w:gridSpan w:val="7"/>
            <w:vAlign w:val="center"/>
          </w:tcPr>
          <w:p>
            <w:pPr>
              <w:snapToGrid w:val="0"/>
              <w:spacing w:line="400" w:lineRule="exact"/>
              <w:jc w:val="center"/>
              <w:rPr>
                <w:rFonts w:ascii="宋体" w:hAnsi="宋体" w:cs="宋体"/>
                <w:b/>
                <w:kern w:val="0"/>
              </w:rPr>
            </w:pPr>
            <w:r>
              <w:rPr>
                <w:rFonts w:hint="eastAsia" w:ascii="宋体" w:hAnsi="宋体" w:cs="宋体"/>
                <w:b/>
                <w:kern w:val="0"/>
              </w:rPr>
              <w:t>如出现得分(精确到小数点后两位)相等时，按以下原则确定第一中标候选人：</w:t>
            </w:r>
          </w:p>
          <w:p>
            <w:pPr>
              <w:snapToGrid w:val="0"/>
              <w:spacing w:line="400" w:lineRule="exact"/>
              <w:rPr>
                <w:rFonts w:ascii="宋体" w:hAnsi="宋体" w:cs="宋体"/>
                <w:b/>
                <w:kern w:val="0"/>
              </w:rPr>
            </w:pPr>
            <w:r>
              <w:rPr>
                <w:rFonts w:hint="eastAsia" w:ascii="宋体" w:hAnsi="宋体" w:cs="宋体"/>
                <w:b/>
                <w:kern w:val="0"/>
              </w:rPr>
              <w:t>（1）以评标价低的报价人优先；</w:t>
            </w:r>
          </w:p>
          <w:p>
            <w:pPr>
              <w:snapToGrid w:val="0"/>
              <w:spacing w:line="400" w:lineRule="exact"/>
              <w:rPr>
                <w:rFonts w:ascii="宋体" w:hAnsi="宋体" w:cs="宋体"/>
                <w:b/>
                <w:kern w:val="0"/>
              </w:rPr>
            </w:pPr>
            <w:r>
              <w:rPr>
                <w:rFonts w:hint="eastAsia" w:ascii="宋体" w:hAnsi="宋体" w:cs="宋体"/>
                <w:b/>
                <w:kern w:val="0"/>
              </w:rPr>
              <w:t>（2）如评标价也相同时，以技术得分较高的报价人优先；</w:t>
            </w:r>
          </w:p>
          <w:p>
            <w:pPr>
              <w:snapToGrid w:val="0"/>
              <w:spacing w:line="400" w:lineRule="exact"/>
              <w:rPr>
                <w:rFonts w:ascii="宋体" w:hAnsi="宋体" w:cs="宋体"/>
                <w:b/>
                <w:kern w:val="0"/>
              </w:rPr>
            </w:pPr>
            <w:r>
              <w:rPr>
                <w:rFonts w:hint="eastAsia" w:ascii="宋体" w:hAnsi="宋体" w:cs="宋体"/>
                <w:b/>
                <w:kern w:val="0"/>
              </w:rPr>
              <w:t>（3）如技术得分也相同时，以商务得分高的优先；</w:t>
            </w:r>
          </w:p>
          <w:p>
            <w:pPr>
              <w:pStyle w:val="2"/>
            </w:pPr>
            <w:r>
              <w:rPr>
                <w:rFonts w:hint="eastAsia"/>
                <w:b/>
                <w:bCs/>
              </w:rPr>
              <w:t>（4）</w:t>
            </w:r>
            <w:r>
              <w:rPr>
                <w:rFonts w:ascii="宋体" w:hAnsi="宋体" w:cs="宋体"/>
                <w:b/>
              </w:rPr>
              <w:t>如商务得分也</w:t>
            </w:r>
            <w:r>
              <w:rPr>
                <w:rFonts w:hint="eastAsia" w:ascii="宋体" w:hAnsi="宋体" w:cs="宋体"/>
                <w:b/>
              </w:rPr>
              <w:t>相</w:t>
            </w:r>
            <w:r>
              <w:rPr>
                <w:rFonts w:ascii="宋体" w:hAnsi="宋体" w:cs="宋体"/>
                <w:b/>
              </w:rPr>
              <w:t>同时，</w:t>
            </w:r>
            <w:r>
              <w:rPr>
                <w:rFonts w:hint="eastAsia" w:ascii="宋体" w:hAnsi="宋体" w:cs="宋体"/>
                <w:b/>
              </w:rPr>
              <w:t>由评标委员会投票决定。</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022" w:type="dxa"/>
            <w:vAlign w:val="center"/>
          </w:tcPr>
          <w:p>
            <w:pPr>
              <w:snapToGrid w:val="0"/>
              <w:spacing w:line="400" w:lineRule="exact"/>
              <w:jc w:val="center"/>
              <w:rPr>
                <w:rFonts w:ascii="宋体" w:hAnsi="宋体" w:cs="宋体"/>
                <w:b/>
                <w:kern w:val="0"/>
              </w:rPr>
            </w:pPr>
            <w:r>
              <w:rPr>
                <w:rFonts w:hint="eastAsia" w:ascii="宋体" w:hAnsi="宋体" w:cs="宋体"/>
                <w:b/>
                <w:kern w:val="0"/>
              </w:rPr>
              <w:t>条款号</w:t>
            </w:r>
          </w:p>
        </w:tc>
        <w:tc>
          <w:tcPr>
            <w:tcW w:w="1989" w:type="dxa"/>
            <w:gridSpan w:val="4"/>
            <w:vAlign w:val="center"/>
          </w:tcPr>
          <w:p>
            <w:pPr>
              <w:snapToGrid w:val="0"/>
              <w:spacing w:line="400" w:lineRule="exact"/>
              <w:jc w:val="center"/>
              <w:rPr>
                <w:rFonts w:ascii="宋体" w:hAnsi="宋体" w:cs="宋体"/>
                <w:b/>
                <w:kern w:val="0"/>
              </w:rPr>
            </w:pPr>
            <w:r>
              <w:rPr>
                <w:rFonts w:hint="eastAsia" w:ascii="宋体" w:hAnsi="宋体" w:cs="宋体"/>
                <w:b/>
                <w:kern w:val="0"/>
              </w:rPr>
              <w:t>评审因素</w:t>
            </w:r>
          </w:p>
        </w:tc>
        <w:tc>
          <w:tcPr>
            <w:tcW w:w="5511" w:type="dxa"/>
            <w:gridSpan w:val="3"/>
            <w:vAlign w:val="center"/>
          </w:tcPr>
          <w:p>
            <w:pPr>
              <w:snapToGrid w:val="0"/>
              <w:spacing w:line="400" w:lineRule="exact"/>
              <w:jc w:val="center"/>
              <w:rPr>
                <w:rFonts w:ascii="宋体" w:hAnsi="宋体" w:cs="宋体"/>
                <w:b/>
                <w:kern w:val="0"/>
              </w:rPr>
            </w:pPr>
            <w:r>
              <w:rPr>
                <w:rFonts w:hint="eastAsia" w:ascii="宋体" w:hAnsi="宋体" w:cs="宋体"/>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565" w:hRule="atLeast"/>
        </w:trPr>
        <w:tc>
          <w:tcPr>
            <w:tcW w:w="1022" w:type="dxa"/>
            <w:vMerge w:val="restart"/>
            <w:vAlign w:val="center"/>
          </w:tcPr>
          <w:p>
            <w:pPr>
              <w:snapToGrid w:val="0"/>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2.1.1</w:t>
            </w:r>
          </w:p>
        </w:tc>
        <w:tc>
          <w:tcPr>
            <w:tcW w:w="377" w:type="dxa"/>
            <w:vMerge w:val="restart"/>
            <w:textDirection w:val="tbRlV"/>
            <w:vAlign w:val="center"/>
          </w:tcPr>
          <w:p>
            <w:pPr>
              <w:snapToGrid w:val="0"/>
              <w:spacing w:line="400" w:lineRule="exact"/>
              <w:jc w:val="center"/>
              <w:rPr>
                <w:rFonts w:asciiTheme="minorEastAsia" w:hAnsiTheme="minorEastAsia" w:eastAsiaTheme="minorEastAsia" w:cstheme="minorEastAsia"/>
                <w:kern w:val="0"/>
                <w:szCs w:val="21"/>
              </w:rPr>
            </w:pPr>
            <w:bookmarkStart w:id="56" w:name="OLE_LINK5"/>
            <w:r>
              <w:rPr>
                <w:rFonts w:hint="eastAsia" w:asciiTheme="minorEastAsia" w:hAnsiTheme="minorEastAsia" w:eastAsiaTheme="minorEastAsia" w:cstheme="minorEastAsia"/>
                <w:kern w:val="0"/>
                <w:szCs w:val="21"/>
              </w:rPr>
              <w:t>资格评审</w:t>
            </w:r>
            <w:bookmarkEnd w:id="56"/>
          </w:p>
        </w:tc>
        <w:tc>
          <w:tcPr>
            <w:tcW w:w="1612" w:type="dxa"/>
            <w:gridSpan w:val="3"/>
            <w:vAlign w:val="center"/>
          </w:tcPr>
          <w:p>
            <w:pPr>
              <w:snapToGrid w:val="0"/>
              <w:spacing w:line="400" w:lineRule="exact"/>
              <w:jc w:val="center"/>
              <w:rPr>
                <w:rFonts w:asciiTheme="minorEastAsia" w:hAnsiTheme="minorEastAsia" w:eastAsiaTheme="minorEastAsia" w:cstheme="minorEastAsia"/>
                <w:kern w:val="0"/>
                <w:szCs w:val="21"/>
              </w:rPr>
            </w:pPr>
            <w:bookmarkStart w:id="57" w:name="OLE_LINK7"/>
            <w:r>
              <w:rPr>
                <w:rFonts w:hint="eastAsia" w:asciiTheme="minorEastAsia" w:hAnsiTheme="minorEastAsia" w:eastAsiaTheme="minorEastAsia" w:cstheme="minorEastAsia"/>
                <w:kern w:val="0"/>
                <w:szCs w:val="21"/>
              </w:rPr>
              <w:t>报价人名称</w:t>
            </w:r>
            <w:bookmarkEnd w:id="57"/>
          </w:p>
        </w:tc>
        <w:tc>
          <w:tcPr>
            <w:tcW w:w="5463" w:type="dxa"/>
            <w:gridSpan w:val="2"/>
            <w:vAlign w:val="center"/>
          </w:tcPr>
          <w:p>
            <w:pPr>
              <w:pStyle w:val="31"/>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70" w:hRule="atLeast"/>
        </w:trPr>
        <w:tc>
          <w:tcPr>
            <w:tcW w:w="1022" w:type="dxa"/>
            <w:vMerge w:val="continue"/>
          </w:tcPr>
          <w:p>
            <w:pPr>
              <w:snapToGrid w:val="0"/>
              <w:spacing w:line="400" w:lineRule="exact"/>
              <w:rPr>
                <w:rFonts w:asciiTheme="minorEastAsia" w:hAnsiTheme="minorEastAsia" w:eastAsiaTheme="minorEastAsia" w:cstheme="minorEastAsia"/>
                <w:szCs w:val="21"/>
              </w:rPr>
            </w:pPr>
          </w:p>
        </w:tc>
        <w:tc>
          <w:tcPr>
            <w:tcW w:w="377" w:type="dxa"/>
            <w:vMerge w:val="continue"/>
          </w:tcPr>
          <w:p>
            <w:pPr>
              <w:snapToGrid w:val="0"/>
              <w:spacing w:line="400" w:lineRule="exact"/>
              <w:rPr>
                <w:rFonts w:asciiTheme="minorEastAsia" w:hAnsiTheme="minorEastAsia" w:eastAsiaTheme="minorEastAsia" w:cstheme="minorEastAsia"/>
                <w:szCs w:val="21"/>
              </w:rPr>
            </w:pPr>
          </w:p>
        </w:tc>
        <w:tc>
          <w:tcPr>
            <w:tcW w:w="1612" w:type="dxa"/>
            <w:gridSpan w:val="3"/>
            <w:vAlign w:val="center"/>
          </w:tcPr>
          <w:p>
            <w:pPr>
              <w:snapToGrid w:val="0"/>
              <w:spacing w:line="400" w:lineRule="exact"/>
              <w:jc w:val="center"/>
              <w:rPr>
                <w:rFonts w:asciiTheme="minorEastAsia" w:hAnsiTheme="minorEastAsia" w:eastAsiaTheme="minorEastAsia" w:cstheme="minorEastAsia"/>
                <w:kern w:val="0"/>
                <w:szCs w:val="21"/>
              </w:rPr>
            </w:pPr>
            <w:bookmarkStart w:id="58" w:name="OLE_LINK8"/>
            <w:r>
              <w:rPr>
                <w:rFonts w:hint="eastAsia" w:asciiTheme="minorEastAsia" w:hAnsiTheme="minorEastAsia" w:eastAsiaTheme="minorEastAsia" w:cstheme="minorEastAsia"/>
                <w:kern w:val="0"/>
                <w:szCs w:val="21"/>
              </w:rPr>
              <w:t>报价文件签字盖章</w:t>
            </w:r>
            <w:bookmarkEnd w:id="58"/>
          </w:p>
        </w:tc>
        <w:tc>
          <w:tcPr>
            <w:tcW w:w="5463" w:type="dxa"/>
            <w:gridSpan w:val="2"/>
            <w:vAlign w:val="center"/>
          </w:tcPr>
          <w:p>
            <w:pPr>
              <w:pStyle w:val="31"/>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有法定代表人或其委托代理人签字（或盖章）、加盖单位公章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700" w:hRule="atLeast"/>
        </w:trPr>
        <w:tc>
          <w:tcPr>
            <w:tcW w:w="1022" w:type="dxa"/>
            <w:vMerge w:val="continue"/>
          </w:tcPr>
          <w:p>
            <w:pPr>
              <w:snapToGrid w:val="0"/>
              <w:spacing w:line="400" w:lineRule="exact"/>
              <w:rPr>
                <w:rFonts w:asciiTheme="minorEastAsia" w:hAnsiTheme="minorEastAsia" w:eastAsiaTheme="minorEastAsia" w:cstheme="minorEastAsia"/>
                <w:szCs w:val="21"/>
              </w:rPr>
            </w:pPr>
          </w:p>
        </w:tc>
        <w:tc>
          <w:tcPr>
            <w:tcW w:w="377" w:type="dxa"/>
            <w:vMerge w:val="continue"/>
          </w:tcPr>
          <w:p>
            <w:pPr>
              <w:snapToGrid w:val="0"/>
              <w:spacing w:line="400" w:lineRule="exact"/>
              <w:rPr>
                <w:rFonts w:asciiTheme="minorEastAsia" w:hAnsiTheme="minorEastAsia" w:eastAsiaTheme="minorEastAsia" w:cstheme="minorEastAsia"/>
                <w:szCs w:val="21"/>
              </w:rPr>
            </w:pPr>
          </w:p>
        </w:tc>
        <w:tc>
          <w:tcPr>
            <w:tcW w:w="1612" w:type="dxa"/>
            <w:gridSpan w:val="3"/>
            <w:vAlign w:val="center"/>
          </w:tcPr>
          <w:p>
            <w:pPr>
              <w:snapToGrid w:val="0"/>
              <w:spacing w:line="400" w:lineRule="exact"/>
              <w:jc w:val="center"/>
              <w:rPr>
                <w:rFonts w:asciiTheme="minorEastAsia" w:hAnsiTheme="minorEastAsia" w:eastAsiaTheme="minorEastAsia" w:cstheme="minorEastAsia"/>
                <w:kern w:val="0"/>
                <w:szCs w:val="21"/>
              </w:rPr>
            </w:pPr>
            <w:bookmarkStart w:id="59" w:name="OLE_LINK10"/>
            <w:r>
              <w:rPr>
                <w:rFonts w:hint="eastAsia" w:asciiTheme="minorEastAsia" w:hAnsiTheme="minorEastAsia" w:eastAsiaTheme="minorEastAsia" w:cstheme="minorEastAsia"/>
                <w:kern w:val="0"/>
                <w:szCs w:val="21"/>
              </w:rPr>
              <w:t>报价唯一</w:t>
            </w:r>
            <w:bookmarkEnd w:id="59"/>
          </w:p>
        </w:tc>
        <w:tc>
          <w:tcPr>
            <w:tcW w:w="5463" w:type="dxa"/>
            <w:gridSpan w:val="2"/>
            <w:vAlign w:val="center"/>
          </w:tcPr>
          <w:p>
            <w:pPr>
              <w:pStyle w:val="31"/>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只能有一个有效报价，在竞争性比选文件没有规定的情况下，不得提交选择性报价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685" w:hRule="atLeast"/>
        </w:trPr>
        <w:tc>
          <w:tcPr>
            <w:tcW w:w="1022" w:type="dxa"/>
            <w:vMerge w:val="continue"/>
          </w:tcPr>
          <w:p>
            <w:pPr>
              <w:snapToGrid w:val="0"/>
              <w:spacing w:line="400" w:lineRule="exact"/>
              <w:rPr>
                <w:rFonts w:asciiTheme="minorEastAsia" w:hAnsiTheme="minorEastAsia" w:eastAsiaTheme="minorEastAsia" w:cstheme="minorEastAsia"/>
                <w:szCs w:val="21"/>
              </w:rPr>
            </w:pPr>
          </w:p>
        </w:tc>
        <w:tc>
          <w:tcPr>
            <w:tcW w:w="377" w:type="dxa"/>
            <w:vMerge w:val="continue"/>
          </w:tcPr>
          <w:p>
            <w:pPr>
              <w:snapToGrid w:val="0"/>
              <w:spacing w:line="400" w:lineRule="exact"/>
              <w:rPr>
                <w:rFonts w:asciiTheme="minorEastAsia" w:hAnsiTheme="minorEastAsia" w:eastAsiaTheme="minorEastAsia" w:cstheme="minorEastAsia"/>
                <w:szCs w:val="21"/>
              </w:rPr>
            </w:pPr>
          </w:p>
        </w:tc>
        <w:tc>
          <w:tcPr>
            <w:tcW w:w="1612" w:type="dxa"/>
            <w:gridSpan w:val="3"/>
            <w:vAlign w:val="center"/>
          </w:tcPr>
          <w:p>
            <w:pPr>
              <w:snapToGrid w:val="0"/>
              <w:spacing w:line="400" w:lineRule="exact"/>
              <w:jc w:val="center"/>
              <w:rPr>
                <w:rFonts w:asciiTheme="minorEastAsia" w:hAnsiTheme="minorEastAsia" w:eastAsiaTheme="minorEastAsia" w:cstheme="minorEastAsia"/>
                <w:kern w:val="0"/>
                <w:szCs w:val="21"/>
              </w:rPr>
            </w:pPr>
            <w:bookmarkStart w:id="60" w:name="OLE_LINK11"/>
            <w:r>
              <w:rPr>
                <w:rFonts w:hint="eastAsia" w:asciiTheme="minorEastAsia" w:hAnsiTheme="minorEastAsia" w:eastAsiaTheme="minorEastAsia" w:cstheme="minorEastAsia"/>
                <w:kern w:val="0"/>
                <w:szCs w:val="21"/>
              </w:rPr>
              <w:t>投标文件的签署</w:t>
            </w:r>
            <w:bookmarkEnd w:id="60"/>
          </w:p>
        </w:tc>
        <w:tc>
          <w:tcPr>
            <w:tcW w:w="5463" w:type="dxa"/>
            <w:gridSpan w:val="2"/>
            <w:vAlign w:val="center"/>
          </w:tcPr>
          <w:p>
            <w:pPr>
              <w:pStyle w:val="31"/>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投标文件上法定代表人或其授权代理人的签字（或盖章）齐全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903" w:hRule="atLeast"/>
        </w:trPr>
        <w:tc>
          <w:tcPr>
            <w:tcW w:w="1022" w:type="dxa"/>
            <w:vMerge w:val="continue"/>
          </w:tcPr>
          <w:p>
            <w:pPr>
              <w:snapToGrid w:val="0"/>
              <w:spacing w:line="400" w:lineRule="exact"/>
              <w:rPr>
                <w:rFonts w:asciiTheme="minorEastAsia" w:hAnsiTheme="minorEastAsia" w:eastAsiaTheme="minorEastAsia" w:cstheme="minorEastAsia"/>
                <w:szCs w:val="21"/>
              </w:rPr>
            </w:pPr>
          </w:p>
        </w:tc>
        <w:tc>
          <w:tcPr>
            <w:tcW w:w="377" w:type="dxa"/>
            <w:vMerge w:val="continue"/>
          </w:tcPr>
          <w:p>
            <w:pPr>
              <w:snapToGrid w:val="0"/>
              <w:spacing w:line="400" w:lineRule="exact"/>
              <w:rPr>
                <w:rFonts w:asciiTheme="minorEastAsia" w:hAnsiTheme="minorEastAsia" w:eastAsiaTheme="minorEastAsia" w:cstheme="minorEastAsia"/>
                <w:szCs w:val="21"/>
              </w:rPr>
            </w:pPr>
          </w:p>
        </w:tc>
        <w:tc>
          <w:tcPr>
            <w:tcW w:w="1612" w:type="dxa"/>
            <w:gridSpan w:val="3"/>
            <w:vAlign w:val="center"/>
          </w:tcPr>
          <w:p>
            <w:pPr>
              <w:snapToGrid w:val="0"/>
              <w:spacing w:line="400" w:lineRule="exact"/>
              <w:jc w:val="center"/>
              <w:rPr>
                <w:rFonts w:asciiTheme="minorEastAsia" w:hAnsiTheme="minorEastAsia" w:eastAsiaTheme="minorEastAsia" w:cstheme="minorEastAsia"/>
                <w:kern w:val="0"/>
                <w:szCs w:val="21"/>
              </w:rPr>
            </w:pPr>
            <w:bookmarkStart w:id="61" w:name="OLE_LINK12"/>
            <w:r>
              <w:rPr>
                <w:rFonts w:hint="eastAsia" w:asciiTheme="minorEastAsia" w:hAnsiTheme="minorEastAsia" w:eastAsiaTheme="minorEastAsia" w:cstheme="minorEastAsia"/>
                <w:kern w:val="0"/>
                <w:szCs w:val="21"/>
              </w:rPr>
              <w:t>委托代理人</w:t>
            </w:r>
            <w:bookmarkEnd w:id="61"/>
          </w:p>
        </w:tc>
        <w:tc>
          <w:tcPr>
            <w:tcW w:w="5463" w:type="dxa"/>
            <w:gridSpan w:val="2"/>
            <w:vAlign w:val="center"/>
          </w:tcPr>
          <w:p>
            <w:pPr>
              <w:pStyle w:val="31"/>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报价人法定代表人的委托代理人有法定代表人签署的授权委托书，且其授权委托书符合竞争性比选文件规定的格式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615" w:hRule="atLeast"/>
        </w:trPr>
        <w:tc>
          <w:tcPr>
            <w:tcW w:w="1022" w:type="dxa"/>
            <w:vMerge w:val="restart"/>
            <w:vAlign w:val="center"/>
          </w:tcPr>
          <w:p>
            <w:pPr>
              <w:snapToGrid w:val="0"/>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2.1.2</w:t>
            </w:r>
          </w:p>
        </w:tc>
        <w:tc>
          <w:tcPr>
            <w:tcW w:w="377" w:type="dxa"/>
            <w:vMerge w:val="continue"/>
            <w:textDirection w:val="tbRlV"/>
            <w:vAlign w:val="center"/>
          </w:tcPr>
          <w:p>
            <w:pPr>
              <w:snapToGrid w:val="0"/>
              <w:spacing w:line="400" w:lineRule="exact"/>
              <w:jc w:val="center"/>
              <w:rPr>
                <w:rFonts w:asciiTheme="minorEastAsia" w:hAnsiTheme="minorEastAsia" w:eastAsiaTheme="minorEastAsia" w:cstheme="minorEastAsia"/>
                <w:kern w:val="0"/>
                <w:szCs w:val="21"/>
              </w:rPr>
            </w:pPr>
          </w:p>
        </w:tc>
        <w:tc>
          <w:tcPr>
            <w:tcW w:w="1612" w:type="dxa"/>
            <w:gridSpan w:val="3"/>
            <w:vAlign w:val="center"/>
          </w:tcPr>
          <w:p>
            <w:pPr>
              <w:snapToGrid w:val="0"/>
              <w:spacing w:line="400" w:lineRule="exact"/>
              <w:jc w:val="center"/>
              <w:rPr>
                <w:rFonts w:asciiTheme="minorEastAsia" w:hAnsiTheme="minorEastAsia" w:eastAsiaTheme="minorEastAsia" w:cstheme="minorEastAsia"/>
                <w:kern w:val="0"/>
                <w:szCs w:val="21"/>
              </w:rPr>
            </w:pPr>
            <w:bookmarkStart w:id="62" w:name="OLE_LINK6"/>
            <w:r>
              <w:rPr>
                <w:rFonts w:hint="eastAsia" w:asciiTheme="minorEastAsia" w:hAnsiTheme="minorEastAsia" w:eastAsiaTheme="minorEastAsia" w:cstheme="minorEastAsia"/>
                <w:kern w:val="0"/>
                <w:szCs w:val="21"/>
              </w:rPr>
              <w:t>营业执照</w:t>
            </w:r>
            <w:bookmarkEnd w:id="62"/>
          </w:p>
        </w:tc>
        <w:tc>
          <w:tcPr>
            <w:tcW w:w="5463" w:type="dxa"/>
            <w:gridSpan w:val="2"/>
            <w:vAlign w:val="center"/>
          </w:tcPr>
          <w:p>
            <w:pPr>
              <w:pStyle w:val="31"/>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623" w:hRule="atLeast"/>
        </w:trPr>
        <w:tc>
          <w:tcPr>
            <w:tcW w:w="1022" w:type="dxa"/>
            <w:vMerge w:val="continue"/>
            <w:vAlign w:val="center"/>
          </w:tcPr>
          <w:p>
            <w:pPr>
              <w:snapToGrid w:val="0"/>
              <w:spacing w:line="400" w:lineRule="exact"/>
              <w:jc w:val="center"/>
              <w:rPr>
                <w:rFonts w:asciiTheme="minorEastAsia" w:hAnsiTheme="minorEastAsia" w:eastAsiaTheme="minorEastAsia" w:cstheme="minorEastAsia"/>
                <w:kern w:val="0"/>
                <w:szCs w:val="21"/>
              </w:rPr>
            </w:pPr>
          </w:p>
        </w:tc>
        <w:tc>
          <w:tcPr>
            <w:tcW w:w="377" w:type="dxa"/>
            <w:vMerge w:val="continue"/>
            <w:textDirection w:val="tbRlV"/>
            <w:vAlign w:val="center"/>
          </w:tcPr>
          <w:p>
            <w:pPr>
              <w:snapToGrid w:val="0"/>
              <w:spacing w:line="400" w:lineRule="exact"/>
              <w:jc w:val="center"/>
              <w:rPr>
                <w:rFonts w:asciiTheme="minorEastAsia" w:hAnsiTheme="minorEastAsia" w:eastAsiaTheme="minorEastAsia" w:cstheme="minorEastAsia"/>
                <w:kern w:val="0"/>
                <w:szCs w:val="21"/>
              </w:rPr>
            </w:pPr>
          </w:p>
        </w:tc>
        <w:tc>
          <w:tcPr>
            <w:tcW w:w="1612" w:type="dxa"/>
            <w:gridSpan w:val="3"/>
            <w:vAlign w:val="center"/>
          </w:tcPr>
          <w:p>
            <w:pPr>
              <w:snapToGrid w:val="0"/>
              <w:spacing w:line="400" w:lineRule="exact"/>
              <w:jc w:val="center"/>
              <w:rPr>
                <w:rFonts w:asciiTheme="minorEastAsia" w:hAnsiTheme="minorEastAsia" w:eastAsiaTheme="minorEastAsia" w:cstheme="minorEastAsia"/>
                <w:kern w:val="0"/>
                <w:szCs w:val="21"/>
              </w:rPr>
            </w:pPr>
            <w:bookmarkStart w:id="63" w:name="OLE_LINK13"/>
            <w:r>
              <w:rPr>
                <w:rFonts w:hint="eastAsia" w:asciiTheme="minorEastAsia" w:hAnsiTheme="minorEastAsia" w:eastAsiaTheme="minorEastAsia" w:cstheme="minorEastAsia"/>
                <w:kern w:val="0"/>
                <w:szCs w:val="21"/>
              </w:rPr>
              <w:t>资质要求</w:t>
            </w:r>
            <w:bookmarkEnd w:id="63"/>
          </w:p>
        </w:tc>
        <w:tc>
          <w:tcPr>
            <w:tcW w:w="5463" w:type="dxa"/>
            <w:gridSpan w:val="2"/>
            <w:vAlign w:val="center"/>
          </w:tcPr>
          <w:p>
            <w:pPr>
              <w:pStyle w:val="31"/>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w:t>
            </w:r>
            <w:bookmarkStart w:id="64" w:name="OLE_LINK9"/>
            <w:r>
              <w:rPr>
                <w:rFonts w:hint="eastAsia" w:asciiTheme="minorEastAsia" w:hAnsiTheme="minorEastAsia" w:eastAsiaTheme="minorEastAsia" w:cstheme="minorEastAsia"/>
                <w:szCs w:val="21"/>
              </w:rPr>
              <w:t>第二章“报价人须知”规定</w:t>
            </w:r>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1258" w:hRule="atLeast"/>
        </w:trPr>
        <w:tc>
          <w:tcPr>
            <w:tcW w:w="1022" w:type="dxa"/>
            <w:vAlign w:val="center"/>
          </w:tcPr>
          <w:p>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2.2.1</w:t>
            </w:r>
          </w:p>
        </w:tc>
        <w:tc>
          <w:tcPr>
            <w:tcW w:w="1989" w:type="dxa"/>
            <w:gridSpan w:val="4"/>
            <w:vAlign w:val="center"/>
          </w:tcPr>
          <w:p>
            <w:pPr>
              <w:tabs>
                <w:tab w:val="left" w:pos="1875"/>
              </w:tabs>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分值构成 (总分1OO分)</w:t>
            </w:r>
          </w:p>
        </w:tc>
        <w:tc>
          <w:tcPr>
            <w:tcW w:w="5463" w:type="dxa"/>
            <w:gridSpan w:val="2"/>
          </w:tcPr>
          <w:p>
            <w:pPr>
              <w:pStyle w:val="31"/>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A：投标报价50分；</w:t>
            </w:r>
          </w:p>
          <w:p>
            <w:pPr>
              <w:pStyle w:val="31"/>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B：商务部分20分；</w:t>
            </w:r>
          </w:p>
          <w:p>
            <w:pPr>
              <w:pStyle w:val="31"/>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C：技术部分30分。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313" w:hRule="atLeast"/>
        </w:trPr>
        <w:tc>
          <w:tcPr>
            <w:tcW w:w="1022" w:type="dxa"/>
            <w:vAlign w:val="center"/>
          </w:tcPr>
          <w:p>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2.2.2</w:t>
            </w:r>
          </w:p>
        </w:tc>
        <w:tc>
          <w:tcPr>
            <w:tcW w:w="1989" w:type="dxa"/>
            <w:gridSpan w:val="4"/>
            <w:vAlign w:val="center"/>
          </w:tcPr>
          <w:p>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报价</w:t>
            </w:r>
          </w:p>
        </w:tc>
        <w:tc>
          <w:tcPr>
            <w:tcW w:w="5463" w:type="dxa"/>
            <w:gridSpan w:val="2"/>
          </w:tcPr>
          <w:p>
            <w:pPr>
              <w:wordWrap w:val="0"/>
              <w:adjustRightInd w:val="0"/>
              <w:snapToGrid w:val="0"/>
              <w:spacing w:line="400" w:lineRule="exact"/>
              <w:rPr>
                <w:rFonts w:asciiTheme="minorEastAsia" w:hAnsiTheme="minorEastAsia" w:eastAsiaTheme="minorEastAsia" w:cstheme="minorEastAsia"/>
                <w:szCs w:val="21"/>
              </w:rPr>
            </w:pPr>
            <w:bookmarkStart w:id="65" w:name="OLE_LINK3"/>
            <w:r>
              <w:rPr>
                <w:rFonts w:hint="eastAsia" w:asciiTheme="minorEastAsia" w:hAnsiTheme="minorEastAsia" w:eastAsiaTheme="minorEastAsia" w:cstheme="minorEastAsia"/>
                <w:szCs w:val="21"/>
              </w:rPr>
              <w:t>1.满足竞争性比选文件要求，有效的投标报价的平均值为评标基准价。</w:t>
            </w:r>
          </w:p>
          <w:p>
            <w:pPr>
              <w:wordWrap w:val="0"/>
              <w:adjustRightInd w:val="0"/>
              <w:snapToGrid w:val="0"/>
              <w:spacing w:line="400" w:lineRule="exact"/>
              <w:rPr>
                <w:rFonts w:asciiTheme="minorEastAsia" w:hAnsiTheme="minorEastAsia" w:eastAsiaTheme="minorEastAsia" w:cstheme="minorEastAsia"/>
                <w:szCs w:val="21"/>
              </w:rPr>
            </w:pPr>
            <w:bookmarkStart w:id="66" w:name="OLE_LINK2"/>
            <w:r>
              <w:rPr>
                <w:rFonts w:hint="eastAsia" w:asciiTheme="minorEastAsia" w:hAnsiTheme="minorEastAsia" w:eastAsiaTheme="minorEastAsia" w:cstheme="minorEastAsia"/>
                <w:szCs w:val="21"/>
              </w:rPr>
              <w:t>2.偏差率</w:t>
            </w:r>
            <w:bookmarkEnd w:id="66"/>
            <w:r>
              <w:rPr>
                <w:rFonts w:hint="eastAsia" w:asciiTheme="minorEastAsia" w:hAnsiTheme="minorEastAsia" w:eastAsiaTheme="minorEastAsia" w:cstheme="minorEastAsia"/>
                <w:szCs w:val="21"/>
              </w:rPr>
              <w:t>=100%×（投标人报价－评标基准价）/评标基准价。</w:t>
            </w:r>
          </w:p>
          <w:p>
            <w:pPr>
              <w:pStyle w:val="31"/>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3.经评审的有效投标报价与评标基准价相比，等于基准价的得50分，每增加1%扣0.5分，每减少1%扣0.25分，扣完为止。</w:t>
            </w:r>
            <w:bookmarkEnd w:id="65"/>
          </w:p>
          <w:p>
            <w:pPr>
              <w:pStyle w:val="31"/>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1350" w:hRule="atLeast"/>
        </w:trPr>
        <w:tc>
          <w:tcPr>
            <w:tcW w:w="1022" w:type="dxa"/>
            <w:vMerge w:val="restart"/>
            <w:vAlign w:val="center"/>
          </w:tcPr>
          <w:p>
            <w:pPr>
              <w:snapToGrid w:val="0"/>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2.2.3</w:t>
            </w:r>
          </w:p>
        </w:tc>
        <w:tc>
          <w:tcPr>
            <w:tcW w:w="729" w:type="dxa"/>
            <w:gridSpan w:val="2"/>
            <w:vMerge w:val="restart"/>
            <w:vAlign w:val="center"/>
          </w:tcPr>
          <w:p>
            <w:pPr>
              <w:snapToGrid w:val="0"/>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商务部分评分标准（20分）</w:t>
            </w:r>
          </w:p>
        </w:tc>
        <w:tc>
          <w:tcPr>
            <w:tcW w:w="1260" w:type="dxa"/>
            <w:gridSpan w:val="2"/>
            <w:vAlign w:val="center"/>
          </w:tcPr>
          <w:p>
            <w:pPr>
              <w:snapToGrid w:val="0"/>
              <w:spacing w:line="400" w:lineRule="exact"/>
              <w:jc w:val="center"/>
              <w:rPr>
                <w:rFonts w:asciiTheme="minorEastAsia" w:hAnsiTheme="minorEastAsia" w:eastAsiaTheme="minorEastAsia" w:cstheme="minorEastAsia"/>
                <w:szCs w:val="21"/>
                <w:shd w:val="clear" w:color="FFFFFF" w:fill="auto"/>
              </w:rPr>
            </w:pPr>
            <w:bookmarkStart w:id="67" w:name="OLE_LINK14"/>
            <w:r>
              <w:rPr>
                <w:rFonts w:hint="eastAsia" w:asciiTheme="minorEastAsia" w:hAnsiTheme="minorEastAsia" w:eastAsiaTheme="minorEastAsia" w:cstheme="minorEastAsia"/>
                <w:szCs w:val="21"/>
                <w:shd w:val="clear" w:color="FFFFFF" w:fill="auto"/>
              </w:rPr>
              <w:t>综合实力</w:t>
            </w:r>
            <w:bookmarkEnd w:id="67"/>
            <w:r>
              <w:rPr>
                <w:rFonts w:hint="eastAsia" w:asciiTheme="minorEastAsia" w:hAnsiTheme="minorEastAsia" w:eastAsiaTheme="minorEastAsia" w:cstheme="minorEastAsia"/>
                <w:szCs w:val="21"/>
                <w:shd w:val="clear" w:color="FFFFFF" w:fill="auto"/>
              </w:rPr>
              <w:t>（</w:t>
            </w:r>
            <w:r>
              <w:rPr>
                <w:rFonts w:asciiTheme="minorEastAsia" w:hAnsiTheme="minorEastAsia" w:eastAsiaTheme="minorEastAsia" w:cstheme="minorEastAsia"/>
                <w:szCs w:val="21"/>
                <w:shd w:val="clear" w:color="FFFFFF" w:fill="auto"/>
              </w:rPr>
              <w:t>6</w:t>
            </w:r>
            <w:r>
              <w:rPr>
                <w:rFonts w:hint="eastAsia" w:asciiTheme="minorEastAsia" w:hAnsiTheme="minorEastAsia" w:eastAsiaTheme="minorEastAsia" w:cstheme="minorEastAsia"/>
                <w:szCs w:val="21"/>
                <w:shd w:val="clear" w:color="FFFFFF" w:fill="auto"/>
              </w:rPr>
              <w:t>分）</w:t>
            </w:r>
          </w:p>
        </w:tc>
        <w:tc>
          <w:tcPr>
            <w:tcW w:w="5463" w:type="dxa"/>
            <w:gridSpan w:val="2"/>
            <w:vAlign w:val="center"/>
          </w:tcPr>
          <w:p>
            <w:pPr>
              <w:pStyle w:val="8"/>
              <w:spacing w:line="400" w:lineRule="exact"/>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服务提供厂商应能提供高价值战略情报，必须同时满足如下条件，并能提供相关证明材料得</w:t>
            </w:r>
            <w:r>
              <w:rPr>
                <w:rFonts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rPr>
              <w:t>分，其余不得分，具体要求如下：</w:t>
            </w:r>
          </w:p>
          <w:p>
            <w:pPr>
              <w:pStyle w:val="8"/>
              <w:spacing w:line="400" w:lineRule="exact"/>
              <w:ind w:firstLine="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t>.1连续2年以上（含2年）发布过年度DDoS攻击态势报告；</w:t>
            </w:r>
          </w:p>
          <w:p>
            <w:pPr>
              <w:pStyle w:val="8"/>
              <w:spacing w:line="400" w:lineRule="exact"/>
              <w:ind w:firstLine="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t>.2连续2年以上（含2年）发布过年度网络安全观察报告；</w:t>
            </w:r>
          </w:p>
          <w:p>
            <w:pPr>
              <w:pStyle w:val="8"/>
              <w:spacing w:line="400" w:lineRule="exact"/>
              <w:ind w:firstLine="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t>.3连续2年以上（含2年）发布过年度僵尸网络（Botnet）趋势分析报告；</w:t>
            </w:r>
          </w:p>
          <w:p>
            <w:pPr>
              <w:pStyle w:val="8"/>
              <w:spacing w:line="400" w:lineRule="exact"/>
              <w:ind w:firstLine="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t>.4不仅能覆盖传统的互联网领域，还应能覆盖物联网领域，并连续2年以上（含2年）发布过年度物联网专项安全研究报告；</w:t>
            </w:r>
          </w:p>
          <w:p>
            <w:pPr>
              <w:pStyle w:val="8"/>
              <w:spacing w:line="400" w:lineRule="exact"/>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注：需提供相关证明材料并加盖服务提供厂商公章。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90" w:hRule="atLeast"/>
        </w:trPr>
        <w:tc>
          <w:tcPr>
            <w:tcW w:w="1022" w:type="dxa"/>
            <w:vMerge w:val="continue"/>
            <w:vAlign w:val="center"/>
          </w:tcPr>
          <w:p>
            <w:pPr>
              <w:snapToGrid w:val="0"/>
              <w:spacing w:line="400" w:lineRule="exact"/>
              <w:jc w:val="center"/>
              <w:rPr>
                <w:rFonts w:asciiTheme="minorEastAsia" w:hAnsiTheme="minorEastAsia" w:eastAsiaTheme="minorEastAsia" w:cstheme="minorEastAsia"/>
                <w:kern w:val="0"/>
                <w:szCs w:val="21"/>
              </w:rPr>
            </w:pPr>
          </w:p>
        </w:tc>
        <w:tc>
          <w:tcPr>
            <w:tcW w:w="729" w:type="dxa"/>
            <w:gridSpan w:val="2"/>
            <w:vMerge w:val="continue"/>
            <w:vAlign w:val="center"/>
          </w:tcPr>
          <w:p>
            <w:pPr>
              <w:snapToGrid w:val="0"/>
              <w:spacing w:line="400" w:lineRule="exact"/>
              <w:jc w:val="center"/>
              <w:rPr>
                <w:rFonts w:asciiTheme="minorEastAsia" w:hAnsiTheme="minorEastAsia" w:eastAsiaTheme="minorEastAsia" w:cstheme="minorEastAsia"/>
                <w:szCs w:val="21"/>
              </w:rPr>
            </w:pPr>
          </w:p>
        </w:tc>
        <w:tc>
          <w:tcPr>
            <w:tcW w:w="1260" w:type="dxa"/>
            <w:gridSpan w:val="2"/>
            <w:vAlign w:val="center"/>
          </w:tcPr>
          <w:p>
            <w:pPr>
              <w:snapToGrid w:val="0"/>
              <w:spacing w:line="400" w:lineRule="exact"/>
              <w:jc w:val="center"/>
              <w:rPr>
                <w:rFonts w:asciiTheme="minorEastAsia" w:hAnsiTheme="minorEastAsia" w:eastAsiaTheme="minorEastAsia" w:cstheme="minorEastAsia"/>
                <w:szCs w:val="21"/>
              </w:rPr>
            </w:pPr>
            <w:bookmarkStart w:id="68" w:name="OLE_LINK15"/>
            <w:r>
              <w:rPr>
                <w:rFonts w:hint="eastAsia" w:asciiTheme="minorEastAsia" w:hAnsiTheme="minorEastAsia" w:eastAsiaTheme="minorEastAsia" w:cstheme="minorEastAsia"/>
                <w:szCs w:val="21"/>
              </w:rPr>
              <w:t>项目团队</w:t>
            </w:r>
            <w:bookmarkEnd w:id="68"/>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8</w:t>
            </w:r>
            <w:r>
              <w:rPr>
                <w:rFonts w:hint="eastAsia" w:asciiTheme="minorEastAsia" w:hAnsiTheme="minorEastAsia" w:eastAsiaTheme="minorEastAsia" w:cstheme="minorEastAsia"/>
                <w:szCs w:val="21"/>
              </w:rPr>
              <w:t>分）</w:t>
            </w:r>
          </w:p>
        </w:tc>
        <w:tc>
          <w:tcPr>
            <w:tcW w:w="5463" w:type="dxa"/>
            <w:gridSpan w:val="2"/>
            <w:vAlign w:val="center"/>
          </w:tcPr>
          <w:p>
            <w:pPr>
              <w:wordWrap w:val="0"/>
              <w:adjustRightInd w:val="0"/>
              <w:snapToGrid w:val="0"/>
              <w:spacing w:line="400" w:lineRule="exact"/>
              <w:rPr>
                <w:rFonts w:asciiTheme="minorEastAsia" w:hAnsiTheme="minorEastAsia" w:eastAsiaTheme="minorEastAsia" w:cstheme="minorEastAsia"/>
                <w:szCs w:val="21"/>
              </w:rPr>
            </w:pPr>
            <w:r>
              <w:rPr>
                <w:rFonts w:asciiTheme="minorEastAsia" w:hAnsiTheme="minorEastAsia" w:eastAsiaTheme="minorEastAsia" w:cstheme="minorEastAsia"/>
                <w:szCs w:val="21"/>
              </w:rPr>
              <w:t>1</w:t>
            </w:r>
            <w:r>
              <w:rPr>
                <w:rFonts w:hint="eastAsia" w:asciiTheme="minorEastAsia" w:hAnsiTheme="minorEastAsia" w:eastAsiaTheme="minorEastAsia" w:cstheme="minorEastAsia"/>
                <w:szCs w:val="21"/>
              </w:rPr>
              <w:t>.服务提供厂商实施团队必须3人及以上，团队成员至少具备3年以上安全服务工作经验，服务人员应具备CISP或CISSP或CCSSP认证。每提供1人，得2分，满分</w:t>
            </w:r>
            <w:r>
              <w:rPr>
                <w:rFonts w:asciiTheme="minorEastAsia" w:hAnsiTheme="minorEastAsia" w:eastAsiaTheme="minorEastAsia" w:cstheme="minorEastAsia"/>
                <w:szCs w:val="21"/>
              </w:rPr>
              <w:t>8</w:t>
            </w:r>
            <w:r>
              <w:rPr>
                <w:rFonts w:hint="eastAsia" w:asciiTheme="minorEastAsia" w:hAnsiTheme="minorEastAsia" w:eastAsiaTheme="minorEastAsia" w:cstheme="minorEastAsia"/>
                <w:szCs w:val="21"/>
              </w:rPr>
              <w:t>分。</w:t>
            </w:r>
          </w:p>
          <w:p>
            <w:pPr>
              <w:pStyle w:val="5"/>
              <w:spacing w:before="0" w:after="0" w:line="400" w:lineRule="exact"/>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sz w:val="21"/>
                <w:szCs w:val="21"/>
              </w:rPr>
              <w:t>以上要求须提供证明材料，所提供证书必须在有效期内</w:t>
            </w:r>
            <w:r>
              <w:rPr>
                <w:rFonts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90" w:hRule="atLeast"/>
        </w:trPr>
        <w:tc>
          <w:tcPr>
            <w:tcW w:w="1022" w:type="dxa"/>
            <w:vMerge w:val="continue"/>
            <w:vAlign w:val="center"/>
          </w:tcPr>
          <w:p>
            <w:pPr>
              <w:snapToGrid w:val="0"/>
              <w:spacing w:line="400" w:lineRule="exact"/>
              <w:jc w:val="center"/>
              <w:rPr>
                <w:rFonts w:asciiTheme="minorEastAsia" w:hAnsiTheme="minorEastAsia" w:eastAsiaTheme="minorEastAsia" w:cstheme="minorEastAsia"/>
                <w:kern w:val="0"/>
                <w:szCs w:val="21"/>
              </w:rPr>
            </w:pPr>
          </w:p>
        </w:tc>
        <w:tc>
          <w:tcPr>
            <w:tcW w:w="729" w:type="dxa"/>
            <w:gridSpan w:val="2"/>
            <w:vMerge w:val="continue"/>
            <w:vAlign w:val="center"/>
          </w:tcPr>
          <w:p>
            <w:pPr>
              <w:snapToGrid w:val="0"/>
              <w:spacing w:line="400" w:lineRule="exact"/>
              <w:jc w:val="center"/>
              <w:rPr>
                <w:rFonts w:asciiTheme="minorEastAsia" w:hAnsiTheme="minorEastAsia" w:eastAsiaTheme="minorEastAsia" w:cstheme="minorEastAsia"/>
                <w:szCs w:val="21"/>
              </w:rPr>
            </w:pPr>
          </w:p>
        </w:tc>
        <w:tc>
          <w:tcPr>
            <w:tcW w:w="1260" w:type="dxa"/>
            <w:gridSpan w:val="2"/>
            <w:vAlign w:val="center"/>
          </w:tcPr>
          <w:p>
            <w:pPr>
              <w:snapToGrid w:val="0"/>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业绩（6分）</w:t>
            </w:r>
          </w:p>
        </w:tc>
        <w:tc>
          <w:tcPr>
            <w:tcW w:w="5463" w:type="dxa"/>
            <w:gridSpan w:val="2"/>
            <w:vAlign w:val="center"/>
          </w:tcPr>
          <w:p>
            <w:pPr>
              <w:spacing w:before="156"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服务提供厂商需提供近三年安全服务项目业绩，每个案例得2分，满分6分。</w:t>
            </w:r>
          </w:p>
          <w:p>
            <w:pPr>
              <w:spacing w:before="156" w:line="40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注：同一单位多个案例计为1个有效案例；</w:t>
            </w:r>
          </w:p>
          <w:p>
            <w:pPr>
              <w:spacing w:before="156"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须提供案例合同相关页（首页、双方盖章页、内容及金额页）复印件，加盖投标单位鲜章。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90" w:hRule="atLeast"/>
        </w:trPr>
        <w:tc>
          <w:tcPr>
            <w:tcW w:w="1022" w:type="dxa"/>
            <w:vMerge w:val="restart"/>
            <w:vAlign w:val="center"/>
          </w:tcPr>
          <w:p>
            <w:pPr>
              <w:snapToGrid w:val="0"/>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2.2.4</w:t>
            </w:r>
          </w:p>
        </w:tc>
        <w:tc>
          <w:tcPr>
            <w:tcW w:w="729" w:type="dxa"/>
            <w:gridSpan w:val="2"/>
            <w:vMerge w:val="restart"/>
            <w:textDirection w:val="tbLrV"/>
            <w:vAlign w:val="center"/>
          </w:tcPr>
          <w:p>
            <w:pPr>
              <w:snapToGrid w:val="0"/>
              <w:spacing w:line="400" w:lineRule="exact"/>
              <w:ind w:left="113" w:right="113"/>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技术部分评分标准（30分）</w:t>
            </w:r>
          </w:p>
        </w:tc>
        <w:tc>
          <w:tcPr>
            <w:tcW w:w="1260" w:type="dxa"/>
            <w:gridSpan w:val="2"/>
            <w:vAlign w:val="center"/>
          </w:tcPr>
          <w:p>
            <w:pPr>
              <w:widowControl/>
              <w:spacing w:before="156"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服务内容满足度(1</w:t>
            </w:r>
            <w:r>
              <w:rPr>
                <w:rFonts w:asciiTheme="minorEastAsia" w:hAnsiTheme="minorEastAsia" w:eastAsiaTheme="minorEastAsia" w:cstheme="minorEastAsia"/>
                <w:szCs w:val="21"/>
              </w:rPr>
              <w:t>5</w:t>
            </w:r>
            <w:r>
              <w:rPr>
                <w:rFonts w:hint="eastAsia" w:asciiTheme="minorEastAsia" w:hAnsiTheme="minorEastAsia" w:eastAsiaTheme="minorEastAsia" w:cstheme="minorEastAsia"/>
                <w:szCs w:val="21"/>
              </w:rPr>
              <w:t>分)</w:t>
            </w:r>
          </w:p>
        </w:tc>
        <w:tc>
          <w:tcPr>
            <w:tcW w:w="5463" w:type="dxa"/>
            <w:gridSpan w:val="2"/>
          </w:tcPr>
          <w:p>
            <w:pPr>
              <w:spacing w:line="24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1.起评分：</w:t>
            </w:r>
          </w:p>
          <w:p>
            <w:pPr>
              <w:spacing w:line="24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有效投标人的起评分为</w:t>
            </w:r>
            <w:r>
              <w:rPr>
                <w:rFonts w:asciiTheme="minorEastAsia" w:hAnsiTheme="minorEastAsia" w:eastAsiaTheme="minorEastAsia" w:cstheme="minorEastAsia"/>
                <w:szCs w:val="21"/>
              </w:rPr>
              <w:t>15</w:t>
            </w:r>
            <w:r>
              <w:rPr>
                <w:rFonts w:hint="eastAsia" w:asciiTheme="minorEastAsia" w:hAnsiTheme="minorEastAsia" w:eastAsiaTheme="minorEastAsia" w:cstheme="minorEastAsia"/>
                <w:szCs w:val="21"/>
              </w:rPr>
              <w:t>分。</w:t>
            </w:r>
          </w:p>
          <w:p>
            <w:pPr>
              <w:spacing w:line="24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2.扣分条款：</w:t>
            </w:r>
          </w:p>
          <w:p>
            <w:pPr>
              <w:spacing w:line="240" w:lineRule="atLeast"/>
              <w:ind w:firstLine="426"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提供安全服务不满足比选文件中网络安全服务内容要求的，每负偏离一条从起评分中扣除</w:t>
            </w:r>
            <w:r>
              <w:rPr>
                <w:rFonts w:asciiTheme="minorEastAsia" w:hAnsiTheme="minorEastAsia" w:eastAsiaTheme="minorEastAsia" w:cstheme="minorEastAsia"/>
                <w:szCs w:val="21"/>
              </w:rPr>
              <w:t>5</w:t>
            </w:r>
            <w:r>
              <w:rPr>
                <w:rFonts w:hint="eastAsia" w:asciiTheme="minorEastAsia" w:hAnsiTheme="minorEastAsia" w:eastAsiaTheme="minorEastAsia" w:cstheme="minorEastAsia"/>
                <w:szCs w:val="21"/>
              </w:rPr>
              <w:t>分，扣完为止。安全服务内容要求详见比选文件第二章，投标人按此要求，逐一对照投标文件内容，在“技术规格差异表”中明确应答，对于要求提供证明材料条款，必须提供相应证明材料，否则可视为不满足竞争性比</w:t>
            </w:r>
            <w:bookmarkStart w:id="88" w:name="_GoBack"/>
            <w:bookmarkEnd w:id="88"/>
            <w:r>
              <w:rPr>
                <w:rFonts w:hint="eastAsia" w:asciiTheme="minorEastAsia" w:hAnsiTheme="minorEastAsia" w:eastAsiaTheme="minorEastAsia" w:cstheme="minorEastAsia"/>
                <w:szCs w:val="21"/>
              </w:rPr>
              <w:t>选文件参数要求。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90" w:hRule="atLeast"/>
        </w:trPr>
        <w:tc>
          <w:tcPr>
            <w:tcW w:w="1022" w:type="dxa"/>
            <w:vMerge w:val="continue"/>
            <w:vAlign w:val="center"/>
          </w:tcPr>
          <w:p>
            <w:pPr>
              <w:snapToGrid w:val="0"/>
              <w:spacing w:line="400" w:lineRule="exact"/>
              <w:jc w:val="center"/>
              <w:rPr>
                <w:rFonts w:asciiTheme="minorEastAsia" w:hAnsiTheme="minorEastAsia" w:eastAsiaTheme="minorEastAsia" w:cstheme="minorEastAsia"/>
                <w:kern w:val="0"/>
                <w:szCs w:val="21"/>
              </w:rPr>
            </w:pPr>
          </w:p>
        </w:tc>
        <w:tc>
          <w:tcPr>
            <w:tcW w:w="729" w:type="dxa"/>
            <w:gridSpan w:val="2"/>
            <w:vMerge w:val="continue"/>
            <w:vAlign w:val="center"/>
          </w:tcPr>
          <w:p>
            <w:pPr>
              <w:snapToGrid w:val="0"/>
              <w:spacing w:line="400" w:lineRule="exact"/>
              <w:jc w:val="center"/>
              <w:rPr>
                <w:rFonts w:asciiTheme="minorEastAsia" w:hAnsiTheme="minorEastAsia" w:eastAsiaTheme="minorEastAsia" w:cstheme="minorEastAsia"/>
                <w:szCs w:val="21"/>
              </w:rPr>
            </w:pPr>
          </w:p>
        </w:tc>
        <w:tc>
          <w:tcPr>
            <w:tcW w:w="1260" w:type="dxa"/>
            <w:gridSpan w:val="2"/>
            <w:vAlign w:val="center"/>
          </w:tcPr>
          <w:p>
            <w:pPr>
              <w:widowControl/>
              <w:spacing w:before="156"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项目实施方案（5分</w:t>
            </w:r>
            <w:r>
              <w:rPr>
                <w:rFonts w:asciiTheme="minorEastAsia" w:hAnsiTheme="minorEastAsia" w:eastAsiaTheme="minorEastAsia" w:cstheme="minorEastAsia"/>
                <w:szCs w:val="21"/>
              </w:rPr>
              <w:t>）</w:t>
            </w:r>
          </w:p>
        </w:tc>
        <w:tc>
          <w:tcPr>
            <w:tcW w:w="5463" w:type="dxa"/>
            <w:gridSpan w:val="2"/>
            <w:vAlign w:val="center"/>
          </w:tcPr>
          <w:p>
            <w:pPr>
              <w:spacing w:before="156"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方案完整性：投标人提供完整的技术方案，可完全覆盖招标要求，对招标人现状及业务有较深的理解，能够站在招标人角度合理规划工作定位，为安全工作提供有价值的建议。</w:t>
            </w:r>
            <w:r>
              <w:rPr>
                <w:rFonts w:hint="eastAsia" w:asciiTheme="minorEastAsia" w:hAnsiTheme="minorEastAsia" w:eastAsiaTheme="minorEastAsia" w:cstheme="minorEastAsia"/>
                <w:color w:val="000000"/>
                <w:szCs w:val="21"/>
                <w:shd w:val="clear" w:color="auto" w:fill="FFFFFF"/>
              </w:rPr>
              <w:t>提出完善的项目管理方案，并对项目风险管理、沟通管理等有明确的质量控制方法。</w:t>
            </w:r>
          </w:p>
          <w:p>
            <w:pPr>
              <w:pStyle w:val="27"/>
              <w:adjustRightInd w:val="0"/>
              <w:snapToGrid w:val="0"/>
              <w:spacing w:before="158" w:line="400" w:lineRule="exact"/>
              <w:ind w:firstLine="0" w:firstLineChars="0"/>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综合比较打分：方案较好：</w:t>
            </w:r>
            <w:r>
              <w:rPr>
                <w:rFonts w:hint="eastAsia" w:asciiTheme="minorEastAsia" w:hAnsiTheme="minorEastAsia" w:eastAsiaTheme="minorEastAsia" w:cstheme="minorEastAsia"/>
                <w:color w:val="000000"/>
                <w:sz w:val="21"/>
                <w:szCs w:val="21"/>
                <w:shd w:val="clear" w:color="auto" w:fill="FFFFFF"/>
              </w:rPr>
              <w:t>4</w:t>
            </w:r>
            <w:r>
              <w:rPr>
                <w:rFonts w:hint="eastAsia" w:asciiTheme="minorEastAsia" w:hAnsiTheme="minorEastAsia" w:eastAsiaTheme="minorEastAsia" w:cstheme="minorEastAsia"/>
                <w:color w:val="000000"/>
                <w:sz w:val="21"/>
                <w:szCs w:val="21"/>
                <w:shd w:val="clear" w:color="auto" w:fill="FFFFFF"/>
                <w:lang w:val="en-US"/>
              </w:rPr>
              <w:t>.5</w:t>
            </w:r>
            <w:r>
              <w:rPr>
                <w:rFonts w:hint="eastAsia" w:asciiTheme="minorEastAsia" w:hAnsiTheme="minorEastAsia" w:eastAsiaTheme="minorEastAsia" w:cstheme="minorEastAsia"/>
                <w:sz w:val="21"/>
                <w:szCs w:val="21"/>
              </w:rPr>
              <w:t>-5分，一般：</w:t>
            </w:r>
            <w:r>
              <w:rPr>
                <w:rFonts w:hint="eastAsia" w:asciiTheme="minorEastAsia" w:hAnsiTheme="minorEastAsia" w:eastAsiaTheme="minorEastAsia" w:cstheme="minorEastAsia"/>
                <w:sz w:val="21"/>
                <w:szCs w:val="21"/>
                <w:lang w:val="en-US"/>
              </w:rPr>
              <w:t>4-4.5分，其余不得分。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3909" w:hRule="atLeast"/>
        </w:trPr>
        <w:tc>
          <w:tcPr>
            <w:tcW w:w="1022" w:type="dxa"/>
            <w:vMerge w:val="continue"/>
            <w:vAlign w:val="center"/>
          </w:tcPr>
          <w:p>
            <w:pPr>
              <w:snapToGrid w:val="0"/>
              <w:spacing w:line="400" w:lineRule="exact"/>
              <w:jc w:val="center"/>
              <w:rPr>
                <w:rFonts w:asciiTheme="minorEastAsia" w:hAnsiTheme="minorEastAsia" w:eastAsiaTheme="minorEastAsia" w:cstheme="minorEastAsia"/>
                <w:kern w:val="0"/>
                <w:szCs w:val="21"/>
              </w:rPr>
            </w:pPr>
          </w:p>
        </w:tc>
        <w:tc>
          <w:tcPr>
            <w:tcW w:w="729" w:type="dxa"/>
            <w:gridSpan w:val="2"/>
            <w:vMerge w:val="continue"/>
            <w:vAlign w:val="center"/>
          </w:tcPr>
          <w:p>
            <w:pPr>
              <w:snapToGrid w:val="0"/>
              <w:spacing w:line="400" w:lineRule="exact"/>
              <w:jc w:val="center"/>
              <w:rPr>
                <w:rFonts w:asciiTheme="minorEastAsia" w:hAnsiTheme="minorEastAsia" w:eastAsiaTheme="minorEastAsia" w:cstheme="minorEastAsia"/>
                <w:szCs w:val="21"/>
              </w:rPr>
            </w:pPr>
          </w:p>
        </w:tc>
        <w:tc>
          <w:tcPr>
            <w:tcW w:w="1260" w:type="dxa"/>
            <w:gridSpan w:val="2"/>
            <w:vAlign w:val="center"/>
          </w:tcPr>
          <w:p>
            <w:pPr>
              <w:widowControl/>
              <w:spacing w:before="156" w:line="400" w:lineRule="exact"/>
              <w:jc w:val="center"/>
              <w:rPr>
                <w:rFonts w:asciiTheme="minorEastAsia" w:hAnsiTheme="minorEastAsia" w:eastAsiaTheme="minorEastAsia" w:cstheme="minorEastAsia"/>
                <w:szCs w:val="21"/>
              </w:rPr>
            </w:pPr>
            <w:bookmarkStart w:id="69" w:name="OLE_LINK19"/>
            <w:r>
              <w:rPr>
                <w:rFonts w:hint="eastAsia" w:asciiTheme="minorEastAsia" w:hAnsiTheme="minorEastAsia" w:eastAsiaTheme="minorEastAsia" w:cstheme="minorEastAsia"/>
                <w:szCs w:val="21"/>
              </w:rPr>
              <w:t>项目实施能力(10分）</w:t>
            </w:r>
            <w:bookmarkEnd w:id="69"/>
          </w:p>
        </w:tc>
        <w:tc>
          <w:tcPr>
            <w:tcW w:w="5463" w:type="dxa"/>
            <w:gridSpan w:val="2"/>
            <w:vAlign w:val="center"/>
          </w:tcPr>
          <w:p>
            <w:pPr>
              <w:spacing w:before="156"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报价人需提供先进的安全服务工具。</w:t>
            </w:r>
          </w:p>
          <w:p>
            <w:pPr>
              <w:spacing w:before="156"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为了保证服务所使用工具的先进性和成熟度,所提服务工具应有强大的漏洞库，工具设备制造商应有专门维护的漏洞库，支持在设备制造商官网在线查询漏洞信息（支持系统类型、漏洞类型等查询条件）的得5分，否则不得分。</w:t>
            </w:r>
            <w:r>
              <w:rPr>
                <w:rFonts w:hint="eastAsia" w:asciiTheme="minorEastAsia" w:hAnsiTheme="minorEastAsia" w:eastAsiaTheme="minorEastAsia" w:cstheme="minorEastAsia"/>
                <w:b/>
                <w:bCs/>
                <w:szCs w:val="21"/>
              </w:rPr>
              <w:t>提供官网链接及截图证明，并加盖制造商公章</w:t>
            </w:r>
            <w:r>
              <w:rPr>
                <w:rFonts w:hint="eastAsia" w:asciiTheme="minorEastAsia" w:hAnsiTheme="minorEastAsia" w:eastAsiaTheme="minorEastAsia" w:cstheme="minorEastAsia"/>
                <w:szCs w:val="21"/>
              </w:rPr>
              <w:t>。</w:t>
            </w:r>
          </w:p>
          <w:p>
            <w:pPr>
              <w:spacing w:before="156"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2.安全服务工具应该是被广泛应用的成熟产品，在国内市场具有较高的市场份额，市场占有率近5年连续排名前3名得5分，市场占有率近5年连续排名前5名得2分，其余不得分，本项最多得5分。</w:t>
            </w:r>
          </w:p>
          <w:p>
            <w:pPr>
              <w:spacing w:before="156" w:line="400" w:lineRule="exact"/>
              <w:jc w:val="left"/>
              <w:rPr>
                <w:rFonts w:ascii="宋体" w:hAnsi="宋体" w:cs="宋体"/>
                <w:kern w:val="0"/>
                <w:sz w:val="20"/>
              </w:rPr>
            </w:pPr>
            <w:r>
              <w:rPr>
                <w:rFonts w:hint="eastAsia" w:asciiTheme="minorEastAsia" w:hAnsiTheme="minorEastAsia" w:eastAsiaTheme="minorEastAsia" w:cstheme="minorEastAsia"/>
                <w:b/>
                <w:bCs/>
                <w:szCs w:val="21"/>
              </w:rPr>
              <w:t>须提供知名第三方机构（如IDC）出具的市场占有率排名有效证明材料，并加盖制造商公章。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331" w:hRule="atLeast"/>
        </w:trPr>
        <w:tc>
          <w:tcPr>
            <w:tcW w:w="1022" w:type="dxa"/>
            <w:tcBorders>
              <w:bottom w:val="single" w:color="auto" w:sz="4" w:space="0"/>
            </w:tcBorders>
          </w:tcPr>
          <w:p>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条款号</w:t>
            </w:r>
          </w:p>
        </w:tc>
        <w:tc>
          <w:tcPr>
            <w:tcW w:w="7452" w:type="dxa"/>
            <w:gridSpan w:val="6"/>
            <w:vAlign w:val="center"/>
          </w:tcPr>
          <w:p>
            <w:pPr>
              <w:spacing w:line="400" w:lineRule="exact"/>
              <w:jc w:val="center"/>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b/>
                <w:kern w:val="0"/>
                <w:szCs w:val="21"/>
              </w:rPr>
              <w:t xml:space="preserve">编列内容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1859" w:hRule="atLeast"/>
        </w:trPr>
        <w:tc>
          <w:tcPr>
            <w:tcW w:w="1022" w:type="dxa"/>
            <w:vAlign w:val="center"/>
          </w:tcPr>
          <w:p>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3.1</w:t>
            </w:r>
          </w:p>
        </w:tc>
        <w:tc>
          <w:tcPr>
            <w:tcW w:w="1496" w:type="dxa"/>
            <w:gridSpan w:val="3"/>
            <w:textDirection w:val="tbRlV"/>
            <w:vAlign w:val="center"/>
          </w:tcPr>
          <w:p>
            <w:pPr>
              <w:spacing w:line="400" w:lineRule="exact"/>
              <w:ind w:left="113" w:right="113"/>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评标程序</w:t>
            </w:r>
          </w:p>
        </w:tc>
        <w:tc>
          <w:tcPr>
            <w:tcW w:w="5956" w:type="dxa"/>
            <w:gridSpan w:val="3"/>
          </w:tcPr>
          <w:p>
            <w:pPr>
              <w:wordWrap w:val="0"/>
              <w:adjustRightInd w:val="0"/>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1.初步评审前，按规定对投标报价有算术性错误的进行算术性错误修正，并对所有报价人递交的竞争性比选响应文件进行初步评审（形式、资格、响应评审）。</w:t>
            </w:r>
          </w:p>
          <w:p>
            <w:pPr>
              <w:wordWrap w:val="0"/>
              <w:adjustRightInd w:val="0"/>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2.初步评审合格的才进行详细评审。</w:t>
            </w:r>
          </w:p>
          <w:p>
            <w:pPr>
              <w:wordWrap w:val="0"/>
              <w:adjustRightInd w:val="0"/>
              <w:snapToGrid w:val="0"/>
              <w:spacing w:line="400" w:lineRule="exact"/>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szCs w:val="21"/>
              </w:rPr>
              <w:t>3.根据综合得分由高至低进行排序，推荐1家合格的中标候选人。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2518" w:type="dxa"/>
            <w:gridSpan w:val="4"/>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3.2.3</w:t>
            </w:r>
          </w:p>
        </w:tc>
        <w:tc>
          <w:tcPr>
            <w:tcW w:w="1577" w:type="dxa"/>
            <w:gridSpan w:val="2"/>
            <w:vAlign w:val="center"/>
          </w:tcPr>
          <w:p>
            <w:pPr>
              <w:adjustRightInd w:val="0"/>
              <w:snapToGrid w:val="0"/>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报价人得分</w:t>
            </w:r>
          </w:p>
        </w:tc>
        <w:tc>
          <w:tcPr>
            <w:tcW w:w="4427" w:type="dxa"/>
            <w:gridSpan w:val="2"/>
            <w:vAlign w:val="center"/>
          </w:tcPr>
          <w:p>
            <w:pPr>
              <w:pStyle w:val="31"/>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报价人得分=A+B+C，对通过初步评审的报价人按照投标总得分（商务+技术+报价）得分由从高到低的先后顺序推荐1名中标候选人。保留2位小数。</w:t>
            </w:r>
          </w:p>
        </w:tc>
      </w:tr>
    </w:tbl>
    <w:p>
      <w:pPr>
        <w:pStyle w:val="14"/>
        <w:spacing w:line="400" w:lineRule="exact"/>
        <w:rPr>
          <w:rFonts w:asciiTheme="minorEastAsia" w:hAnsiTheme="minorEastAsia" w:eastAsiaTheme="minorEastAsia" w:cstheme="minorEastAsia"/>
          <w:szCs w:val="21"/>
        </w:rPr>
      </w:pPr>
    </w:p>
    <w:p>
      <w:pPr>
        <w:spacing w:line="360" w:lineRule="auto"/>
        <w:ind w:firstLine="486" w:firstLineChars="200"/>
        <w:rPr>
          <w:rFonts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综合评分法，是指投标文件满足竞争性比选文件全部实质性要求且按照评审因素的量化指标评审得分最高的报价人为中标候选人的评标方法。报价人总得分为价格、商务、技术等评定因素分别按照相应权重值计算分项得分后相加，满分为100分。</w:t>
      </w:r>
    </w:p>
    <w:p>
      <w:pPr>
        <w:snapToGrid w:val="0"/>
        <w:spacing w:line="360" w:lineRule="auto"/>
        <w:ind w:firstLine="486"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（一）符合性审查</w:t>
      </w:r>
    </w:p>
    <w:p>
      <w:pPr>
        <w:snapToGrid w:val="0"/>
        <w:spacing w:line="360" w:lineRule="auto"/>
        <w:ind w:firstLine="486"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评标委员会应当对符合资格的报价人的投标文件进行符合性审查，以确定其是否满足竞争性比选文件的实质性要求。</w:t>
      </w:r>
    </w:p>
    <w:p>
      <w:pPr>
        <w:snapToGrid w:val="0"/>
        <w:spacing w:line="360" w:lineRule="auto"/>
        <w:ind w:firstLine="486"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澄清有关问题。对投标文件中含义不明确、同类问题表述不一致或者有明显文字和计算错误的内容，评标委员会可以书面形式（应当由评标委员会成员签字）要求报价人作出必要澄清、说明或者纠正。报价人的澄清、说明或者补正应当采用书面形式，由其法定代表人授权代表签字，其澄清的内容不得超出投标文件的范围或者改变投标文件的实质性内容。</w:t>
      </w:r>
    </w:p>
    <w:p>
      <w:pPr>
        <w:snapToGrid w:val="0"/>
        <w:spacing w:line="360" w:lineRule="auto"/>
        <w:ind w:firstLine="486"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（三）比较与评价。按竞争性比选文件中规定的评标方法和标准，对资格审查和符合性审查合格的投标文件进行商务和技术评估。</w:t>
      </w:r>
    </w:p>
    <w:p>
      <w:pPr>
        <w:snapToGrid w:val="0"/>
        <w:spacing w:line="360" w:lineRule="auto"/>
        <w:ind w:firstLine="486"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各成员独立对每个有效报价人（通过资格审查、符合性审查的报价人）的投标文件进行评价、打分，然后由评标委员会对各成员打分情况进行核查及复核，个别成员对同一报价人同一评分项的打分偏离较大的，应对报价人的投标文件进行再次核对，确属打分有误的，应及时进行修正。</w:t>
      </w:r>
    </w:p>
    <w:p>
      <w:pPr>
        <w:snapToGrid w:val="0"/>
        <w:spacing w:line="360" w:lineRule="auto"/>
        <w:ind w:firstLine="486"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复核后，评标委员会汇总每个报价人每项评分因素的得分。</w:t>
      </w:r>
    </w:p>
    <w:p>
      <w:pPr>
        <w:snapToGrid w:val="0"/>
        <w:spacing w:line="360" w:lineRule="auto"/>
        <w:ind w:firstLine="486"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（四）推荐中标候选人名单。</w:t>
      </w:r>
    </w:p>
    <w:p>
      <w:pPr>
        <w:snapToGrid w:val="0"/>
        <w:spacing w:line="360" w:lineRule="auto"/>
        <w:ind w:firstLine="486"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按评审后得分由高到低的排列顺序推荐综合得分排名第一的报价人为本项目中标候选人。</w:t>
      </w:r>
    </w:p>
    <w:p>
      <w:pPr>
        <w:pStyle w:val="14"/>
        <w:spacing w:line="360" w:lineRule="auto"/>
        <w:ind w:firstLine="486" w:firstLineChars="200"/>
        <w:rPr>
          <w:rFonts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pPr>
        <w:spacing w:line="360" w:lineRule="auto"/>
        <w:ind w:firstLine="486"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六、无效投标条款</w:t>
      </w:r>
    </w:p>
    <w:p>
      <w:pPr>
        <w:spacing w:line="360" w:lineRule="auto"/>
        <w:ind w:firstLine="486"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报价人或其投标文件出现下列情况之一者，应为无效投标：</w:t>
      </w:r>
    </w:p>
    <w:p>
      <w:pPr>
        <w:spacing w:line="360" w:lineRule="auto"/>
        <w:ind w:firstLine="486"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（一）投标文件未按竞争性比选文件要求签署、盖章的；</w:t>
      </w:r>
    </w:p>
    <w:p>
      <w:pPr>
        <w:spacing w:line="360" w:lineRule="auto"/>
        <w:ind w:firstLine="486"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（二）不具备竞争性比选文件中规定的资格要求的；</w:t>
      </w:r>
    </w:p>
    <w:p>
      <w:pPr>
        <w:spacing w:line="360" w:lineRule="auto"/>
        <w:ind w:firstLine="486"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（三）报价超过竞争性比选文件中规定的预算金额或者最高限价的；</w:t>
      </w:r>
    </w:p>
    <w:p>
      <w:pPr>
        <w:spacing w:line="360" w:lineRule="auto"/>
        <w:ind w:firstLine="486"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（四）投标文件含有采购人不能接受的附加条件的；</w:t>
      </w:r>
    </w:p>
    <w:p>
      <w:pPr>
        <w:spacing w:line="360" w:lineRule="auto"/>
        <w:ind w:firstLine="486"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（五）报价人串通投标的；</w:t>
      </w:r>
    </w:p>
    <w:p>
      <w:pPr>
        <w:spacing w:line="360" w:lineRule="auto"/>
        <w:ind w:firstLine="486"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（六）报价人组成联合体投标的；</w:t>
      </w:r>
    </w:p>
    <w:p>
      <w:pPr>
        <w:spacing w:line="360" w:lineRule="auto"/>
        <w:ind w:firstLine="486"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（七）法律、法规和竞争性比选文件规定的其他无效情形。</w:t>
      </w:r>
    </w:p>
    <w:p>
      <w:pPr>
        <w:spacing w:line="360" w:lineRule="auto"/>
        <w:ind w:firstLine="486"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七、废标条款</w:t>
      </w:r>
    </w:p>
    <w:p>
      <w:pPr>
        <w:spacing w:line="360" w:lineRule="auto"/>
        <w:ind w:firstLine="486"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评标委员会评审时出现以下情况之一的，应予废标：</w:t>
      </w:r>
    </w:p>
    <w:p>
      <w:pPr>
        <w:spacing w:line="360" w:lineRule="auto"/>
        <w:ind w:firstLine="486"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（一）符合专业条件的报价人或者对竞争性比选文件作实质响应的报价人不足三家的；</w:t>
      </w:r>
    </w:p>
    <w:p>
      <w:pPr>
        <w:spacing w:line="360" w:lineRule="auto"/>
        <w:ind w:firstLine="486"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（二）报价人的报价均超过了采购预算，采购人不能支付的；</w:t>
      </w:r>
    </w:p>
    <w:p>
      <w:pPr>
        <w:spacing w:line="360" w:lineRule="auto"/>
        <w:ind w:firstLine="486"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（三）出现影响采购公正的违法、违规行为的；</w:t>
      </w:r>
    </w:p>
    <w:p>
      <w:pPr>
        <w:spacing w:line="360" w:lineRule="auto"/>
        <w:ind w:firstLine="486" w:firstLineChars="200"/>
        <w:rPr>
          <w:rFonts w:asciiTheme="majorEastAsia" w:hAnsiTheme="majorEastAsia" w:eastAsiaTheme="majorEastAsia" w:cstheme="majorEastAsia"/>
          <w:color w:val="000000" w:themeColor="text1"/>
          <w:sz w:val="48"/>
          <w:szCs w:val="48"/>
          <w14:textFill>
            <w14:solidFill>
              <w14:schemeClr w14:val="tx1"/>
            </w14:solidFill>
          </w14:textFill>
        </w:rPr>
      </w:pPr>
      <w:r>
        <w:rPr>
          <w:rFonts w:hint="eastAsia" w:asciiTheme="minorEastAsia" w:hAnsiTheme="minorEastAsia" w:eastAsiaTheme="minorEastAsia" w:cstheme="minorEastAsia"/>
          <w:sz w:val="24"/>
        </w:rPr>
        <w:t>（四）因重大变故，采购任务取消的。</w:t>
      </w:r>
    </w:p>
    <w:p>
      <w:pPr>
        <w:spacing w:line="360" w:lineRule="auto"/>
        <w:jc w:val="center"/>
        <w:rPr>
          <w:rFonts w:asciiTheme="majorEastAsia" w:hAnsiTheme="majorEastAsia" w:eastAsiaTheme="majorEastAsia" w:cstheme="majorEastAsia"/>
          <w:b/>
          <w:bCs/>
          <w:color w:val="000000" w:themeColor="text1"/>
          <w:sz w:val="48"/>
          <w:szCs w:val="48"/>
          <w14:textFill>
            <w14:solidFill>
              <w14:schemeClr w14:val="tx1"/>
            </w14:solidFill>
          </w14:textFill>
        </w:rPr>
      </w:pPr>
    </w:p>
    <w:p>
      <w:pPr>
        <w:spacing w:line="360" w:lineRule="auto"/>
        <w:jc w:val="center"/>
        <w:rPr>
          <w:rFonts w:asciiTheme="majorEastAsia" w:hAnsiTheme="majorEastAsia" w:eastAsiaTheme="majorEastAsia" w:cstheme="majorEastAsia"/>
          <w:b/>
          <w:bCs/>
          <w:color w:val="000000" w:themeColor="text1"/>
          <w:sz w:val="48"/>
          <w:szCs w:val="48"/>
          <w14:textFill>
            <w14:solidFill>
              <w14:schemeClr w14:val="tx1"/>
            </w14:solidFill>
          </w14:textFill>
        </w:rPr>
      </w:pPr>
    </w:p>
    <w:p>
      <w:pPr>
        <w:spacing w:line="360" w:lineRule="auto"/>
        <w:jc w:val="center"/>
        <w:rPr>
          <w:rFonts w:asciiTheme="majorEastAsia" w:hAnsiTheme="majorEastAsia" w:eastAsiaTheme="majorEastAsia" w:cstheme="majorEastAsia"/>
          <w:b/>
          <w:bCs/>
          <w:color w:val="000000" w:themeColor="text1"/>
          <w:sz w:val="48"/>
          <w:szCs w:val="48"/>
          <w14:textFill>
            <w14:solidFill>
              <w14:schemeClr w14:val="tx1"/>
            </w14:solidFill>
          </w14:textFill>
        </w:rPr>
      </w:pPr>
    </w:p>
    <w:p>
      <w:pPr>
        <w:widowControl/>
        <w:jc w:val="left"/>
        <w:rPr>
          <w:rFonts w:asciiTheme="majorEastAsia" w:hAnsiTheme="majorEastAsia" w:eastAsiaTheme="majorEastAsia" w:cstheme="majorEastAsia"/>
          <w:b/>
          <w:bCs/>
          <w:color w:val="000000" w:themeColor="text1"/>
          <w:sz w:val="48"/>
          <w:szCs w:val="48"/>
          <w14:textFill>
            <w14:solidFill>
              <w14:schemeClr w14:val="tx1"/>
            </w14:solidFill>
          </w14:textFill>
        </w:rPr>
      </w:pPr>
      <w:r>
        <w:rPr>
          <w:rFonts w:asciiTheme="majorEastAsia" w:hAnsiTheme="majorEastAsia" w:eastAsiaTheme="majorEastAsia" w:cstheme="majorEastAsia"/>
          <w:b/>
          <w:bCs/>
          <w:color w:val="000000" w:themeColor="text1"/>
          <w:sz w:val="48"/>
          <w:szCs w:val="48"/>
          <w14:textFill>
            <w14:solidFill>
              <w14:schemeClr w14:val="tx1"/>
            </w14:solidFill>
          </w14:textFill>
        </w:rPr>
        <w:br w:type="page"/>
      </w:r>
    </w:p>
    <w:p>
      <w:pPr>
        <w:pStyle w:val="3"/>
        <w:spacing w:before="0" w:after="0" w:line="360" w:lineRule="auto"/>
        <w:rPr>
          <w:color w:val="000000" w:themeColor="text1"/>
          <w:spacing w:val="10"/>
          <w:sz w:val="48"/>
          <w:szCs w:val="48"/>
          <w14:textFill>
            <w14:solidFill>
              <w14:schemeClr w14:val="tx1"/>
            </w14:solidFill>
          </w14:textFill>
        </w:rPr>
      </w:pPr>
      <w:r>
        <w:rPr>
          <w:rFonts w:hint="eastAsia"/>
          <w:color w:val="000000" w:themeColor="text1"/>
          <w:spacing w:val="10"/>
          <w:sz w:val="48"/>
          <w:szCs w:val="48"/>
          <w14:textFill>
            <w14:solidFill>
              <w14:schemeClr w14:val="tx1"/>
            </w14:solidFill>
          </w14:textFill>
        </w:rPr>
        <w:t>第四章  投标报价</w:t>
      </w:r>
    </w:p>
    <w:p>
      <w:pPr>
        <w:pStyle w:val="5"/>
      </w:pPr>
      <w:r>
        <w:rPr>
          <w:rFonts w:hint="eastAsia" w:ascii="宋体" w:hAnsi="宋体"/>
          <w:color w:val="000000" w:themeColor="text1"/>
          <w:sz w:val="24"/>
          <w:szCs w:val="24"/>
          <w14:textFill>
            <w14:solidFill>
              <w14:schemeClr w14:val="tx1"/>
            </w14:solidFill>
          </w14:textFill>
        </w:rPr>
        <w:t xml:space="preserve">    1.报价说明</w:t>
      </w:r>
    </w:p>
    <w:p>
      <w:pPr>
        <w:spacing w:line="360" w:lineRule="auto"/>
        <w:ind w:firstLine="486" w:firstLineChars="200"/>
        <w:rPr>
          <w:rFonts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1）本次报价须为人民币报价，包含但不限于完成本项目所需的员工工资、社会保险（五险）、劳保福利、税费、加班费、配送费、交通费、节假日慰问费等所有服务产生的一切费用（报价人若有漏项，则被认为此项费用已包含在总报价中）。因中标人自身原因造成漏报、少报皆由其自行承担责任，招标人不再补偿。</w:t>
      </w:r>
    </w:p>
    <w:p>
      <w:pPr>
        <w:spacing w:line="360" w:lineRule="auto"/>
        <w:ind w:firstLine="486" w:firstLineChars="200"/>
        <w:rPr>
          <w:rFonts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（2）报价人在分项报价表中填报的综合单价承包到现场所产生的路费、差旅费等。</w:t>
      </w:r>
    </w:p>
    <w:p>
      <w:pPr>
        <w:spacing w:line="360" w:lineRule="auto"/>
        <w:ind w:firstLine="486" w:firstLineChars="200"/>
        <w:rPr>
          <w:rFonts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（3）报价有算术错误的，评审小组按以下原则对报价进行修正，修正的价格经报价人书面确认后具有约束力。报价人不接受修正价格的，其报价应当予以否决。</w:t>
      </w:r>
    </w:p>
    <w:p>
      <w:pPr>
        <w:spacing w:line="360" w:lineRule="auto"/>
        <w:ind w:firstLine="486" w:firstLineChars="200"/>
        <w:rPr>
          <w:rFonts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①竞争性比选响应文件中的大写金额与小写金额不一致的，以大写金额为准；</w:t>
      </w:r>
    </w:p>
    <w:p>
      <w:pPr>
        <w:spacing w:line="360" w:lineRule="auto"/>
        <w:ind w:firstLine="486" w:firstLineChars="200"/>
        <w:rPr>
          <w:rFonts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②总价金额与依据单价计算出的结果不一致的，以单价金额为准修正总价，但单价金额小数点有明显错误的除外。</w:t>
      </w:r>
    </w:p>
    <w:p>
      <w:pPr>
        <w:spacing w:line="360" w:lineRule="auto"/>
        <w:ind w:firstLine="486" w:firstLineChars="200"/>
        <w:rPr>
          <w:rFonts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（4）实际采购数量以采购人最终需求数量为准</w:t>
      </w:r>
      <w:r>
        <w:rPr>
          <w:rFonts w:hint="eastAsia" w:asciiTheme="minorEastAsia" w:hAnsiTheme="minorEastAsia" w:eastAsiaTheme="minorEastAsia" w:cstheme="minorEastAsia"/>
          <w:b/>
          <w:color w:val="000000" w:themeColor="text1"/>
          <w:sz w:val="24"/>
          <w:szCs w:val="28"/>
          <w14:textFill>
            <w14:solidFill>
              <w14:schemeClr w14:val="tx1"/>
            </w14:solidFill>
          </w14:textFill>
        </w:rPr>
        <w:t>，</w:t>
      </w:r>
      <w:r>
        <w:rPr>
          <w:rFonts w:hint="eastAsia" w:asciiTheme="minorEastAsia" w:hAnsiTheme="minorEastAsia" w:eastAsiaTheme="minorEastAsia" w:cstheme="minorEastAsia"/>
          <w:color w:val="000000" w:themeColor="text1"/>
          <w:sz w:val="24"/>
          <w:szCs w:val="28"/>
          <w14:textFill>
            <w14:solidFill>
              <w14:schemeClr w14:val="tx1"/>
            </w14:solidFill>
          </w14:textFill>
        </w:rPr>
        <w:t>报价清单中单价在合同执行过程中保持固定不变，报价人不得以实际采购数量的变化提出调整合同单价。</w:t>
      </w:r>
    </w:p>
    <w:p>
      <w:pPr>
        <w:spacing w:line="360" w:lineRule="auto"/>
        <w:ind w:firstLine="486" w:firstLineChars="200"/>
        <w:rPr>
          <w:rFonts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（5）报价清单中各项金额均以人民币（元）结算。</w:t>
      </w:r>
    </w:p>
    <w:p>
      <w:pPr>
        <w:spacing w:line="360" w:lineRule="auto"/>
        <w:ind w:firstLine="486" w:firstLineChars="200"/>
        <w:rPr>
          <w:rFonts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（6）需缴纳的一切税费均由报价单位承担，所有税费均由供货单位自行缴纳；</w:t>
      </w:r>
    </w:p>
    <w:p>
      <w:pPr>
        <w:spacing w:line="360" w:lineRule="auto"/>
        <w:ind w:firstLine="486" w:firstLineChars="20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color w:val="000000" w:themeColor="text1"/>
          <w:sz w:val="24"/>
          <w14:textFill>
            <w14:solidFill>
              <w14:schemeClr w14:val="tx1"/>
            </w14:solidFill>
          </w14:textFill>
        </w:rPr>
        <w:t>（7）</w:t>
      </w:r>
      <w:r>
        <w:rPr>
          <w:rFonts w:hint="eastAsia" w:asciiTheme="minorEastAsia" w:hAnsiTheme="minorEastAsia" w:eastAsiaTheme="minorEastAsia" w:cstheme="minorEastAsia"/>
          <w:sz w:val="24"/>
          <w:szCs w:val="28"/>
        </w:rPr>
        <w:t>本次服务按路段收费，服务单位中渝营运分公司（</w:t>
      </w:r>
      <w:r>
        <w:rPr>
          <w:rFonts w:hint="eastAsia" w:asciiTheme="minorEastAsia" w:hAnsiTheme="minorEastAsia" w:eastAsiaTheme="minorEastAsia" w:cstheme="minorEastAsia"/>
          <w:sz w:val="24"/>
          <w:szCs w:val="28"/>
          <w:lang w:val="en-US" w:eastAsia="zh-CN"/>
        </w:rPr>
        <w:t>6</w:t>
      </w:r>
      <w:r>
        <w:rPr>
          <w:rFonts w:hint="eastAsia" w:asciiTheme="minorEastAsia" w:hAnsiTheme="minorEastAsia" w:eastAsiaTheme="minorEastAsia" w:cstheme="minorEastAsia"/>
          <w:sz w:val="24"/>
          <w:szCs w:val="28"/>
        </w:rPr>
        <w:t>条路）、</w:t>
      </w:r>
      <w:r>
        <w:rPr>
          <w:rFonts w:hint="eastAsia" w:asciiTheme="minorEastAsia" w:hAnsiTheme="minorEastAsia" w:eastAsiaTheme="minorEastAsia" w:cstheme="minorEastAsia"/>
          <w:sz w:val="24"/>
          <w:szCs w:val="28"/>
          <w:lang w:val="en-US" w:eastAsia="zh-CN"/>
        </w:rPr>
        <w:t>东南</w:t>
      </w:r>
      <w:r>
        <w:rPr>
          <w:rFonts w:hint="eastAsia" w:asciiTheme="minorEastAsia" w:hAnsiTheme="minorEastAsia" w:eastAsiaTheme="minorEastAsia" w:cstheme="minorEastAsia"/>
          <w:sz w:val="24"/>
          <w:szCs w:val="28"/>
        </w:rPr>
        <w:t>营运分公司（</w:t>
      </w:r>
      <w:r>
        <w:rPr>
          <w:rFonts w:hint="eastAsia" w:asciiTheme="minorEastAsia" w:hAnsiTheme="minorEastAsia" w:eastAsiaTheme="minorEastAsia" w:cstheme="minorEastAsia"/>
          <w:sz w:val="24"/>
          <w:szCs w:val="28"/>
          <w:lang w:val="en-US" w:eastAsia="zh-CN"/>
        </w:rPr>
        <w:t>4</w:t>
      </w:r>
      <w:r>
        <w:rPr>
          <w:rFonts w:hint="eastAsia" w:asciiTheme="minorEastAsia" w:hAnsiTheme="minorEastAsia" w:eastAsiaTheme="minorEastAsia" w:cstheme="minorEastAsia"/>
          <w:sz w:val="24"/>
          <w:szCs w:val="28"/>
        </w:rPr>
        <w:t>条路）中所有的收费网、视频网、监控网、办公网相关信息系统及基础设施的网络安全服务</w:t>
      </w:r>
      <w:r>
        <w:rPr>
          <w:rFonts w:hint="eastAsia" w:asciiTheme="minorEastAsia" w:hAnsiTheme="minorEastAsia" w:eastAsiaTheme="minorEastAsia" w:cstheme="minorEastAsia"/>
          <w:sz w:val="24"/>
          <w:szCs w:val="28"/>
          <w:lang w:val="en-US" w:eastAsia="zh-CN"/>
        </w:rPr>
        <w:t>及重庆高速集团相关信息系统及基础设施网络安全服务</w:t>
      </w:r>
      <w:r>
        <w:rPr>
          <w:rFonts w:hint="eastAsia" w:asciiTheme="minorEastAsia" w:hAnsiTheme="minorEastAsia" w:eastAsiaTheme="minorEastAsia" w:cstheme="minorEastAsia"/>
          <w:sz w:val="24"/>
          <w:szCs w:val="28"/>
        </w:rPr>
        <w:t>。路段收费站、门架数量发生增减或基础设施数目发生变化，维护费用不变。</w:t>
      </w:r>
    </w:p>
    <w:p>
      <w:pPr>
        <w:rPr>
          <w:rFonts w:asciiTheme="minorEastAsia" w:hAnsiTheme="minorEastAsia" w:eastAsiaTheme="minorEastAsia" w:cstheme="minorEastAsia"/>
          <w:color w:val="000000" w:themeColor="text1"/>
          <w:sz w:val="24"/>
          <w14:textFill>
            <w14:solidFill>
              <w14:schemeClr w14:val="tx1"/>
            </w14:solidFill>
          </w14:textFill>
        </w:rPr>
      </w:pPr>
    </w:p>
    <w:p>
      <w:pPr>
        <w:widowControl/>
        <w:jc w:val="left"/>
      </w:pPr>
      <w:r>
        <w:br w:type="page"/>
      </w:r>
    </w:p>
    <w:p/>
    <w:p/>
    <w:p/>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2.报价一览表</w:t>
      </w:r>
    </w:p>
    <w:p/>
    <w:p>
      <w:pPr>
        <w:pStyle w:val="2"/>
      </w:pPr>
    </w:p>
    <w:tbl>
      <w:tblPr>
        <w:tblStyle w:val="20"/>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801"/>
        <w:gridCol w:w="3203"/>
        <w:gridCol w:w="3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序号</w:t>
            </w:r>
          </w:p>
        </w:tc>
        <w:tc>
          <w:tcPr>
            <w:tcW w:w="5004" w:type="dxa"/>
            <w:gridSpan w:val="2"/>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服务单位及路段</w:t>
            </w:r>
          </w:p>
        </w:tc>
        <w:tc>
          <w:tcPr>
            <w:tcW w:w="3786"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w:t>
            </w:r>
          </w:p>
        </w:tc>
        <w:tc>
          <w:tcPr>
            <w:tcW w:w="5004" w:type="dxa"/>
            <w:gridSpan w:val="2"/>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sz w:val="24"/>
                <w:szCs w:val="28"/>
              </w:rPr>
              <w:t>中渝营运分公司（</w:t>
            </w:r>
            <w:r>
              <w:rPr>
                <w:rFonts w:asciiTheme="minorEastAsia" w:hAnsiTheme="minorEastAsia" w:eastAsiaTheme="minorEastAsia" w:cstheme="minorEastAsia"/>
                <w:sz w:val="24"/>
                <w:szCs w:val="28"/>
              </w:rPr>
              <w:t>6</w:t>
            </w:r>
            <w:r>
              <w:rPr>
                <w:rFonts w:hint="eastAsia" w:asciiTheme="minorEastAsia" w:hAnsiTheme="minorEastAsia" w:eastAsiaTheme="minorEastAsia" w:cstheme="minorEastAsia"/>
                <w:sz w:val="24"/>
                <w:szCs w:val="28"/>
              </w:rPr>
              <w:t>个路段中心）</w:t>
            </w:r>
          </w:p>
        </w:tc>
        <w:tc>
          <w:tcPr>
            <w:tcW w:w="3786" w:type="dxa"/>
            <w:vMerge w:val="restart"/>
            <w:vAlign w:val="center"/>
          </w:tcPr>
          <w:p>
            <w:pPr>
              <w:spacing w:line="360" w:lineRule="auto"/>
              <w:jc w:val="left"/>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sz w:val="24"/>
                <w:szCs w:val="28"/>
              </w:rPr>
              <w:t>收费网、视频网、监控网、办公网相关信息系统及基础设施的网络安全服务，详见下表。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2</w:t>
            </w:r>
          </w:p>
        </w:tc>
        <w:tc>
          <w:tcPr>
            <w:tcW w:w="5004" w:type="dxa"/>
            <w:gridSpan w:val="2"/>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sz w:val="24"/>
                <w:szCs w:val="28"/>
              </w:rPr>
              <w:t>东南营运分公司（4个路段中心）</w:t>
            </w:r>
          </w:p>
        </w:tc>
        <w:tc>
          <w:tcPr>
            <w:tcW w:w="3786" w:type="dxa"/>
            <w:vMerge w:val="continue"/>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3</w:t>
            </w:r>
          </w:p>
        </w:tc>
        <w:tc>
          <w:tcPr>
            <w:tcW w:w="5004" w:type="dxa"/>
            <w:gridSpan w:val="2"/>
            <w:vAlign w:val="center"/>
          </w:tcPr>
          <w:p>
            <w:pPr>
              <w:spacing w:line="360" w:lineRule="auto"/>
              <w:ind w:firstLine="729" w:firstLineChars="3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sz w:val="24"/>
                <w:szCs w:val="28"/>
              </w:rPr>
              <w:t>高速集团公司</w:t>
            </w:r>
          </w:p>
        </w:tc>
        <w:tc>
          <w:tcPr>
            <w:tcW w:w="3786" w:type="dxa"/>
            <w:vMerge w:val="continue"/>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4</w:t>
            </w:r>
          </w:p>
        </w:tc>
        <w:tc>
          <w:tcPr>
            <w:tcW w:w="1801" w:type="dxa"/>
            <w:vAlign w:val="center"/>
          </w:tcPr>
          <w:p>
            <w:pPr>
              <w:spacing w:line="360" w:lineRule="auto"/>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报价（元）</w:t>
            </w:r>
          </w:p>
        </w:tc>
        <w:tc>
          <w:tcPr>
            <w:tcW w:w="3203" w:type="dxa"/>
            <w:vAlign w:val="center"/>
          </w:tcPr>
          <w:p>
            <w:pPr>
              <w:spacing w:line="360" w:lineRule="auto"/>
              <w:jc w:val="left"/>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大写：</w:t>
            </w:r>
          </w:p>
          <w:p>
            <w:pPr>
              <w:spacing w:line="360" w:lineRule="auto"/>
              <w:jc w:val="left"/>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小写：</w:t>
            </w:r>
          </w:p>
        </w:tc>
        <w:tc>
          <w:tcPr>
            <w:tcW w:w="3786"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p>
        </w:tc>
      </w:tr>
    </w:tbl>
    <w:p/>
    <w:p>
      <w:pPr>
        <w:pStyle w:val="2"/>
      </w:pPr>
      <w:r>
        <w:br w:type="page"/>
      </w:r>
    </w:p>
    <w:p/>
    <w:p>
      <w:pPr>
        <w:pStyle w:val="3"/>
        <w:spacing w:before="0" w:after="0" w:line="360" w:lineRule="auto"/>
        <w:rPr>
          <w:color w:val="000000" w:themeColor="text1"/>
          <w:spacing w:val="10"/>
          <w:sz w:val="48"/>
          <w:szCs w:val="48"/>
          <w14:textFill>
            <w14:solidFill>
              <w14:schemeClr w14:val="tx1"/>
            </w14:solidFill>
          </w14:textFill>
        </w:rPr>
      </w:pPr>
      <w:r>
        <w:rPr>
          <w:rFonts w:hint="eastAsia"/>
          <w:color w:val="000000" w:themeColor="text1"/>
          <w:spacing w:val="10"/>
          <w:sz w:val="48"/>
          <w:szCs w:val="48"/>
          <w14:textFill>
            <w14:solidFill>
              <w14:schemeClr w14:val="tx1"/>
            </w14:solidFill>
          </w14:textFill>
        </w:rPr>
        <w:t>第五章  技术标准和要求</w:t>
      </w:r>
    </w:p>
    <w:p>
      <w:pPr>
        <w:rPr>
          <w:b/>
          <w:bCs/>
        </w:rPr>
      </w:pPr>
      <w:r>
        <w:rPr>
          <w:rFonts w:hint="eastAsia"/>
          <w:szCs w:val="32"/>
        </w:rPr>
        <w:t>详见第二章报价人须知</w:t>
      </w:r>
      <w:r>
        <w:rPr>
          <w:rFonts w:hint="eastAsia"/>
        </w:rPr>
        <w:t>网络安全服务内容及相关要求。</w:t>
      </w:r>
    </w:p>
    <w:p>
      <w:pPr>
        <w:rPr>
          <w:sz w:val="24"/>
          <w:szCs w:val="32"/>
        </w:rPr>
      </w:pPr>
    </w:p>
    <w:p/>
    <w:p>
      <w:pPr>
        <w:widowControl/>
        <w:jc w:val="left"/>
      </w:pPr>
      <w:r>
        <w:br w:type="page"/>
      </w:r>
    </w:p>
    <w:p/>
    <w:p>
      <w:pPr>
        <w:pStyle w:val="3"/>
        <w:spacing w:before="0" w:after="0" w:line="360" w:lineRule="auto"/>
        <w:rPr>
          <w:rFonts w:asciiTheme="majorEastAsia" w:hAnsiTheme="majorEastAsia" w:eastAsiaTheme="majorEastAsia" w:cstheme="majorEastAsia"/>
          <w:b w:val="0"/>
          <w:bCs/>
          <w:sz w:val="52"/>
          <w:szCs w:val="52"/>
        </w:rPr>
      </w:pPr>
      <w:r>
        <w:rPr>
          <w:rFonts w:hint="eastAsia"/>
          <w:color w:val="000000" w:themeColor="text1"/>
          <w:spacing w:val="10"/>
          <w:sz w:val="48"/>
          <w:szCs w:val="48"/>
          <w14:textFill>
            <w14:solidFill>
              <w14:schemeClr w14:val="tx1"/>
            </w14:solidFill>
          </w14:textFill>
        </w:rPr>
        <w:t>第六章  竞争性比选响应文件格式</w:t>
      </w: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参考格式</w:t>
      </w: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竞争性比选响应文件封面</w:t>
      </w:r>
    </w:p>
    <w:p>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（以下内容为示例）</w:t>
      </w:r>
    </w:p>
    <w:p>
      <w:pPr>
        <w:jc w:val="center"/>
        <w:rPr>
          <w:b/>
          <w:color w:val="000000" w:themeColor="text1"/>
          <w:sz w:val="24"/>
          <w14:textFill>
            <w14:solidFill>
              <w14:schemeClr w14:val="tx1"/>
            </w14:solidFill>
          </w14:textFill>
        </w:rPr>
      </w:pPr>
    </w:p>
    <w:p>
      <w:pPr>
        <w:jc w:val="right"/>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 xml:space="preserve">                           </w:t>
      </w:r>
      <w:r>
        <w:rPr>
          <w:rFonts w:hint="eastAsia"/>
          <w:b/>
          <w:color w:val="000000" w:themeColor="text1"/>
          <w:sz w:val="40"/>
          <w14:textFill>
            <w14:solidFill>
              <w14:schemeClr w14:val="tx1"/>
            </w14:solidFill>
          </w14:textFill>
        </w:rPr>
        <w:t>（正本或副本）</w:t>
      </w:r>
    </w:p>
    <w:p>
      <w:pPr>
        <w:jc w:val="right"/>
        <w:rPr>
          <w:b/>
          <w:color w:val="000000" w:themeColor="text1"/>
          <w:sz w:val="24"/>
          <w14:textFill>
            <w14:solidFill>
              <w14:schemeClr w14:val="tx1"/>
            </w14:solidFill>
          </w14:textFill>
        </w:rPr>
      </w:pPr>
    </w:p>
    <w:p>
      <w:pPr>
        <w:jc w:val="right"/>
        <w:rPr>
          <w:b/>
          <w:color w:val="000000" w:themeColor="text1"/>
          <w:sz w:val="24"/>
          <w14:textFill>
            <w14:solidFill>
              <w14:schemeClr w14:val="tx1"/>
            </w14:solidFill>
          </w14:textFill>
        </w:rPr>
      </w:pPr>
    </w:p>
    <w:p>
      <w:pPr>
        <w:jc w:val="right"/>
        <w:rPr>
          <w:b/>
          <w:color w:val="000000" w:themeColor="text1"/>
          <w:sz w:val="24"/>
          <w14:textFill>
            <w14:solidFill>
              <w14:schemeClr w14:val="tx1"/>
            </w14:solidFill>
          </w14:textFill>
        </w:rPr>
      </w:pPr>
    </w:p>
    <w:p>
      <w:pPr>
        <w:jc w:val="center"/>
        <w:rPr>
          <w:b/>
          <w:color w:val="000000" w:themeColor="text1"/>
          <w:sz w:val="32"/>
          <w:szCs w:val="32"/>
          <w14:textFill>
            <w14:solidFill>
              <w14:schemeClr w14:val="tx1"/>
            </w14:solidFill>
          </w14:textFill>
        </w:rPr>
      </w:pPr>
      <w:r>
        <w:rPr>
          <w:rFonts w:hint="eastAsia" w:ascii="宋体"/>
          <w:b/>
          <w:color w:val="000000" w:themeColor="text1"/>
          <w:sz w:val="44"/>
          <w:szCs w:val="44"/>
          <w14:textFill>
            <w14:solidFill>
              <w14:schemeClr w14:val="tx1"/>
            </w14:solidFill>
          </w14:textFill>
        </w:rPr>
        <w:t>2021年网络安全咨询服务(二）</w:t>
      </w:r>
    </w:p>
    <w:p>
      <w:pPr>
        <w:jc w:val="center"/>
        <w:rPr>
          <w:b/>
          <w:color w:val="000000" w:themeColor="text1"/>
          <w:sz w:val="52"/>
          <w:szCs w:val="52"/>
          <w14:textFill>
            <w14:solidFill>
              <w14:schemeClr w14:val="tx1"/>
            </w14:solidFill>
          </w14:textFill>
        </w:rPr>
      </w:pPr>
      <w:r>
        <w:rPr>
          <w:rFonts w:hint="eastAsia"/>
          <w:b/>
          <w:color w:val="000000" w:themeColor="text1"/>
          <w:sz w:val="52"/>
          <w:szCs w:val="52"/>
          <w14:textFill>
            <w14:solidFill>
              <w14:schemeClr w14:val="tx1"/>
            </w14:solidFill>
          </w14:textFill>
        </w:rPr>
        <w:t>竞争性比选响应文件</w:t>
      </w: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u w:val="single"/>
          <w14:textFill>
            <w14:solidFill>
              <w14:schemeClr w14:val="tx1"/>
            </w14:solidFill>
          </w14:textFill>
        </w:rPr>
      </w:pPr>
      <w:r>
        <w:rPr>
          <w:rFonts w:hint="eastAsia"/>
          <w:color w:val="000000" w:themeColor="text1"/>
          <w:sz w:val="32"/>
          <w:szCs w:val="32"/>
          <w:u w:val="single"/>
          <w14:textFill>
            <w14:solidFill>
              <w14:schemeClr w14:val="tx1"/>
            </w14:solidFill>
          </w14:textFill>
        </w:rPr>
        <w:t>报价人名称全称（盖单位公章）</w:t>
      </w:r>
    </w:p>
    <w:p>
      <w:pPr>
        <w:pStyle w:val="9"/>
        <w:snapToGrid w:val="0"/>
        <w:ind w:firstLine="577" w:firstLineChars="150"/>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202</w:t>
      </w:r>
      <w:r>
        <w:rPr>
          <w:rFonts w:ascii="宋体" w:hAnsi="宋体"/>
          <w:color w:val="000000" w:themeColor="text1"/>
          <w:sz w:val="32"/>
          <w:szCs w:val="32"/>
          <w14:textFill>
            <w14:solidFill>
              <w14:schemeClr w14:val="tx1"/>
            </w14:solidFill>
          </w14:textFill>
        </w:rPr>
        <w:t>1</w:t>
      </w:r>
      <w:r>
        <w:rPr>
          <w:rFonts w:hint="eastAsia" w:ascii="宋体" w:hAnsi="宋体"/>
          <w:color w:val="000000" w:themeColor="text1"/>
          <w:sz w:val="32"/>
          <w:szCs w:val="32"/>
          <w14:textFill>
            <w14:solidFill>
              <w14:schemeClr w14:val="tx1"/>
            </w14:solidFill>
          </w14:textFill>
        </w:rPr>
        <w:t>年</w:t>
      </w:r>
      <w:r>
        <w:rPr>
          <w:rFonts w:hint="eastAsia" w:ascii="宋体" w:hAnsi="宋体"/>
          <w:color w:val="000000" w:themeColor="text1"/>
          <w:sz w:val="32"/>
          <w:szCs w:val="32"/>
          <w:lang w:val="en-US" w:eastAsia="zh-CN"/>
          <w14:textFill>
            <w14:solidFill>
              <w14:schemeClr w14:val="tx1"/>
            </w14:solidFill>
          </w14:textFill>
        </w:rPr>
        <w:t>7</w:t>
      </w:r>
      <w:r>
        <w:rPr>
          <w:rFonts w:hint="eastAsia" w:ascii="宋体" w:hAnsi="宋体"/>
          <w:color w:val="000000" w:themeColor="text1"/>
          <w:sz w:val="32"/>
          <w:szCs w:val="32"/>
          <w14:textFill>
            <w14:solidFill>
              <w14:schemeClr w14:val="tx1"/>
            </w14:solidFill>
          </w14:textFill>
        </w:rPr>
        <w:t>月</w:t>
      </w:r>
    </w:p>
    <w:p>
      <w:pPr>
        <w:pStyle w:val="16"/>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color w:val="000000" w:themeColor="text1"/>
          <w14:textFill>
            <w14:solidFill>
              <w14:schemeClr w14:val="tx1"/>
            </w14:solidFill>
          </w14:textFill>
        </w:rPr>
        <w:t>一、竞争性比选响应声明书</w:t>
      </w:r>
    </w:p>
    <w:p>
      <w:pPr>
        <w:tabs>
          <w:tab w:val="left" w:pos="900"/>
        </w:tabs>
        <w:spacing w:line="360" w:lineRule="auto"/>
        <w:ind w:firstLine="486" w:firstLineChars="20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w:t>
      </w:r>
      <w:r>
        <w:rPr>
          <w:rFonts w:hint="eastAsia" w:ascii="Arial" w:hAnsi="Arial" w:cs="Arial"/>
          <w:b/>
          <w:color w:val="000000" w:themeColor="text1"/>
          <w:sz w:val="24"/>
          <w14:textFill>
            <w14:solidFill>
              <w14:schemeClr w14:val="tx1"/>
            </w14:solidFill>
          </w14:textFill>
        </w:rPr>
        <w:t>致：</w:t>
      </w:r>
      <w:r>
        <w:rPr>
          <w:rFonts w:hint="eastAsia" w:ascii="Arial" w:hAnsi="Arial" w:cs="Arial"/>
          <w:b/>
          <w:bCs/>
          <w:color w:val="000000" w:themeColor="text1"/>
          <w:sz w:val="24"/>
          <w:u w:val="single"/>
          <w14:textFill>
            <w14:solidFill>
              <w14:schemeClr w14:val="tx1"/>
            </w14:solidFill>
          </w14:textFill>
        </w:rPr>
        <w:t>重庆首讯科技股份有限公司</w:t>
      </w:r>
    </w:p>
    <w:p>
      <w:pPr>
        <w:spacing w:line="360" w:lineRule="auto"/>
        <w:ind w:firstLine="486"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根据贵方</w:t>
      </w:r>
      <w:r>
        <w:rPr>
          <w:rFonts w:hint="eastAsia" w:ascii="宋体" w:hAnsi="宋体"/>
          <w:color w:val="000000" w:themeColor="text1"/>
          <w:sz w:val="24"/>
          <w:u w:val="single"/>
          <w14:textFill>
            <w14:solidFill>
              <w14:schemeClr w14:val="tx1"/>
            </w14:solidFill>
          </w14:textFill>
        </w:rPr>
        <w:t>2021年网络安全咨询服务(二）</w:t>
      </w:r>
      <w:r>
        <w:rPr>
          <w:rFonts w:hint="eastAsia" w:ascii="Arial" w:hAnsi="Arial" w:cs="Arial"/>
          <w:color w:val="000000" w:themeColor="text1"/>
          <w:sz w:val="24"/>
          <w14:textFill>
            <w14:solidFill>
              <w14:schemeClr w14:val="tx1"/>
            </w14:solidFill>
          </w14:textFill>
        </w:rPr>
        <w:t>竞争性比选文件要求，签字代表</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（全名、职务）</w:t>
      </w:r>
      <w:r>
        <w:rPr>
          <w:rFonts w:hint="eastAsia" w:ascii="Arial" w:hAnsi="Arial" w:cs="Arial"/>
          <w:color w:val="000000" w:themeColor="text1"/>
          <w:sz w:val="24"/>
          <w14:textFill>
            <w14:solidFill>
              <w14:schemeClr w14:val="tx1"/>
            </w14:solidFill>
          </w14:textFill>
        </w:rPr>
        <w:t>经正式授权并代表报价人</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（报价人名称、地址）</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提交以下文件正本一份、副本两份和电子文件1份。</w:t>
      </w:r>
    </w:p>
    <w:p>
      <w:pPr>
        <w:spacing w:line="360" w:lineRule="auto"/>
        <w:ind w:firstLine="486"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u w:val="single"/>
          <w14:textFill>
            <w14:solidFill>
              <w14:schemeClr w14:val="tx1"/>
            </w14:solidFill>
          </w14:textFill>
        </w:rPr>
        <w:t>我方愿以人民币：              元（大写              元）</w:t>
      </w:r>
      <w:r>
        <w:rPr>
          <w:rFonts w:hint="eastAsia" w:ascii="Arial" w:hAnsi="Arial" w:cs="Arial"/>
          <w:color w:val="000000" w:themeColor="text1"/>
          <w:sz w:val="24"/>
          <w14:textFill>
            <w14:solidFill>
              <w14:schemeClr w14:val="tx1"/>
            </w14:solidFill>
          </w14:textFill>
        </w:rPr>
        <w:t>的总报价（含6%增值税），按照竞争性比选文件的要求，承担本次竞争性比选文件要求的设备及售后服务。</w:t>
      </w:r>
    </w:p>
    <w:p>
      <w:pPr>
        <w:tabs>
          <w:tab w:val="left" w:pos="540"/>
          <w:tab w:val="left" w:pos="900"/>
        </w:tabs>
        <w:spacing w:line="360" w:lineRule="auto"/>
        <w:ind w:firstLine="486"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据此函，签字代表宣布同意如下：</w:t>
      </w:r>
    </w:p>
    <w:p>
      <w:pPr>
        <w:tabs>
          <w:tab w:val="left" w:pos="540"/>
          <w:tab w:val="left" w:pos="900"/>
        </w:tabs>
        <w:spacing w:line="360" w:lineRule="auto"/>
        <w:ind w:firstLine="486" w:firstLineChars="20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1</w:t>
      </w:r>
      <w:r>
        <w:rPr>
          <w:rFonts w:hint="eastAsia" w:ascii="Arial" w:hAnsi="Arial" w:cs="Arial"/>
          <w:color w:val="000000" w:themeColor="text1"/>
          <w:sz w:val="24"/>
          <w14:textFill>
            <w14:solidFill>
              <w14:schemeClr w14:val="tx1"/>
            </w14:solidFill>
          </w14:textFill>
        </w:rPr>
        <w:t>、报价人将按竞争性比选文件规定履行合同责任和义务。</w:t>
      </w:r>
    </w:p>
    <w:p>
      <w:pPr>
        <w:tabs>
          <w:tab w:val="left" w:pos="900"/>
        </w:tabs>
        <w:spacing w:line="360" w:lineRule="auto"/>
        <w:ind w:firstLine="486" w:firstLineChars="200"/>
        <w:rPr>
          <w:rFonts w:ascii="Arial" w:hAnsi="Arial" w:cs="Arial"/>
          <w:b/>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2</w:t>
      </w:r>
      <w:r>
        <w:rPr>
          <w:rFonts w:hint="eastAsia" w:ascii="Arial" w:hAnsi="Arial" w:cs="Arial"/>
          <w:color w:val="000000" w:themeColor="text1"/>
          <w:sz w:val="24"/>
          <w14:textFill>
            <w14:solidFill>
              <w14:schemeClr w14:val="tx1"/>
            </w14:solidFill>
          </w14:textFill>
        </w:rPr>
        <w:t>、报价人已详细审查全部竞争性比选文件，包括修改文件（如有的话）以及全部参考资料和相关附件。我们完全理解并同意放弃对这方面有不明及误解的权利。</w:t>
      </w:r>
    </w:p>
    <w:p>
      <w:pPr>
        <w:tabs>
          <w:tab w:val="left" w:pos="900"/>
        </w:tabs>
        <w:spacing w:line="360" w:lineRule="auto"/>
        <w:ind w:firstLine="486" w:firstLineChars="200"/>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3、报价人同意提供采购人可能要求的与其竞争性比选响应文件有关的一切数据或资料。</w:t>
      </w:r>
    </w:p>
    <w:p>
      <w:pPr>
        <w:tabs>
          <w:tab w:val="left" w:pos="900"/>
        </w:tabs>
        <w:spacing w:line="360" w:lineRule="auto"/>
        <w:ind w:firstLine="486" w:firstLineChars="200"/>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4、与本竞争性比选响应有关的一切正式往来通讯请寄：</w:t>
      </w:r>
    </w:p>
    <w:p>
      <w:pPr>
        <w:tabs>
          <w:tab w:val="left" w:pos="900"/>
        </w:tabs>
        <w:spacing w:line="360" w:lineRule="auto"/>
        <w:ind w:firstLine="486" w:firstLineChars="200"/>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地址：</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邮编：</w:t>
      </w:r>
      <w:r>
        <w:rPr>
          <w:rFonts w:ascii="Arial" w:hAnsi="Arial" w:cs="Arial"/>
          <w:color w:val="000000" w:themeColor="text1"/>
          <w:sz w:val="24"/>
          <w:u w:val="single"/>
          <w14:textFill>
            <w14:solidFill>
              <w14:schemeClr w14:val="tx1"/>
            </w14:solidFill>
          </w14:textFill>
        </w:rPr>
        <w:t xml:space="preserve">            </w:t>
      </w:r>
      <w:r>
        <w:rPr>
          <w:rFonts w:ascii="Arial" w:hAnsi="Arial" w:cs="Arial"/>
          <w:b/>
          <w:color w:val="000000" w:themeColor="text1"/>
          <w:sz w:val="24"/>
          <w14:textFill>
            <w14:solidFill>
              <w14:schemeClr w14:val="tx1"/>
            </w14:solidFill>
          </w14:textFill>
        </w:rPr>
        <w:t xml:space="preserve">  </w:t>
      </w:r>
    </w:p>
    <w:p>
      <w:pPr>
        <w:tabs>
          <w:tab w:val="left" w:pos="900"/>
        </w:tabs>
        <w:spacing w:line="360" w:lineRule="auto"/>
        <w:ind w:firstLine="486" w:firstLineChars="200"/>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14:textFill>
            <w14:solidFill>
              <w14:schemeClr w14:val="tx1"/>
            </w14:solidFill>
          </w14:textFill>
        </w:rPr>
        <w:t>电话：</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传真：</w:t>
      </w:r>
      <w:r>
        <w:rPr>
          <w:rFonts w:ascii="Arial" w:hAnsi="Arial" w:cs="Arial"/>
          <w:color w:val="000000" w:themeColor="text1"/>
          <w:sz w:val="24"/>
          <w:u w:val="single"/>
          <w14:textFill>
            <w14:solidFill>
              <w14:schemeClr w14:val="tx1"/>
            </w14:solidFill>
          </w14:textFill>
        </w:rPr>
        <w:t xml:space="preserve">            </w:t>
      </w:r>
    </w:p>
    <w:p>
      <w:pPr>
        <w:tabs>
          <w:tab w:val="left" w:pos="900"/>
        </w:tabs>
        <w:spacing w:line="360" w:lineRule="auto"/>
        <w:ind w:firstLine="488" w:firstLineChars="200"/>
        <w:rPr>
          <w:rFonts w:ascii="Arial" w:hAnsi="Arial" w:cs="Arial"/>
          <w:b/>
          <w:color w:val="000000" w:themeColor="text1"/>
          <w:sz w:val="24"/>
          <w14:textFill>
            <w14:solidFill>
              <w14:schemeClr w14:val="tx1"/>
            </w14:solidFill>
          </w14:textFill>
        </w:rPr>
      </w:pPr>
      <w:r>
        <w:rPr>
          <w:rFonts w:hint="eastAsia" w:ascii="Arial" w:hAnsi="Arial" w:cs="Arial"/>
          <w:b/>
          <w:color w:val="000000" w:themeColor="text1"/>
          <w:sz w:val="24"/>
          <w14:textFill>
            <w14:solidFill>
              <w14:schemeClr w14:val="tx1"/>
            </w14:solidFill>
          </w14:textFill>
        </w:rPr>
        <w:t>报价人法定代表人或授权代表人（签字）：</w:t>
      </w:r>
      <w:r>
        <w:rPr>
          <w:rFonts w:ascii="Arial" w:hAnsi="Arial" w:cs="Arial"/>
          <w:b/>
          <w:color w:val="000000" w:themeColor="text1"/>
          <w:sz w:val="24"/>
          <w:u w:val="single"/>
          <w14:textFill>
            <w14:solidFill>
              <w14:schemeClr w14:val="tx1"/>
            </w14:solidFill>
          </w14:textFill>
        </w:rPr>
        <w:t xml:space="preserve">               </w:t>
      </w:r>
    </w:p>
    <w:p>
      <w:pPr>
        <w:tabs>
          <w:tab w:val="left" w:pos="900"/>
        </w:tabs>
        <w:spacing w:line="360" w:lineRule="auto"/>
        <w:ind w:firstLine="488" w:firstLineChars="200"/>
        <w:rPr>
          <w:rFonts w:ascii="Arial" w:hAnsi="Arial" w:cs="Arial"/>
          <w:b/>
          <w:color w:val="000000" w:themeColor="text1"/>
          <w:sz w:val="24"/>
          <w14:textFill>
            <w14:solidFill>
              <w14:schemeClr w14:val="tx1"/>
            </w14:solidFill>
          </w14:textFill>
        </w:rPr>
      </w:pPr>
      <w:r>
        <w:rPr>
          <w:rFonts w:hint="eastAsia" w:ascii="Arial" w:hAnsi="Arial" w:cs="Arial"/>
          <w:b/>
          <w:color w:val="000000" w:themeColor="text1"/>
          <w:sz w:val="24"/>
          <w14:textFill>
            <w14:solidFill>
              <w14:schemeClr w14:val="tx1"/>
            </w14:solidFill>
          </w14:textFill>
        </w:rPr>
        <w:t>报价人法定代表人或授权代表人职务：</w:t>
      </w:r>
      <w:r>
        <w:rPr>
          <w:rFonts w:ascii="Arial" w:hAnsi="Arial" w:cs="Arial"/>
          <w:b/>
          <w:color w:val="000000" w:themeColor="text1"/>
          <w:sz w:val="24"/>
          <w:u w:val="single"/>
          <w14:textFill>
            <w14:solidFill>
              <w14:schemeClr w14:val="tx1"/>
            </w14:solidFill>
          </w14:textFill>
        </w:rPr>
        <w:t xml:space="preserve">                      </w:t>
      </w:r>
      <w:r>
        <w:rPr>
          <w:rFonts w:ascii="Arial" w:hAnsi="Arial" w:cs="Arial"/>
          <w:b/>
          <w:color w:val="000000" w:themeColor="text1"/>
          <w:sz w:val="24"/>
          <w14:textFill>
            <w14:solidFill>
              <w14:schemeClr w14:val="tx1"/>
            </w14:solidFill>
          </w14:textFill>
        </w:rPr>
        <w:t xml:space="preserve">      </w:t>
      </w:r>
    </w:p>
    <w:p>
      <w:pPr>
        <w:tabs>
          <w:tab w:val="left" w:pos="900"/>
        </w:tabs>
        <w:spacing w:line="360" w:lineRule="auto"/>
        <w:ind w:firstLine="488" w:firstLineChars="200"/>
        <w:rPr>
          <w:rFonts w:ascii="Arial" w:hAnsi="Arial" w:cs="Arial"/>
          <w:color w:val="000000" w:themeColor="text1"/>
          <w:sz w:val="24"/>
          <w14:textFill>
            <w14:solidFill>
              <w14:schemeClr w14:val="tx1"/>
            </w14:solidFill>
          </w14:textFill>
        </w:rPr>
      </w:pPr>
      <w:r>
        <w:rPr>
          <w:rFonts w:hint="eastAsia" w:ascii="Arial" w:hAnsi="Arial" w:cs="Arial"/>
          <w:b/>
          <w:color w:val="000000" w:themeColor="text1"/>
          <w:sz w:val="24"/>
          <w14:textFill>
            <w14:solidFill>
              <w14:schemeClr w14:val="tx1"/>
            </w14:solidFill>
          </w14:textFill>
        </w:rPr>
        <w:t>报价人名称（加盖公章）：</w:t>
      </w:r>
      <w:r>
        <w:rPr>
          <w:rFonts w:ascii="Arial" w:hAnsi="Arial" w:cs="Arial"/>
          <w:b/>
          <w:color w:val="000000" w:themeColor="text1"/>
          <w:sz w:val="24"/>
          <w14:textFill>
            <w14:solidFill>
              <w14:schemeClr w14:val="tx1"/>
            </w14:solidFill>
          </w14:textFill>
        </w:rPr>
        <w:t xml:space="preserve">  </w:t>
      </w:r>
      <w:r>
        <w:rPr>
          <w:rFonts w:ascii="Arial" w:hAnsi="Arial" w:cs="Arial"/>
          <w:b/>
          <w:color w:val="000000" w:themeColor="text1"/>
          <w:sz w:val="24"/>
          <w:u w:val="single"/>
          <w14:textFill>
            <w14:solidFill>
              <w14:schemeClr w14:val="tx1"/>
            </w14:solidFill>
          </w14:textFill>
        </w:rPr>
        <w:t xml:space="preserve"> </w:t>
      </w:r>
      <w:r>
        <w:rPr>
          <w:rFonts w:ascii="Arial" w:hAnsi="Arial" w:cs="Arial"/>
          <w:color w:val="000000" w:themeColor="text1"/>
          <w:sz w:val="24"/>
          <w:u w:val="single"/>
          <w14:textFill>
            <w14:solidFill>
              <w14:schemeClr w14:val="tx1"/>
            </w14:solidFill>
          </w14:textFill>
        </w:rPr>
        <w:t xml:space="preserve">                       </w:t>
      </w:r>
    </w:p>
    <w:p>
      <w:pPr>
        <w:tabs>
          <w:tab w:val="left" w:pos="900"/>
        </w:tabs>
        <w:spacing w:line="360" w:lineRule="auto"/>
        <w:ind w:firstLine="486"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日期：</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年</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月</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日</w:t>
      </w:r>
      <w:r>
        <w:rPr>
          <w:rFonts w:ascii="Arial" w:hAnsi="Arial" w:cs="Arial"/>
          <w:color w:val="000000" w:themeColor="text1"/>
          <w:sz w:val="24"/>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p>
    <w:p>
      <w:pPr>
        <w:tabs>
          <w:tab w:val="left" w:pos="900"/>
        </w:tabs>
        <w:spacing w:line="300" w:lineRule="auto"/>
        <w:rPr>
          <w:rFonts w:ascii="Arial" w:hAnsi="Arial" w:cs="Arial"/>
          <w:color w:val="000000" w:themeColor="text1"/>
          <w:sz w:val="24"/>
          <w14:textFill>
            <w14:solidFill>
              <w14:schemeClr w14:val="tx1"/>
            </w14:solidFill>
          </w14:textFill>
        </w:rPr>
      </w:pPr>
    </w:p>
    <w:p>
      <w:pPr>
        <w:pStyle w:val="9"/>
        <w:snapToGrid w:val="0"/>
        <w:jc w:val="left"/>
        <w:rPr>
          <w:rFonts w:ascii="宋体" w:hAnsi="宋体"/>
          <w:color w:val="000000" w:themeColor="text1"/>
          <w14:textFill>
            <w14:solidFill>
              <w14:schemeClr w14:val="tx1"/>
            </w14:solidFill>
          </w14:textFill>
        </w:rPr>
      </w:pPr>
      <w:bookmarkStart w:id="70" w:name="_Toc491883232"/>
    </w:p>
    <w:p>
      <w:pPr>
        <w:pStyle w:val="1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宋体" w:hAnsi="宋体"/>
          <w:bCs w:val="0"/>
          <w:color w:val="000000" w:themeColor="text1"/>
          <w14:textFill>
            <w14:solidFill>
              <w14:schemeClr w14:val="tx1"/>
            </w14:solidFill>
          </w14:textFill>
        </w:rPr>
        <w:t>二</w:t>
      </w:r>
      <w:r>
        <w:rPr>
          <w:rFonts w:ascii="宋体" w:hAnsi="宋体"/>
          <w:bCs w:val="0"/>
          <w:color w:val="000000" w:themeColor="text1"/>
          <w14:textFill>
            <w14:solidFill>
              <w14:schemeClr w14:val="tx1"/>
            </w14:solidFill>
          </w14:textFill>
        </w:rPr>
        <w:t>、</w:t>
      </w:r>
      <w:r>
        <w:rPr>
          <w:rFonts w:hint="eastAsia" w:ascii="宋体" w:hAnsi="宋体"/>
          <w:bCs w:val="0"/>
          <w:color w:val="000000" w:themeColor="text1"/>
          <w14:textFill>
            <w14:solidFill>
              <w14:schemeClr w14:val="tx1"/>
            </w14:solidFill>
          </w14:textFill>
        </w:rPr>
        <w:t>法定代表人身份证明和法定代表人授权委托书</w:t>
      </w:r>
    </w:p>
    <w:p>
      <w:pPr>
        <w:pStyle w:val="4"/>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w:t>
      </w:r>
      <w:r>
        <w:rPr>
          <w:rFonts w:ascii="宋体" w:hAnsi="宋体"/>
          <w:color w:val="000000" w:themeColor="text1"/>
          <w:sz w:val="28"/>
          <w:szCs w:val="28"/>
          <w14:textFill>
            <w14:solidFill>
              <w14:schemeClr w14:val="tx1"/>
            </w14:solidFill>
          </w14:textFill>
        </w:rPr>
        <w:t>法定代表人身份证明</w:t>
      </w:r>
      <w:bookmarkEnd w:id="70"/>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报价人名称：</w:t>
      </w:r>
      <w:r>
        <w:rPr>
          <w:rFonts w:ascii="宋体" w:hAnsi="宋体"/>
          <w:color w:val="000000" w:themeColor="text1"/>
          <w:sz w:val="24"/>
          <w:u w:val="single"/>
          <w14:textFill>
            <w14:solidFill>
              <w14:schemeClr w14:val="tx1"/>
            </w14:solidFill>
          </w14:textFill>
        </w:rPr>
        <w:t xml:space="preserve">                        </w:t>
      </w:r>
    </w:p>
    <w:p>
      <w:pPr>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姓名：</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性别：</w:t>
      </w:r>
      <w:bookmarkStart w:id="71" w:name="_Toc352691662"/>
      <w:bookmarkStart w:id="72" w:name="_Toc27897"/>
      <w:bookmarkStart w:id="73" w:name="_Toc369531698"/>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年</w:t>
      </w:r>
      <w:bookmarkEnd w:id="71"/>
      <w:bookmarkEnd w:id="72"/>
      <w:bookmarkEnd w:id="73"/>
      <w:r>
        <w:rPr>
          <w:rFonts w:ascii="宋体" w:hAnsi="宋体"/>
          <w:color w:val="000000" w:themeColor="text1"/>
          <w:sz w:val="24"/>
          <w14:textFill>
            <w14:solidFill>
              <w14:schemeClr w14:val="tx1"/>
            </w14:solidFill>
          </w14:textFill>
        </w:rPr>
        <w:t>龄</w:t>
      </w:r>
      <w:bookmarkStart w:id="74" w:name="_Toc152042578"/>
      <w:bookmarkStart w:id="75" w:name="_Toc352691663"/>
      <w:bookmarkStart w:id="76" w:name="_Toc247514248"/>
      <w:bookmarkStart w:id="77" w:name="_Toc361508754"/>
      <w:bookmarkStart w:id="78" w:name="_Toc15573"/>
      <w:bookmarkStart w:id="79" w:name="_Toc144974858"/>
      <w:bookmarkStart w:id="80" w:name="_Toc300835211"/>
      <w:bookmarkStart w:id="81" w:name="_Toc384308377"/>
      <w:bookmarkStart w:id="82" w:name="_Toc152045789"/>
      <w:bookmarkStart w:id="83" w:name="_Toc369531699"/>
      <w:bookmarkStart w:id="84" w:name="_Toc247527829"/>
      <w:r>
        <w:rPr>
          <w:rFonts w:ascii="宋体" w:hAnsi="宋体"/>
          <w:color w:val="000000" w:themeColor="text1"/>
          <w:sz w:val="24"/>
          <w14:textFill>
            <w14:solidFill>
              <w14:schemeClr w14:val="tx1"/>
            </w14:solidFill>
          </w14:textFill>
        </w:rPr>
        <w:t>：</w:t>
      </w:r>
      <w:bookmarkEnd w:id="74"/>
      <w:bookmarkEnd w:id="75"/>
      <w:bookmarkEnd w:id="76"/>
      <w:bookmarkEnd w:id="77"/>
      <w:bookmarkEnd w:id="78"/>
      <w:bookmarkEnd w:id="79"/>
      <w:bookmarkEnd w:id="80"/>
      <w:bookmarkEnd w:id="81"/>
      <w:bookmarkEnd w:id="82"/>
      <w:bookmarkEnd w:id="83"/>
      <w:bookmarkEnd w:id="84"/>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职务：</w:t>
      </w:r>
      <w:r>
        <w:rPr>
          <w:rFonts w:ascii="宋体" w:hAnsi="宋体"/>
          <w:color w:val="000000" w:themeColor="text1"/>
          <w:sz w:val="24"/>
          <w:u w:val="single"/>
          <w14:textFill>
            <w14:solidFill>
              <w14:schemeClr w14:val="tx1"/>
            </w14:solidFill>
          </w14:textFill>
        </w:rPr>
        <w:t xml:space="preserve">        </w:t>
      </w:r>
    </w:p>
    <w:p>
      <w:pPr>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系</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（报价人名称）的法定代表人。</w:t>
      </w:r>
    </w:p>
    <w:p>
      <w:pPr>
        <w:spacing w:line="440" w:lineRule="exact"/>
        <w:ind w:firstLine="486"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特此证明。</w:t>
      </w:r>
    </w:p>
    <w:p>
      <w:pPr>
        <w:spacing w:line="440" w:lineRule="exact"/>
        <w:rPr>
          <w:rFonts w:ascii="宋体" w:hAnsi="宋体"/>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附：法定代表人身份证复印件。</w:t>
      </w:r>
    </w:p>
    <w:p>
      <w:pPr>
        <w:spacing w:line="440" w:lineRule="exact"/>
        <w:rPr>
          <w:rFonts w:ascii="宋体" w:hAnsi="宋体"/>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p>
    <w:p>
      <w:pPr>
        <w:pStyle w:val="14"/>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14"/>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p>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报价人：</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盖</w:t>
      </w:r>
      <w:r>
        <w:rPr>
          <w:rFonts w:ascii="宋体" w:hAnsi="宋体"/>
          <w:color w:val="000000" w:themeColor="text1"/>
          <w:sz w:val="24"/>
          <w14:textFill>
            <w14:solidFill>
              <w14:schemeClr w14:val="tx1"/>
            </w14:solidFill>
          </w14:textFill>
        </w:rPr>
        <w:t>单位</w:t>
      </w:r>
      <w:r>
        <w:rPr>
          <w:rFonts w:hint="eastAsia" w:ascii="宋体" w:hAnsi="宋体"/>
          <w:color w:val="000000" w:themeColor="text1"/>
          <w:sz w:val="24"/>
          <w14:textFill>
            <w14:solidFill>
              <w14:schemeClr w14:val="tx1"/>
            </w14:solidFill>
          </w14:textFill>
        </w:rPr>
        <w:t>鲜</w:t>
      </w:r>
      <w:r>
        <w:rPr>
          <w:rFonts w:ascii="宋体" w:hAnsi="宋体"/>
          <w:color w:val="000000" w:themeColor="text1"/>
          <w:sz w:val="24"/>
          <w14:textFill>
            <w14:solidFill>
              <w14:schemeClr w14:val="tx1"/>
            </w14:solidFill>
          </w14:textFill>
        </w:rPr>
        <w:t>公章）</w:t>
      </w:r>
    </w:p>
    <w:p>
      <w:pPr>
        <w:spacing w:line="440" w:lineRule="exact"/>
        <w:rPr>
          <w:rFonts w:ascii="宋体" w:hAnsi="宋体"/>
          <w:color w:val="000000" w:themeColor="text1"/>
          <w:sz w:val="24"/>
          <w14:textFill>
            <w14:solidFill>
              <w14:schemeClr w14:val="tx1"/>
            </w14:solidFill>
          </w14:textFill>
        </w:rPr>
      </w:pPr>
    </w:p>
    <w:p>
      <w:pPr>
        <w:spacing w:line="440" w:lineRule="exact"/>
        <w:ind w:firstLine="5349" w:firstLineChars="2200"/>
        <w:rPr>
          <w:rFonts w:ascii="宋体" w:hAnsi="宋体"/>
          <w:color w:val="000000" w:themeColor="text1"/>
          <w:sz w:val="24"/>
          <w14:textFill>
            <w14:solidFill>
              <w14:schemeClr w14:val="tx1"/>
            </w14:solidFill>
          </w14:textFill>
        </w:rPr>
      </w:pP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年</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月</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日</w:t>
      </w: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注：本身份证明需由报价人加盖单位</w:t>
      </w:r>
      <w:r>
        <w:rPr>
          <w:rFonts w:hint="eastAsia" w:ascii="宋体" w:hAnsi="宋体"/>
          <w:color w:val="000000" w:themeColor="text1"/>
          <w:sz w:val="24"/>
          <w14:textFill>
            <w14:solidFill>
              <w14:schemeClr w14:val="tx1"/>
            </w14:solidFill>
          </w14:textFill>
        </w:rPr>
        <w:t>鲜</w:t>
      </w:r>
      <w:r>
        <w:rPr>
          <w:rFonts w:ascii="宋体" w:hAnsi="宋体"/>
          <w:color w:val="000000" w:themeColor="text1"/>
          <w:sz w:val="24"/>
          <w14:textFill>
            <w14:solidFill>
              <w14:schemeClr w14:val="tx1"/>
            </w14:solidFill>
          </w14:textFill>
        </w:rPr>
        <w:t>公章。</w:t>
      </w:r>
    </w:p>
    <w:p>
      <w:pPr>
        <w:spacing w:line="440" w:lineRule="exact"/>
        <w:rPr>
          <w:rFonts w:ascii="宋体" w:hAnsi="宋体"/>
          <w:color w:val="000000" w:themeColor="text1"/>
          <w:sz w:val="20"/>
          <w14:textFill>
            <w14:solidFill>
              <w14:schemeClr w14:val="tx1"/>
            </w14:solidFill>
          </w14:textFill>
        </w:rPr>
      </w:pPr>
    </w:p>
    <w:p>
      <w:pPr>
        <w:spacing w:line="20" w:lineRule="exact"/>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br w:type="page"/>
      </w:r>
    </w:p>
    <w:p>
      <w:pPr>
        <w:pStyle w:val="4"/>
        <w:jc w:val="center"/>
        <w:rPr>
          <w:rFonts w:ascii="宋体" w:hAnsi="宋体"/>
          <w:color w:val="000000" w:themeColor="text1"/>
          <w:sz w:val="28"/>
          <w:szCs w:val="28"/>
          <w14:textFill>
            <w14:solidFill>
              <w14:schemeClr w14:val="tx1"/>
            </w14:solidFill>
          </w14:textFill>
        </w:rPr>
      </w:pPr>
      <w:bookmarkStart w:id="85" w:name="_Toc491883233"/>
      <w:r>
        <w:rPr>
          <w:rFonts w:hint="eastAsia" w:ascii="宋体" w:hAnsi="宋体"/>
          <w:color w:val="000000" w:themeColor="text1"/>
          <w:sz w:val="28"/>
          <w:szCs w:val="28"/>
          <w14:textFill>
            <w14:solidFill>
              <w14:schemeClr w14:val="tx1"/>
            </w14:solidFill>
          </w14:textFill>
        </w:rPr>
        <w:t>（二）</w:t>
      </w:r>
      <w:bookmarkEnd w:id="85"/>
      <w:r>
        <w:rPr>
          <w:rFonts w:hint="eastAsia" w:ascii="宋体" w:hAnsi="宋体"/>
          <w:color w:val="000000" w:themeColor="text1"/>
          <w:sz w:val="28"/>
          <w:szCs w:val="28"/>
          <w14:textFill>
            <w14:solidFill>
              <w14:schemeClr w14:val="tx1"/>
            </w14:solidFill>
          </w14:textFill>
        </w:rPr>
        <w:t>法定代表人授权委托书</w:t>
      </w:r>
    </w:p>
    <w:p>
      <w:pPr>
        <w:spacing w:line="440" w:lineRule="exact"/>
        <w:rPr>
          <w:rFonts w:ascii="宋体" w:hAnsi="宋体"/>
          <w:color w:val="000000" w:themeColor="text1"/>
          <w14:textFill>
            <w14:solidFill>
              <w14:schemeClr w14:val="tx1"/>
            </w14:solidFill>
          </w14:textFill>
        </w:rPr>
      </w:pPr>
    </w:p>
    <w:p>
      <w:pPr>
        <w:topLinePunct/>
        <w:spacing w:line="440" w:lineRule="exact"/>
        <w:ind w:firstLine="486"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本人</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（姓名）系</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（报价人名称）的法定代表人，现委托</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（姓名）为我方代理人。代理人根据授权，以我方名义签署、澄清确认、递交、撤回、修改</w:t>
      </w:r>
      <w:r>
        <w:rPr>
          <w:rFonts w:hint="eastAsia" w:ascii="宋体" w:hAnsi="宋体"/>
          <w:color w:val="000000" w:themeColor="text1"/>
          <w:sz w:val="24"/>
          <w:u w:val="single"/>
          <w14:textFill>
            <w14:solidFill>
              <w14:schemeClr w14:val="tx1"/>
            </w14:solidFill>
          </w14:textFill>
        </w:rPr>
        <w:t>2021年网络安全咨询服务(二）</w:t>
      </w:r>
      <w:r>
        <w:rPr>
          <w:rFonts w:ascii="宋体" w:hAnsi="宋体"/>
          <w:color w:val="000000" w:themeColor="text1"/>
          <w:sz w:val="24"/>
          <w14:textFill>
            <w14:solidFill>
              <w14:schemeClr w14:val="tx1"/>
            </w14:solidFill>
          </w14:textFill>
        </w:rPr>
        <w:t>竞争性比选响应文件、签订合同和处理有关事宜，其法律后果由我方承担。</w:t>
      </w:r>
    </w:p>
    <w:p>
      <w:pPr>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委托期限：</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p>
    <w:p>
      <w:pPr>
        <w:spacing w:line="440" w:lineRule="exact"/>
        <w:ind w:firstLine="486"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代理人无转委托权。</w:t>
      </w:r>
    </w:p>
    <w:p>
      <w:pPr>
        <w:spacing w:line="440" w:lineRule="exact"/>
        <w:ind w:firstLine="486" w:firstLineChars="200"/>
        <w:rPr>
          <w:rFonts w:ascii="宋体" w:hAnsi="宋体"/>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附：法定代表人身份证复印件及委托代理人身份证复印件</w:t>
      </w:r>
    </w:p>
    <w:p>
      <w:pPr>
        <w:spacing w:line="440" w:lineRule="exact"/>
        <w:rPr>
          <w:rFonts w:ascii="宋体" w:hAnsi="宋体"/>
          <w:color w:val="000000" w:themeColor="text1"/>
          <w:sz w:val="24"/>
          <w14:textFill>
            <w14:solidFill>
              <w14:schemeClr w14:val="tx1"/>
            </w14:solidFill>
          </w14:textFill>
        </w:rPr>
      </w:pPr>
    </w:p>
    <w:p>
      <w:pPr>
        <w:spacing w:line="440" w:lineRule="exact"/>
        <w:ind w:firstLine="3117" w:firstLineChars="128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  价</w:t>
      </w:r>
      <w:r>
        <w:rPr>
          <w:rFonts w:ascii="宋体" w:hAnsi="宋体"/>
          <w:color w:val="000000" w:themeColor="text1"/>
          <w:sz w:val="24"/>
          <w14:textFill>
            <w14:solidFill>
              <w14:schemeClr w14:val="tx1"/>
            </w14:solidFill>
          </w14:textFill>
        </w:rPr>
        <w:t xml:space="preserve">  人：</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盖</w:t>
      </w:r>
      <w:r>
        <w:rPr>
          <w:rFonts w:ascii="宋体" w:hAnsi="宋体"/>
          <w:color w:val="000000" w:themeColor="text1"/>
          <w:sz w:val="24"/>
          <w14:textFill>
            <w14:solidFill>
              <w14:schemeClr w14:val="tx1"/>
            </w14:solidFill>
          </w14:textFill>
        </w:rPr>
        <w:t>单位</w:t>
      </w:r>
      <w:r>
        <w:rPr>
          <w:rFonts w:hint="eastAsia" w:ascii="宋体" w:hAnsi="宋体"/>
          <w:color w:val="000000" w:themeColor="text1"/>
          <w:sz w:val="24"/>
          <w14:textFill>
            <w14:solidFill>
              <w14:schemeClr w14:val="tx1"/>
            </w14:solidFill>
          </w14:textFill>
        </w:rPr>
        <w:t>鲜</w:t>
      </w:r>
      <w:r>
        <w:rPr>
          <w:rFonts w:ascii="宋体" w:hAnsi="宋体"/>
          <w:color w:val="000000" w:themeColor="text1"/>
          <w:sz w:val="24"/>
          <w14:textFill>
            <w14:solidFill>
              <w14:schemeClr w14:val="tx1"/>
            </w14:solidFill>
          </w14:textFill>
        </w:rPr>
        <w:t>公章）</w:t>
      </w:r>
    </w:p>
    <w:p>
      <w:pPr>
        <w:spacing w:line="440" w:lineRule="exact"/>
        <w:ind w:firstLine="3114" w:firstLineChars="1281"/>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法定代表人：</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14:textFill>
            <w14:solidFill>
              <w14:schemeClr w14:val="tx1"/>
            </w14:solidFill>
          </w14:textFill>
        </w:rPr>
        <w:t>（签字</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p>
    <w:p>
      <w:pPr>
        <w:spacing w:line="440" w:lineRule="exact"/>
        <w:ind w:firstLine="3117" w:firstLineChars="1282"/>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身份证号码：</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ab/>
      </w:r>
    </w:p>
    <w:p>
      <w:pPr>
        <w:spacing w:line="440" w:lineRule="exact"/>
        <w:ind w:firstLine="3117" w:firstLineChars="1282"/>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委托代理人：</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14:textFill>
            <w14:solidFill>
              <w14:schemeClr w14:val="tx1"/>
            </w14:solidFill>
          </w14:textFill>
        </w:rPr>
        <w:t>（签字）</w:t>
      </w:r>
    </w:p>
    <w:p>
      <w:pPr>
        <w:spacing w:line="440" w:lineRule="exact"/>
        <w:ind w:firstLine="3117" w:firstLineChars="1282"/>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身份证号码：</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ab/>
      </w:r>
    </w:p>
    <w:p>
      <w:pPr>
        <w:spacing w:line="440" w:lineRule="exact"/>
        <w:ind w:firstLine="3117" w:firstLineChars="1282"/>
        <w:rPr>
          <w:rFonts w:ascii="宋体" w:hAnsi="宋体"/>
          <w:color w:val="000000" w:themeColor="text1"/>
          <w:sz w:val="24"/>
          <w14:textFill>
            <w14:solidFill>
              <w14:schemeClr w14:val="tx1"/>
            </w14:solidFill>
          </w14:textFill>
        </w:rPr>
      </w:pPr>
    </w:p>
    <w:p>
      <w:pPr>
        <w:spacing w:line="440" w:lineRule="exact"/>
        <w:ind w:firstLine="4697" w:firstLineChars="1932"/>
        <w:jc w:val="right"/>
        <w:rPr>
          <w:rFonts w:ascii="宋体" w:hAnsi="宋体"/>
          <w:color w:val="000000" w:themeColor="text1"/>
          <w:sz w:val="24"/>
          <w14:textFill>
            <w14:solidFill>
              <w14:schemeClr w14:val="tx1"/>
            </w14:solidFill>
          </w14:textFill>
        </w:rPr>
      </w:pP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年</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月</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日</w:t>
      </w:r>
    </w:p>
    <w:p>
      <w:pPr>
        <w:rPr>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注：本授权委托书需由报价人加盖单位</w:t>
      </w:r>
      <w:r>
        <w:rPr>
          <w:rFonts w:hint="eastAsia" w:ascii="宋体" w:hAnsi="宋体"/>
          <w:bCs/>
          <w:color w:val="000000" w:themeColor="text1"/>
          <w:sz w:val="24"/>
          <w14:textFill>
            <w14:solidFill>
              <w14:schemeClr w14:val="tx1"/>
            </w14:solidFill>
          </w14:textFill>
        </w:rPr>
        <w:t>鲜</w:t>
      </w:r>
      <w:r>
        <w:rPr>
          <w:rFonts w:ascii="宋体" w:hAnsi="宋体"/>
          <w:bCs/>
          <w:color w:val="000000" w:themeColor="text1"/>
          <w:sz w:val="24"/>
          <w14:textFill>
            <w14:solidFill>
              <w14:schemeClr w14:val="tx1"/>
            </w14:solidFill>
          </w14:textFill>
        </w:rPr>
        <w:t>公章并由其法定代表人和委托代理人签字。</w:t>
      </w:r>
    </w:p>
    <w:p>
      <w:pPr>
        <w:pStyle w:val="16"/>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r>
        <w:rPr>
          <w:rFonts w:hint="eastAsia"/>
          <w:color w:val="000000" w:themeColor="text1"/>
          <w14:textFill>
            <w14:solidFill>
              <w14:schemeClr w14:val="tx1"/>
            </w14:solidFill>
          </w14:textFill>
        </w:rPr>
        <w:t>三、报价一览表</w:t>
      </w:r>
    </w:p>
    <w:p>
      <w:pPr>
        <w:pStyle w:val="15"/>
        <w:ind w:firstLine="488" w:firstLineChars="200"/>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重庆首讯科技股份有限公司：</w:t>
      </w:r>
    </w:p>
    <w:p>
      <w:pPr>
        <w:spacing w:line="360" w:lineRule="auto"/>
        <w:ind w:firstLine="486"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在研究了竞争性比选文件中所有文件后，我司对</w:t>
      </w:r>
      <w:r>
        <w:rPr>
          <w:rFonts w:hint="eastAsia" w:ascii="宋体" w:hAnsi="宋体"/>
          <w:color w:val="000000" w:themeColor="text1"/>
          <w:sz w:val="24"/>
          <w:u w:val="single"/>
          <w14:textFill>
            <w14:solidFill>
              <w14:schemeClr w14:val="tx1"/>
            </w14:solidFill>
          </w14:textFill>
        </w:rPr>
        <w:t>2021年网络安全咨询服务(二）</w:t>
      </w:r>
      <w:r>
        <w:rPr>
          <w:rFonts w:hint="eastAsia" w:ascii="宋体" w:hAnsi="宋体"/>
          <w:color w:val="000000" w:themeColor="text1"/>
          <w:sz w:val="24"/>
          <w14:textFill>
            <w14:solidFill>
              <w14:schemeClr w14:val="tx1"/>
            </w14:solidFill>
          </w14:textFill>
        </w:rPr>
        <w:t>竞争性比选响应报价如下：</w:t>
      </w:r>
    </w:p>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报价一览表</w:t>
      </w:r>
    </w:p>
    <w:p>
      <w:pPr>
        <w:pStyle w:val="2"/>
        <w:rPr>
          <w:rFonts w:ascii="宋体" w:hAnsi="宋体"/>
          <w:color w:val="000000" w:themeColor="text1"/>
          <w:sz w:val="24"/>
          <w14:textFill>
            <w14:solidFill>
              <w14:schemeClr w14:val="tx1"/>
            </w14:solidFill>
          </w14:textFill>
        </w:rPr>
      </w:pPr>
    </w:p>
    <w:tbl>
      <w:tblPr>
        <w:tblStyle w:val="35"/>
        <w:tblW w:w="964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801"/>
        <w:gridCol w:w="3203"/>
        <w:gridCol w:w="3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序号</w:t>
            </w:r>
          </w:p>
        </w:tc>
        <w:tc>
          <w:tcPr>
            <w:tcW w:w="5004" w:type="dxa"/>
            <w:gridSpan w:val="2"/>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服务单位及路段</w:t>
            </w:r>
          </w:p>
        </w:tc>
        <w:tc>
          <w:tcPr>
            <w:tcW w:w="3786"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w:t>
            </w:r>
          </w:p>
        </w:tc>
        <w:tc>
          <w:tcPr>
            <w:tcW w:w="5004" w:type="dxa"/>
            <w:gridSpan w:val="2"/>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sz w:val="24"/>
                <w:szCs w:val="28"/>
              </w:rPr>
              <w:t>中渝营运分公司（</w:t>
            </w:r>
            <w:r>
              <w:rPr>
                <w:rFonts w:asciiTheme="minorEastAsia" w:hAnsiTheme="minorEastAsia" w:eastAsiaTheme="minorEastAsia" w:cstheme="minorEastAsia"/>
                <w:sz w:val="24"/>
                <w:szCs w:val="28"/>
              </w:rPr>
              <w:t>6</w:t>
            </w:r>
            <w:r>
              <w:rPr>
                <w:rFonts w:hint="eastAsia" w:asciiTheme="minorEastAsia" w:hAnsiTheme="minorEastAsia" w:eastAsiaTheme="minorEastAsia" w:cstheme="minorEastAsia"/>
                <w:sz w:val="24"/>
                <w:szCs w:val="28"/>
              </w:rPr>
              <w:t>个路段中心）</w:t>
            </w:r>
          </w:p>
        </w:tc>
        <w:tc>
          <w:tcPr>
            <w:tcW w:w="3786" w:type="dxa"/>
            <w:vMerge w:val="restart"/>
            <w:vAlign w:val="center"/>
          </w:tcPr>
          <w:p>
            <w:pPr>
              <w:spacing w:line="360" w:lineRule="auto"/>
              <w:jc w:val="left"/>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sz w:val="24"/>
                <w:szCs w:val="28"/>
              </w:rPr>
              <w:t>收费网、视频网、监控网、办公网相关信息系统及基础设施的网络安全服务，详见下表。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2</w:t>
            </w:r>
          </w:p>
        </w:tc>
        <w:tc>
          <w:tcPr>
            <w:tcW w:w="5004" w:type="dxa"/>
            <w:gridSpan w:val="2"/>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sz w:val="24"/>
                <w:szCs w:val="28"/>
              </w:rPr>
              <w:t>东南营运分公司（4个路段中心）</w:t>
            </w:r>
          </w:p>
        </w:tc>
        <w:tc>
          <w:tcPr>
            <w:tcW w:w="3786" w:type="dxa"/>
            <w:vMerge w:val="continue"/>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3</w:t>
            </w:r>
          </w:p>
        </w:tc>
        <w:tc>
          <w:tcPr>
            <w:tcW w:w="5004" w:type="dxa"/>
            <w:gridSpan w:val="2"/>
            <w:vAlign w:val="center"/>
          </w:tcPr>
          <w:p>
            <w:pPr>
              <w:spacing w:line="360" w:lineRule="auto"/>
              <w:ind w:firstLine="729" w:firstLineChars="3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sz w:val="24"/>
                <w:szCs w:val="28"/>
              </w:rPr>
              <w:t>高速集团公司</w:t>
            </w:r>
          </w:p>
        </w:tc>
        <w:tc>
          <w:tcPr>
            <w:tcW w:w="3786" w:type="dxa"/>
            <w:vMerge w:val="continue"/>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4</w:t>
            </w:r>
          </w:p>
        </w:tc>
        <w:tc>
          <w:tcPr>
            <w:tcW w:w="1801" w:type="dxa"/>
            <w:vAlign w:val="center"/>
          </w:tcPr>
          <w:p>
            <w:pPr>
              <w:spacing w:line="360" w:lineRule="auto"/>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报价（元）</w:t>
            </w:r>
          </w:p>
        </w:tc>
        <w:tc>
          <w:tcPr>
            <w:tcW w:w="3203" w:type="dxa"/>
            <w:vAlign w:val="center"/>
          </w:tcPr>
          <w:p>
            <w:pPr>
              <w:spacing w:line="360" w:lineRule="auto"/>
              <w:jc w:val="left"/>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大写：</w:t>
            </w:r>
            <w:r>
              <w:rPr>
                <w:rFonts w:asciiTheme="minorEastAsia" w:hAnsiTheme="minorEastAsia" w:eastAsiaTheme="minorEastAsia" w:cstheme="minorEastAsia"/>
                <w:b/>
                <w:bCs/>
                <w:color w:val="000000" w:themeColor="text1"/>
                <w:sz w:val="24"/>
                <w14:textFill>
                  <w14:solidFill>
                    <w14:schemeClr w14:val="tx1"/>
                  </w14:solidFill>
                </w14:textFill>
              </w:rPr>
              <w:t xml:space="preserve"> </w:t>
            </w:r>
          </w:p>
          <w:p>
            <w:pPr>
              <w:spacing w:line="360" w:lineRule="auto"/>
              <w:jc w:val="left"/>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小写：</w:t>
            </w:r>
          </w:p>
        </w:tc>
        <w:tc>
          <w:tcPr>
            <w:tcW w:w="3786"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p>
        </w:tc>
      </w:tr>
    </w:tbl>
    <w:p/>
    <w:p/>
    <w:p>
      <w:pPr>
        <w:spacing w:line="360" w:lineRule="auto"/>
        <w:ind w:firstLine="486" w:firstLineChars="200"/>
        <w:jc w:val="left"/>
        <w:rPr>
          <w:rFonts w:ascii="宋体" w:hAnsi="宋体"/>
          <w:color w:val="000000" w:themeColor="text1"/>
          <w:sz w:val="24"/>
          <w14:textFill>
            <w14:solidFill>
              <w14:schemeClr w14:val="tx1"/>
            </w14:solidFill>
          </w14:textFill>
        </w:rPr>
      </w:pPr>
    </w:p>
    <w:p>
      <w:pPr>
        <w:tabs>
          <w:tab w:val="left" w:pos="900"/>
        </w:tabs>
        <w:spacing w:line="360" w:lineRule="auto"/>
        <w:ind w:firstLine="488" w:firstLineChars="200"/>
        <w:rPr>
          <w:rFonts w:ascii="Arial" w:hAnsi="Arial" w:cs="Arial"/>
          <w:b/>
          <w:color w:val="000000" w:themeColor="text1"/>
          <w:sz w:val="24"/>
          <w14:textFill>
            <w14:solidFill>
              <w14:schemeClr w14:val="tx1"/>
            </w14:solidFill>
          </w14:textFill>
        </w:rPr>
      </w:pPr>
    </w:p>
    <w:p>
      <w:pPr>
        <w:tabs>
          <w:tab w:val="left" w:pos="900"/>
        </w:tabs>
        <w:spacing w:line="360" w:lineRule="auto"/>
        <w:ind w:firstLine="488" w:firstLineChars="200"/>
        <w:rPr>
          <w:rFonts w:ascii="Arial" w:hAnsi="Arial" w:cs="Arial"/>
          <w:color w:val="000000" w:themeColor="text1"/>
          <w:sz w:val="24"/>
          <w:u w:val="single"/>
          <w14:textFill>
            <w14:solidFill>
              <w14:schemeClr w14:val="tx1"/>
            </w14:solidFill>
          </w14:textFill>
        </w:rPr>
      </w:pPr>
      <w:r>
        <w:rPr>
          <w:rFonts w:hint="eastAsia" w:ascii="Arial" w:hAnsi="Arial" w:cs="Arial"/>
          <w:b/>
          <w:color w:val="000000" w:themeColor="text1"/>
          <w:sz w:val="24"/>
          <w14:textFill>
            <w14:solidFill>
              <w14:schemeClr w14:val="tx1"/>
            </w14:solidFill>
          </w14:textFill>
        </w:rPr>
        <w:t>报价人名称（加盖公章）：</w:t>
      </w:r>
      <w:r>
        <w:rPr>
          <w:rFonts w:ascii="Arial" w:hAnsi="Arial" w:cs="Arial"/>
          <w:b/>
          <w:color w:val="000000" w:themeColor="text1"/>
          <w:sz w:val="24"/>
          <w:u w:val="single"/>
          <w14:textFill>
            <w14:solidFill>
              <w14:schemeClr w14:val="tx1"/>
            </w14:solidFill>
          </w14:textFill>
        </w:rPr>
        <w:t xml:space="preserve"> </w:t>
      </w:r>
      <w:r>
        <w:rPr>
          <w:rFonts w:ascii="Arial" w:hAnsi="Arial" w:cs="Arial"/>
          <w:color w:val="000000" w:themeColor="text1"/>
          <w:sz w:val="24"/>
          <w:u w:val="single"/>
          <w14:textFill>
            <w14:solidFill>
              <w14:schemeClr w14:val="tx1"/>
            </w14:solidFill>
          </w14:textFill>
        </w:rPr>
        <w:t xml:space="preserve">                       </w:t>
      </w:r>
    </w:p>
    <w:p>
      <w:pPr>
        <w:tabs>
          <w:tab w:val="left" w:pos="900"/>
        </w:tabs>
        <w:spacing w:line="360" w:lineRule="auto"/>
        <w:ind w:firstLine="488" w:firstLineChars="200"/>
        <w:rPr>
          <w:rFonts w:ascii="Arial" w:hAnsi="Arial" w:cs="Arial"/>
          <w:b/>
          <w:color w:val="000000" w:themeColor="text1"/>
          <w:sz w:val="24"/>
          <w14:textFill>
            <w14:solidFill>
              <w14:schemeClr w14:val="tx1"/>
            </w14:solidFill>
          </w14:textFill>
        </w:rPr>
      </w:pPr>
      <w:r>
        <w:rPr>
          <w:rFonts w:hint="eastAsia" w:ascii="Arial" w:hAnsi="Arial" w:cs="Arial"/>
          <w:b/>
          <w:color w:val="000000" w:themeColor="text1"/>
          <w:sz w:val="24"/>
          <w14:textFill>
            <w14:solidFill>
              <w14:schemeClr w14:val="tx1"/>
            </w14:solidFill>
          </w14:textFill>
        </w:rPr>
        <w:t>报价人法定代表人或授权代表人（签字）：</w:t>
      </w:r>
      <w:r>
        <w:rPr>
          <w:rFonts w:ascii="Arial" w:hAnsi="Arial" w:cs="Arial"/>
          <w:b/>
          <w:color w:val="000000" w:themeColor="text1"/>
          <w:sz w:val="24"/>
          <w:u w:val="single"/>
          <w14:textFill>
            <w14:solidFill>
              <w14:schemeClr w14:val="tx1"/>
            </w14:solidFill>
          </w14:textFill>
        </w:rPr>
        <w:t xml:space="preserve">               </w:t>
      </w:r>
    </w:p>
    <w:p>
      <w:pPr>
        <w:tabs>
          <w:tab w:val="left" w:pos="900"/>
        </w:tabs>
        <w:spacing w:line="360" w:lineRule="auto"/>
        <w:ind w:firstLine="486"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日期：</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年</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月</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日</w:t>
      </w:r>
      <w:r>
        <w:rPr>
          <w:rFonts w:ascii="Arial" w:hAnsi="Arial" w:cs="Arial"/>
          <w:color w:val="000000" w:themeColor="text1"/>
          <w:sz w:val="24"/>
          <w14:textFill>
            <w14:solidFill>
              <w14:schemeClr w14:val="tx1"/>
            </w14:solidFill>
          </w14:textFill>
        </w:rPr>
        <w:t xml:space="preserve"> </w:t>
      </w:r>
    </w:p>
    <w:p>
      <w:pPr>
        <w:pStyle w:val="16"/>
        <w:rPr>
          <w:b w:val="0"/>
          <w:color w:val="000000" w:themeColor="text1"/>
          <w:sz w:val="24"/>
          <w14:textFill>
            <w14:solidFill>
              <w14:schemeClr w14:val="tx1"/>
            </w14:solidFill>
          </w14:textFill>
        </w:rPr>
      </w:pPr>
      <w:r>
        <w:rPr>
          <w:b w:val="0"/>
          <w:color w:val="000000" w:themeColor="text1"/>
          <w:sz w:val="24"/>
          <w14:textFill>
            <w14:solidFill>
              <w14:schemeClr w14:val="tx1"/>
            </w14:solidFill>
          </w14:textFill>
        </w:rPr>
        <w:br w:type="page"/>
      </w:r>
    </w:p>
    <w:p>
      <w:pPr>
        <w:widowControl/>
        <w:jc w:val="center"/>
        <w:rPr>
          <w:rFonts w:ascii="Cambria" w:hAnsi="Cambria"/>
          <w:b/>
          <w:bCs/>
          <w:color w:val="000000" w:themeColor="text1"/>
          <w:sz w:val="32"/>
          <w:szCs w:val="32"/>
          <w14:textFill>
            <w14:solidFill>
              <w14:schemeClr w14:val="tx1"/>
            </w14:solidFill>
          </w14:textFill>
        </w:rPr>
      </w:pPr>
      <w:r>
        <w:rPr>
          <w:rFonts w:hint="eastAsia" w:ascii="Cambria" w:hAnsi="Cambria"/>
          <w:b/>
          <w:bCs/>
          <w:color w:val="000000" w:themeColor="text1"/>
          <w:sz w:val="32"/>
          <w:szCs w:val="32"/>
          <w14:textFill>
            <w14:solidFill>
              <w14:schemeClr w14:val="tx1"/>
            </w14:solidFill>
          </w14:textFill>
        </w:rPr>
        <w:t>四、资格要求材料</w:t>
      </w:r>
    </w:p>
    <w:p>
      <w:pPr>
        <w:spacing w:line="360" w:lineRule="auto"/>
        <w:rPr>
          <w:rFonts w:ascii="宋体" w:hAnsi="宋体" w:cs="宋体"/>
          <w:color w:val="000000" w:themeColor="text1"/>
          <w:sz w:val="24"/>
          <w:szCs w:val="28"/>
          <w14:textFill>
            <w14:solidFill>
              <w14:schemeClr w14:val="tx1"/>
            </w14:solidFill>
          </w14:textFill>
        </w:rPr>
      </w:pPr>
    </w:p>
    <w:p>
      <w:pPr>
        <w:spacing w:line="360" w:lineRule="auto"/>
        <w:rPr>
          <w:rFonts w:ascii="宋体" w:hAnsi="宋体" w:cs="宋体"/>
          <w:b/>
          <w:bCs/>
          <w:color w:val="000000" w:themeColor="text1"/>
          <w:sz w:val="24"/>
          <w:szCs w:val="28"/>
          <w14:textFill>
            <w14:solidFill>
              <w14:schemeClr w14:val="tx1"/>
            </w14:solidFill>
          </w14:textFill>
        </w:rPr>
      </w:pPr>
      <w:r>
        <w:rPr>
          <w:rFonts w:hint="eastAsia" w:ascii="宋体" w:hAnsi="宋体" w:cs="宋体"/>
          <w:b/>
          <w:bCs/>
          <w:color w:val="000000" w:themeColor="text1"/>
          <w:sz w:val="24"/>
          <w:szCs w:val="28"/>
          <w14:textFill>
            <w14:solidFill>
              <w14:schemeClr w14:val="tx1"/>
            </w14:solidFill>
          </w14:textFill>
        </w:rPr>
        <w:t>（一）资格条件</w:t>
      </w:r>
    </w:p>
    <w:p>
      <w:pPr>
        <w:spacing w:line="360" w:lineRule="auto"/>
        <w:ind w:firstLine="488" w:firstLineChars="200"/>
        <w:rPr>
          <w:rFonts w:hint="eastAsia"/>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1．具有独立法人资格，具有有效的营业执照；</w:t>
      </w:r>
    </w:p>
    <w:p>
      <w:pPr>
        <w:spacing w:line="360" w:lineRule="auto"/>
        <w:ind w:firstLine="488" w:firstLineChars="200"/>
        <w:rPr>
          <w:rFonts w:hint="eastAsia"/>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2．网站安全监测厂商资质要求：厂商需为微软安全响应中心MAPP计划成员，具备国家信息安全测评中心颁发的信息安全服务资质证书-安全工程类三级以上，</w:t>
      </w:r>
    </w:p>
    <w:p>
      <w:pPr>
        <w:spacing w:line="360" w:lineRule="auto"/>
        <w:ind w:firstLine="488" w:firstLineChars="200"/>
        <w:rPr>
          <w:rFonts w:hint="eastAsia"/>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3．安全服务商资质要求：具备国家信息安全测评信息安全服务资质证书-安全开发类二级资质。</w:t>
      </w:r>
    </w:p>
    <w:p>
      <w:pPr>
        <w:spacing w:line="360" w:lineRule="auto"/>
        <w:ind w:firstLine="488" w:firstLineChars="200"/>
        <w:rPr>
          <w:rFonts w:hint="eastAsia"/>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4．信誉良好：在国家企业信用信息公示系统（http://www.gsxt.gov.cn/）中未被列入严重违法失信企业名单（黑名单）信息；在“信用中国”网站（http://www.creditchina.gov.cn/）中未被列入失信惩戒执行人名单；</w:t>
      </w:r>
    </w:p>
    <w:p>
      <w:pPr>
        <w:spacing w:line="360" w:lineRule="auto"/>
        <w:ind w:firstLine="488" w:firstLineChars="200"/>
        <w:rPr>
          <w:rFonts w:hint="eastAsia"/>
          <w:b/>
          <w:bCs/>
          <w:color w:val="000000" w:themeColor="text1"/>
          <w:sz w:val="24"/>
          <w:szCs w:val="28"/>
          <w14:textFill>
            <w14:solidFill>
              <w14:schemeClr w14:val="tx1"/>
            </w14:solidFill>
          </w14:textFill>
        </w:rPr>
      </w:pPr>
      <w:r>
        <w:rPr>
          <w:rFonts w:hint="eastAsia"/>
          <w:b/>
          <w:bCs/>
          <w:color w:val="000000" w:themeColor="text1"/>
          <w:sz w:val="24"/>
          <w:szCs w:val="28"/>
          <w14:textFill>
            <w14:solidFill>
              <w14:schemeClr w14:val="tx1"/>
            </w14:solidFill>
          </w14:textFill>
        </w:rPr>
        <w:t>说明：本项目安全服务内容均需要安全服务提供商提供原厂服务，如代理商投标，则需要提供安全服务提供商原厂出具对此项目的授权函、原厂技术支持及售后服务承诺函，从而代表安全服务提供商参与本项目。</w:t>
      </w:r>
    </w:p>
    <w:p>
      <w:pPr>
        <w:spacing w:line="360" w:lineRule="auto"/>
        <w:ind w:firstLine="488" w:firstLineChars="200"/>
        <w:rPr>
          <w:rFonts w:ascii="宋体" w:hAnsi="宋体" w:cs="宋体"/>
          <w:b/>
          <w:bCs/>
          <w:color w:val="000000" w:themeColor="text1"/>
          <w:sz w:val="24"/>
          <w:szCs w:val="28"/>
          <w14:textFill>
            <w14:solidFill>
              <w14:schemeClr w14:val="tx1"/>
            </w14:solidFill>
          </w14:textFill>
        </w:rPr>
      </w:pPr>
      <w:r>
        <w:rPr>
          <w:rFonts w:hint="eastAsia" w:ascii="宋体" w:hAnsi="宋体" w:cs="宋体"/>
          <w:b/>
          <w:bCs/>
          <w:color w:val="000000" w:themeColor="text1"/>
          <w:sz w:val="24"/>
          <w:szCs w:val="28"/>
          <w14:textFill>
            <w14:solidFill>
              <w14:schemeClr w14:val="tx1"/>
            </w14:solidFill>
          </w14:textFill>
        </w:rPr>
        <w:t>注：提供以上</w:t>
      </w:r>
      <w:r>
        <w:rPr>
          <w:rFonts w:hint="eastAsia" w:ascii="宋体" w:hAnsi="宋体" w:cs="宋体"/>
          <w:b/>
          <w:bCs/>
          <w:color w:val="000000" w:themeColor="text1"/>
          <w:sz w:val="24"/>
          <w:szCs w:val="28"/>
          <w:lang w:val="en-US" w:eastAsia="zh-CN"/>
          <w14:textFill>
            <w14:solidFill>
              <w14:schemeClr w14:val="tx1"/>
            </w14:solidFill>
          </w14:textFill>
        </w:rPr>
        <w:t>营业执照、资质证书复印件，</w:t>
      </w:r>
      <w:r>
        <w:rPr>
          <w:rFonts w:hint="eastAsia" w:ascii="宋体" w:hAnsi="宋体" w:cs="宋体"/>
          <w:b/>
          <w:bCs/>
          <w:color w:val="000000" w:themeColor="text1"/>
          <w:sz w:val="24"/>
          <w:szCs w:val="28"/>
          <w14:textFill>
            <w14:solidFill>
              <w14:schemeClr w14:val="tx1"/>
            </w14:solidFill>
          </w14:textFill>
        </w:rPr>
        <w:t>网站查询结果截图</w:t>
      </w:r>
      <w:r>
        <w:rPr>
          <w:rFonts w:hint="eastAsia" w:ascii="宋体" w:hAnsi="宋体" w:cs="宋体"/>
          <w:b/>
          <w:bCs/>
          <w:color w:val="000000" w:themeColor="text1"/>
          <w:sz w:val="24"/>
          <w:szCs w:val="28"/>
          <w:lang w:eastAsia="zh-CN"/>
          <w14:textFill>
            <w14:solidFill>
              <w14:schemeClr w14:val="tx1"/>
            </w14:solidFill>
          </w14:textFill>
        </w:rPr>
        <w:t>。</w:t>
      </w:r>
    </w:p>
    <w:p>
      <w:pPr>
        <w:widowControl/>
        <w:jc w:val="left"/>
        <w:rPr>
          <w:rFonts w:ascii="宋体" w:hAnsi="宋体" w:cs="宋体"/>
          <w:b/>
          <w:bCs/>
          <w:color w:val="000000" w:themeColor="text1"/>
          <w:sz w:val="24"/>
          <w:szCs w:val="28"/>
          <w14:textFill>
            <w14:solidFill>
              <w14:schemeClr w14:val="tx1"/>
            </w14:solidFill>
          </w14:textFill>
        </w:rPr>
      </w:pPr>
      <w:r>
        <w:rPr>
          <w:rFonts w:ascii="宋体" w:hAnsi="宋体" w:cs="宋体"/>
          <w:b/>
          <w:bCs/>
          <w:color w:val="000000" w:themeColor="text1"/>
          <w:sz w:val="24"/>
          <w:szCs w:val="28"/>
          <w14:textFill>
            <w14:solidFill>
              <w14:schemeClr w14:val="tx1"/>
            </w14:solidFill>
          </w14:textFill>
        </w:rPr>
        <w:br w:type="page"/>
      </w:r>
    </w:p>
    <w:p>
      <w:pPr>
        <w:rPr>
          <w:rFonts w:ascii="宋体" w:hAnsi="宋体" w:cs="宋体"/>
          <w:b/>
          <w:bCs/>
          <w:color w:val="000000" w:themeColor="text1"/>
          <w:sz w:val="24"/>
          <w:szCs w:val="28"/>
          <w14:textFill>
            <w14:solidFill>
              <w14:schemeClr w14:val="tx1"/>
            </w14:solidFill>
          </w14:textFill>
        </w:rPr>
      </w:pPr>
    </w:p>
    <w:p>
      <w:pPr>
        <w:spacing w:line="360" w:lineRule="auto"/>
        <w:jc w:val="center"/>
        <w:rPr>
          <w:rFonts w:ascii="宋体" w:hAnsi="宋体" w:cs="宋体"/>
          <w:b/>
          <w:bCs/>
          <w:color w:val="000000" w:themeColor="text1"/>
          <w:sz w:val="24"/>
          <w:szCs w:val="28"/>
          <w14:textFill>
            <w14:solidFill>
              <w14:schemeClr w14:val="tx1"/>
            </w14:solidFill>
          </w14:textFill>
        </w:rPr>
      </w:pPr>
      <w:r>
        <w:rPr>
          <w:rFonts w:hint="eastAsia" w:ascii="宋体" w:hAnsi="宋体" w:cs="宋体"/>
          <w:b/>
          <w:bCs/>
          <w:color w:val="000000" w:themeColor="text1"/>
          <w:sz w:val="24"/>
          <w:szCs w:val="28"/>
          <w14:textFill>
            <w14:solidFill>
              <w14:schemeClr w14:val="tx1"/>
            </w14:solidFill>
          </w14:textFill>
        </w:rPr>
        <w:t>（二）商务及技术评分资料</w:t>
      </w:r>
    </w:p>
    <w:p>
      <w:pPr>
        <w:spacing w:line="360" w:lineRule="auto"/>
        <w:jc w:val="center"/>
        <w:outlineLvl w:val="2"/>
        <w:rPr>
          <w:b/>
          <w:sz w:val="24"/>
        </w:rPr>
      </w:pPr>
      <w:bookmarkStart w:id="86" w:name="OLE_LINK34"/>
      <w:r>
        <w:rPr>
          <w:rFonts w:hint="eastAsia"/>
          <w:bCs/>
          <w:sz w:val="24"/>
        </w:rPr>
        <w:t>商务及技术部分</w:t>
      </w:r>
      <w:bookmarkEnd w:id="86"/>
      <w:r>
        <w:rPr>
          <w:rFonts w:hint="eastAsia"/>
          <w:bCs/>
          <w:sz w:val="24"/>
        </w:rPr>
        <w:t>资料目录</w:t>
      </w:r>
    </w:p>
    <w:tbl>
      <w:tblPr>
        <w:tblStyle w:val="19"/>
        <w:tblW w:w="9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519"/>
        <w:gridCol w:w="3030"/>
        <w:gridCol w:w="2895"/>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623" w:type="dxa"/>
            <w:vAlign w:val="center"/>
          </w:tcPr>
          <w:p>
            <w:pPr>
              <w:pStyle w:val="33"/>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序号</w:t>
            </w:r>
          </w:p>
        </w:tc>
        <w:tc>
          <w:tcPr>
            <w:tcW w:w="1519" w:type="dxa"/>
            <w:vAlign w:val="center"/>
          </w:tcPr>
          <w:p>
            <w:pPr>
              <w:pStyle w:val="33"/>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bCs/>
                <w:sz w:val="18"/>
                <w:szCs w:val="18"/>
              </w:rPr>
              <w:t>对应评分标准</w:t>
            </w:r>
          </w:p>
        </w:tc>
        <w:tc>
          <w:tcPr>
            <w:tcW w:w="3030" w:type="dxa"/>
            <w:vAlign w:val="center"/>
          </w:tcPr>
          <w:p>
            <w:pPr>
              <w:pStyle w:val="33"/>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对应评分细则</w:t>
            </w:r>
          </w:p>
        </w:tc>
        <w:tc>
          <w:tcPr>
            <w:tcW w:w="2895" w:type="dxa"/>
            <w:vAlign w:val="center"/>
          </w:tcPr>
          <w:p>
            <w:pPr>
              <w:pStyle w:val="33"/>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证明材料名称</w:t>
            </w:r>
          </w:p>
        </w:tc>
        <w:tc>
          <w:tcPr>
            <w:tcW w:w="1194" w:type="dxa"/>
            <w:vAlign w:val="center"/>
          </w:tcPr>
          <w:p>
            <w:pPr>
              <w:pStyle w:val="33"/>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证明材料对应编号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623" w:type="dxa"/>
          </w:tcPr>
          <w:p>
            <w:pPr>
              <w:snapToGrid w:val="0"/>
              <w:spacing w:line="400" w:lineRule="exact"/>
              <w:jc w:val="center"/>
              <w:rPr>
                <w:rFonts w:asciiTheme="minorEastAsia" w:hAnsiTheme="minorEastAsia" w:eastAsiaTheme="minorEastAsia" w:cstheme="minorEastAsia"/>
                <w:color w:val="FF0000"/>
                <w:sz w:val="18"/>
                <w:szCs w:val="18"/>
              </w:rPr>
            </w:pPr>
          </w:p>
        </w:tc>
        <w:tc>
          <w:tcPr>
            <w:tcW w:w="1519" w:type="dxa"/>
          </w:tcPr>
          <w:p>
            <w:pPr>
              <w:spacing w:line="360" w:lineRule="auto"/>
              <w:jc w:val="center"/>
              <w:outlineLvl w:val="2"/>
              <w:rPr>
                <w:rFonts w:asciiTheme="minorEastAsia" w:hAnsiTheme="minorEastAsia" w:eastAsiaTheme="minorEastAsia" w:cstheme="minorEastAsia"/>
                <w:b/>
                <w:color w:val="FF0000"/>
                <w:sz w:val="18"/>
                <w:szCs w:val="18"/>
              </w:rPr>
            </w:pPr>
          </w:p>
        </w:tc>
        <w:tc>
          <w:tcPr>
            <w:tcW w:w="3030" w:type="dxa"/>
          </w:tcPr>
          <w:p>
            <w:pPr>
              <w:spacing w:line="360" w:lineRule="auto"/>
              <w:jc w:val="center"/>
              <w:outlineLvl w:val="2"/>
              <w:rPr>
                <w:rFonts w:asciiTheme="minorEastAsia" w:hAnsiTheme="minorEastAsia" w:eastAsiaTheme="minorEastAsia" w:cstheme="minorEastAsia"/>
                <w:b/>
                <w:color w:val="FF0000"/>
                <w:sz w:val="18"/>
                <w:szCs w:val="18"/>
              </w:rPr>
            </w:pPr>
          </w:p>
        </w:tc>
        <w:tc>
          <w:tcPr>
            <w:tcW w:w="2895" w:type="dxa"/>
          </w:tcPr>
          <w:p>
            <w:pPr>
              <w:spacing w:line="360" w:lineRule="auto"/>
              <w:jc w:val="center"/>
              <w:outlineLvl w:val="2"/>
              <w:rPr>
                <w:rFonts w:asciiTheme="minorEastAsia" w:hAnsiTheme="minorEastAsia" w:eastAsiaTheme="minorEastAsia" w:cstheme="minorEastAsia"/>
                <w:b/>
                <w:color w:val="FF0000"/>
                <w:sz w:val="18"/>
                <w:szCs w:val="18"/>
              </w:rPr>
            </w:pPr>
          </w:p>
        </w:tc>
        <w:tc>
          <w:tcPr>
            <w:tcW w:w="1194" w:type="dxa"/>
          </w:tcPr>
          <w:p>
            <w:pPr>
              <w:spacing w:line="360" w:lineRule="auto"/>
              <w:jc w:val="center"/>
              <w:outlineLvl w:val="2"/>
              <w:rPr>
                <w:rFonts w:asciiTheme="minorEastAsia" w:hAnsiTheme="minorEastAsia" w:eastAsiaTheme="minorEastAsia" w:cstheme="minorEastAsia"/>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 w:type="dxa"/>
            <w:vAlign w:val="center"/>
          </w:tcPr>
          <w:p>
            <w:pPr>
              <w:snapToGrid w:val="0"/>
              <w:spacing w:line="400" w:lineRule="exact"/>
              <w:jc w:val="center"/>
              <w:rPr>
                <w:rFonts w:asciiTheme="minorEastAsia" w:hAnsiTheme="minorEastAsia" w:eastAsiaTheme="minorEastAsia" w:cstheme="minorEastAsia"/>
                <w:color w:val="FF0000"/>
                <w:sz w:val="18"/>
                <w:szCs w:val="18"/>
              </w:rPr>
            </w:pPr>
          </w:p>
        </w:tc>
        <w:tc>
          <w:tcPr>
            <w:tcW w:w="1519" w:type="dxa"/>
            <w:vAlign w:val="center"/>
          </w:tcPr>
          <w:p>
            <w:pPr>
              <w:snapToGrid w:val="0"/>
              <w:spacing w:line="400" w:lineRule="exact"/>
              <w:jc w:val="center"/>
              <w:rPr>
                <w:rFonts w:asciiTheme="minorEastAsia" w:hAnsiTheme="minorEastAsia" w:eastAsiaTheme="minorEastAsia" w:cstheme="minorEastAsia"/>
                <w:b/>
                <w:color w:val="FF0000"/>
                <w:sz w:val="18"/>
                <w:szCs w:val="18"/>
              </w:rPr>
            </w:pPr>
          </w:p>
        </w:tc>
        <w:tc>
          <w:tcPr>
            <w:tcW w:w="3030" w:type="dxa"/>
            <w:vAlign w:val="center"/>
          </w:tcPr>
          <w:p>
            <w:pPr>
              <w:spacing w:line="360" w:lineRule="auto"/>
              <w:jc w:val="center"/>
              <w:outlineLvl w:val="2"/>
              <w:rPr>
                <w:rFonts w:asciiTheme="minorEastAsia" w:hAnsiTheme="minorEastAsia" w:eastAsiaTheme="minorEastAsia" w:cstheme="minorEastAsia"/>
                <w:b/>
                <w:color w:val="FF0000"/>
                <w:sz w:val="18"/>
                <w:szCs w:val="18"/>
              </w:rPr>
            </w:pPr>
          </w:p>
        </w:tc>
        <w:tc>
          <w:tcPr>
            <w:tcW w:w="2895" w:type="dxa"/>
            <w:vAlign w:val="center"/>
          </w:tcPr>
          <w:p>
            <w:pPr>
              <w:spacing w:line="360" w:lineRule="auto"/>
              <w:jc w:val="center"/>
              <w:outlineLvl w:val="2"/>
              <w:rPr>
                <w:rFonts w:asciiTheme="minorEastAsia" w:hAnsiTheme="minorEastAsia" w:eastAsiaTheme="minorEastAsia" w:cstheme="minorEastAsia"/>
                <w:b/>
                <w:color w:val="FF0000"/>
                <w:sz w:val="18"/>
                <w:szCs w:val="18"/>
              </w:rPr>
            </w:pPr>
          </w:p>
        </w:tc>
        <w:tc>
          <w:tcPr>
            <w:tcW w:w="1194" w:type="dxa"/>
            <w:vAlign w:val="center"/>
          </w:tcPr>
          <w:p>
            <w:pPr>
              <w:spacing w:line="360" w:lineRule="auto"/>
              <w:jc w:val="center"/>
              <w:outlineLvl w:val="2"/>
              <w:rPr>
                <w:rFonts w:asciiTheme="minorEastAsia" w:hAnsiTheme="minorEastAsia" w:eastAsia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tcPr>
          <w:p>
            <w:pPr>
              <w:spacing w:line="360" w:lineRule="auto"/>
              <w:jc w:val="center"/>
              <w:outlineLvl w:val="2"/>
              <w:rPr>
                <w:b/>
                <w:sz w:val="28"/>
                <w:szCs w:val="28"/>
              </w:rPr>
            </w:pPr>
          </w:p>
        </w:tc>
        <w:tc>
          <w:tcPr>
            <w:tcW w:w="1519" w:type="dxa"/>
          </w:tcPr>
          <w:p>
            <w:pPr>
              <w:spacing w:line="360" w:lineRule="auto"/>
              <w:jc w:val="center"/>
              <w:outlineLvl w:val="2"/>
              <w:rPr>
                <w:b/>
                <w:sz w:val="28"/>
                <w:szCs w:val="28"/>
              </w:rPr>
            </w:pPr>
          </w:p>
        </w:tc>
        <w:tc>
          <w:tcPr>
            <w:tcW w:w="3030" w:type="dxa"/>
          </w:tcPr>
          <w:p>
            <w:pPr>
              <w:spacing w:line="360" w:lineRule="auto"/>
              <w:jc w:val="center"/>
              <w:outlineLvl w:val="2"/>
              <w:rPr>
                <w:b/>
                <w:sz w:val="28"/>
                <w:szCs w:val="28"/>
              </w:rPr>
            </w:pPr>
          </w:p>
        </w:tc>
        <w:tc>
          <w:tcPr>
            <w:tcW w:w="2895" w:type="dxa"/>
          </w:tcPr>
          <w:p>
            <w:pPr>
              <w:spacing w:line="360" w:lineRule="auto"/>
              <w:jc w:val="center"/>
              <w:outlineLvl w:val="2"/>
              <w:rPr>
                <w:b/>
                <w:sz w:val="28"/>
                <w:szCs w:val="28"/>
              </w:rPr>
            </w:pPr>
          </w:p>
        </w:tc>
        <w:tc>
          <w:tcPr>
            <w:tcW w:w="1194" w:type="dxa"/>
          </w:tcPr>
          <w:p>
            <w:pPr>
              <w:spacing w:line="360" w:lineRule="auto"/>
              <w:jc w:val="center"/>
              <w:outlineLvl w:val="2"/>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tcPr>
          <w:p>
            <w:pPr>
              <w:spacing w:line="360" w:lineRule="auto"/>
              <w:jc w:val="center"/>
              <w:outlineLvl w:val="2"/>
              <w:rPr>
                <w:b/>
                <w:sz w:val="28"/>
                <w:szCs w:val="28"/>
              </w:rPr>
            </w:pPr>
          </w:p>
        </w:tc>
        <w:tc>
          <w:tcPr>
            <w:tcW w:w="1519" w:type="dxa"/>
          </w:tcPr>
          <w:p>
            <w:pPr>
              <w:spacing w:line="360" w:lineRule="auto"/>
              <w:jc w:val="center"/>
              <w:outlineLvl w:val="2"/>
              <w:rPr>
                <w:b/>
                <w:sz w:val="28"/>
                <w:szCs w:val="28"/>
              </w:rPr>
            </w:pPr>
          </w:p>
        </w:tc>
        <w:tc>
          <w:tcPr>
            <w:tcW w:w="3030" w:type="dxa"/>
          </w:tcPr>
          <w:p>
            <w:pPr>
              <w:spacing w:line="360" w:lineRule="auto"/>
              <w:jc w:val="center"/>
              <w:outlineLvl w:val="2"/>
              <w:rPr>
                <w:b/>
                <w:sz w:val="28"/>
                <w:szCs w:val="28"/>
              </w:rPr>
            </w:pPr>
          </w:p>
        </w:tc>
        <w:tc>
          <w:tcPr>
            <w:tcW w:w="2895" w:type="dxa"/>
          </w:tcPr>
          <w:p>
            <w:pPr>
              <w:spacing w:line="360" w:lineRule="auto"/>
              <w:jc w:val="center"/>
              <w:outlineLvl w:val="2"/>
              <w:rPr>
                <w:b/>
                <w:sz w:val="28"/>
                <w:szCs w:val="28"/>
              </w:rPr>
            </w:pPr>
          </w:p>
        </w:tc>
        <w:tc>
          <w:tcPr>
            <w:tcW w:w="1194" w:type="dxa"/>
          </w:tcPr>
          <w:p>
            <w:pPr>
              <w:spacing w:line="360" w:lineRule="auto"/>
              <w:jc w:val="center"/>
              <w:outlineLvl w:val="2"/>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tcPr>
          <w:p>
            <w:pPr>
              <w:spacing w:line="360" w:lineRule="auto"/>
              <w:jc w:val="center"/>
              <w:outlineLvl w:val="2"/>
              <w:rPr>
                <w:b/>
                <w:sz w:val="28"/>
                <w:szCs w:val="28"/>
              </w:rPr>
            </w:pPr>
          </w:p>
        </w:tc>
        <w:tc>
          <w:tcPr>
            <w:tcW w:w="1519" w:type="dxa"/>
          </w:tcPr>
          <w:p>
            <w:pPr>
              <w:spacing w:line="360" w:lineRule="auto"/>
              <w:jc w:val="center"/>
              <w:outlineLvl w:val="2"/>
              <w:rPr>
                <w:b/>
                <w:sz w:val="28"/>
                <w:szCs w:val="28"/>
              </w:rPr>
            </w:pPr>
          </w:p>
        </w:tc>
        <w:tc>
          <w:tcPr>
            <w:tcW w:w="3030" w:type="dxa"/>
          </w:tcPr>
          <w:p>
            <w:pPr>
              <w:spacing w:line="360" w:lineRule="auto"/>
              <w:jc w:val="center"/>
              <w:outlineLvl w:val="2"/>
              <w:rPr>
                <w:b/>
                <w:sz w:val="28"/>
                <w:szCs w:val="28"/>
              </w:rPr>
            </w:pPr>
          </w:p>
        </w:tc>
        <w:tc>
          <w:tcPr>
            <w:tcW w:w="2895" w:type="dxa"/>
          </w:tcPr>
          <w:p>
            <w:pPr>
              <w:spacing w:line="360" w:lineRule="auto"/>
              <w:jc w:val="center"/>
              <w:outlineLvl w:val="2"/>
              <w:rPr>
                <w:b/>
                <w:sz w:val="28"/>
                <w:szCs w:val="28"/>
              </w:rPr>
            </w:pPr>
          </w:p>
        </w:tc>
        <w:tc>
          <w:tcPr>
            <w:tcW w:w="1194" w:type="dxa"/>
          </w:tcPr>
          <w:p>
            <w:pPr>
              <w:spacing w:line="360" w:lineRule="auto"/>
              <w:jc w:val="center"/>
              <w:outlineLvl w:val="2"/>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tcPr>
          <w:p>
            <w:pPr>
              <w:spacing w:line="360" w:lineRule="auto"/>
              <w:jc w:val="center"/>
              <w:outlineLvl w:val="2"/>
              <w:rPr>
                <w:b/>
                <w:sz w:val="28"/>
                <w:szCs w:val="28"/>
              </w:rPr>
            </w:pPr>
          </w:p>
        </w:tc>
        <w:tc>
          <w:tcPr>
            <w:tcW w:w="1519" w:type="dxa"/>
          </w:tcPr>
          <w:p>
            <w:pPr>
              <w:spacing w:line="360" w:lineRule="auto"/>
              <w:jc w:val="center"/>
              <w:outlineLvl w:val="2"/>
              <w:rPr>
                <w:b/>
                <w:sz w:val="28"/>
                <w:szCs w:val="28"/>
              </w:rPr>
            </w:pPr>
          </w:p>
        </w:tc>
        <w:tc>
          <w:tcPr>
            <w:tcW w:w="3030" w:type="dxa"/>
          </w:tcPr>
          <w:p>
            <w:pPr>
              <w:spacing w:line="360" w:lineRule="auto"/>
              <w:jc w:val="center"/>
              <w:outlineLvl w:val="2"/>
              <w:rPr>
                <w:b/>
                <w:sz w:val="28"/>
                <w:szCs w:val="28"/>
              </w:rPr>
            </w:pPr>
          </w:p>
        </w:tc>
        <w:tc>
          <w:tcPr>
            <w:tcW w:w="2895" w:type="dxa"/>
          </w:tcPr>
          <w:p>
            <w:pPr>
              <w:spacing w:line="360" w:lineRule="auto"/>
              <w:jc w:val="center"/>
              <w:outlineLvl w:val="2"/>
              <w:rPr>
                <w:b/>
                <w:sz w:val="28"/>
                <w:szCs w:val="28"/>
              </w:rPr>
            </w:pPr>
          </w:p>
        </w:tc>
        <w:tc>
          <w:tcPr>
            <w:tcW w:w="1194" w:type="dxa"/>
          </w:tcPr>
          <w:p>
            <w:pPr>
              <w:spacing w:line="360" w:lineRule="auto"/>
              <w:jc w:val="center"/>
              <w:outlineLvl w:val="2"/>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tcPr>
          <w:p>
            <w:pPr>
              <w:spacing w:line="360" w:lineRule="auto"/>
              <w:jc w:val="center"/>
              <w:outlineLvl w:val="2"/>
              <w:rPr>
                <w:b/>
                <w:sz w:val="28"/>
                <w:szCs w:val="28"/>
              </w:rPr>
            </w:pPr>
          </w:p>
        </w:tc>
        <w:tc>
          <w:tcPr>
            <w:tcW w:w="1519" w:type="dxa"/>
          </w:tcPr>
          <w:p>
            <w:pPr>
              <w:spacing w:line="360" w:lineRule="auto"/>
              <w:jc w:val="center"/>
              <w:outlineLvl w:val="2"/>
              <w:rPr>
                <w:b/>
                <w:sz w:val="28"/>
                <w:szCs w:val="28"/>
              </w:rPr>
            </w:pPr>
          </w:p>
        </w:tc>
        <w:tc>
          <w:tcPr>
            <w:tcW w:w="3030" w:type="dxa"/>
          </w:tcPr>
          <w:p>
            <w:pPr>
              <w:spacing w:line="360" w:lineRule="auto"/>
              <w:jc w:val="center"/>
              <w:outlineLvl w:val="2"/>
              <w:rPr>
                <w:b/>
                <w:sz w:val="28"/>
                <w:szCs w:val="28"/>
              </w:rPr>
            </w:pPr>
          </w:p>
        </w:tc>
        <w:tc>
          <w:tcPr>
            <w:tcW w:w="2895" w:type="dxa"/>
          </w:tcPr>
          <w:p>
            <w:pPr>
              <w:spacing w:line="360" w:lineRule="auto"/>
              <w:jc w:val="center"/>
              <w:outlineLvl w:val="2"/>
              <w:rPr>
                <w:b/>
                <w:sz w:val="28"/>
                <w:szCs w:val="28"/>
              </w:rPr>
            </w:pPr>
          </w:p>
        </w:tc>
        <w:tc>
          <w:tcPr>
            <w:tcW w:w="1194" w:type="dxa"/>
          </w:tcPr>
          <w:p>
            <w:pPr>
              <w:spacing w:line="360" w:lineRule="auto"/>
              <w:jc w:val="center"/>
              <w:outlineLvl w:val="2"/>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tcPr>
          <w:p>
            <w:pPr>
              <w:spacing w:line="360" w:lineRule="auto"/>
              <w:jc w:val="center"/>
              <w:outlineLvl w:val="2"/>
              <w:rPr>
                <w:b/>
                <w:sz w:val="28"/>
                <w:szCs w:val="28"/>
              </w:rPr>
            </w:pPr>
          </w:p>
        </w:tc>
        <w:tc>
          <w:tcPr>
            <w:tcW w:w="1519" w:type="dxa"/>
          </w:tcPr>
          <w:p>
            <w:pPr>
              <w:spacing w:line="360" w:lineRule="auto"/>
              <w:jc w:val="center"/>
              <w:outlineLvl w:val="2"/>
              <w:rPr>
                <w:b/>
                <w:sz w:val="28"/>
                <w:szCs w:val="28"/>
              </w:rPr>
            </w:pPr>
          </w:p>
        </w:tc>
        <w:tc>
          <w:tcPr>
            <w:tcW w:w="3030" w:type="dxa"/>
          </w:tcPr>
          <w:p>
            <w:pPr>
              <w:spacing w:line="360" w:lineRule="auto"/>
              <w:jc w:val="center"/>
              <w:outlineLvl w:val="2"/>
              <w:rPr>
                <w:b/>
                <w:sz w:val="28"/>
                <w:szCs w:val="28"/>
              </w:rPr>
            </w:pPr>
          </w:p>
        </w:tc>
        <w:tc>
          <w:tcPr>
            <w:tcW w:w="2895" w:type="dxa"/>
          </w:tcPr>
          <w:p>
            <w:pPr>
              <w:spacing w:line="360" w:lineRule="auto"/>
              <w:jc w:val="center"/>
              <w:outlineLvl w:val="2"/>
              <w:rPr>
                <w:b/>
                <w:sz w:val="28"/>
                <w:szCs w:val="28"/>
              </w:rPr>
            </w:pPr>
          </w:p>
        </w:tc>
        <w:tc>
          <w:tcPr>
            <w:tcW w:w="1194" w:type="dxa"/>
          </w:tcPr>
          <w:p>
            <w:pPr>
              <w:spacing w:line="360" w:lineRule="auto"/>
              <w:jc w:val="center"/>
              <w:outlineLvl w:val="2"/>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tcPr>
          <w:p>
            <w:pPr>
              <w:spacing w:line="360" w:lineRule="auto"/>
              <w:jc w:val="center"/>
              <w:outlineLvl w:val="2"/>
              <w:rPr>
                <w:b/>
                <w:sz w:val="28"/>
                <w:szCs w:val="28"/>
              </w:rPr>
            </w:pPr>
          </w:p>
        </w:tc>
        <w:tc>
          <w:tcPr>
            <w:tcW w:w="1519" w:type="dxa"/>
          </w:tcPr>
          <w:p>
            <w:pPr>
              <w:spacing w:line="360" w:lineRule="auto"/>
              <w:jc w:val="center"/>
              <w:outlineLvl w:val="2"/>
              <w:rPr>
                <w:b/>
                <w:sz w:val="28"/>
                <w:szCs w:val="28"/>
              </w:rPr>
            </w:pPr>
          </w:p>
        </w:tc>
        <w:tc>
          <w:tcPr>
            <w:tcW w:w="3030" w:type="dxa"/>
          </w:tcPr>
          <w:p>
            <w:pPr>
              <w:spacing w:line="360" w:lineRule="auto"/>
              <w:jc w:val="center"/>
              <w:outlineLvl w:val="2"/>
              <w:rPr>
                <w:b/>
                <w:sz w:val="28"/>
                <w:szCs w:val="28"/>
              </w:rPr>
            </w:pPr>
          </w:p>
        </w:tc>
        <w:tc>
          <w:tcPr>
            <w:tcW w:w="2895" w:type="dxa"/>
          </w:tcPr>
          <w:p>
            <w:pPr>
              <w:spacing w:line="360" w:lineRule="auto"/>
              <w:jc w:val="center"/>
              <w:outlineLvl w:val="2"/>
              <w:rPr>
                <w:b/>
                <w:sz w:val="28"/>
                <w:szCs w:val="28"/>
              </w:rPr>
            </w:pPr>
          </w:p>
        </w:tc>
        <w:tc>
          <w:tcPr>
            <w:tcW w:w="1194" w:type="dxa"/>
          </w:tcPr>
          <w:p>
            <w:pPr>
              <w:spacing w:line="360" w:lineRule="auto"/>
              <w:jc w:val="center"/>
              <w:outlineLvl w:val="2"/>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tcPr>
          <w:p>
            <w:pPr>
              <w:spacing w:line="360" w:lineRule="auto"/>
              <w:jc w:val="center"/>
              <w:outlineLvl w:val="2"/>
              <w:rPr>
                <w:b/>
                <w:sz w:val="28"/>
                <w:szCs w:val="28"/>
              </w:rPr>
            </w:pPr>
          </w:p>
        </w:tc>
        <w:tc>
          <w:tcPr>
            <w:tcW w:w="1519" w:type="dxa"/>
          </w:tcPr>
          <w:p>
            <w:pPr>
              <w:spacing w:line="360" w:lineRule="auto"/>
              <w:jc w:val="center"/>
              <w:outlineLvl w:val="2"/>
              <w:rPr>
                <w:b/>
                <w:sz w:val="28"/>
                <w:szCs w:val="28"/>
              </w:rPr>
            </w:pPr>
          </w:p>
        </w:tc>
        <w:tc>
          <w:tcPr>
            <w:tcW w:w="3030" w:type="dxa"/>
          </w:tcPr>
          <w:p>
            <w:pPr>
              <w:spacing w:line="360" w:lineRule="auto"/>
              <w:jc w:val="center"/>
              <w:outlineLvl w:val="2"/>
              <w:rPr>
                <w:b/>
                <w:sz w:val="28"/>
                <w:szCs w:val="28"/>
              </w:rPr>
            </w:pPr>
          </w:p>
        </w:tc>
        <w:tc>
          <w:tcPr>
            <w:tcW w:w="2895" w:type="dxa"/>
          </w:tcPr>
          <w:p>
            <w:pPr>
              <w:spacing w:line="360" w:lineRule="auto"/>
              <w:jc w:val="center"/>
              <w:outlineLvl w:val="2"/>
              <w:rPr>
                <w:b/>
                <w:sz w:val="28"/>
                <w:szCs w:val="28"/>
              </w:rPr>
            </w:pPr>
          </w:p>
        </w:tc>
        <w:tc>
          <w:tcPr>
            <w:tcW w:w="1194" w:type="dxa"/>
          </w:tcPr>
          <w:p>
            <w:pPr>
              <w:spacing w:line="360" w:lineRule="auto"/>
              <w:jc w:val="center"/>
              <w:outlineLvl w:val="2"/>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tcPr>
          <w:p>
            <w:pPr>
              <w:spacing w:line="360" w:lineRule="auto"/>
              <w:jc w:val="center"/>
              <w:outlineLvl w:val="2"/>
              <w:rPr>
                <w:b/>
                <w:sz w:val="28"/>
                <w:szCs w:val="28"/>
              </w:rPr>
            </w:pPr>
          </w:p>
        </w:tc>
        <w:tc>
          <w:tcPr>
            <w:tcW w:w="1519" w:type="dxa"/>
          </w:tcPr>
          <w:p>
            <w:pPr>
              <w:spacing w:line="360" w:lineRule="auto"/>
              <w:jc w:val="center"/>
              <w:outlineLvl w:val="2"/>
              <w:rPr>
                <w:b/>
                <w:sz w:val="28"/>
                <w:szCs w:val="28"/>
              </w:rPr>
            </w:pPr>
          </w:p>
        </w:tc>
        <w:tc>
          <w:tcPr>
            <w:tcW w:w="3030" w:type="dxa"/>
          </w:tcPr>
          <w:p>
            <w:pPr>
              <w:spacing w:line="360" w:lineRule="auto"/>
              <w:jc w:val="center"/>
              <w:outlineLvl w:val="2"/>
              <w:rPr>
                <w:b/>
                <w:sz w:val="28"/>
                <w:szCs w:val="28"/>
              </w:rPr>
            </w:pPr>
          </w:p>
        </w:tc>
        <w:tc>
          <w:tcPr>
            <w:tcW w:w="2895" w:type="dxa"/>
          </w:tcPr>
          <w:p>
            <w:pPr>
              <w:spacing w:line="360" w:lineRule="auto"/>
              <w:jc w:val="center"/>
              <w:outlineLvl w:val="2"/>
              <w:rPr>
                <w:b/>
                <w:sz w:val="28"/>
                <w:szCs w:val="28"/>
              </w:rPr>
            </w:pPr>
          </w:p>
        </w:tc>
        <w:tc>
          <w:tcPr>
            <w:tcW w:w="1194" w:type="dxa"/>
          </w:tcPr>
          <w:p>
            <w:pPr>
              <w:spacing w:line="360" w:lineRule="auto"/>
              <w:jc w:val="center"/>
              <w:outlineLvl w:val="2"/>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tcPr>
          <w:p>
            <w:pPr>
              <w:spacing w:line="360" w:lineRule="auto"/>
              <w:jc w:val="center"/>
              <w:outlineLvl w:val="2"/>
              <w:rPr>
                <w:b/>
                <w:sz w:val="28"/>
                <w:szCs w:val="28"/>
              </w:rPr>
            </w:pPr>
          </w:p>
        </w:tc>
        <w:tc>
          <w:tcPr>
            <w:tcW w:w="1519" w:type="dxa"/>
          </w:tcPr>
          <w:p>
            <w:pPr>
              <w:spacing w:line="360" w:lineRule="auto"/>
              <w:jc w:val="center"/>
              <w:outlineLvl w:val="2"/>
              <w:rPr>
                <w:b/>
                <w:sz w:val="28"/>
                <w:szCs w:val="28"/>
              </w:rPr>
            </w:pPr>
          </w:p>
        </w:tc>
        <w:tc>
          <w:tcPr>
            <w:tcW w:w="3030" w:type="dxa"/>
          </w:tcPr>
          <w:p>
            <w:pPr>
              <w:spacing w:line="360" w:lineRule="auto"/>
              <w:jc w:val="center"/>
              <w:outlineLvl w:val="2"/>
              <w:rPr>
                <w:b/>
                <w:sz w:val="28"/>
                <w:szCs w:val="28"/>
              </w:rPr>
            </w:pPr>
          </w:p>
        </w:tc>
        <w:tc>
          <w:tcPr>
            <w:tcW w:w="2895" w:type="dxa"/>
          </w:tcPr>
          <w:p>
            <w:pPr>
              <w:spacing w:line="360" w:lineRule="auto"/>
              <w:jc w:val="center"/>
              <w:outlineLvl w:val="2"/>
              <w:rPr>
                <w:b/>
                <w:sz w:val="28"/>
                <w:szCs w:val="28"/>
              </w:rPr>
            </w:pPr>
          </w:p>
        </w:tc>
        <w:tc>
          <w:tcPr>
            <w:tcW w:w="1194" w:type="dxa"/>
          </w:tcPr>
          <w:p>
            <w:pPr>
              <w:spacing w:line="360" w:lineRule="auto"/>
              <w:jc w:val="center"/>
              <w:outlineLvl w:val="2"/>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tcPr>
          <w:p>
            <w:pPr>
              <w:spacing w:line="360" w:lineRule="auto"/>
              <w:jc w:val="center"/>
              <w:outlineLvl w:val="2"/>
              <w:rPr>
                <w:b/>
                <w:sz w:val="28"/>
                <w:szCs w:val="28"/>
              </w:rPr>
            </w:pPr>
          </w:p>
        </w:tc>
        <w:tc>
          <w:tcPr>
            <w:tcW w:w="1519" w:type="dxa"/>
          </w:tcPr>
          <w:p>
            <w:pPr>
              <w:spacing w:line="360" w:lineRule="auto"/>
              <w:jc w:val="center"/>
              <w:outlineLvl w:val="2"/>
              <w:rPr>
                <w:b/>
                <w:sz w:val="28"/>
                <w:szCs w:val="28"/>
              </w:rPr>
            </w:pPr>
          </w:p>
        </w:tc>
        <w:tc>
          <w:tcPr>
            <w:tcW w:w="3030" w:type="dxa"/>
          </w:tcPr>
          <w:p>
            <w:pPr>
              <w:spacing w:line="360" w:lineRule="auto"/>
              <w:jc w:val="center"/>
              <w:outlineLvl w:val="2"/>
              <w:rPr>
                <w:b/>
                <w:sz w:val="28"/>
                <w:szCs w:val="28"/>
              </w:rPr>
            </w:pPr>
          </w:p>
        </w:tc>
        <w:tc>
          <w:tcPr>
            <w:tcW w:w="2895" w:type="dxa"/>
          </w:tcPr>
          <w:p>
            <w:pPr>
              <w:spacing w:line="360" w:lineRule="auto"/>
              <w:jc w:val="center"/>
              <w:outlineLvl w:val="2"/>
              <w:rPr>
                <w:b/>
                <w:sz w:val="28"/>
                <w:szCs w:val="28"/>
              </w:rPr>
            </w:pPr>
          </w:p>
        </w:tc>
        <w:tc>
          <w:tcPr>
            <w:tcW w:w="1194" w:type="dxa"/>
          </w:tcPr>
          <w:p>
            <w:pPr>
              <w:spacing w:line="360" w:lineRule="auto"/>
              <w:jc w:val="center"/>
              <w:outlineLvl w:val="2"/>
              <w:rPr>
                <w:b/>
                <w:sz w:val="28"/>
                <w:szCs w:val="28"/>
              </w:rPr>
            </w:pPr>
          </w:p>
        </w:tc>
      </w:tr>
    </w:tbl>
    <w:p/>
    <w:p>
      <w:pPr>
        <w:pStyle w:val="2"/>
      </w:pPr>
    </w:p>
    <w:p/>
    <w:p>
      <w:pPr>
        <w:pStyle w:val="2"/>
      </w:pPr>
    </w:p>
    <w:p/>
    <w:p>
      <w:pPr>
        <w:pStyle w:val="2"/>
      </w:pPr>
    </w:p>
    <w:p/>
    <w:p>
      <w:pPr>
        <w:pStyle w:val="5"/>
        <w:jc w:val="center"/>
        <w:rPr>
          <w:sz w:val="24"/>
          <w:szCs w:val="24"/>
        </w:rPr>
      </w:pPr>
      <w:r>
        <w:rPr>
          <w:rFonts w:hint="eastAsia"/>
          <w:sz w:val="24"/>
          <w:szCs w:val="24"/>
        </w:rPr>
        <w:t>（三）技术方案</w:t>
      </w:r>
    </w:p>
    <w:p>
      <w:pPr>
        <w:rPr>
          <w:color w:val="000000" w:themeColor="text1"/>
          <w14:textFill>
            <w14:solidFill>
              <w14:schemeClr w14:val="tx1"/>
            </w14:solidFill>
          </w14:textFill>
        </w:rPr>
      </w:pPr>
    </w:p>
    <w:p/>
    <w:p/>
    <w:p/>
    <w:p/>
    <w:p/>
    <w:p/>
    <w:p/>
    <w:p>
      <w:pPr>
        <w:widowControl/>
        <w:jc w:val="left"/>
      </w:pPr>
      <w:r>
        <w:br w:type="page"/>
      </w:r>
    </w:p>
    <w:p>
      <w:pPr>
        <w:pStyle w:val="16"/>
        <w:jc w:val="center"/>
        <w:rPr>
          <w:rFonts w:ascii="Times New Roman" w:hAnsi="Times New Roman"/>
          <w:b w:val="0"/>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五、承诺书</w:t>
      </w:r>
    </w:p>
    <w:p>
      <w:pPr>
        <w:jc w:val="center"/>
        <w:rPr>
          <w:rFonts w:ascii="宋体" w:hAnsi="宋体" w:cs="宋体"/>
          <w:b/>
          <w:bCs/>
          <w:color w:val="000000" w:themeColor="text1"/>
          <w:sz w:val="44"/>
          <w:szCs w:val="44"/>
          <w14:textFill>
            <w14:solidFill>
              <w14:schemeClr w14:val="tx1"/>
            </w14:solidFill>
          </w14:textFill>
        </w:rPr>
      </w:pPr>
    </w:p>
    <w:p>
      <w:pPr>
        <w:spacing w:line="360" w:lineRule="auto"/>
        <w:ind w:firstLine="486" w:firstLineChars="2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我公司郑重承诺：</w:t>
      </w:r>
    </w:p>
    <w:p>
      <w:pPr>
        <w:spacing w:line="360" w:lineRule="auto"/>
        <w:ind w:firstLine="486" w:firstLineChars="200"/>
        <w:jc w:val="left"/>
        <w:rPr>
          <w:rFonts w:ascii="宋体" w:hAnsi="宋体" w:cs="宋体"/>
          <w:color w:val="000000" w:themeColor="text1"/>
          <w:sz w:val="24"/>
          <w:szCs w:val="28"/>
          <w14:textFill>
            <w14:solidFill>
              <w14:schemeClr w14:val="tx1"/>
            </w14:solidFill>
          </w14:textFill>
        </w:rPr>
      </w:pPr>
      <w:r>
        <w:rPr>
          <w:rFonts w:ascii="宋体" w:hAnsi="宋体" w:cs="宋体"/>
          <w:color w:val="000000" w:themeColor="text1"/>
          <w:sz w:val="24"/>
          <w:szCs w:val="28"/>
          <w14:textFill>
            <w14:solidFill>
              <w14:schemeClr w14:val="tx1"/>
            </w14:solidFill>
          </w14:textFill>
        </w:rPr>
        <w:t xml:space="preserve">第一条：保密信息 </w:t>
      </w:r>
    </w:p>
    <w:p>
      <w:pPr>
        <w:spacing w:line="360" w:lineRule="auto"/>
        <w:ind w:firstLine="486" w:firstLineChars="200"/>
        <w:jc w:val="left"/>
        <w:rPr>
          <w:rFonts w:ascii="宋体" w:hAnsi="宋体" w:cs="宋体"/>
          <w:color w:val="000000" w:themeColor="text1"/>
          <w:sz w:val="24"/>
          <w:szCs w:val="28"/>
          <w14:textFill>
            <w14:solidFill>
              <w14:schemeClr w14:val="tx1"/>
            </w14:solidFill>
          </w14:textFill>
        </w:rPr>
      </w:pPr>
      <w:r>
        <w:rPr>
          <w:rFonts w:ascii="宋体" w:hAnsi="宋体" w:cs="宋体"/>
          <w:color w:val="000000" w:themeColor="text1"/>
          <w:sz w:val="24"/>
          <w:szCs w:val="28"/>
          <w14:textFill>
            <w14:solidFill>
              <w14:schemeClr w14:val="tx1"/>
            </w14:solidFill>
          </w14:textFill>
        </w:rPr>
        <w:t>本合同中所指的保密</w:t>
      </w:r>
      <w:bookmarkStart w:id="87" w:name="OLE_LINK1"/>
      <w:r>
        <w:rPr>
          <w:rFonts w:ascii="宋体" w:hAnsi="宋体" w:cs="宋体"/>
          <w:color w:val="000000" w:themeColor="text1"/>
          <w:sz w:val="24"/>
          <w:szCs w:val="28"/>
          <w14:textFill>
            <w14:solidFill>
              <w14:schemeClr w14:val="tx1"/>
            </w14:solidFill>
          </w14:textFill>
        </w:rPr>
        <w:t>信息</w:t>
      </w:r>
      <w:bookmarkEnd w:id="87"/>
      <w:r>
        <w:rPr>
          <w:rFonts w:ascii="宋体" w:hAnsi="宋体" w:cs="宋体"/>
          <w:color w:val="000000" w:themeColor="text1"/>
          <w:sz w:val="24"/>
          <w:szCs w:val="28"/>
          <w14:textFill>
            <w14:solidFill>
              <w14:schemeClr w14:val="tx1"/>
            </w14:solidFill>
          </w14:textFill>
        </w:rPr>
        <w:t>包括了</w:t>
      </w:r>
      <w:r>
        <w:rPr>
          <w:rFonts w:hint="eastAsia" w:ascii="宋体" w:hAnsi="宋体" w:cs="宋体"/>
          <w:color w:val="000000" w:themeColor="text1"/>
          <w:sz w:val="24"/>
          <w:szCs w:val="28"/>
          <w14:textFill>
            <w14:solidFill>
              <w14:schemeClr w14:val="tx1"/>
            </w14:solidFill>
          </w14:textFill>
        </w:rPr>
        <w:t>任何一</w:t>
      </w:r>
      <w:r>
        <w:rPr>
          <w:rFonts w:ascii="宋体" w:hAnsi="宋体" w:cs="宋体"/>
          <w:color w:val="000000" w:themeColor="text1"/>
          <w:sz w:val="24"/>
          <w:szCs w:val="28"/>
          <w14:textFill>
            <w14:solidFill>
              <w14:schemeClr w14:val="tx1"/>
            </w14:solidFill>
          </w14:textFill>
        </w:rPr>
        <w:t>方在方案决定前期以及实施过程</w:t>
      </w:r>
      <w:r>
        <w:rPr>
          <w:rFonts w:hint="eastAsia" w:ascii="宋体" w:hAnsi="宋体" w:cs="宋体"/>
          <w:color w:val="000000" w:themeColor="text1"/>
          <w:sz w:val="24"/>
          <w:szCs w:val="28"/>
          <w14:textFill>
            <w14:solidFill>
              <w14:schemeClr w14:val="tx1"/>
            </w14:solidFill>
          </w14:textFill>
        </w:rPr>
        <w:t>中</w:t>
      </w:r>
      <w:r>
        <w:rPr>
          <w:rFonts w:ascii="宋体" w:hAnsi="宋体" w:cs="宋体"/>
          <w:color w:val="000000" w:themeColor="text1"/>
          <w:sz w:val="24"/>
          <w:szCs w:val="28"/>
          <w14:textFill>
            <w14:solidFill>
              <w14:schemeClr w14:val="tx1"/>
            </w14:solidFill>
          </w14:textFill>
        </w:rPr>
        <w:t>向</w:t>
      </w:r>
      <w:r>
        <w:rPr>
          <w:rFonts w:hint="eastAsia" w:ascii="宋体" w:hAnsi="宋体" w:cs="宋体"/>
          <w:color w:val="000000" w:themeColor="text1"/>
          <w:sz w:val="24"/>
          <w:szCs w:val="28"/>
          <w14:textFill>
            <w14:solidFill>
              <w14:schemeClr w14:val="tx1"/>
            </w14:solidFill>
          </w14:textFill>
        </w:rPr>
        <w:t>对</w:t>
      </w:r>
      <w:r>
        <w:rPr>
          <w:rFonts w:ascii="宋体" w:hAnsi="宋体" w:cs="宋体"/>
          <w:color w:val="000000" w:themeColor="text1"/>
          <w:sz w:val="24"/>
          <w:szCs w:val="28"/>
          <w14:textFill>
            <w14:solidFill>
              <w14:schemeClr w14:val="tx1"/>
            </w14:solidFill>
          </w14:textFill>
        </w:rPr>
        <w:t>方提供的任何技术上、商业上或贸易上的具有经济价值的以书面、口头或任何其他方式提供给对方的所有非公开资料。</w:t>
      </w:r>
    </w:p>
    <w:p>
      <w:pPr>
        <w:spacing w:line="360" w:lineRule="auto"/>
        <w:ind w:firstLine="486" w:firstLineChars="200"/>
        <w:jc w:val="left"/>
        <w:rPr>
          <w:rFonts w:ascii="宋体" w:hAnsi="宋体" w:cs="宋体"/>
          <w:color w:val="000000" w:themeColor="text1"/>
          <w:sz w:val="24"/>
          <w:szCs w:val="28"/>
          <w14:textFill>
            <w14:solidFill>
              <w14:schemeClr w14:val="tx1"/>
            </w14:solidFill>
          </w14:textFill>
        </w:rPr>
      </w:pPr>
      <w:r>
        <w:rPr>
          <w:rFonts w:ascii="宋体" w:hAnsi="宋体" w:cs="宋体"/>
          <w:color w:val="000000" w:themeColor="text1"/>
          <w:sz w:val="24"/>
          <w:szCs w:val="28"/>
          <w14:textFill>
            <w14:solidFill>
              <w14:schemeClr w14:val="tx1"/>
            </w14:solidFill>
          </w14:textFill>
        </w:rPr>
        <w:t>第二条：保密处理方法</w:t>
      </w:r>
    </w:p>
    <w:p>
      <w:pPr>
        <w:spacing w:line="360" w:lineRule="auto"/>
        <w:ind w:firstLine="486" w:firstLineChars="200"/>
        <w:jc w:val="left"/>
        <w:rPr>
          <w:rFonts w:ascii="宋体" w:hAnsi="宋体" w:cs="宋体"/>
          <w:color w:val="000000" w:themeColor="text1"/>
          <w:sz w:val="24"/>
          <w:szCs w:val="28"/>
          <w14:textFill>
            <w14:solidFill>
              <w14:schemeClr w14:val="tx1"/>
            </w14:solidFill>
          </w14:textFill>
        </w:rPr>
      </w:pPr>
      <w:r>
        <w:rPr>
          <w:rFonts w:ascii="宋体" w:hAnsi="宋体" w:cs="宋体"/>
          <w:color w:val="000000" w:themeColor="text1"/>
          <w:sz w:val="24"/>
          <w:szCs w:val="28"/>
          <w14:textFill>
            <w14:solidFill>
              <w14:schemeClr w14:val="tx1"/>
            </w14:solidFill>
          </w14:textFill>
        </w:rPr>
        <w:t>在本项目执行过程中，任何一方在未获对方书面同意的条件下，不得将从任何一方获得的保密信息泄露给第三方。任何一方不得将保密信息利用于与本项目无关的任何方面。获得信息的任何一方只能向有必要知道保密信息的双方雇员透露，并且仅透露相关必要内容。</w:t>
      </w:r>
    </w:p>
    <w:p>
      <w:pPr>
        <w:spacing w:line="360" w:lineRule="auto"/>
        <w:ind w:firstLine="486" w:firstLineChars="200"/>
        <w:jc w:val="left"/>
        <w:rPr>
          <w:rFonts w:ascii="宋体" w:hAnsi="宋体" w:cs="宋体"/>
          <w:color w:val="000000" w:themeColor="text1"/>
          <w:sz w:val="24"/>
          <w:szCs w:val="28"/>
          <w14:textFill>
            <w14:solidFill>
              <w14:schemeClr w14:val="tx1"/>
            </w14:solidFill>
          </w14:textFill>
        </w:rPr>
      </w:pPr>
      <w:r>
        <w:rPr>
          <w:rFonts w:ascii="宋体" w:hAnsi="宋体" w:cs="宋体"/>
          <w:color w:val="000000" w:themeColor="text1"/>
          <w:sz w:val="24"/>
          <w:szCs w:val="28"/>
          <w14:textFill>
            <w14:solidFill>
              <w14:schemeClr w14:val="tx1"/>
            </w14:solidFill>
          </w14:textFill>
        </w:rPr>
        <w:t>依据此条款，双方需要与知道保密信息的雇员同时签</w:t>
      </w:r>
      <w:r>
        <w:rPr>
          <w:rFonts w:hint="eastAsia" w:ascii="宋体" w:hAnsi="宋体" w:cs="宋体"/>
          <w:color w:val="000000" w:themeColor="text1"/>
          <w:sz w:val="24"/>
          <w:szCs w:val="28"/>
          <w14:textFill>
            <w14:solidFill>
              <w14:schemeClr w14:val="tx1"/>
            </w14:solidFill>
          </w14:textFill>
        </w:rPr>
        <w:t>订</w:t>
      </w:r>
      <w:r>
        <w:rPr>
          <w:rFonts w:ascii="宋体" w:hAnsi="宋体" w:cs="宋体"/>
          <w:color w:val="000000" w:themeColor="text1"/>
          <w:sz w:val="24"/>
          <w:szCs w:val="28"/>
          <w14:textFill>
            <w14:solidFill>
              <w14:schemeClr w14:val="tx1"/>
            </w14:solidFill>
          </w14:textFill>
        </w:rPr>
        <w:t>保密合同。如果一方雇员违反此合同，向未经授权的第三方泄露保密信息或者把保密信息用于执行项目以外的用途，雇主同雇员需要承担连带责任。</w:t>
      </w:r>
    </w:p>
    <w:p>
      <w:pPr>
        <w:spacing w:line="360" w:lineRule="auto"/>
        <w:ind w:firstLine="486" w:firstLineChars="200"/>
        <w:jc w:val="left"/>
        <w:rPr>
          <w:rFonts w:ascii="宋体" w:hAnsi="宋体" w:cs="宋体"/>
          <w:color w:val="000000" w:themeColor="text1"/>
          <w:sz w:val="24"/>
          <w:szCs w:val="28"/>
          <w14:textFill>
            <w14:solidFill>
              <w14:schemeClr w14:val="tx1"/>
            </w14:solidFill>
          </w14:textFill>
        </w:rPr>
      </w:pPr>
      <w:r>
        <w:rPr>
          <w:rFonts w:ascii="宋体" w:hAnsi="宋体" w:cs="宋体"/>
          <w:color w:val="000000" w:themeColor="text1"/>
          <w:sz w:val="24"/>
          <w:szCs w:val="28"/>
          <w14:textFill>
            <w14:solidFill>
              <w14:schemeClr w14:val="tx1"/>
            </w14:solidFill>
          </w14:textFill>
        </w:rPr>
        <w:t>第三条：被迫公开</w:t>
      </w:r>
    </w:p>
    <w:p>
      <w:pPr>
        <w:spacing w:line="360" w:lineRule="auto"/>
        <w:ind w:firstLine="486" w:firstLineChars="200"/>
        <w:jc w:val="left"/>
        <w:rPr>
          <w:rFonts w:ascii="宋体" w:hAnsi="宋体" w:cs="宋体"/>
          <w:color w:val="000000" w:themeColor="text1"/>
          <w:sz w:val="24"/>
          <w:szCs w:val="28"/>
          <w14:textFill>
            <w14:solidFill>
              <w14:schemeClr w14:val="tx1"/>
            </w14:solidFill>
          </w14:textFill>
        </w:rPr>
      </w:pPr>
      <w:r>
        <w:rPr>
          <w:rFonts w:ascii="宋体" w:hAnsi="宋体" w:cs="宋体"/>
          <w:color w:val="000000" w:themeColor="text1"/>
          <w:sz w:val="24"/>
          <w:szCs w:val="28"/>
          <w14:textFill>
            <w14:solidFill>
              <w14:schemeClr w14:val="tx1"/>
            </w14:solidFill>
          </w14:textFill>
        </w:rPr>
        <w:t>如果一方由于法律要求被迫公开对方的保密信息，则应该及时通知对方，使得对方能与作出法定强制行为的机构进行协商处理。</w:t>
      </w:r>
    </w:p>
    <w:p>
      <w:pPr>
        <w:spacing w:line="360" w:lineRule="auto"/>
        <w:ind w:firstLine="486" w:firstLineChars="200"/>
        <w:jc w:val="left"/>
        <w:rPr>
          <w:rFonts w:ascii="宋体" w:hAnsi="宋体" w:cs="宋体"/>
          <w:color w:val="000000" w:themeColor="text1"/>
          <w:sz w:val="24"/>
          <w:szCs w:val="28"/>
          <w14:textFill>
            <w14:solidFill>
              <w14:schemeClr w14:val="tx1"/>
            </w14:solidFill>
          </w14:textFill>
        </w:rPr>
      </w:pPr>
      <w:r>
        <w:rPr>
          <w:rFonts w:ascii="宋体" w:hAnsi="宋体" w:cs="宋体"/>
          <w:color w:val="000000" w:themeColor="text1"/>
          <w:sz w:val="24"/>
          <w:szCs w:val="28"/>
          <w14:textFill>
            <w14:solidFill>
              <w14:schemeClr w14:val="tx1"/>
            </w14:solidFill>
          </w14:textFill>
        </w:rPr>
        <w:t xml:space="preserve">第四条：协商内容 </w:t>
      </w:r>
    </w:p>
    <w:p>
      <w:pPr>
        <w:spacing w:line="360" w:lineRule="auto"/>
        <w:ind w:firstLine="486" w:firstLineChars="200"/>
        <w:jc w:val="left"/>
        <w:rPr>
          <w:rFonts w:ascii="宋体" w:hAnsi="宋体" w:cs="宋体"/>
          <w:color w:val="000000" w:themeColor="text1"/>
          <w:sz w:val="24"/>
          <w:szCs w:val="28"/>
          <w14:textFill>
            <w14:solidFill>
              <w14:schemeClr w14:val="tx1"/>
            </w14:solidFill>
          </w14:textFill>
        </w:rPr>
      </w:pPr>
      <w:r>
        <w:rPr>
          <w:rFonts w:ascii="宋体" w:hAnsi="宋体" w:cs="宋体"/>
          <w:color w:val="000000" w:themeColor="text1"/>
          <w:sz w:val="24"/>
          <w:szCs w:val="28"/>
          <w14:textFill>
            <w14:solidFill>
              <w14:schemeClr w14:val="tx1"/>
            </w14:solidFill>
          </w14:textFill>
        </w:rPr>
        <w:t xml:space="preserve">除了法律要求或得到对方书面许可外，任何一方讨论或谈判都在双方之间进行，任何一方不得向任何个人或团体透露双方讨论、协商的任何内容，以及条件和条款中涉及符合保密要求的内容。 </w:t>
      </w:r>
    </w:p>
    <w:p>
      <w:pPr>
        <w:spacing w:line="360" w:lineRule="auto"/>
        <w:ind w:firstLine="486" w:firstLineChars="200"/>
        <w:jc w:val="left"/>
        <w:rPr>
          <w:rFonts w:ascii="宋体" w:hAnsi="宋体" w:cs="宋体"/>
          <w:color w:val="000000" w:themeColor="text1"/>
          <w:sz w:val="24"/>
          <w:szCs w:val="28"/>
          <w14:textFill>
            <w14:solidFill>
              <w14:schemeClr w14:val="tx1"/>
            </w14:solidFill>
          </w14:textFill>
        </w:rPr>
      </w:pPr>
      <w:r>
        <w:rPr>
          <w:rFonts w:ascii="宋体" w:hAnsi="宋体" w:cs="宋体"/>
          <w:color w:val="000000" w:themeColor="text1"/>
          <w:sz w:val="24"/>
          <w:szCs w:val="28"/>
          <w14:textFill>
            <w14:solidFill>
              <w14:schemeClr w14:val="tx1"/>
            </w14:solidFill>
          </w14:textFill>
        </w:rPr>
        <w:t>第五条：条款期限和终止</w:t>
      </w:r>
    </w:p>
    <w:p>
      <w:pPr>
        <w:spacing w:line="360" w:lineRule="auto"/>
        <w:ind w:firstLine="486" w:firstLineChars="200"/>
        <w:jc w:val="left"/>
        <w:rPr>
          <w:rFonts w:ascii="宋体" w:hAnsi="宋体" w:cs="宋体"/>
          <w:color w:val="000000" w:themeColor="text1"/>
          <w:sz w:val="24"/>
          <w:szCs w:val="28"/>
          <w14:textFill>
            <w14:solidFill>
              <w14:schemeClr w14:val="tx1"/>
            </w14:solidFill>
          </w14:textFill>
        </w:rPr>
      </w:pPr>
      <w:r>
        <w:rPr>
          <w:rFonts w:ascii="宋体" w:hAnsi="宋体" w:cs="宋体"/>
          <w:color w:val="000000" w:themeColor="text1"/>
          <w:sz w:val="24"/>
          <w:szCs w:val="28"/>
          <w14:textFill>
            <w14:solidFill>
              <w14:schemeClr w14:val="tx1"/>
            </w14:solidFill>
          </w14:textFill>
        </w:rPr>
        <w:t>如果双方无法达成该项目的合意合同，此合同将自动终止。在此种情况下，根据本合同规定所提供的所有书面或有形的数据或拷贝都仍属于各自双方自用的产权</w:t>
      </w:r>
      <w:r>
        <w:rPr>
          <w:rFonts w:hint="eastAsia" w:ascii="宋体" w:hAnsi="宋体" w:cs="宋体"/>
          <w:color w:val="000000" w:themeColor="text1"/>
          <w:sz w:val="24"/>
          <w:szCs w:val="28"/>
          <w14:textFill>
            <w14:solidFill>
              <w14:schemeClr w14:val="tx1"/>
            </w14:solidFill>
          </w14:textFill>
        </w:rPr>
        <w:t>，</w:t>
      </w:r>
      <w:r>
        <w:rPr>
          <w:rFonts w:ascii="宋体" w:hAnsi="宋体" w:cs="宋体"/>
          <w:color w:val="000000" w:themeColor="text1"/>
          <w:sz w:val="24"/>
          <w:szCs w:val="28"/>
          <w14:textFill>
            <w14:solidFill>
              <w14:schemeClr w14:val="tx1"/>
            </w14:solidFill>
          </w14:textFill>
        </w:rPr>
        <w:t>并且相关书面或有形的数据或拷贝必须及时退回给对方或者根据对方的书面意见由自方销毁。然而，尽管合同终止，在合同中关于保密义务是永久性的，除非上述保密信息已成为公知信息。</w:t>
      </w:r>
    </w:p>
    <w:p>
      <w:pPr>
        <w:spacing w:line="360" w:lineRule="auto"/>
        <w:ind w:firstLine="486" w:firstLineChars="200"/>
        <w:jc w:val="left"/>
        <w:rPr>
          <w:rFonts w:ascii="宋体" w:hAnsi="宋体" w:cs="宋体"/>
          <w:color w:val="000000" w:themeColor="text1"/>
          <w:sz w:val="24"/>
          <w:szCs w:val="28"/>
          <w14:textFill>
            <w14:solidFill>
              <w14:schemeClr w14:val="tx1"/>
            </w14:solidFill>
          </w14:textFill>
        </w:rPr>
      </w:pPr>
      <w:r>
        <w:rPr>
          <w:rFonts w:ascii="宋体" w:hAnsi="宋体" w:cs="宋体"/>
          <w:color w:val="000000" w:themeColor="text1"/>
          <w:sz w:val="24"/>
          <w:szCs w:val="28"/>
          <w14:textFill>
            <w14:solidFill>
              <w14:schemeClr w14:val="tx1"/>
            </w14:solidFill>
          </w14:textFill>
        </w:rPr>
        <w:t>第六条：更改</w:t>
      </w:r>
    </w:p>
    <w:p>
      <w:pPr>
        <w:spacing w:line="360" w:lineRule="auto"/>
        <w:ind w:firstLine="486" w:firstLineChars="200"/>
        <w:jc w:val="left"/>
        <w:rPr>
          <w:rFonts w:ascii="宋体" w:hAnsi="宋体" w:cs="宋体"/>
          <w:color w:val="000000" w:themeColor="text1"/>
          <w:sz w:val="24"/>
          <w:szCs w:val="28"/>
          <w14:textFill>
            <w14:solidFill>
              <w14:schemeClr w14:val="tx1"/>
            </w14:solidFill>
          </w14:textFill>
        </w:rPr>
      </w:pPr>
      <w:r>
        <w:rPr>
          <w:rFonts w:ascii="宋体" w:hAnsi="宋体" w:cs="宋体"/>
          <w:color w:val="000000" w:themeColor="text1"/>
          <w:sz w:val="24"/>
          <w:szCs w:val="28"/>
          <w14:textFill>
            <w14:solidFill>
              <w14:schemeClr w14:val="tx1"/>
            </w14:solidFill>
          </w14:textFill>
        </w:rPr>
        <w:t>本合同在没有双方书面签字的情况下不得修改或调整。本合同由双方共同执行，文件由双方共同制订并各自约束。</w:t>
      </w:r>
    </w:p>
    <w:p>
      <w:pPr>
        <w:spacing w:line="360" w:lineRule="auto"/>
        <w:ind w:firstLine="486" w:firstLineChars="200"/>
        <w:jc w:val="left"/>
        <w:rPr>
          <w:rFonts w:ascii="宋体" w:hAnsi="宋体" w:cs="宋体"/>
          <w:color w:val="000000" w:themeColor="text1"/>
          <w:sz w:val="24"/>
          <w:szCs w:val="28"/>
          <w14:textFill>
            <w14:solidFill>
              <w14:schemeClr w14:val="tx1"/>
            </w14:solidFill>
          </w14:textFill>
        </w:rPr>
      </w:pPr>
      <w:r>
        <w:rPr>
          <w:rFonts w:ascii="宋体" w:hAnsi="宋体" w:cs="宋体"/>
          <w:color w:val="000000" w:themeColor="text1"/>
          <w:sz w:val="24"/>
          <w:szCs w:val="28"/>
          <w14:textFill>
            <w14:solidFill>
              <w14:schemeClr w14:val="tx1"/>
            </w14:solidFill>
          </w14:textFill>
        </w:rPr>
        <w:t>第七条：违约识别与责任承担</w:t>
      </w:r>
    </w:p>
    <w:p>
      <w:pPr>
        <w:spacing w:line="360" w:lineRule="auto"/>
        <w:ind w:firstLine="486" w:firstLineChars="200"/>
        <w:jc w:val="left"/>
        <w:rPr>
          <w:rFonts w:ascii="宋体" w:hAnsi="宋体" w:cs="宋体"/>
          <w:color w:val="000000" w:themeColor="text1"/>
          <w:sz w:val="24"/>
          <w:szCs w:val="28"/>
          <w14:textFill>
            <w14:solidFill>
              <w14:schemeClr w14:val="tx1"/>
            </w14:solidFill>
          </w14:textFill>
        </w:rPr>
      </w:pPr>
      <w:r>
        <w:rPr>
          <w:rFonts w:ascii="宋体" w:hAnsi="宋体" w:cs="宋体"/>
          <w:color w:val="000000" w:themeColor="text1"/>
          <w:sz w:val="24"/>
          <w:szCs w:val="28"/>
          <w14:textFill>
            <w14:solidFill>
              <w14:schemeClr w14:val="tx1"/>
            </w14:solidFill>
          </w14:textFill>
        </w:rPr>
        <w:t>任何一方违反保密义务泄露对方保密信息的，</w:t>
      </w:r>
      <w:r>
        <w:rPr>
          <w:rFonts w:hint="eastAsia" w:ascii="宋体" w:hAnsi="宋体" w:cs="宋体"/>
          <w:color w:val="000000" w:themeColor="text1"/>
          <w:sz w:val="24"/>
          <w:szCs w:val="28"/>
          <w14:textFill>
            <w14:solidFill>
              <w14:schemeClr w14:val="tx1"/>
            </w14:solidFill>
          </w14:textFill>
        </w:rPr>
        <w:t>应向对方支付</w:t>
      </w:r>
      <w:r>
        <w:rPr>
          <w:rFonts w:ascii="宋体" w:hAnsi="宋体" w:cs="宋体"/>
          <w:color w:val="000000" w:themeColor="text1"/>
          <w:sz w:val="24"/>
          <w:szCs w:val="28"/>
          <w14:textFill>
            <w14:solidFill>
              <w14:schemeClr w14:val="tx1"/>
            </w14:solidFill>
          </w14:textFill>
        </w:rPr>
        <w:t>违约金</w:t>
      </w:r>
      <w:r>
        <w:rPr>
          <w:rFonts w:hint="eastAsia" w:ascii="宋体" w:hAnsi="宋体" w:cs="宋体"/>
          <w:color w:val="000000" w:themeColor="text1"/>
          <w:sz w:val="24"/>
          <w:szCs w:val="28"/>
          <w14:textFill>
            <w14:solidFill>
              <w14:schemeClr w14:val="tx1"/>
            </w14:solidFill>
          </w14:textFill>
        </w:rPr>
        <w:t>壹万</w:t>
      </w:r>
      <w:r>
        <w:rPr>
          <w:rFonts w:ascii="宋体" w:hAnsi="宋体" w:cs="宋体"/>
          <w:color w:val="000000" w:themeColor="text1"/>
          <w:sz w:val="24"/>
          <w:szCs w:val="28"/>
          <w14:textFill>
            <w14:solidFill>
              <w14:schemeClr w14:val="tx1"/>
            </w14:solidFill>
          </w14:textFill>
        </w:rPr>
        <w:t>元人民币</w:t>
      </w:r>
      <w:r>
        <w:rPr>
          <w:rFonts w:hint="eastAsia" w:ascii="宋体" w:hAnsi="宋体" w:cs="宋体"/>
          <w:color w:val="000000" w:themeColor="text1"/>
          <w:sz w:val="24"/>
          <w:szCs w:val="28"/>
          <w14:textFill>
            <w14:solidFill>
              <w14:schemeClr w14:val="tx1"/>
            </w14:solidFill>
          </w14:textFill>
        </w:rPr>
        <w:t>；</w:t>
      </w:r>
      <w:r>
        <w:rPr>
          <w:rFonts w:ascii="宋体" w:hAnsi="宋体" w:cs="宋体"/>
          <w:color w:val="000000" w:themeColor="text1"/>
          <w:sz w:val="24"/>
          <w:szCs w:val="28"/>
          <w14:textFill>
            <w14:solidFill>
              <w14:schemeClr w14:val="tx1"/>
            </w14:solidFill>
          </w14:textFill>
        </w:rPr>
        <w:t>若因此给对方造成的损失超过违约金金额的</w:t>
      </w:r>
      <w:r>
        <w:rPr>
          <w:rFonts w:hint="eastAsia" w:ascii="宋体" w:hAnsi="宋体" w:cs="宋体"/>
          <w:color w:val="000000" w:themeColor="text1"/>
          <w:sz w:val="24"/>
          <w:szCs w:val="28"/>
          <w14:textFill>
            <w14:solidFill>
              <w14:schemeClr w14:val="tx1"/>
            </w14:solidFill>
          </w14:textFill>
        </w:rPr>
        <w:t>，</w:t>
      </w:r>
      <w:r>
        <w:rPr>
          <w:rFonts w:ascii="宋体" w:hAnsi="宋体" w:cs="宋体"/>
          <w:color w:val="000000" w:themeColor="text1"/>
          <w:sz w:val="24"/>
          <w:szCs w:val="28"/>
          <w14:textFill>
            <w14:solidFill>
              <w14:schemeClr w14:val="tx1"/>
            </w14:solidFill>
          </w14:textFill>
        </w:rPr>
        <w:t>违约方还应就差额承担赔偿</w:t>
      </w:r>
      <w:r>
        <w:rPr>
          <w:rFonts w:hint="eastAsia" w:ascii="宋体" w:hAnsi="宋体" w:cs="宋体"/>
          <w:color w:val="000000" w:themeColor="text1"/>
          <w:sz w:val="24"/>
          <w:szCs w:val="28"/>
          <w14:textFill>
            <w14:solidFill>
              <w14:schemeClr w14:val="tx1"/>
            </w14:solidFill>
          </w14:textFill>
        </w:rPr>
        <w:t>。前述损失包括但不限于实际损失、可得利益损失，对第三方承担的赔偿，因主张权利支出的律师费、调查费、诉讼费等。任何一方违反保密义务的的，对方亦有权立即解除合同。</w:t>
      </w:r>
    </w:p>
    <w:p>
      <w:pPr>
        <w:spacing w:line="360" w:lineRule="auto"/>
        <w:ind w:firstLine="486" w:firstLineChars="200"/>
        <w:jc w:val="left"/>
        <w:rPr>
          <w:rFonts w:ascii="宋体" w:hAnsi="宋体" w:cs="宋体"/>
          <w:color w:val="000000" w:themeColor="text1"/>
          <w:sz w:val="24"/>
          <w:szCs w:val="28"/>
          <w14:textFill>
            <w14:solidFill>
              <w14:schemeClr w14:val="tx1"/>
            </w14:solidFill>
          </w14:textFill>
        </w:rPr>
      </w:pPr>
      <w:r>
        <w:rPr>
          <w:rFonts w:ascii="宋体" w:hAnsi="宋体" w:cs="宋体"/>
          <w:color w:val="000000" w:themeColor="text1"/>
          <w:sz w:val="24"/>
          <w:szCs w:val="28"/>
          <w14:textFill>
            <w14:solidFill>
              <w14:schemeClr w14:val="tx1"/>
            </w14:solidFill>
          </w14:textFill>
        </w:rPr>
        <w:t>任何一方不得因对方的违约或侵权行为而泄露对方的保密信息。</w:t>
      </w:r>
    </w:p>
    <w:p>
      <w:pPr>
        <w:spacing w:line="360" w:lineRule="auto"/>
        <w:ind w:firstLine="486" w:firstLineChars="200"/>
        <w:jc w:val="left"/>
        <w:rPr>
          <w:rFonts w:ascii="宋体" w:hAnsi="宋体" w:cs="宋体"/>
          <w:color w:val="000000" w:themeColor="text1"/>
          <w:sz w:val="24"/>
          <w:szCs w:val="28"/>
          <w14:textFill>
            <w14:solidFill>
              <w14:schemeClr w14:val="tx1"/>
            </w14:solidFill>
          </w14:textFill>
        </w:rPr>
      </w:pPr>
      <w:r>
        <w:rPr>
          <w:rFonts w:ascii="宋体" w:hAnsi="宋体" w:cs="宋体"/>
          <w:color w:val="000000" w:themeColor="text1"/>
          <w:sz w:val="24"/>
          <w:szCs w:val="28"/>
          <w14:textFill>
            <w14:solidFill>
              <w14:schemeClr w14:val="tx1"/>
            </w14:solidFill>
          </w14:textFill>
        </w:rPr>
        <w:t>第八条：管辖</w:t>
      </w:r>
    </w:p>
    <w:p>
      <w:pPr>
        <w:spacing w:line="360" w:lineRule="auto"/>
        <w:ind w:firstLine="486" w:firstLineChars="200"/>
        <w:jc w:val="left"/>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双方应尽最大努力友好协商解决与合同或与合同执行有关所产生的任何争议。如果未能友好解决，双方可向乙方所在地有管辖权的人民法院提起诉讼。</w:t>
      </w:r>
    </w:p>
    <w:p>
      <w:pPr>
        <w:spacing w:line="360" w:lineRule="auto"/>
        <w:ind w:firstLine="486" w:firstLineChars="200"/>
        <w:jc w:val="right"/>
        <w:rPr>
          <w:rFonts w:ascii="宋体" w:hAnsi="宋体" w:cs="宋体"/>
          <w:color w:val="000000" w:themeColor="text1"/>
          <w:sz w:val="24"/>
          <w:szCs w:val="28"/>
          <w14:textFill>
            <w14:solidFill>
              <w14:schemeClr w14:val="tx1"/>
            </w14:solidFill>
          </w14:textFill>
        </w:rPr>
      </w:pPr>
    </w:p>
    <w:p>
      <w:pPr>
        <w:tabs>
          <w:tab w:val="left" w:pos="900"/>
        </w:tabs>
        <w:spacing w:line="360" w:lineRule="auto"/>
        <w:ind w:firstLine="488" w:firstLineChars="200"/>
        <w:rPr>
          <w:rFonts w:ascii="Arial" w:hAnsi="Arial" w:cs="Arial"/>
          <w:color w:val="000000" w:themeColor="text1"/>
          <w:sz w:val="24"/>
          <w:u w:val="single"/>
          <w14:textFill>
            <w14:solidFill>
              <w14:schemeClr w14:val="tx1"/>
            </w14:solidFill>
          </w14:textFill>
        </w:rPr>
      </w:pPr>
      <w:r>
        <w:rPr>
          <w:rFonts w:hint="eastAsia" w:ascii="Arial" w:hAnsi="Arial" w:cs="Arial"/>
          <w:b/>
          <w:color w:val="000000" w:themeColor="text1"/>
          <w:sz w:val="24"/>
          <w14:textFill>
            <w14:solidFill>
              <w14:schemeClr w14:val="tx1"/>
            </w14:solidFill>
          </w14:textFill>
        </w:rPr>
        <w:t>报价人名称（加盖公章）：</w:t>
      </w:r>
      <w:r>
        <w:rPr>
          <w:rFonts w:ascii="Arial" w:hAnsi="Arial" w:cs="Arial"/>
          <w:b/>
          <w:color w:val="000000" w:themeColor="text1"/>
          <w:sz w:val="24"/>
          <w14:textFill>
            <w14:solidFill>
              <w14:schemeClr w14:val="tx1"/>
            </w14:solidFill>
          </w14:textFill>
        </w:rPr>
        <w:t xml:space="preserve">  </w:t>
      </w:r>
      <w:r>
        <w:rPr>
          <w:rFonts w:ascii="Arial" w:hAnsi="Arial" w:cs="Arial"/>
          <w:b/>
          <w:color w:val="000000" w:themeColor="text1"/>
          <w:sz w:val="24"/>
          <w:u w:val="single"/>
          <w14:textFill>
            <w14:solidFill>
              <w14:schemeClr w14:val="tx1"/>
            </w14:solidFill>
          </w14:textFill>
        </w:rPr>
        <w:t xml:space="preserve"> </w:t>
      </w:r>
      <w:r>
        <w:rPr>
          <w:rFonts w:ascii="Arial" w:hAnsi="Arial" w:cs="Arial"/>
          <w:color w:val="000000" w:themeColor="text1"/>
          <w:sz w:val="24"/>
          <w:u w:val="single"/>
          <w14:textFill>
            <w14:solidFill>
              <w14:schemeClr w14:val="tx1"/>
            </w14:solidFill>
          </w14:textFill>
        </w:rPr>
        <w:t xml:space="preserve">                       </w:t>
      </w:r>
    </w:p>
    <w:p>
      <w:pPr>
        <w:tabs>
          <w:tab w:val="left" w:pos="900"/>
        </w:tabs>
        <w:spacing w:line="360" w:lineRule="auto"/>
        <w:ind w:firstLine="488" w:firstLineChars="200"/>
        <w:rPr>
          <w:rFonts w:ascii="Arial" w:hAnsi="Arial" w:cs="Arial"/>
          <w:b/>
          <w:color w:val="000000" w:themeColor="text1"/>
          <w:sz w:val="24"/>
          <w14:textFill>
            <w14:solidFill>
              <w14:schemeClr w14:val="tx1"/>
            </w14:solidFill>
          </w14:textFill>
        </w:rPr>
      </w:pPr>
      <w:r>
        <w:rPr>
          <w:rFonts w:hint="eastAsia" w:ascii="Arial" w:hAnsi="Arial" w:cs="Arial"/>
          <w:b/>
          <w:color w:val="000000" w:themeColor="text1"/>
          <w:sz w:val="24"/>
          <w14:textFill>
            <w14:solidFill>
              <w14:schemeClr w14:val="tx1"/>
            </w14:solidFill>
          </w14:textFill>
        </w:rPr>
        <w:t>报价人法定代表人或授权代表人（签字）：</w:t>
      </w:r>
      <w:r>
        <w:rPr>
          <w:rFonts w:ascii="Arial" w:hAnsi="Arial" w:cs="Arial"/>
          <w:b/>
          <w:color w:val="000000" w:themeColor="text1"/>
          <w:sz w:val="24"/>
          <w:u w:val="single"/>
          <w14:textFill>
            <w14:solidFill>
              <w14:schemeClr w14:val="tx1"/>
            </w14:solidFill>
          </w14:textFill>
        </w:rPr>
        <w:t xml:space="preserve">               </w:t>
      </w:r>
    </w:p>
    <w:p>
      <w:pPr>
        <w:tabs>
          <w:tab w:val="left" w:pos="900"/>
        </w:tabs>
        <w:spacing w:line="360" w:lineRule="auto"/>
        <w:ind w:firstLine="486"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日期：</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年</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月</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日</w:t>
      </w:r>
      <w:r>
        <w:rPr>
          <w:rFonts w:ascii="Arial" w:hAnsi="Arial" w:cs="Arial"/>
          <w:color w:val="000000" w:themeColor="text1"/>
          <w:sz w:val="24"/>
          <w14:textFill>
            <w14:solidFill>
              <w14:schemeClr w14:val="tx1"/>
            </w14:solidFill>
          </w14:textFill>
        </w:rPr>
        <w:t xml:space="preserve"> </w:t>
      </w:r>
    </w:p>
    <w:p>
      <w:pPr>
        <w:pStyle w:val="14"/>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ind w:firstLine="486" w:firstLineChars="200"/>
        <w:jc w:val="right"/>
        <w:rPr>
          <w:color w:val="000000" w:themeColor="text1"/>
          <w14:textFill>
            <w14:solidFill>
              <w14:schemeClr w14:val="tx1"/>
            </w14:solidFill>
          </w14:textFill>
        </w:rPr>
      </w:pPr>
      <w:r>
        <w:rPr>
          <w:rFonts w:ascii="宋体" w:hAnsi="宋体" w:cs="宋体"/>
          <w:color w:val="000000" w:themeColor="text1"/>
          <w:sz w:val="24"/>
          <w:szCs w:val="28"/>
          <w14:textFill>
            <w14:solidFill>
              <w14:schemeClr w14:val="tx1"/>
            </w14:solidFill>
          </w14:textFill>
        </w:rPr>
        <w:br w:type="page"/>
      </w:r>
    </w:p>
    <w:p>
      <w:pPr>
        <w:pStyle w:val="16"/>
        <w:rPr>
          <w:color w:val="000000" w:themeColor="text1"/>
          <w14:textFill>
            <w14:solidFill>
              <w14:schemeClr w14:val="tx1"/>
            </w14:solidFill>
          </w14:textFill>
        </w:rPr>
      </w:pPr>
      <w:r>
        <w:rPr>
          <w:rFonts w:hint="eastAsia"/>
          <w:color w:val="000000" w:themeColor="text1"/>
          <w14:textFill>
            <w14:solidFill>
              <w14:schemeClr w14:val="tx1"/>
            </w14:solidFill>
          </w14:textFill>
        </w:rPr>
        <w:t>六、其他材料</w:t>
      </w:r>
    </w:p>
    <w:p>
      <w:pPr>
        <w:spacing w:line="360" w:lineRule="auto"/>
        <w:ind w:firstLine="486" w:firstLineChars="200"/>
        <w:rPr>
          <w:rFonts w:ascii="宋体" w:hAnsi="宋体" w:cs="宋体"/>
          <w:color w:val="000000" w:themeColor="text1"/>
          <w:sz w:val="24"/>
          <w:szCs w:val="28"/>
          <w14:textFill>
            <w14:solidFill>
              <w14:schemeClr w14:val="tx1"/>
            </w14:solidFill>
          </w14:textFill>
        </w:rPr>
      </w:pPr>
    </w:p>
    <w:p/>
    <w:sectPr>
      <w:footerReference r:id="rId5" w:type="default"/>
      <w:pgSz w:w="11906" w:h="16838"/>
      <w:pgMar w:top="1440" w:right="1274" w:bottom="1440" w:left="1418" w:header="851" w:footer="992" w:gutter="0"/>
      <w:pgNumType w:start="1"/>
      <w:cols w:space="720" w:num="1"/>
      <w:docGrid w:type="linesAndChars" w:linePitch="317"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b/>
        <w:sz w:val="21"/>
      </w:rPr>
    </w:pPr>
    <w:r>
      <w:rPr>
        <w:b/>
        <w:sz w:val="21"/>
      </w:rPr>
      <w:fldChar w:fldCharType="begin"/>
    </w:r>
    <w:r>
      <w:rPr>
        <w:b/>
        <w:sz w:val="21"/>
      </w:rPr>
      <w:instrText xml:space="preserve">PAGE   \* MERGEFORMAT</w:instrText>
    </w:r>
    <w:r>
      <w:rPr>
        <w:b/>
        <w:sz w:val="21"/>
      </w:rPr>
      <w:fldChar w:fldCharType="separate"/>
    </w:r>
    <w:r>
      <w:rPr>
        <w:b/>
        <w:sz w:val="21"/>
        <w:lang w:val="zh-CN"/>
      </w:rPr>
      <w:t>22</w:t>
    </w:r>
    <w:r>
      <w:rPr>
        <w:b/>
        <w:sz w:val="21"/>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ECAD0"/>
    <w:multiLevelType w:val="singleLevel"/>
    <w:tmpl w:val="604ECAD0"/>
    <w:lvl w:ilvl="0" w:tentative="0">
      <w:start w:val="2"/>
      <w:numFmt w:val="decimal"/>
      <w:suff w:val="nothing"/>
      <w:lvlText w:val="%1."/>
      <w:lvlJc w:val="left"/>
    </w:lvl>
  </w:abstractNum>
  <w:abstractNum w:abstractNumId="1">
    <w:nsid w:val="60E7B8B1"/>
    <w:multiLevelType w:val="singleLevel"/>
    <w:tmpl w:val="60E7B8B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D3"/>
    <w:rsid w:val="00047E3E"/>
    <w:rsid w:val="00053747"/>
    <w:rsid w:val="000A5A19"/>
    <w:rsid w:val="000B16A2"/>
    <w:rsid w:val="000C38DA"/>
    <w:rsid w:val="001137F5"/>
    <w:rsid w:val="00135F0C"/>
    <w:rsid w:val="00143E4F"/>
    <w:rsid w:val="00187D20"/>
    <w:rsid w:val="001973FC"/>
    <w:rsid w:val="001B0E2A"/>
    <w:rsid w:val="001B3A56"/>
    <w:rsid w:val="001B6AF8"/>
    <w:rsid w:val="00212C30"/>
    <w:rsid w:val="00217FA0"/>
    <w:rsid w:val="00256F4B"/>
    <w:rsid w:val="00296769"/>
    <w:rsid w:val="002B1EC8"/>
    <w:rsid w:val="002B7539"/>
    <w:rsid w:val="002C1A46"/>
    <w:rsid w:val="002C714C"/>
    <w:rsid w:val="002E3462"/>
    <w:rsid w:val="00306D62"/>
    <w:rsid w:val="00332C78"/>
    <w:rsid w:val="0036153C"/>
    <w:rsid w:val="00361E78"/>
    <w:rsid w:val="00396E79"/>
    <w:rsid w:val="003A1210"/>
    <w:rsid w:val="003B13F0"/>
    <w:rsid w:val="003B2144"/>
    <w:rsid w:val="003F70D1"/>
    <w:rsid w:val="00444DCF"/>
    <w:rsid w:val="0045406D"/>
    <w:rsid w:val="004B1BAE"/>
    <w:rsid w:val="004E3919"/>
    <w:rsid w:val="00502CE7"/>
    <w:rsid w:val="005073F6"/>
    <w:rsid w:val="00553590"/>
    <w:rsid w:val="00557CB5"/>
    <w:rsid w:val="00565EB0"/>
    <w:rsid w:val="00567446"/>
    <w:rsid w:val="0058789F"/>
    <w:rsid w:val="005D29E8"/>
    <w:rsid w:val="005D3FA4"/>
    <w:rsid w:val="006229F7"/>
    <w:rsid w:val="00660430"/>
    <w:rsid w:val="00665E55"/>
    <w:rsid w:val="00670829"/>
    <w:rsid w:val="00673AD8"/>
    <w:rsid w:val="006B4543"/>
    <w:rsid w:val="006C33D7"/>
    <w:rsid w:val="006F406B"/>
    <w:rsid w:val="006F5778"/>
    <w:rsid w:val="007119F9"/>
    <w:rsid w:val="00716AB6"/>
    <w:rsid w:val="0075479A"/>
    <w:rsid w:val="00760315"/>
    <w:rsid w:val="0076105A"/>
    <w:rsid w:val="0076351B"/>
    <w:rsid w:val="007873C6"/>
    <w:rsid w:val="00791A92"/>
    <w:rsid w:val="00797D28"/>
    <w:rsid w:val="007A108B"/>
    <w:rsid w:val="007A26D8"/>
    <w:rsid w:val="007D089F"/>
    <w:rsid w:val="007D0DAB"/>
    <w:rsid w:val="00830735"/>
    <w:rsid w:val="0085082E"/>
    <w:rsid w:val="00851AD9"/>
    <w:rsid w:val="00853D29"/>
    <w:rsid w:val="008549CD"/>
    <w:rsid w:val="00882B69"/>
    <w:rsid w:val="00887BEC"/>
    <w:rsid w:val="00890980"/>
    <w:rsid w:val="008941E1"/>
    <w:rsid w:val="008D5138"/>
    <w:rsid w:val="008D6890"/>
    <w:rsid w:val="009000AB"/>
    <w:rsid w:val="009542D8"/>
    <w:rsid w:val="00956042"/>
    <w:rsid w:val="0098219F"/>
    <w:rsid w:val="00983ED2"/>
    <w:rsid w:val="009840B5"/>
    <w:rsid w:val="0099629E"/>
    <w:rsid w:val="009C74EE"/>
    <w:rsid w:val="009C7BF2"/>
    <w:rsid w:val="009E1361"/>
    <w:rsid w:val="00A02618"/>
    <w:rsid w:val="00A05D9C"/>
    <w:rsid w:val="00A45A3C"/>
    <w:rsid w:val="00A636C1"/>
    <w:rsid w:val="00A84E00"/>
    <w:rsid w:val="00A8782D"/>
    <w:rsid w:val="00AA1CF2"/>
    <w:rsid w:val="00AB3A04"/>
    <w:rsid w:val="00AB5FD3"/>
    <w:rsid w:val="00AC0A12"/>
    <w:rsid w:val="00AD5647"/>
    <w:rsid w:val="00AE0D83"/>
    <w:rsid w:val="00AE2114"/>
    <w:rsid w:val="00AF63F7"/>
    <w:rsid w:val="00B3615B"/>
    <w:rsid w:val="00B40537"/>
    <w:rsid w:val="00B56F1C"/>
    <w:rsid w:val="00B67EBD"/>
    <w:rsid w:val="00B94E0E"/>
    <w:rsid w:val="00BB5F18"/>
    <w:rsid w:val="00BC20A9"/>
    <w:rsid w:val="00BD087D"/>
    <w:rsid w:val="00BF01B4"/>
    <w:rsid w:val="00C33C91"/>
    <w:rsid w:val="00C33D73"/>
    <w:rsid w:val="00C34518"/>
    <w:rsid w:val="00C84BA1"/>
    <w:rsid w:val="00CC4F07"/>
    <w:rsid w:val="00CE60B1"/>
    <w:rsid w:val="00D67598"/>
    <w:rsid w:val="00D67D90"/>
    <w:rsid w:val="00D710E8"/>
    <w:rsid w:val="00D806B7"/>
    <w:rsid w:val="00DB7CA1"/>
    <w:rsid w:val="00DD3971"/>
    <w:rsid w:val="00DE12DE"/>
    <w:rsid w:val="00DE329A"/>
    <w:rsid w:val="00E2177E"/>
    <w:rsid w:val="00E24D8F"/>
    <w:rsid w:val="00E54177"/>
    <w:rsid w:val="00E651F9"/>
    <w:rsid w:val="00E65E6C"/>
    <w:rsid w:val="00E77200"/>
    <w:rsid w:val="00E7781A"/>
    <w:rsid w:val="00E805EF"/>
    <w:rsid w:val="00E86ED7"/>
    <w:rsid w:val="00EA61B3"/>
    <w:rsid w:val="00EB71B9"/>
    <w:rsid w:val="00F05739"/>
    <w:rsid w:val="00F4772E"/>
    <w:rsid w:val="00F47D3B"/>
    <w:rsid w:val="00F51514"/>
    <w:rsid w:val="00F839ED"/>
    <w:rsid w:val="00F87B03"/>
    <w:rsid w:val="00F94301"/>
    <w:rsid w:val="00FD2D1E"/>
    <w:rsid w:val="00FE1ECD"/>
    <w:rsid w:val="01FE761B"/>
    <w:rsid w:val="02F9047E"/>
    <w:rsid w:val="048727E8"/>
    <w:rsid w:val="05267384"/>
    <w:rsid w:val="060B1092"/>
    <w:rsid w:val="06774181"/>
    <w:rsid w:val="068565C2"/>
    <w:rsid w:val="09273780"/>
    <w:rsid w:val="0B1C0A69"/>
    <w:rsid w:val="0BC5061B"/>
    <w:rsid w:val="0D8E3DEF"/>
    <w:rsid w:val="14C37206"/>
    <w:rsid w:val="1B534B8F"/>
    <w:rsid w:val="1CEB4526"/>
    <w:rsid w:val="1DA6688B"/>
    <w:rsid w:val="1E7B4662"/>
    <w:rsid w:val="1FBD11EF"/>
    <w:rsid w:val="202C579E"/>
    <w:rsid w:val="207254F7"/>
    <w:rsid w:val="214B061E"/>
    <w:rsid w:val="22E8783A"/>
    <w:rsid w:val="26461C8B"/>
    <w:rsid w:val="267C3DA0"/>
    <w:rsid w:val="27224189"/>
    <w:rsid w:val="28944033"/>
    <w:rsid w:val="2A893E03"/>
    <w:rsid w:val="2B0E7679"/>
    <w:rsid w:val="2CA75C5D"/>
    <w:rsid w:val="2DC75262"/>
    <w:rsid w:val="2E0E3741"/>
    <w:rsid w:val="31BE68A9"/>
    <w:rsid w:val="324F64A1"/>
    <w:rsid w:val="32F90E42"/>
    <w:rsid w:val="346557FB"/>
    <w:rsid w:val="374D2FAB"/>
    <w:rsid w:val="37BA600D"/>
    <w:rsid w:val="3861785A"/>
    <w:rsid w:val="3E6732EE"/>
    <w:rsid w:val="3F602707"/>
    <w:rsid w:val="42911529"/>
    <w:rsid w:val="46A541AB"/>
    <w:rsid w:val="4E681D8A"/>
    <w:rsid w:val="4EA6046E"/>
    <w:rsid w:val="51944F62"/>
    <w:rsid w:val="54FF4158"/>
    <w:rsid w:val="56B75168"/>
    <w:rsid w:val="5AAC1011"/>
    <w:rsid w:val="5CA371A4"/>
    <w:rsid w:val="5D496ADA"/>
    <w:rsid w:val="5D560EC4"/>
    <w:rsid w:val="5E97143B"/>
    <w:rsid w:val="60E81E47"/>
    <w:rsid w:val="61F213D3"/>
    <w:rsid w:val="63D635C4"/>
    <w:rsid w:val="661D19E1"/>
    <w:rsid w:val="681024F1"/>
    <w:rsid w:val="6B250AE6"/>
    <w:rsid w:val="6CD5065E"/>
    <w:rsid w:val="6D342A32"/>
    <w:rsid w:val="6E8369E8"/>
    <w:rsid w:val="6F0E3290"/>
    <w:rsid w:val="737A42CF"/>
    <w:rsid w:val="755A2E50"/>
    <w:rsid w:val="756D1B58"/>
    <w:rsid w:val="77CD74C6"/>
    <w:rsid w:val="79176F93"/>
    <w:rsid w:val="7A8916E4"/>
    <w:rsid w:val="7AAD1B2A"/>
    <w:rsid w:val="7AF30E31"/>
    <w:rsid w:val="7B9759EE"/>
    <w:rsid w:val="7EFD7CA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adjustRightInd w:val="0"/>
      <w:spacing w:before="120" w:after="360" w:line="720" w:lineRule="atLeast"/>
      <w:jc w:val="center"/>
      <w:textAlignment w:val="baseline"/>
      <w:outlineLvl w:val="0"/>
    </w:pPr>
    <w:rPr>
      <w:b/>
      <w:kern w:val="0"/>
      <w:sz w:val="28"/>
      <w:szCs w:val="20"/>
    </w:rPr>
  </w:style>
  <w:style w:type="paragraph" w:styleId="4">
    <w:name w:val="heading 2"/>
    <w:basedOn w:val="1"/>
    <w:next w:val="1"/>
    <w:qFormat/>
    <w:uiPriority w:val="0"/>
    <w:pPr>
      <w:keepNext/>
      <w:keepLines/>
      <w:spacing w:before="260" w:after="260" w:line="412" w:lineRule="auto"/>
      <w:outlineLvl w:val="1"/>
    </w:pPr>
    <w:rPr>
      <w:rFonts w:ascii="Cambria" w:hAnsi="Cambria"/>
      <w:b/>
      <w:bCs/>
      <w:kern w:val="0"/>
      <w:sz w:val="32"/>
      <w:szCs w:val="32"/>
    </w:rPr>
  </w:style>
  <w:style w:type="paragraph" w:styleId="5">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annotation subject"/>
    <w:basedOn w:val="7"/>
    <w:next w:val="7"/>
    <w:link w:val="25"/>
    <w:qFormat/>
    <w:uiPriority w:val="0"/>
    <w:rPr>
      <w:b/>
      <w:bCs/>
    </w:rPr>
  </w:style>
  <w:style w:type="paragraph" w:styleId="7">
    <w:name w:val="annotation text"/>
    <w:basedOn w:val="1"/>
    <w:link w:val="24"/>
    <w:qFormat/>
    <w:uiPriority w:val="99"/>
    <w:pPr>
      <w:jc w:val="left"/>
    </w:pPr>
  </w:style>
  <w:style w:type="paragraph" w:styleId="8">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paragraph" w:styleId="9">
    <w:name w:val="Date"/>
    <w:basedOn w:val="1"/>
    <w:next w:val="1"/>
    <w:qFormat/>
    <w:uiPriority w:val="0"/>
    <w:pPr>
      <w:adjustRightInd w:val="0"/>
      <w:spacing w:line="312" w:lineRule="atLeast"/>
      <w:jc w:val="right"/>
      <w:textAlignment w:val="baseline"/>
    </w:pPr>
    <w:rPr>
      <w:b/>
      <w:spacing w:val="30"/>
      <w:kern w:val="0"/>
      <w:sz w:val="36"/>
      <w:szCs w:val="20"/>
    </w:rPr>
  </w:style>
  <w:style w:type="paragraph" w:styleId="10">
    <w:name w:val="Body Text Indent 2"/>
    <w:basedOn w:val="1"/>
    <w:qFormat/>
    <w:uiPriority w:val="0"/>
    <w:pPr>
      <w:widowControl/>
      <w:spacing w:line="480" w:lineRule="auto"/>
      <w:ind w:firstLine="560"/>
      <w:jc w:val="left"/>
    </w:pPr>
    <w:rPr>
      <w:sz w:val="28"/>
    </w:rPr>
  </w:style>
  <w:style w:type="paragraph" w:styleId="11">
    <w:name w:val="Balloon Text"/>
    <w:basedOn w:val="1"/>
    <w:link w:val="26"/>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index 1"/>
    <w:basedOn w:val="1"/>
    <w:next w:val="1"/>
    <w:semiHidden/>
    <w:qFormat/>
    <w:uiPriority w:val="0"/>
    <w:pPr>
      <w:spacing w:line="360" w:lineRule="auto"/>
      <w:jc w:val="center"/>
    </w:pPr>
    <w:rPr>
      <w:rFonts w:ascii="宋体" w:hAnsi="Arial" w:cs="Arial"/>
      <w:b/>
      <w:color w:val="000000"/>
      <w:sz w:val="24"/>
    </w:rPr>
  </w:style>
  <w:style w:type="paragraph" w:styleId="16">
    <w:name w:val="Title"/>
    <w:basedOn w:val="1"/>
    <w:next w:val="1"/>
    <w:qFormat/>
    <w:uiPriority w:val="10"/>
    <w:pPr>
      <w:spacing w:before="240" w:after="60"/>
      <w:jc w:val="center"/>
      <w:outlineLvl w:val="0"/>
    </w:pPr>
    <w:rPr>
      <w:rFonts w:ascii="Cambria" w:hAnsi="Cambria"/>
      <w:b/>
      <w:bCs/>
      <w:sz w:val="32"/>
      <w:szCs w:val="32"/>
    </w:rPr>
  </w:style>
  <w:style w:type="character" w:styleId="18">
    <w:name w:val="annotation reference"/>
    <w:qFormat/>
    <w:uiPriority w:val="99"/>
    <w:rPr>
      <w:rFonts w:cs="Times New Roman"/>
      <w:sz w:val="21"/>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1">
    <w:name w:val="列表段落1"/>
    <w:basedOn w:val="1"/>
    <w:qFormat/>
    <w:uiPriority w:val="99"/>
    <w:pPr>
      <w:ind w:firstLine="420" w:firstLineChars="200"/>
    </w:pPr>
    <w:rPr>
      <w:rFonts w:asciiTheme="minorHAnsi" w:hAnsiTheme="minorHAnsi" w:eastAsiaTheme="minorEastAsia" w:cstheme="minorBidi"/>
    </w:rPr>
  </w:style>
  <w:style w:type="paragraph" w:customStyle="1" w:styleId="2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3">
    <w:name w:val="Normal Paragraph"/>
    <w:basedOn w:val="1"/>
    <w:qFormat/>
    <w:uiPriority w:val="0"/>
    <w:pPr>
      <w:widowControl/>
      <w:spacing w:before="120"/>
      <w:ind w:firstLine="425"/>
    </w:pPr>
    <w:rPr>
      <w:kern w:val="0"/>
      <w:sz w:val="24"/>
    </w:rPr>
  </w:style>
  <w:style w:type="character" w:customStyle="1" w:styleId="24">
    <w:name w:val="批注文字 字符"/>
    <w:basedOn w:val="17"/>
    <w:link w:val="7"/>
    <w:qFormat/>
    <w:uiPriority w:val="99"/>
    <w:rPr>
      <w:kern w:val="2"/>
      <w:sz w:val="21"/>
      <w:szCs w:val="24"/>
    </w:rPr>
  </w:style>
  <w:style w:type="character" w:customStyle="1" w:styleId="25">
    <w:name w:val="批注主题 字符"/>
    <w:basedOn w:val="24"/>
    <w:link w:val="6"/>
    <w:qFormat/>
    <w:uiPriority w:val="0"/>
    <w:rPr>
      <w:b/>
      <w:bCs/>
      <w:kern w:val="2"/>
      <w:sz w:val="21"/>
      <w:szCs w:val="24"/>
    </w:rPr>
  </w:style>
  <w:style w:type="character" w:customStyle="1" w:styleId="26">
    <w:name w:val="批注框文本 字符"/>
    <w:basedOn w:val="17"/>
    <w:link w:val="11"/>
    <w:qFormat/>
    <w:uiPriority w:val="0"/>
    <w:rPr>
      <w:kern w:val="2"/>
      <w:sz w:val="18"/>
      <w:szCs w:val="18"/>
    </w:rPr>
  </w:style>
  <w:style w:type="paragraph" w:customStyle="1" w:styleId="27">
    <w:name w:val="符号列表"/>
    <w:basedOn w:val="1"/>
    <w:next w:val="21"/>
    <w:link w:val="28"/>
    <w:qFormat/>
    <w:uiPriority w:val="34"/>
    <w:pPr>
      <w:spacing w:beforeLines="50"/>
      <w:ind w:firstLine="420" w:firstLineChars="200"/>
    </w:pPr>
    <w:rPr>
      <w:rFonts w:ascii="Calibri" w:hAnsi="Calibri"/>
      <w:sz w:val="24"/>
      <w:szCs w:val="22"/>
      <w:lang w:val="zh-CN"/>
    </w:rPr>
  </w:style>
  <w:style w:type="character" w:customStyle="1" w:styleId="28">
    <w:name w:val="列出段落 Char"/>
    <w:link w:val="27"/>
    <w:qFormat/>
    <w:uiPriority w:val="34"/>
    <w:rPr>
      <w:rFonts w:ascii="Calibri" w:hAnsi="Calibri"/>
      <w:kern w:val="2"/>
      <w:sz w:val="24"/>
      <w:szCs w:val="22"/>
    </w:rPr>
  </w:style>
  <w:style w:type="paragraph" w:customStyle="1" w:styleId="29">
    <w:name w:val="font10"/>
    <w:basedOn w:val="1"/>
    <w:qFormat/>
    <w:uiPriority w:val="0"/>
    <w:pPr>
      <w:widowControl/>
      <w:spacing w:before="100" w:beforeAutospacing="1" w:after="100" w:afterAutospacing="1"/>
      <w:jc w:val="left"/>
    </w:pPr>
    <w:rPr>
      <w:kern w:val="0"/>
      <w:sz w:val="28"/>
      <w:szCs w:val="28"/>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表格内正文，无编号"/>
    <w:basedOn w:val="1"/>
    <w:qFormat/>
    <w:uiPriority w:val="0"/>
    <w:pPr>
      <w:spacing w:line="400" w:lineRule="exact"/>
      <w:ind w:firstLine="643" w:firstLineChars="200"/>
    </w:pPr>
  </w:style>
  <w:style w:type="character" w:customStyle="1" w:styleId="32">
    <w:name w:val="font21"/>
    <w:qFormat/>
    <w:uiPriority w:val="0"/>
    <w:rPr>
      <w:rFonts w:hint="eastAsia" w:ascii="宋体" w:hAnsi="宋体" w:eastAsia="宋体" w:cs="宋体"/>
      <w:color w:val="000000"/>
      <w:sz w:val="21"/>
      <w:szCs w:val="21"/>
      <w:u w:val="none"/>
    </w:rPr>
  </w:style>
  <w:style w:type="paragraph" w:customStyle="1" w:styleId="33">
    <w:name w:val="表体"/>
    <w:basedOn w:val="1"/>
    <w:next w:val="1"/>
    <w:qFormat/>
    <w:uiPriority w:val="0"/>
    <w:pPr>
      <w:snapToGrid w:val="0"/>
      <w:spacing w:line="0" w:lineRule="atLeast"/>
    </w:pPr>
    <w:rPr>
      <w:b/>
      <w:szCs w:val="20"/>
    </w:rPr>
  </w:style>
  <w:style w:type="paragraph" w:customStyle="1" w:styleId="34">
    <w:name w:val="列表段落2"/>
    <w:basedOn w:val="1"/>
    <w:qFormat/>
    <w:uiPriority w:val="99"/>
    <w:pPr>
      <w:ind w:firstLine="420" w:firstLineChars="200"/>
    </w:pPr>
  </w:style>
  <w:style w:type="table" w:customStyle="1" w:styleId="35">
    <w:name w:val="网格型1"/>
    <w:basedOn w:val="19"/>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F311A5-D091-4D50-B68C-388AA9917048}">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1832</Words>
  <Characters>10447</Characters>
  <Lines>87</Lines>
  <Paragraphs>24</Paragraphs>
  <ScaleCrop>false</ScaleCrop>
  <LinksUpToDate>false</LinksUpToDate>
  <CharactersWithSpaces>12255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2021-07-09T06:20:00Z</dcterms:created>
  <dc:creator>admin</dc:creator>
  <cp:lastModifiedBy>蒋淇</cp:lastModifiedBy>
  <dcterms:modified xsi:type="dcterms:W3CDTF">2021-07-14T07:59:47Z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6CBCD4C056E44C3F9D2F3BE5581C30D2</vt:lpwstr>
  </property>
</Properties>
</file>