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spacing w:line="400" w:lineRule="exact"/>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交通地理信息大数据关键技术应用与研发项目工程师培训服务（第二次）</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2022</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9 </w:t>
      </w:r>
      <w:r>
        <w:rPr>
          <w:rFonts w:hint="eastAsia" w:ascii="宋体" w:hAnsi="宋体" w:cs="宋体"/>
          <w:b/>
          <w:sz w:val="28"/>
          <w:szCs w:val="28"/>
          <w:highlight w:val="none"/>
        </w:rPr>
        <w:t>月</w:t>
      </w:r>
    </w:p>
    <w:p>
      <w:pPr>
        <w:pStyle w:val="28"/>
        <w:jc w:val="center"/>
        <w:outlineLvl w:val="0"/>
        <w:rPr>
          <w:rFonts w:ascii="宋体" w:hAnsi="宋体" w:cs="宋体"/>
          <w:szCs w:val="21"/>
          <w:highlight w:val="none"/>
        </w:rPr>
      </w:pPr>
      <w:r>
        <w:rPr>
          <w:highlight w:val="none"/>
        </w:rPr>
        <w:br w:type="page"/>
      </w:r>
      <w:bookmarkStart w:id="0" w:name="_Toc507319889"/>
      <w:bookmarkStart w:id="1" w:name="_Toc247085669"/>
      <w:bookmarkStart w:id="2" w:name="_Toc296602400"/>
      <w:bookmarkStart w:id="3" w:name="_Toc27358"/>
      <w:bookmarkStart w:id="4" w:name="_Toc246996898"/>
      <w:bookmarkStart w:id="5" w:name="_Toc507428442"/>
      <w:r>
        <w:rPr>
          <w:rFonts w:hint="eastAsia" w:ascii="宋体" w:hAnsi="宋体" w:cs="宋体"/>
          <w:b w:val="0"/>
          <w:sz w:val="32"/>
          <w:highlight w:val="none"/>
        </w:rPr>
        <w:t>目   录</w:t>
      </w:r>
      <w:bookmarkEnd w:id="0"/>
      <w:bookmarkEnd w:id="1"/>
      <w:bookmarkEnd w:id="2"/>
      <w:bookmarkEnd w:id="3"/>
      <w:bookmarkEnd w:id="4"/>
      <w:bookmarkEnd w:id="5"/>
    </w:p>
    <w:p>
      <w:pPr>
        <w:pStyle w:val="28"/>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highlight w:val="none"/>
        </w:rPr>
        <w:fldChar w:fldCharType="begin"/>
      </w:r>
      <w:r>
        <w:rPr>
          <w:highlight w:val="none"/>
        </w:rPr>
        <w:instrText xml:space="preserve"> HYPERLINK \l "_Toc25855" </w:instrText>
      </w:r>
      <w:r>
        <w:rPr>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_Toc25855 \h </w:instrText>
      </w:r>
      <w:r>
        <w:rPr>
          <w:highlight w:val="none"/>
        </w:rPr>
        <w:fldChar w:fldCharType="separate"/>
      </w:r>
      <w:r>
        <w:rPr>
          <w:highlight w:val="none"/>
        </w:rPr>
        <w:t>1</w:t>
      </w:r>
      <w:r>
        <w:rPr>
          <w:highlight w:val="none"/>
        </w:rPr>
        <w:fldChar w:fldCharType="end"/>
      </w:r>
      <w:r>
        <w:rPr>
          <w:highlight w:val="none"/>
        </w:rPr>
        <w:fldChar w:fldCharType="end"/>
      </w:r>
    </w:p>
    <w:p>
      <w:pPr>
        <w:pStyle w:val="28"/>
        <w:tabs>
          <w:tab w:val="right" w:leader="dot" w:pos="9638"/>
        </w:tabs>
        <w:rPr>
          <w:highlight w:val="none"/>
        </w:rPr>
      </w:pPr>
      <w:r>
        <w:rPr>
          <w:highlight w:val="none"/>
        </w:rPr>
        <w:fldChar w:fldCharType="begin"/>
      </w:r>
      <w:r>
        <w:rPr>
          <w:highlight w:val="none"/>
        </w:rPr>
        <w:instrText xml:space="preserve"> HYPERLINK \l "_Toc18539" </w:instrText>
      </w:r>
      <w:r>
        <w:rPr>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_Toc18539 \h </w:instrText>
      </w:r>
      <w:r>
        <w:rPr>
          <w:highlight w:val="none"/>
        </w:rPr>
        <w:fldChar w:fldCharType="separate"/>
      </w:r>
      <w:r>
        <w:rPr>
          <w:highlight w:val="none"/>
        </w:rPr>
        <w:t>4</w:t>
      </w:r>
      <w:r>
        <w:rPr>
          <w:highlight w:val="none"/>
        </w:rPr>
        <w:fldChar w:fldCharType="end"/>
      </w:r>
      <w:r>
        <w:rPr>
          <w:highlight w:val="none"/>
        </w:rPr>
        <w:fldChar w:fldCharType="end"/>
      </w:r>
    </w:p>
    <w:p>
      <w:pPr>
        <w:pStyle w:val="28"/>
        <w:tabs>
          <w:tab w:val="right" w:leader="dot" w:pos="9638"/>
        </w:tabs>
        <w:rPr>
          <w:highlight w:val="none"/>
        </w:rPr>
      </w:pPr>
      <w:r>
        <w:rPr>
          <w:highlight w:val="none"/>
        </w:rPr>
        <w:fldChar w:fldCharType="begin"/>
      </w:r>
      <w:r>
        <w:rPr>
          <w:highlight w:val="none"/>
        </w:rPr>
        <w:instrText xml:space="preserve"> HYPERLINK \l "_Toc7273" </w:instrText>
      </w:r>
      <w:r>
        <w:rPr>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_Toc7273 \h </w:instrText>
      </w:r>
      <w:r>
        <w:rPr>
          <w:highlight w:val="none"/>
        </w:rPr>
        <w:fldChar w:fldCharType="separate"/>
      </w:r>
      <w:r>
        <w:rPr>
          <w:highlight w:val="none"/>
        </w:rPr>
        <w:t>7</w:t>
      </w:r>
      <w:r>
        <w:rPr>
          <w:highlight w:val="none"/>
        </w:rPr>
        <w:fldChar w:fldCharType="end"/>
      </w:r>
      <w:r>
        <w:rPr>
          <w:highlight w:val="none"/>
        </w:rPr>
        <w:fldChar w:fldCharType="end"/>
      </w:r>
    </w:p>
    <w:p>
      <w:pPr>
        <w:pStyle w:val="28"/>
        <w:tabs>
          <w:tab w:val="right" w:leader="dot" w:pos="9638"/>
        </w:tabs>
        <w:rPr>
          <w:highlight w:val="none"/>
        </w:rPr>
      </w:pPr>
      <w:r>
        <w:rPr>
          <w:highlight w:val="none"/>
        </w:rPr>
        <w:fldChar w:fldCharType="begin"/>
      </w:r>
      <w:r>
        <w:rPr>
          <w:highlight w:val="none"/>
        </w:rPr>
        <w:instrText xml:space="preserve"> HYPERLINK \l "_Toc6879" </w:instrText>
      </w:r>
      <w:r>
        <w:rPr>
          <w:highlight w:val="none"/>
        </w:rPr>
        <w:fldChar w:fldCharType="separate"/>
      </w:r>
      <w:r>
        <w:rPr>
          <w:rFonts w:hint="eastAsia"/>
          <w:highlight w:val="none"/>
        </w:rPr>
        <w:t>第四章 报价说明</w:t>
      </w:r>
      <w:r>
        <w:rPr>
          <w:highlight w:val="none"/>
        </w:rPr>
        <w:tab/>
      </w:r>
      <w:r>
        <w:rPr>
          <w:highlight w:val="none"/>
        </w:rPr>
        <w:fldChar w:fldCharType="begin"/>
      </w:r>
      <w:r>
        <w:rPr>
          <w:highlight w:val="none"/>
        </w:rPr>
        <w:instrText xml:space="preserve"> PAGEREF _Toc6879 \h </w:instrText>
      </w:r>
      <w:r>
        <w:rPr>
          <w:highlight w:val="none"/>
        </w:rPr>
        <w:fldChar w:fldCharType="separate"/>
      </w:r>
      <w:r>
        <w:rPr>
          <w:highlight w:val="none"/>
        </w:rPr>
        <w:t>11</w:t>
      </w:r>
      <w:r>
        <w:rPr>
          <w:highlight w:val="none"/>
        </w:rPr>
        <w:fldChar w:fldCharType="end"/>
      </w:r>
      <w:r>
        <w:rPr>
          <w:highlight w:val="none"/>
        </w:rPr>
        <w:fldChar w:fldCharType="end"/>
      </w:r>
    </w:p>
    <w:p>
      <w:pPr>
        <w:pStyle w:val="28"/>
        <w:tabs>
          <w:tab w:val="right" w:leader="dot" w:pos="9638"/>
        </w:tabs>
        <w:rPr>
          <w:highlight w:val="none"/>
        </w:rPr>
      </w:pPr>
      <w:r>
        <w:rPr>
          <w:highlight w:val="none"/>
        </w:rPr>
        <w:fldChar w:fldCharType="begin"/>
      </w:r>
      <w:r>
        <w:rPr>
          <w:highlight w:val="none"/>
        </w:rPr>
        <w:instrText xml:space="preserve"> HYPERLINK \l "_Toc4638" </w:instrText>
      </w:r>
      <w:r>
        <w:rPr>
          <w:highlight w:val="none"/>
        </w:rPr>
        <w:fldChar w:fldCharType="separate"/>
      </w:r>
      <w:r>
        <w:rPr>
          <w:rFonts w:hint="eastAsia" w:ascii="宋体" w:hAnsi="宋体" w:cs="宋体"/>
          <w:highlight w:val="none"/>
        </w:rPr>
        <w:t>第五章 报价清单</w:t>
      </w:r>
      <w:r>
        <w:rPr>
          <w:highlight w:val="none"/>
        </w:rPr>
        <w:tab/>
      </w:r>
      <w:r>
        <w:rPr>
          <w:highlight w:val="none"/>
        </w:rPr>
        <w:fldChar w:fldCharType="begin"/>
      </w:r>
      <w:r>
        <w:rPr>
          <w:highlight w:val="none"/>
        </w:rPr>
        <w:instrText xml:space="preserve"> PAGEREF _Toc4638 \h </w:instrText>
      </w:r>
      <w:r>
        <w:rPr>
          <w:highlight w:val="none"/>
        </w:rPr>
        <w:fldChar w:fldCharType="separate"/>
      </w:r>
      <w:r>
        <w:rPr>
          <w:highlight w:val="none"/>
        </w:rPr>
        <w:t>12</w:t>
      </w:r>
      <w:r>
        <w:rPr>
          <w:highlight w:val="none"/>
        </w:rPr>
        <w:fldChar w:fldCharType="end"/>
      </w:r>
      <w:r>
        <w:rPr>
          <w:highlight w:val="none"/>
        </w:rPr>
        <w:fldChar w:fldCharType="end"/>
      </w:r>
    </w:p>
    <w:p>
      <w:pPr>
        <w:pStyle w:val="28"/>
        <w:tabs>
          <w:tab w:val="right" w:leader="dot" w:pos="9638"/>
        </w:tabs>
        <w:rPr>
          <w:highlight w:val="none"/>
        </w:rPr>
      </w:pPr>
      <w:r>
        <w:rPr>
          <w:highlight w:val="none"/>
        </w:rPr>
        <w:fldChar w:fldCharType="begin"/>
      </w:r>
      <w:r>
        <w:rPr>
          <w:highlight w:val="none"/>
        </w:rPr>
        <w:instrText xml:space="preserve"> HYPERLINK \l "_Toc28333" </w:instrText>
      </w:r>
      <w:r>
        <w:rPr>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_Toc28333 \h </w:instrText>
      </w:r>
      <w:r>
        <w:rPr>
          <w:highlight w:val="none"/>
        </w:rPr>
        <w:fldChar w:fldCharType="separate"/>
      </w:r>
      <w:r>
        <w:rPr>
          <w:highlight w:val="none"/>
        </w:rPr>
        <w:t>13</w:t>
      </w:r>
      <w:r>
        <w:rPr>
          <w:highlight w:val="none"/>
        </w:rPr>
        <w:fldChar w:fldCharType="end"/>
      </w:r>
      <w:r>
        <w:rPr>
          <w:highlight w:val="none"/>
        </w:rPr>
        <w:fldChar w:fldCharType="end"/>
      </w:r>
    </w:p>
    <w:p>
      <w:pPr>
        <w:pStyle w:val="28"/>
        <w:tabs>
          <w:tab w:val="right" w:leader="dot" w:pos="9638"/>
        </w:tabs>
        <w:rPr>
          <w:highlight w:val="none"/>
        </w:rPr>
      </w:pPr>
      <w:r>
        <w:rPr>
          <w:highlight w:val="none"/>
        </w:rPr>
        <w:fldChar w:fldCharType="begin"/>
      </w:r>
      <w:r>
        <w:rPr>
          <w:highlight w:val="none"/>
        </w:rPr>
        <w:instrText xml:space="preserve"> HYPERLINK \l "_Toc904" </w:instrText>
      </w:r>
      <w:r>
        <w:rPr>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_Toc904 \h </w:instrText>
      </w:r>
      <w:r>
        <w:rPr>
          <w:highlight w:val="none"/>
        </w:rPr>
        <w:fldChar w:fldCharType="separate"/>
      </w:r>
      <w:r>
        <w:rPr>
          <w:highlight w:val="none"/>
        </w:rPr>
        <w:t>14</w:t>
      </w:r>
      <w:r>
        <w:rPr>
          <w:highlight w:val="none"/>
        </w:rPr>
        <w:fldChar w:fldCharType="end"/>
      </w:r>
      <w:r>
        <w:rPr>
          <w:highlight w:val="none"/>
        </w:rPr>
        <w:fldChar w:fldCharType="end"/>
      </w:r>
    </w:p>
    <w:p>
      <w:pPr>
        <w:pStyle w:val="28"/>
        <w:tabs>
          <w:tab w:val="right" w:leader="dot" w:pos="9638"/>
        </w:tabs>
        <w:rPr>
          <w:highlight w:val="none"/>
        </w:rPr>
      </w:pPr>
      <w:r>
        <w:rPr>
          <w:highlight w:val="none"/>
        </w:rPr>
        <w:fldChar w:fldCharType="begin"/>
      </w:r>
      <w:r>
        <w:rPr>
          <w:highlight w:val="none"/>
        </w:rPr>
        <w:instrText xml:space="preserve"> HYPERLINK \l "_Toc15881" </w:instrText>
      </w:r>
      <w:r>
        <w:rPr>
          <w:highlight w:val="none"/>
        </w:rPr>
        <w:fldChar w:fldCharType="separate"/>
      </w:r>
      <w:r>
        <w:rPr>
          <w:rFonts w:hint="eastAsia" w:ascii="宋体" w:hAnsi="宋体" w:cs="宋体"/>
          <w:highlight w:val="none"/>
        </w:rPr>
        <w:t>第八章  竞争性比选响应文件格式</w:t>
      </w:r>
      <w:r>
        <w:rPr>
          <w:highlight w:val="none"/>
        </w:rPr>
        <w:tab/>
      </w:r>
      <w:r>
        <w:rPr>
          <w:highlight w:val="none"/>
        </w:rPr>
        <w:fldChar w:fldCharType="begin"/>
      </w:r>
      <w:r>
        <w:rPr>
          <w:highlight w:val="none"/>
        </w:rPr>
        <w:instrText xml:space="preserve"> PAGEREF _Toc15881 \h </w:instrText>
      </w:r>
      <w:r>
        <w:rPr>
          <w:highlight w:val="none"/>
        </w:rPr>
        <w:fldChar w:fldCharType="separate"/>
      </w:r>
      <w:r>
        <w:rPr>
          <w:highlight w:val="none"/>
        </w:rPr>
        <w:t>18</w:t>
      </w:r>
      <w:r>
        <w:rPr>
          <w:highlight w:val="none"/>
        </w:rPr>
        <w:fldChar w:fldCharType="end"/>
      </w:r>
      <w:r>
        <w:rPr>
          <w:highlight w:val="none"/>
        </w:rPr>
        <w:fldChar w:fldCharType="end"/>
      </w:r>
    </w:p>
    <w:p>
      <w:pPr>
        <w:pStyle w:val="34"/>
        <w:tabs>
          <w:tab w:val="right" w:leader="dot" w:pos="9628"/>
        </w:tabs>
        <w:ind w:left="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ascii="宋体" w:hAnsi="宋体" w:cs="宋体"/>
          <w:highlight w:val="none"/>
        </w:rPr>
      </w:pPr>
      <w:bookmarkStart w:id="6" w:name="_Toc246996157"/>
      <w:bookmarkStart w:id="7" w:name="_Toc144974479"/>
      <w:bookmarkStart w:id="8" w:name="_Toc152045511"/>
      <w:bookmarkStart w:id="9" w:name="_Toc247096243"/>
      <w:bookmarkStart w:id="10" w:name="_Toc152042287"/>
      <w:bookmarkStart w:id="11" w:name="_Toc2000404"/>
      <w:bookmarkStart w:id="12" w:name="_Toc507319890"/>
      <w:bookmarkStart w:id="13" w:name="_Toc179632527"/>
      <w:bookmarkStart w:id="14" w:name="_Toc246996900"/>
      <w:bookmarkStart w:id="15" w:name="_Toc247085671"/>
      <w:bookmarkStart w:id="16" w:name="_Toc25855"/>
      <w:r>
        <w:rPr>
          <w:rFonts w:hint="eastAsia" w:ascii="宋体" w:hAnsi="宋体" w:cs="宋体"/>
          <w:highlight w:val="none"/>
        </w:rPr>
        <w:t xml:space="preserve">第一章 </w:t>
      </w:r>
      <w:bookmarkEnd w:id="6"/>
      <w:bookmarkEnd w:id="7"/>
      <w:bookmarkEnd w:id="8"/>
      <w:bookmarkEnd w:id="9"/>
      <w:bookmarkEnd w:id="10"/>
      <w:bookmarkEnd w:id="11"/>
      <w:bookmarkEnd w:id="12"/>
      <w:bookmarkEnd w:id="13"/>
      <w:bookmarkEnd w:id="14"/>
      <w:bookmarkEnd w:id="15"/>
      <w:r>
        <w:rPr>
          <w:rFonts w:hint="eastAsia" w:ascii="宋体" w:hAnsi="宋体" w:cs="宋体"/>
          <w:highlight w:val="none"/>
        </w:rPr>
        <w:t>比选公告</w:t>
      </w:r>
      <w:bookmarkEnd w:id="16"/>
    </w:p>
    <w:p>
      <w:pPr>
        <w:spacing w:line="440" w:lineRule="exact"/>
        <w:jc w:val="center"/>
        <w:rPr>
          <w:rFonts w:ascii="宋体" w:hAnsi="宋体" w:cs="宋体"/>
          <w:b/>
          <w:sz w:val="28"/>
          <w:szCs w:val="28"/>
          <w:highlight w:val="none"/>
        </w:rPr>
      </w:pPr>
      <w:bookmarkStart w:id="17" w:name="OLE_LINK2"/>
      <w:bookmarkStart w:id="18" w:name="OLE_LINK3"/>
    </w:p>
    <w:p>
      <w:pPr>
        <w:pStyle w:val="4"/>
        <w:spacing w:before="120" w:after="0" w:line="360" w:lineRule="auto"/>
        <w:rPr>
          <w:rFonts w:ascii="宋体" w:hAnsi="宋体" w:eastAsia="宋体" w:cs="宋体"/>
          <w:highlight w:val="none"/>
        </w:rPr>
      </w:pPr>
      <w:bookmarkStart w:id="19" w:name="_Toc246996901"/>
      <w:bookmarkStart w:id="20" w:name="_Toc507319891"/>
      <w:bookmarkStart w:id="21" w:name="_Toc152045512"/>
      <w:bookmarkStart w:id="22" w:name="_Toc11329213"/>
      <w:bookmarkStart w:id="23" w:name="_Toc24874"/>
      <w:bookmarkStart w:id="24" w:name="_Toc5988"/>
      <w:bookmarkStart w:id="25" w:name="_Toc10076"/>
      <w:bookmarkStart w:id="26" w:name="_Toc6549"/>
      <w:bookmarkStart w:id="27" w:name="_Toc10956"/>
      <w:bookmarkStart w:id="28" w:name="_Toc179632528"/>
      <w:bookmarkStart w:id="29" w:name="_Toc144974480"/>
      <w:bookmarkStart w:id="30" w:name="_Toc247085672"/>
      <w:bookmarkStart w:id="31" w:name="_Toc26575"/>
      <w:bookmarkStart w:id="32" w:name="_Toc246996158"/>
      <w:bookmarkStart w:id="33" w:name="_Toc152042288"/>
      <w:bookmarkStart w:id="34" w:name="_Toc1930"/>
      <w:r>
        <w:rPr>
          <w:rFonts w:hint="eastAsia" w:ascii="宋体" w:hAnsi="宋体" w:eastAsia="宋体" w:cs="宋体"/>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pacing w:line="400" w:lineRule="exac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eastAsia="zh-CN"/>
        </w:rPr>
        <w:t>交通地理信息大数据关键技术应用与研发项目工程师培训服务（第二次）</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5" w:name="_Toc179632529"/>
      <w:bookmarkStart w:id="36" w:name="_Toc507319892"/>
      <w:bookmarkStart w:id="37" w:name="_Toc152042289"/>
      <w:bookmarkStart w:id="38" w:name="_Toc144974481"/>
      <w:bookmarkStart w:id="39" w:name="_Toc246996902"/>
      <w:bookmarkStart w:id="40" w:name="_Toc14538"/>
      <w:bookmarkStart w:id="41" w:name="_Toc152045513"/>
      <w:bookmarkStart w:id="42" w:name="_Toc32159"/>
      <w:bookmarkStart w:id="43" w:name="_Toc246996159"/>
      <w:bookmarkStart w:id="44" w:name="_Toc247085673"/>
      <w:bookmarkStart w:id="45" w:name="_Toc11329214"/>
      <w:bookmarkStart w:id="46" w:name="_Toc18109"/>
      <w:bookmarkStart w:id="47" w:name="_Toc21343"/>
      <w:bookmarkStart w:id="48" w:name="_Toc21621"/>
      <w:bookmarkStart w:id="49" w:name="_Toc2824"/>
      <w:bookmarkStart w:id="50" w:name="_Toc10952"/>
      <w:r>
        <w:rPr>
          <w:rFonts w:hint="eastAsia" w:ascii="宋体" w:hAnsi="宋体" w:eastAsia="宋体" w:cs="宋体"/>
          <w:highlight w:val="none"/>
        </w:rPr>
        <w:t>2. 项目概况与比选范围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pacing w:line="360" w:lineRule="auto"/>
        <w:ind w:firstLine="420" w:firstLineChars="200"/>
        <w:rPr>
          <w:rFonts w:ascii="宋体" w:hAnsi="宋体" w:cs="宋体"/>
          <w:highlight w:val="none"/>
        </w:rPr>
      </w:pPr>
      <w:bookmarkStart w:id="51" w:name="_Toc446247226"/>
      <w:r>
        <w:rPr>
          <w:rFonts w:hint="eastAsia" w:ascii="宋体" w:hAnsi="宋体" w:cs="宋体"/>
          <w:highlight w:val="none"/>
        </w:rPr>
        <w:t>2.1 项目地点：</w:t>
      </w:r>
      <w:bookmarkEnd w:id="51"/>
      <w:r>
        <w:rPr>
          <w:rFonts w:hint="eastAsia" w:ascii="宋体" w:hAnsi="宋体" w:cs="宋体"/>
          <w:szCs w:val="21"/>
          <w:highlight w:val="none"/>
          <w:u w:val="single"/>
        </w:rPr>
        <w:t>重庆首讯科技股份有限公司</w:t>
      </w:r>
      <w:r>
        <w:rPr>
          <w:rFonts w:hint="eastAsia" w:ascii="宋体" w:hAnsi="宋体" w:cs="宋体"/>
          <w:highlight w:val="none"/>
        </w:rPr>
        <w:t>。</w:t>
      </w:r>
    </w:p>
    <w:p>
      <w:pPr>
        <w:pStyle w:val="12"/>
        <w:adjustRightInd w:val="0"/>
        <w:spacing w:line="400" w:lineRule="exact"/>
        <w:rPr>
          <w:rFonts w:ascii="宋体" w:hAnsi="宋体" w:cs="宋体"/>
          <w:szCs w:val="21"/>
          <w:highlight w:val="none"/>
        </w:rPr>
      </w:pPr>
      <w:r>
        <w:rPr>
          <w:rFonts w:hint="eastAsia" w:ascii="宋体" w:hAnsi="宋体" w:cs="宋体"/>
          <w:szCs w:val="21"/>
          <w:highlight w:val="none"/>
        </w:rPr>
        <w:t>2.2 项目概况：根据公司需求，现需选择具备能力的单位辅导公司完成重庆市2022年度2名高级测绘工程师，1名中级测绘工程师，3名初级测绘工程师的相关职称评定教育培训和咨询服务工作。</w:t>
      </w:r>
    </w:p>
    <w:p>
      <w:pPr>
        <w:pStyle w:val="12"/>
        <w:adjustRightInd w:val="0"/>
        <w:spacing w:line="400" w:lineRule="exact"/>
        <w:rPr>
          <w:rFonts w:ascii="宋体" w:hAnsi="宋体" w:cs="宋体"/>
          <w:highlight w:val="none"/>
        </w:rPr>
      </w:pPr>
      <w:r>
        <w:rPr>
          <w:rFonts w:hint="eastAsia" w:ascii="宋体" w:hAnsi="宋体" w:cs="宋体"/>
          <w:highlight w:val="none"/>
        </w:rPr>
        <w:t>2.3 比选范围：</w:t>
      </w:r>
    </w:p>
    <w:p>
      <w:pPr>
        <w:pStyle w:val="12"/>
        <w:adjustRightInd w:val="0"/>
        <w:spacing w:line="400" w:lineRule="exact"/>
        <w:rPr>
          <w:rFonts w:ascii="宋体" w:hAnsi="宋体" w:cs="宋体"/>
          <w:szCs w:val="21"/>
          <w:highlight w:val="none"/>
        </w:rPr>
      </w:pPr>
      <w:r>
        <w:rPr>
          <w:rFonts w:hint="eastAsia" w:ascii="宋体" w:hAnsi="宋体" w:cs="宋体"/>
          <w:szCs w:val="21"/>
          <w:highlight w:val="none"/>
        </w:rPr>
        <w:t>主要服务内容为辅导公司完成重庆市2022年度2名高级测绘工程师，1名中级测绘工程师，3名初级测绘工程师的相关职称评定教育培训和咨询服务工作，咨询服务周期以甲方通知为准。</w:t>
      </w:r>
    </w:p>
    <w:p>
      <w:pPr>
        <w:pStyle w:val="4"/>
        <w:spacing w:before="120" w:after="0" w:line="360" w:lineRule="auto"/>
        <w:rPr>
          <w:rFonts w:ascii="宋体" w:hAnsi="宋体" w:eastAsia="宋体" w:cs="宋体"/>
          <w:highlight w:val="none"/>
        </w:rPr>
      </w:pPr>
      <w:bookmarkStart w:id="52" w:name="_Toc152042290"/>
      <w:bookmarkStart w:id="53" w:name="_Toc26728"/>
      <w:bookmarkStart w:id="54" w:name="_Toc246996903"/>
      <w:bookmarkStart w:id="55" w:name="_Toc246996160"/>
      <w:bookmarkStart w:id="56" w:name="_Toc152045514"/>
      <w:bookmarkStart w:id="57" w:name="_Toc15568"/>
      <w:bookmarkStart w:id="58" w:name="_Toc144974482"/>
      <w:bookmarkStart w:id="59" w:name="_Toc507319893"/>
      <w:bookmarkStart w:id="60" w:name="_Toc15801"/>
      <w:bookmarkStart w:id="61" w:name="_Toc247085674"/>
      <w:bookmarkStart w:id="62" w:name="_Toc30356"/>
      <w:bookmarkStart w:id="63" w:name="_Toc10171"/>
      <w:bookmarkStart w:id="64" w:name="_Toc11329215"/>
      <w:bookmarkStart w:id="65" w:name="_Toc1455"/>
      <w:bookmarkStart w:id="66" w:name="_Toc7065"/>
      <w:bookmarkStart w:id="67" w:name="_Toc179632530"/>
      <w:r>
        <w:rPr>
          <w:rFonts w:hint="eastAsia" w:ascii="宋体" w:hAnsi="宋体" w:eastAsia="宋体" w:cs="宋体"/>
          <w:highlight w:val="none"/>
        </w:rPr>
        <w:t>3. 报价人资格要求</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spacing w:line="400" w:lineRule="exact"/>
        <w:ind w:firstLine="420" w:firstLineChars="200"/>
        <w:rPr>
          <w:rFonts w:ascii="宋体" w:hAnsi="宋体" w:cs="宋体"/>
          <w:szCs w:val="21"/>
          <w:highlight w:val="none"/>
          <w:shd w:val="clear" w:color="auto" w:fill="FFFFFF"/>
        </w:rPr>
      </w:pPr>
      <w:bookmarkStart w:id="68" w:name="_Toc144974483"/>
      <w:bookmarkStart w:id="69" w:name="_Toc247085675"/>
      <w:bookmarkStart w:id="70" w:name="_Toc152042291"/>
      <w:bookmarkStart w:id="71" w:name="_Toc246996161"/>
      <w:bookmarkStart w:id="72" w:name="_Toc152045515"/>
      <w:bookmarkStart w:id="73" w:name="_Toc179632531"/>
      <w:bookmarkStart w:id="74" w:name="_Toc246996904"/>
      <w:r>
        <w:rPr>
          <w:rFonts w:hint="eastAsia" w:ascii="宋体" w:hAnsi="宋体" w:cs="宋体"/>
          <w:szCs w:val="21"/>
          <w:highlight w:val="none"/>
          <w:shd w:val="clear" w:color="auto" w:fill="FFFFFF"/>
        </w:rPr>
        <w:t>3.1 资质要求（以下资质文件若因疫情影响过期无法办理延续手续，需附相关行政部门下发的延期办理文件）：</w:t>
      </w:r>
    </w:p>
    <w:p>
      <w:pPr>
        <w:spacing w:line="400" w:lineRule="exact"/>
        <w:ind w:firstLine="420" w:firstLineChars="200"/>
        <w:rPr>
          <w:highlight w:val="none"/>
        </w:rPr>
      </w:pPr>
      <w:r>
        <w:rPr>
          <w:rFonts w:hint="eastAsia" w:ascii="宋体" w:hAnsi="宋体" w:cs="宋体"/>
          <w:szCs w:val="21"/>
          <w:highlight w:val="none"/>
          <w:shd w:val="clear" w:color="auto" w:fill="FFFFFF"/>
        </w:rPr>
        <w:t>（1）在中华人民共和国境内依法注册、具有独立法人资格，具有有效的营业执照；</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shd w:val="clear" w:color="auto" w:fill="FFFFFF"/>
        </w:rPr>
        <w:t>报价人需为2019年9月1日之前成立的独立法人；</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3.2业绩要求：2020年1月1日至投标截止日，至少有</w:t>
      </w:r>
      <w:r>
        <w:rPr>
          <w:rFonts w:ascii="宋体" w:hAnsi="宋体" w:cs="宋体"/>
          <w:szCs w:val="21"/>
          <w:highlight w:val="none"/>
        </w:rPr>
        <w:t>3</w:t>
      </w:r>
      <w:r>
        <w:rPr>
          <w:rFonts w:hint="eastAsia" w:ascii="宋体" w:hAnsi="宋体" w:cs="宋体"/>
          <w:szCs w:val="21"/>
          <w:highlight w:val="none"/>
        </w:rPr>
        <w:t>个职称评定教育培训和咨询服务业绩（</w:t>
      </w:r>
      <w:r>
        <w:rPr>
          <w:rFonts w:hint="eastAsia" w:ascii="宋体" w:hAnsi="宋体" w:cs="宋体"/>
          <w:szCs w:val="21"/>
          <w:highlight w:val="none"/>
          <w:lang w:val="en-US" w:eastAsia="zh-CN"/>
        </w:rPr>
        <w:t>单个</w:t>
      </w:r>
      <w:r>
        <w:rPr>
          <w:rFonts w:hint="eastAsia" w:ascii="宋体" w:hAnsi="宋体" w:cs="宋体"/>
          <w:szCs w:val="21"/>
          <w:highlight w:val="none"/>
        </w:rPr>
        <w:t>合同金额</w:t>
      </w:r>
      <w:r>
        <w:rPr>
          <w:rFonts w:hint="eastAsia" w:ascii="宋体" w:hAnsi="宋体" w:cs="宋体"/>
          <w:szCs w:val="21"/>
          <w:highlight w:val="none"/>
        </w:rPr>
        <w:tab/>
      </w:r>
      <w:r>
        <w:rPr>
          <w:rFonts w:hint="eastAsia" w:ascii="宋体" w:hAnsi="宋体" w:cs="宋体"/>
          <w:szCs w:val="21"/>
          <w:highlight w:val="none"/>
        </w:rPr>
        <w:t>不小于5万元，需提供合同及成功案例证书）。</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3.3 信誉要求：在国家企业信用信息公示系统（http://www.gsxt.gov.cn/）中未被列入严重违法失信企业名单（黑名单）信息；在“信用中国”网站（http://www.creditchina.gov.cn/）中未被列入失信惩戒执行人名单。（需提供截图（至</w:t>
      </w:r>
      <w:r>
        <w:rPr>
          <w:rFonts w:hint="eastAsia" w:ascii="宋体" w:hAnsi="宋体" w:cs="宋体"/>
          <w:szCs w:val="21"/>
          <w:highlight w:val="none"/>
        </w:rPr>
        <w:t>报价截止时间五天内的</w:t>
      </w:r>
      <w:r>
        <w:rPr>
          <w:rFonts w:hint="eastAsia" w:ascii="宋体" w:hAnsi="宋体" w:cs="宋体"/>
          <w:szCs w:val="21"/>
          <w:highlight w:val="none"/>
          <w:shd w:val="clear" w:color="auto" w:fill="FFFFFF"/>
        </w:rPr>
        <w:t>查询结果）并加盖报价人单位公章）</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3.4 报价人须提供采购人要求的所有资质要求、业绩要求、信誉要求的复印件并加盖单位鲜公章。</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3.5 本次比选不接受联合体及代理商报价。</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3.6 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highlight w:val="none"/>
        </w:rPr>
      </w:pPr>
      <w:bookmarkStart w:id="75" w:name="_Toc6126"/>
      <w:bookmarkStart w:id="76" w:name="_Toc11329216"/>
      <w:bookmarkStart w:id="77" w:name="_Toc25619"/>
      <w:bookmarkStart w:id="78" w:name="_Toc507319894"/>
      <w:bookmarkStart w:id="79" w:name="_Toc14361"/>
      <w:bookmarkStart w:id="80" w:name="_Toc12460"/>
      <w:bookmarkStart w:id="81" w:name="_Toc850"/>
      <w:bookmarkStart w:id="82" w:name="_Toc557"/>
      <w:bookmarkStart w:id="83" w:name="_Toc17747"/>
      <w:r>
        <w:rPr>
          <w:rFonts w:hint="eastAsia" w:ascii="宋体" w:hAnsi="宋体" w:eastAsia="宋体" w:cs="宋体"/>
          <w:highlight w:val="none"/>
        </w:rPr>
        <w:t>4. 比选文件的获取</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spacing w:line="400" w:lineRule="exact"/>
        <w:ind w:firstLine="420" w:firstLineChars="200"/>
        <w:rPr>
          <w:rFonts w:ascii="宋体" w:hAnsi="宋体"/>
          <w:szCs w:val="21"/>
          <w:highlight w:val="none"/>
        </w:rPr>
      </w:pPr>
      <w:bookmarkStart w:id="84" w:name="_Toc179632532"/>
      <w:bookmarkStart w:id="85" w:name="_Toc152045516"/>
      <w:bookmarkStart w:id="86" w:name="_Toc152042292"/>
      <w:bookmarkStart w:id="87" w:name="_Toc246996162"/>
      <w:bookmarkStart w:id="88" w:name="_Toc507319895"/>
      <w:bookmarkStart w:id="89" w:name="_Toc11329217"/>
      <w:bookmarkStart w:id="90" w:name="_Toc144974484"/>
      <w:bookmarkStart w:id="91" w:name="_Toc246996905"/>
      <w:bookmarkStart w:id="92" w:name="_Toc247085676"/>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hint="eastAsia" w:ascii="宋体" w:hAnsi="宋体"/>
          <w:szCs w:val="21"/>
          <w:highlight w:val="none"/>
        </w:rPr>
        <w:t>在</w:t>
      </w:r>
      <w:r>
        <w:rPr>
          <w:rFonts w:hint="eastAsia" w:ascii="宋体" w:hAnsi="宋体"/>
          <w:szCs w:val="21"/>
          <w:highlight w:val="none"/>
          <w:u w:val="single"/>
        </w:rPr>
        <w:t xml:space="preserve"> 2022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10</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10</w:t>
      </w:r>
      <w:bookmarkStart w:id="270" w:name="_GoBack"/>
      <w:bookmarkEnd w:id="270"/>
      <w:r>
        <w:rPr>
          <w:rFonts w:hint="eastAsia" w:ascii="宋体" w:hAnsi="宋体"/>
          <w:szCs w:val="21"/>
          <w:highlight w:val="none"/>
          <w:u w:val="single"/>
        </w:rPr>
        <w:t xml:space="preserve"> </w:t>
      </w:r>
      <w:r>
        <w:rPr>
          <w:rFonts w:hint="eastAsia" w:ascii="宋体" w:hAnsi="宋体"/>
          <w:szCs w:val="21"/>
          <w:highlight w:val="none"/>
        </w:rPr>
        <w:t>日下午</w:t>
      </w:r>
      <w:r>
        <w:rPr>
          <w:rFonts w:hint="eastAsia" w:ascii="宋体" w:hAnsi="宋体" w:cs="宋体"/>
          <w:szCs w:val="21"/>
          <w:highlight w:val="none"/>
          <w:u w:val="single"/>
        </w:rPr>
        <w:t xml:space="preserve"> 15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w:t>
      </w:r>
      <w:r>
        <w:rPr>
          <w:rFonts w:hint="eastAsia" w:ascii="宋体" w:hAnsi="宋体"/>
          <w:szCs w:val="21"/>
          <w:highlight w:val="none"/>
        </w:rPr>
        <w:t>前在重庆高速集团官网平台上获取比选文件，各报价人应随时关注网上发布的竞争性比选文件答疑、补遗、澄清等文件内容，不管报价人是否下载，均视为已知晓竞争性比选文件的全部内容和有关事宜。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93" w:name="_Toc31493"/>
      <w:bookmarkStart w:id="94" w:name="_Toc2547"/>
      <w:bookmarkStart w:id="95" w:name="_Toc27512"/>
      <w:bookmarkStart w:id="96" w:name="_Toc17845"/>
      <w:bookmarkStart w:id="97" w:name="_Toc9131"/>
      <w:bookmarkStart w:id="98" w:name="_Toc16686"/>
      <w:bookmarkStart w:id="99" w:name="_Toc3356"/>
      <w:r>
        <w:rPr>
          <w:rFonts w:hint="eastAsia" w:ascii="宋体" w:hAnsi="宋体" w:eastAsia="宋体" w:cs="宋体"/>
          <w:highlight w:val="none"/>
        </w:rPr>
        <w:t>5. 竞争性比选响应文件的递交</w:t>
      </w:r>
      <w:bookmarkEnd w:id="84"/>
      <w:bookmarkEnd w:id="85"/>
      <w:bookmarkEnd w:id="86"/>
      <w:bookmarkEnd w:id="87"/>
      <w:bookmarkEnd w:id="88"/>
      <w:bookmarkEnd w:id="89"/>
      <w:bookmarkEnd w:id="90"/>
      <w:bookmarkEnd w:id="91"/>
      <w:bookmarkEnd w:id="92"/>
      <w:r>
        <w:rPr>
          <w:rFonts w:hint="eastAsia" w:ascii="宋体" w:hAnsi="宋体" w:eastAsia="宋体" w:cs="宋体"/>
          <w:highlight w:val="none"/>
        </w:rPr>
        <w:t>及相关事宜</w:t>
      </w:r>
      <w:bookmarkEnd w:id="93"/>
      <w:bookmarkEnd w:id="94"/>
      <w:bookmarkEnd w:id="95"/>
      <w:bookmarkEnd w:id="96"/>
      <w:bookmarkEnd w:id="97"/>
      <w:bookmarkEnd w:id="98"/>
      <w:bookmarkEnd w:id="99"/>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szCs w:val="21"/>
          <w:highlight w:val="none"/>
          <w:u w:val="single"/>
        </w:rPr>
        <w:t xml:space="preserve"> 2022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10</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10</w:t>
      </w:r>
      <w:r>
        <w:rPr>
          <w:rFonts w:hint="eastAsia" w:ascii="宋体" w:hAnsi="宋体"/>
          <w:szCs w:val="21"/>
          <w:highlight w:val="none"/>
          <w:u w:val="single"/>
        </w:rPr>
        <w:t xml:space="preserve"> </w:t>
      </w:r>
      <w:r>
        <w:rPr>
          <w:rFonts w:hint="eastAsia" w:ascii="宋体" w:hAnsi="宋体"/>
          <w:szCs w:val="21"/>
          <w:highlight w:val="none"/>
        </w:rPr>
        <w:t>日下午</w:t>
      </w:r>
      <w:r>
        <w:rPr>
          <w:rFonts w:hint="eastAsia" w:ascii="宋体" w:hAnsi="宋体" w:cs="宋体"/>
          <w:szCs w:val="21"/>
          <w:highlight w:val="none"/>
          <w:u w:val="single"/>
        </w:rPr>
        <w:t xml:space="preserve"> 15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5.2报价的递交：重庆市渝北区龙溪街道新南路52号东界龙湖一楼</w:t>
      </w:r>
      <w:r>
        <w:rPr>
          <w:rFonts w:hint="eastAsia" w:ascii="宋体" w:hAnsi="宋体"/>
          <w:szCs w:val="21"/>
          <w:highlight w:val="none"/>
        </w:rPr>
        <w:t>。</w:t>
      </w:r>
    </w:p>
    <w:p>
      <w:pPr>
        <w:tabs>
          <w:tab w:val="left" w:pos="360"/>
        </w:tabs>
        <w:spacing w:line="400" w:lineRule="exact"/>
        <w:ind w:firstLine="420" w:firstLineChars="200"/>
        <w:rPr>
          <w:rFonts w:ascii="宋体" w:hAnsi="宋体"/>
          <w:szCs w:val="21"/>
          <w:highlight w:val="none"/>
        </w:rPr>
      </w:pPr>
      <w:r>
        <w:rPr>
          <w:rFonts w:hint="eastAsia" w:ascii="宋体" w:hAnsi="宋体" w:cs="宋体"/>
          <w:szCs w:val="21"/>
          <w:highlight w:val="none"/>
        </w:rPr>
        <w:t>5.3逾期送达，或未送达指定地点，或未密封的竞争性比选响应文件，采购人不予受理</w:t>
      </w:r>
      <w:r>
        <w:rPr>
          <w:rFonts w:hint="eastAsia" w:ascii="宋体" w:hAnsi="宋体"/>
          <w:szCs w:val="21"/>
          <w:highlight w:val="none"/>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5.4文件递交方式：在投标截止当天将比选响应文件送达并参与现场开标。</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5.5</w:t>
      </w:r>
      <w:r>
        <w:rPr>
          <w:rFonts w:ascii="宋体" w:hAnsi="宋体" w:cs="宋体"/>
          <w:szCs w:val="21"/>
          <w:highlight w:val="none"/>
        </w:rPr>
        <w:t>采购人不组织现场踏勘，不召开报价预备会。</w:t>
      </w:r>
    </w:p>
    <w:p>
      <w:pPr>
        <w:tabs>
          <w:tab w:val="left" w:pos="360"/>
        </w:tabs>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5.6</w:t>
      </w:r>
      <w:r>
        <w:rPr>
          <w:rFonts w:hint="eastAsia" w:hAnsi="宋体"/>
          <w:b/>
          <w:bCs/>
          <w:szCs w:val="21"/>
          <w:highlight w:val="none"/>
        </w:rPr>
        <w:t>报价人现场报价人员需提供行程码、健康码及48小时内核酸检测报告（请提前打印相关资料，可打印到一页纸上）</w:t>
      </w:r>
      <w:r>
        <w:rPr>
          <w:rFonts w:ascii="宋体" w:hAnsi="宋体" w:cs="宋体"/>
          <w:b/>
          <w:bCs/>
          <w:szCs w:val="21"/>
          <w:highlight w:val="none"/>
        </w:rPr>
        <w:t>。</w:t>
      </w:r>
    </w:p>
    <w:p>
      <w:pPr>
        <w:pStyle w:val="4"/>
        <w:spacing w:before="120" w:after="0" w:line="400" w:lineRule="exact"/>
        <w:rPr>
          <w:rFonts w:ascii="宋体" w:hAnsi="宋体" w:eastAsia="宋体" w:cs="宋体"/>
          <w:highlight w:val="none"/>
        </w:rPr>
      </w:pPr>
      <w:bookmarkStart w:id="100" w:name="_Toc246996907"/>
      <w:bookmarkStart w:id="101" w:name="_Toc152045517"/>
      <w:bookmarkStart w:id="102" w:name="_Toc4284"/>
      <w:bookmarkStart w:id="103" w:name="_Toc11329219"/>
      <w:bookmarkStart w:id="104" w:name="_Toc152042293"/>
      <w:bookmarkStart w:id="105" w:name="_Toc14947"/>
      <w:bookmarkStart w:id="106" w:name="_Toc14972"/>
      <w:bookmarkStart w:id="107" w:name="_Toc507319897"/>
      <w:bookmarkStart w:id="108" w:name="_Toc5716"/>
      <w:bookmarkStart w:id="109" w:name="_Toc179632534"/>
      <w:bookmarkStart w:id="110" w:name="_Toc21615"/>
      <w:bookmarkStart w:id="111" w:name="_Toc18402"/>
      <w:bookmarkStart w:id="112" w:name="_Toc246996164"/>
      <w:bookmarkStart w:id="113" w:name="_Toc144974485"/>
      <w:bookmarkStart w:id="114" w:name="_Toc247085678"/>
      <w:bookmarkStart w:id="115" w:name="_Toc393"/>
      <w:r>
        <w:rPr>
          <w:rFonts w:hint="eastAsia" w:ascii="宋体" w:hAnsi="宋体" w:eastAsia="宋体" w:cs="宋体"/>
          <w:highlight w:val="none"/>
        </w:rPr>
        <w:t>6. 联系方式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地址：重庆市渝北区龙溪街道新南路52号东界龙湖三楼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20" w:lineRule="exact"/>
              <w:ind w:firstLine="420" w:firstLineChars="200"/>
              <w:rPr>
                <w:rFonts w:ascii="宋体" w:hAnsi="宋体" w:cs="宋体"/>
                <w:szCs w:val="21"/>
                <w:highlight w:val="none"/>
              </w:rPr>
            </w:pPr>
            <w:r>
              <w:rPr>
                <w:rFonts w:hint="eastAsia" w:ascii="宋体" w:hAnsi="宋体" w:cs="宋体"/>
                <w:szCs w:val="21"/>
                <w:highlight w:val="none"/>
              </w:rPr>
              <w:t>技术联系人：李老师  电 话：18996987757</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highlight w:val="none"/>
              </w:rPr>
            </w:pPr>
            <w:r>
              <w:rPr>
                <w:rFonts w:hint="eastAsia" w:ascii="宋体" w:hAnsi="宋体" w:cs="宋体"/>
                <w:szCs w:val="21"/>
                <w:highlight w:val="none"/>
              </w:rPr>
              <w:t>商务联系人：蒋老师  电 话：18523055172</w:t>
            </w:r>
          </w:p>
        </w:tc>
        <w:tc>
          <w:tcPr>
            <w:tcW w:w="1415" w:type="dxa"/>
            <w:vAlign w:val="center"/>
          </w:tcPr>
          <w:p>
            <w:pPr>
              <w:spacing w:line="400" w:lineRule="exact"/>
              <w:ind w:firstLine="420" w:firstLineChars="200"/>
              <w:rPr>
                <w:rFonts w:ascii="宋体" w:hAnsi="宋体" w:cs="宋体"/>
                <w:szCs w:val="21"/>
                <w:highlight w:val="none"/>
              </w:rPr>
            </w:pPr>
          </w:p>
        </w:tc>
      </w:tr>
    </w:tbl>
    <w:p>
      <w:pPr>
        <w:pStyle w:val="28"/>
        <w:rPr>
          <w:highlight w:val="none"/>
        </w:rPr>
      </w:pPr>
    </w:p>
    <w:bookmarkEnd w:id="17"/>
    <w:bookmarkEnd w:id="18"/>
    <w:p>
      <w:pPr>
        <w:pStyle w:val="3"/>
        <w:spacing w:before="0" w:after="0" w:line="360" w:lineRule="auto"/>
        <w:jc w:val="center"/>
        <w:rPr>
          <w:rFonts w:ascii="宋体" w:hAnsi="宋体" w:cs="宋体"/>
          <w:highlight w:val="none"/>
        </w:rPr>
      </w:pPr>
      <w:bookmarkStart w:id="116" w:name="_Toc144974495"/>
      <w:bookmarkStart w:id="117" w:name="_Toc152045527"/>
      <w:bookmarkStart w:id="118" w:name="_Toc246996916"/>
      <w:bookmarkStart w:id="119" w:name="_Toc507319898"/>
      <w:bookmarkStart w:id="120" w:name="_Toc152042303"/>
      <w:bookmarkStart w:id="121" w:name="_Toc179632544"/>
      <w:bookmarkStart w:id="122" w:name="_Toc247085687"/>
      <w:bookmarkStart w:id="123" w:name="_Toc246996173"/>
      <w:bookmarkStart w:id="124" w:name="_Toc2000405"/>
      <w:r>
        <w:rPr>
          <w:rFonts w:hint="eastAsia" w:ascii="宋体" w:hAnsi="宋体" w:cs="宋体"/>
          <w:highlight w:val="none"/>
        </w:rPr>
        <w:br w:type="page"/>
      </w:r>
      <w:bookmarkStart w:id="125" w:name="_Toc18539"/>
      <w:r>
        <w:rPr>
          <w:rFonts w:hint="eastAsia" w:ascii="宋体" w:hAnsi="宋体" w:cs="宋体"/>
          <w:highlight w:val="none"/>
        </w:rPr>
        <w:t>第二章 报价人须知</w:t>
      </w:r>
      <w:bookmarkEnd w:id="116"/>
      <w:bookmarkEnd w:id="117"/>
      <w:bookmarkEnd w:id="118"/>
      <w:bookmarkEnd w:id="119"/>
      <w:bookmarkEnd w:id="120"/>
      <w:bookmarkEnd w:id="121"/>
      <w:bookmarkEnd w:id="122"/>
      <w:bookmarkEnd w:id="123"/>
      <w:bookmarkEnd w:id="124"/>
      <w:bookmarkEnd w:id="125"/>
    </w:p>
    <w:p>
      <w:pPr>
        <w:rPr>
          <w:highlight w:val="none"/>
        </w:rPr>
      </w:pPr>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highlight w:val="none"/>
              </w:rPr>
            </w:pPr>
            <w:bookmarkStart w:id="126" w:name="_Toc326760840"/>
            <w:r>
              <w:rPr>
                <w:rFonts w:hint="eastAsia" w:ascii="宋体" w:hAnsi="宋体" w:cs="宋体"/>
                <w:b/>
                <w:kern w:val="0"/>
                <w:szCs w:val="21"/>
                <w:highlight w:val="none"/>
              </w:rPr>
              <w:t>序号</w:t>
            </w:r>
          </w:p>
        </w:tc>
        <w:tc>
          <w:tcPr>
            <w:tcW w:w="2106" w:type="dxa"/>
            <w:vAlign w:val="center"/>
          </w:tcPr>
          <w:p>
            <w:pPr>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地  址：重庆市渝北区龙溪街道新南路52号东界龙湖三楼</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联系人：蒋老师</w:t>
            </w:r>
          </w:p>
          <w:p>
            <w:pPr>
              <w:topLinePunct/>
              <w:spacing w:line="420" w:lineRule="exact"/>
              <w:ind w:firstLine="420" w:firstLineChars="200"/>
              <w:rPr>
                <w:highlight w:val="none"/>
              </w:rPr>
            </w:pPr>
            <w:r>
              <w:rPr>
                <w:rFonts w:hint="eastAsia" w:ascii="宋体" w:hAnsi="宋体" w:cs="宋体"/>
                <w:szCs w:val="21"/>
                <w:highlight w:val="none"/>
              </w:rPr>
              <w:t>电  话：18523055172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交通地理信息大数据关键技术应用与研发项目工程师培训服务（第二次）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kern w:val="0"/>
                <w:szCs w:val="21"/>
                <w:highlight w:val="none"/>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满足国家现行的相关技术标准及重庆首讯科技股份有限公司相关要求。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7</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8</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（1）资质条件：</w:t>
            </w:r>
          </w:p>
          <w:p>
            <w:pPr>
              <w:spacing w:line="400" w:lineRule="exact"/>
              <w:ind w:firstLine="420" w:firstLineChars="200"/>
              <w:rPr>
                <w:highlight w:val="none"/>
              </w:rPr>
            </w:pPr>
            <w:r>
              <w:rPr>
                <w:rFonts w:hint="eastAsia" w:ascii="宋体" w:hAnsi="宋体" w:cs="宋体"/>
                <w:szCs w:val="21"/>
                <w:highlight w:val="none"/>
                <w:shd w:val="clear" w:color="auto" w:fill="FFFFFF"/>
              </w:rPr>
              <w:t>1）在中华人民共和国境内依法注册、具有独立法人资格，具有有效的营业执照；</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shd w:val="clear" w:color="auto" w:fill="FFFFFF"/>
              </w:rPr>
              <w:t>报价人需为2019年9月1日之前成立的独立法人；</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3）业绩要求：2020年1月1日至投标截止日，至少有</w:t>
            </w:r>
            <w:r>
              <w:rPr>
                <w:rFonts w:ascii="宋体" w:hAnsi="宋体" w:cs="宋体"/>
                <w:szCs w:val="21"/>
                <w:highlight w:val="none"/>
              </w:rPr>
              <w:t>3</w:t>
            </w:r>
            <w:r>
              <w:rPr>
                <w:rFonts w:hint="eastAsia" w:ascii="宋体" w:hAnsi="宋体" w:cs="宋体"/>
                <w:szCs w:val="21"/>
                <w:highlight w:val="none"/>
              </w:rPr>
              <w:t>个职称评定培训及咨询服务业绩（合同金额</w:t>
            </w:r>
            <w:r>
              <w:rPr>
                <w:rFonts w:hint="eastAsia" w:ascii="宋体" w:hAnsi="宋体" w:cs="宋体"/>
                <w:szCs w:val="21"/>
                <w:highlight w:val="none"/>
              </w:rPr>
              <w:tab/>
            </w:r>
            <w:r>
              <w:rPr>
                <w:rFonts w:hint="eastAsia" w:ascii="宋体" w:hAnsi="宋体" w:cs="宋体"/>
                <w:szCs w:val="21"/>
                <w:highlight w:val="none"/>
              </w:rPr>
              <w:t>不小于5万元，需提供合同及成功案例证书）。</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（2）信誉要求：</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1）在国家企业信用信息公示系统（http://www.gsxt.gov.cn/）中未被列入严重违法失信企业名单（黑名单）信息；在“信用中国”网站（http://www.creditchina.gov.cn/）中未被列入失信惩戒执行人名单。</w:t>
            </w:r>
            <w:r>
              <w:rPr>
                <w:rFonts w:hint="eastAsia" w:ascii="宋体" w:hAnsi="宋体" w:cs="宋体"/>
                <w:b/>
                <w:bCs/>
                <w:szCs w:val="21"/>
                <w:highlight w:val="none"/>
              </w:rPr>
              <w:t>（需提供截图（至报价截止时间五天内的查询结果）并加盖报价人单位公章）</w:t>
            </w:r>
          </w:p>
          <w:p>
            <w:pPr>
              <w:autoSpaceDE w:val="0"/>
              <w:autoSpaceDN w:val="0"/>
              <w:adjustRightInd w:val="0"/>
              <w:spacing w:line="3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报价人不得存在下列情形之一：</w:t>
            </w:r>
          </w:p>
          <w:p>
            <w:pPr>
              <w:autoSpaceDE w:val="0"/>
              <w:autoSpaceDN w:val="0"/>
              <w:adjustRightInd w:val="0"/>
              <w:spacing w:line="320" w:lineRule="exact"/>
              <w:ind w:firstLine="420" w:firstLineChars="200"/>
              <w:jc w:val="left"/>
              <w:rPr>
                <w:rFonts w:ascii="宋体" w:hAnsi="宋体" w:cs="宋体"/>
                <w:szCs w:val="21"/>
                <w:highlight w:val="none"/>
              </w:rPr>
            </w:pPr>
            <w:r>
              <w:rPr>
                <w:rFonts w:hint="eastAsia" w:ascii="宋体" w:hAnsi="宋体" w:cs="宋体"/>
                <w:szCs w:val="21"/>
                <w:highlight w:val="none"/>
              </w:rPr>
              <w:t>2）被国家、重庆市（含市或任意区县）有关行政部门处以暂停投标资格行政处罚，且在处罚期限内；</w:t>
            </w:r>
          </w:p>
          <w:p>
            <w:pPr>
              <w:autoSpaceDE w:val="0"/>
              <w:autoSpaceDN w:val="0"/>
              <w:adjustRightInd w:val="0"/>
              <w:spacing w:line="320" w:lineRule="exact"/>
              <w:ind w:firstLine="420" w:firstLineChars="200"/>
              <w:jc w:val="left"/>
              <w:rPr>
                <w:rFonts w:ascii="宋体" w:hAnsi="宋体" w:cs="宋体"/>
                <w:szCs w:val="21"/>
                <w:highlight w:val="none"/>
              </w:rPr>
            </w:pPr>
            <w:r>
              <w:rPr>
                <w:rFonts w:hint="eastAsia" w:ascii="宋体" w:hAnsi="宋体" w:cs="宋体"/>
                <w:szCs w:val="21"/>
                <w:highlight w:val="none"/>
              </w:rPr>
              <w:t>4）被重庆市交通主管部门暂停在渝承揽新业务且在暂停期内；</w:t>
            </w:r>
          </w:p>
          <w:p>
            <w:pPr>
              <w:autoSpaceDE w:val="0"/>
              <w:autoSpaceDN w:val="0"/>
              <w:adjustRightInd w:val="0"/>
              <w:spacing w:line="320" w:lineRule="exact"/>
              <w:ind w:firstLine="420" w:firstLineChars="200"/>
              <w:jc w:val="left"/>
              <w:rPr>
                <w:rFonts w:ascii="宋体" w:hAnsi="宋体" w:cs="宋体"/>
                <w:szCs w:val="21"/>
                <w:highlight w:val="none"/>
              </w:rPr>
            </w:pPr>
            <w:r>
              <w:rPr>
                <w:rFonts w:hint="eastAsia" w:ascii="宋体" w:hAnsi="宋体" w:cs="宋体"/>
                <w:szCs w:val="21"/>
                <w:highlight w:val="none"/>
              </w:rPr>
              <w:t>5）被责令停业，暂扣或吊销执照，或吊销资质证书；</w:t>
            </w:r>
          </w:p>
          <w:p>
            <w:pPr>
              <w:autoSpaceDE w:val="0"/>
              <w:autoSpaceDN w:val="0"/>
              <w:adjustRightInd w:val="0"/>
              <w:spacing w:line="320" w:lineRule="exact"/>
              <w:ind w:firstLine="420" w:firstLineChars="200"/>
              <w:jc w:val="left"/>
              <w:rPr>
                <w:rFonts w:ascii="宋体" w:hAnsi="宋体" w:cs="宋体"/>
                <w:szCs w:val="21"/>
                <w:highlight w:val="none"/>
              </w:rPr>
            </w:pPr>
            <w:r>
              <w:rPr>
                <w:rFonts w:hint="eastAsia" w:ascii="宋体" w:hAnsi="宋体" w:cs="宋体"/>
                <w:szCs w:val="21"/>
                <w:highlight w:val="none"/>
              </w:rPr>
              <w:t>6）进入清算程序，或被宣告破产，或其他丧失履约能力的情形；</w:t>
            </w:r>
          </w:p>
          <w:p>
            <w:pPr>
              <w:autoSpaceDE w:val="0"/>
              <w:autoSpaceDN w:val="0"/>
              <w:adjustRightInd w:val="0"/>
              <w:spacing w:line="320" w:lineRule="exact"/>
              <w:ind w:firstLine="420" w:firstLineChars="200"/>
              <w:jc w:val="left"/>
              <w:rPr>
                <w:rFonts w:ascii="宋体" w:hAnsi="宋体" w:cs="宋体"/>
                <w:szCs w:val="21"/>
                <w:highlight w:val="none"/>
              </w:rPr>
            </w:pPr>
            <w:r>
              <w:rPr>
                <w:rFonts w:hint="eastAsia" w:ascii="宋体" w:hAnsi="宋体" w:cs="宋体"/>
                <w:szCs w:val="21"/>
                <w:highlight w:val="none"/>
              </w:rPr>
              <w:t>7）报价人或其法定代表人在近两年内有行贿犯罪行为的。被责令停业的；</w:t>
            </w:r>
          </w:p>
          <w:p>
            <w:pPr>
              <w:autoSpaceDE w:val="0"/>
              <w:autoSpaceDN w:val="0"/>
              <w:adjustRightInd w:val="0"/>
              <w:spacing w:line="320" w:lineRule="exact"/>
              <w:ind w:firstLine="420" w:firstLineChars="200"/>
              <w:jc w:val="left"/>
              <w:rPr>
                <w:rFonts w:ascii="宋体" w:hAnsi="宋体" w:cs="宋体"/>
                <w:szCs w:val="21"/>
                <w:highlight w:val="none"/>
              </w:rPr>
            </w:pPr>
            <w:r>
              <w:rPr>
                <w:rFonts w:hint="eastAsia" w:ascii="宋体" w:hAnsi="宋体" w:cs="宋体"/>
                <w:szCs w:val="21"/>
                <w:highlight w:val="none"/>
              </w:rPr>
              <w:t>8）在最近三年内有骗取中标或严重违约或所承担的产品或服务有重大质量问题的；</w:t>
            </w:r>
          </w:p>
          <w:p>
            <w:pPr>
              <w:autoSpaceDE w:val="0"/>
              <w:autoSpaceDN w:val="0"/>
              <w:adjustRightInd w:val="0"/>
              <w:spacing w:line="320" w:lineRule="exact"/>
              <w:ind w:firstLine="420" w:firstLineChars="200"/>
              <w:jc w:val="left"/>
              <w:rPr>
                <w:rFonts w:ascii="宋体" w:hAnsi="宋体" w:cs="宋体"/>
                <w:szCs w:val="21"/>
                <w:highlight w:val="none"/>
              </w:rPr>
            </w:pPr>
            <w:r>
              <w:rPr>
                <w:rFonts w:hint="eastAsia" w:ascii="宋体" w:hAnsi="宋体" w:cs="宋体"/>
                <w:szCs w:val="21"/>
                <w:highlight w:val="none"/>
              </w:rPr>
              <w:t>9）有不良行为记录的。</w:t>
            </w:r>
          </w:p>
          <w:p>
            <w:pPr>
              <w:spacing w:line="400" w:lineRule="exact"/>
              <w:ind w:firstLine="422" w:firstLineChars="200"/>
              <w:rPr>
                <w:rFonts w:ascii="宋体" w:hAnsi="宋体" w:cs="宋体"/>
                <w:szCs w:val="21"/>
                <w:highlight w:val="none"/>
              </w:rPr>
            </w:pPr>
            <w:r>
              <w:rPr>
                <w:rFonts w:hint="eastAsia" w:ascii="宋体" w:hAnsi="宋体" w:cs="宋体"/>
                <w:b/>
                <w:bCs/>
                <w:szCs w:val="21"/>
                <w:highlight w:val="none"/>
              </w:rPr>
              <w:t>提供中国裁判文书网、信用中国、中国政府采购网、国家企业信用信息公示系统截图，</w:t>
            </w:r>
            <w:r>
              <w:rPr>
                <w:rFonts w:hint="eastAsia" w:hAnsi="宋体"/>
                <w:b/>
                <w:bCs/>
                <w:szCs w:val="21"/>
                <w:highlight w:val="none"/>
              </w:rPr>
              <w:t>并加盖单位鲜公章</w:t>
            </w:r>
            <w:r>
              <w:rPr>
                <w:rFonts w:hint="eastAsia" w:ascii="宋体" w:hAnsi="宋体" w:cs="宋体"/>
                <w:szCs w:val="21"/>
                <w:highlight w:val="none"/>
              </w:rPr>
              <w:t>。</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（5）项目主要人员要求：五</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（6）其他要求：无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9</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10</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13</w:t>
            </w:r>
          </w:p>
        </w:tc>
        <w:tc>
          <w:tcPr>
            <w:tcW w:w="2106" w:type="dxa"/>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highlight w:val="none"/>
              </w:rPr>
            </w:pPr>
            <w:bookmarkStart w:id="127" w:name="_Hlt227984024"/>
            <w:bookmarkEnd w:id="127"/>
            <w:r>
              <w:rPr>
                <w:rFonts w:hint="eastAsia" w:ascii="宋体" w:hAnsi="宋体" w:cs="宋体"/>
                <w:kern w:val="0"/>
                <w:szCs w:val="21"/>
                <w:highlight w:val="none"/>
              </w:rPr>
              <w:t>14</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9"/>
              <w:spacing w:before="72"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15</w:t>
            </w:r>
          </w:p>
        </w:tc>
        <w:tc>
          <w:tcPr>
            <w:tcW w:w="2106" w:type="dxa"/>
            <w:tcBorders>
              <w:bottom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报价清单的填写方式</w:t>
            </w:r>
          </w:p>
        </w:tc>
        <w:tc>
          <w:tcPr>
            <w:tcW w:w="7104" w:type="dxa"/>
            <w:tcBorders>
              <w:bottom w:val="single" w:color="auto" w:sz="4" w:space="0"/>
            </w:tcBorders>
          </w:tcPr>
          <w:p>
            <w:pPr>
              <w:spacing w:line="400" w:lineRule="exact"/>
              <w:ind w:firstLine="420" w:firstLineChars="200"/>
              <w:jc w:val="left"/>
              <w:rPr>
                <w:highlight w:val="none"/>
              </w:rPr>
            </w:pPr>
            <w:r>
              <w:rPr>
                <w:rFonts w:hint="eastAsia"/>
                <w:highlight w:val="none"/>
              </w:rPr>
              <w:t>报价人按采购人提供的清单进行填报。</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ascii="宋体" w:hAnsi="宋体"/>
                <w:b/>
                <w:bCs/>
                <w:szCs w:val="21"/>
                <w:highlight w:val="none"/>
              </w:rPr>
            </w:pPr>
            <w:r>
              <w:rPr>
                <w:rFonts w:hint="eastAsia" w:ascii="宋体" w:hAnsi="宋体"/>
                <w:b/>
                <w:bCs/>
                <w:szCs w:val="21"/>
                <w:highlight w:val="none"/>
              </w:rPr>
              <w:t>最高限价</w:t>
            </w:r>
            <w:r>
              <w:rPr>
                <w:rFonts w:hint="eastAsia" w:ascii="宋体" w:hAnsi="宋体"/>
                <w:b/>
                <w:bCs/>
                <w:szCs w:val="21"/>
                <w:highlight w:val="none"/>
                <w:u w:val="single"/>
                <w:lang w:val="en-US" w:eastAsia="zh-CN"/>
              </w:rPr>
              <w:t>88000.00</w:t>
            </w:r>
            <w:r>
              <w:rPr>
                <w:rFonts w:hint="eastAsia" w:ascii="宋体" w:hAnsi="宋体"/>
                <w:b/>
                <w:bCs/>
                <w:szCs w:val="21"/>
                <w:highlight w:val="none"/>
              </w:rPr>
              <w:t>元；</w:t>
            </w:r>
          </w:p>
          <w:p>
            <w:pPr>
              <w:spacing w:line="400" w:lineRule="exact"/>
              <w:ind w:firstLine="422" w:firstLineChars="200"/>
              <w:rPr>
                <w:rFonts w:ascii="宋体" w:hAnsi="宋体" w:cs="宋体"/>
                <w:b/>
                <w:bCs/>
                <w:kern w:val="0"/>
                <w:szCs w:val="21"/>
                <w:highlight w:val="none"/>
              </w:rPr>
            </w:pPr>
            <w:r>
              <w:rPr>
                <w:rFonts w:hint="eastAsia" w:ascii="宋体" w:hAnsi="宋体" w:cs="宋体"/>
                <w:b/>
                <w:szCs w:val="21"/>
                <w:highlight w:val="none"/>
              </w:rPr>
              <w:t>报价人报价不得高于采购人发布的最高限价，否则其竞争性比选响应文件视为重大偏差，竞争性比选响应文件将按否决报价处理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17</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vAlign w:val="center"/>
          </w:tcPr>
          <w:p>
            <w:pPr>
              <w:spacing w:line="400" w:lineRule="exact"/>
              <w:ind w:firstLine="420" w:firstLineChars="200"/>
              <w:rPr>
                <w:highlight w:val="none"/>
              </w:rPr>
            </w:pPr>
            <w:r>
              <w:rPr>
                <w:rFonts w:hint="eastAsia"/>
                <w:highlight w:val="none"/>
              </w:rPr>
              <w:t>（1）乙方辅导甲方完成相关职称评定教育培训和咨询服务工作，取得相关证书并在政府部门网站终审合格及认证确认后15个工作日内，甲方向乙方支付至合同总价的100%；</w:t>
            </w:r>
          </w:p>
          <w:p>
            <w:pPr>
              <w:spacing w:line="400" w:lineRule="exact"/>
              <w:ind w:firstLine="420" w:firstLineChars="200"/>
              <w:rPr>
                <w:highlight w:val="none"/>
              </w:rPr>
            </w:pPr>
            <w:r>
              <w:rPr>
                <w:rFonts w:hint="eastAsia"/>
                <w:highlight w:val="none"/>
              </w:rPr>
              <w:t>（2）乙方应在甲方付款前开具等额增值税专用发票（增值税）给甲方，否则甲方有权不予支付相应款项（预付款除外）。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18</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乙方违约的处理</w:t>
            </w:r>
          </w:p>
        </w:tc>
        <w:tc>
          <w:tcPr>
            <w:tcW w:w="7104" w:type="dxa"/>
            <w:tcBorders>
              <w:bottom w:val="single" w:color="auto" w:sz="4" w:space="0"/>
            </w:tcBorders>
          </w:tcPr>
          <w:p>
            <w:pPr>
              <w:spacing w:line="400" w:lineRule="exact"/>
              <w:ind w:firstLine="420" w:firstLineChars="200"/>
              <w:rPr>
                <w:highlight w:val="none"/>
              </w:rPr>
            </w:pPr>
            <w:r>
              <w:rPr>
                <w:rFonts w:hint="eastAsia"/>
                <w:highlight w:val="none"/>
              </w:rPr>
              <w:t>1、甲乙双方应诚实守信，若违反本协议约定给对方造成损失的，应承担相应赔偿责任；</w:t>
            </w:r>
          </w:p>
          <w:p>
            <w:pPr>
              <w:spacing w:line="400" w:lineRule="exact"/>
              <w:ind w:firstLine="420" w:firstLineChars="200"/>
              <w:rPr>
                <w:highlight w:val="none"/>
              </w:rPr>
            </w:pPr>
            <w:r>
              <w:rPr>
                <w:rFonts w:hint="eastAsia"/>
                <w:highlight w:val="none"/>
              </w:rPr>
              <w:t>2、因乙方原因造成委托事项逾期的，甲方有权要求乙方按合同总金额的1%每天支付违约金。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19</w:t>
            </w:r>
          </w:p>
        </w:tc>
        <w:tc>
          <w:tcPr>
            <w:tcW w:w="2106" w:type="dxa"/>
          </w:tcPr>
          <w:p>
            <w:pPr>
              <w:spacing w:line="40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ascii="宋体" w:hAnsi="宋体" w:cs="宋体"/>
                <w:highlight w:val="none"/>
              </w:rPr>
            </w:pPr>
            <w:r>
              <w:rPr>
                <w:rFonts w:hint="eastAsia" w:ascii="宋体" w:hAnsi="宋体" w:cs="宋体"/>
                <w:highlight w:val="none"/>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97" w:type="dxa"/>
            <w:vAlign w:val="center"/>
          </w:tcPr>
          <w:p>
            <w:pPr>
              <w:pStyle w:val="149"/>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pPr>
              <w:pStyle w:val="149"/>
              <w:spacing w:line="400" w:lineRule="exact"/>
              <w:jc w:val="center"/>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pPr>
              <w:spacing w:line="400" w:lineRule="exact"/>
              <w:ind w:firstLine="420" w:firstLineChars="200"/>
              <w:rPr>
                <w:rFonts w:hAnsi="宋体" w:cs="宋体"/>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highlight w:val="none"/>
              </w:rPr>
            </w:pPr>
            <w:r>
              <w:rPr>
                <w:rFonts w:hint="eastAsia" w:hAnsi="宋体"/>
                <w:color w:val="auto"/>
                <w:sz w:val="21"/>
                <w:szCs w:val="21"/>
                <w:highlight w:val="none"/>
              </w:rPr>
              <w:t>21</w:t>
            </w:r>
          </w:p>
        </w:tc>
        <w:tc>
          <w:tcPr>
            <w:tcW w:w="2106" w:type="dxa"/>
            <w:vAlign w:val="center"/>
          </w:tcPr>
          <w:p>
            <w:pPr>
              <w:pStyle w:val="149"/>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4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监督部门：重庆首讯科技股份有限公司风险管理部</w:t>
            </w:r>
          </w:p>
          <w:p>
            <w:pPr>
              <w:pStyle w:val="14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址：重庆市渝北区龙溪街道新南路52号东界龙湖三楼</w:t>
            </w:r>
          </w:p>
          <w:p>
            <w:pPr>
              <w:pStyle w:val="149"/>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highlight w:val="none"/>
              </w:rPr>
            </w:pPr>
            <w:r>
              <w:rPr>
                <w:rFonts w:hint="eastAsia" w:hAnsi="宋体"/>
                <w:color w:val="auto"/>
                <w:sz w:val="21"/>
                <w:szCs w:val="21"/>
                <w:highlight w:val="none"/>
              </w:rPr>
              <w:t>22</w:t>
            </w:r>
          </w:p>
        </w:tc>
        <w:tc>
          <w:tcPr>
            <w:tcW w:w="2106" w:type="dxa"/>
            <w:vAlign w:val="center"/>
          </w:tcPr>
          <w:p>
            <w:pPr>
              <w:pStyle w:val="149"/>
              <w:spacing w:line="400" w:lineRule="exact"/>
              <w:jc w:val="center"/>
              <w:rPr>
                <w:rFonts w:hAnsi="宋体"/>
                <w:color w:val="auto"/>
                <w:kern w:val="2"/>
                <w:sz w:val="21"/>
                <w:szCs w:val="21"/>
                <w:highlight w:val="none"/>
              </w:rPr>
            </w:pPr>
            <w:r>
              <w:rPr>
                <w:rFonts w:hint="eastAsia" w:hAnsi="宋体"/>
                <w:color w:val="auto"/>
                <w:kern w:val="2"/>
                <w:sz w:val="21"/>
                <w:szCs w:val="21"/>
                <w:highlight w:val="none"/>
              </w:rPr>
              <w:t>本次竞争性比选响应文件的组成</w:t>
            </w:r>
          </w:p>
        </w:tc>
        <w:tc>
          <w:tcPr>
            <w:tcW w:w="7104" w:type="dxa"/>
            <w:vAlign w:val="center"/>
          </w:tcPr>
          <w:p>
            <w:pPr>
              <w:pStyle w:val="149"/>
              <w:spacing w:line="400" w:lineRule="exact"/>
              <w:rPr>
                <w:rFonts w:hAnsi="宋体"/>
                <w:color w:val="auto"/>
                <w:kern w:val="2"/>
                <w:sz w:val="21"/>
                <w:szCs w:val="21"/>
                <w:highlight w:val="none"/>
              </w:rPr>
            </w:pPr>
            <w:r>
              <w:rPr>
                <w:rFonts w:hint="eastAsia" w:hAnsi="宋体"/>
                <w:color w:val="auto"/>
                <w:kern w:val="2"/>
                <w:sz w:val="21"/>
                <w:szCs w:val="21"/>
                <w:highlight w:val="none"/>
              </w:rPr>
              <w:t xml:space="preserve">   1.竞争性比选文件需加盖报价人的公章，竞争性比选响应文件提交正本1份，副本1份，副本可为正本的复印件，竞争性比选响应文件需装订成册；报价人应提供竞争性比选响应文件（盖章版）扫描版PDF电子文件1份（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2.竞争性比选响应声明书、报价函、资格要求材料、报价人认为需要提供的其他相关文件（注：以上所有文件均须逐页加盖报价人的公章）。</w:t>
            </w:r>
          </w:p>
          <w:p>
            <w:pPr>
              <w:pStyle w:val="149"/>
              <w:spacing w:line="400" w:lineRule="exact"/>
              <w:ind w:firstLine="420" w:firstLineChars="200"/>
              <w:rPr>
                <w:rFonts w:hAnsi="宋体"/>
                <w:color w:val="auto"/>
                <w:sz w:val="21"/>
                <w:szCs w:val="21"/>
                <w:highlight w:val="none"/>
              </w:rPr>
            </w:pPr>
            <w:r>
              <w:rPr>
                <w:rFonts w:hint="eastAsia" w:hAnsi="宋体"/>
                <w:color w:val="auto"/>
                <w:sz w:val="21"/>
                <w:szCs w:val="21"/>
                <w:highlight w:val="none"/>
              </w:rPr>
              <w:t>3.密封要求：</w:t>
            </w:r>
          </w:p>
          <w:p>
            <w:pPr>
              <w:pStyle w:val="14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pPr>
              <w:pStyle w:val="14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u w:val="single"/>
                <w:lang w:eastAsia="zh-CN"/>
              </w:rPr>
              <w:t>交通地理信息大数据关键技术应用与研发项目工程师培训服务（第二次）</w:t>
            </w:r>
            <w:r>
              <w:rPr>
                <w:rFonts w:hint="eastAsia" w:hAnsi="宋体"/>
                <w:color w:val="auto"/>
                <w:kern w:val="2"/>
                <w:sz w:val="21"/>
                <w:szCs w:val="21"/>
                <w:highlight w:val="none"/>
                <w:u w:val="single"/>
              </w:rPr>
              <w:t>竞争性比选响应文件</w:t>
            </w:r>
            <w:r>
              <w:rPr>
                <w:rFonts w:hint="eastAsia" w:hAnsi="宋体"/>
                <w:color w:val="auto"/>
                <w:kern w:val="2"/>
                <w:sz w:val="21"/>
                <w:szCs w:val="21"/>
                <w:highlight w:val="none"/>
              </w:rPr>
              <w:t>（加盖报价人的公章）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highlight w:val="none"/>
              </w:rPr>
            </w:pPr>
            <w:r>
              <w:rPr>
                <w:rFonts w:hint="eastAsia" w:hAnsi="宋体"/>
                <w:color w:val="auto"/>
                <w:sz w:val="21"/>
                <w:szCs w:val="21"/>
                <w:highlight w:val="none"/>
              </w:rPr>
              <w:t>23</w:t>
            </w:r>
          </w:p>
        </w:tc>
        <w:tc>
          <w:tcPr>
            <w:tcW w:w="2106" w:type="dxa"/>
            <w:vAlign w:val="center"/>
          </w:tcPr>
          <w:p>
            <w:pPr>
              <w:pStyle w:val="149"/>
              <w:spacing w:line="400" w:lineRule="exact"/>
              <w:jc w:val="center"/>
              <w:rPr>
                <w:rFonts w:hAnsi="宋体"/>
                <w:color w:val="auto"/>
                <w:kern w:val="2"/>
                <w:sz w:val="21"/>
                <w:szCs w:val="21"/>
                <w:highlight w:val="none"/>
              </w:rPr>
            </w:pPr>
            <w:r>
              <w:rPr>
                <w:rFonts w:hint="eastAsia" w:hAnsi="宋体"/>
                <w:color w:val="auto"/>
                <w:sz w:val="21"/>
                <w:szCs w:val="21"/>
                <w:highlight w:val="none"/>
              </w:rPr>
              <w:t>中标候选人公示</w:t>
            </w:r>
          </w:p>
        </w:tc>
        <w:tc>
          <w:tcPr>
            <w:tcW w:w="7104" w:type="dxa"/>
            <w:vAlign w:val="center"/>
          </w:tcPr>
          <w:p>
            <w:pPr>
              <w:pStyle w:val="149"/>
              <w:spacing w:line="400" w:lineRule="exact"/>
              <w:ind w:firstLine="420" w:firstLineChars="200"/>
              <w:rPr>
                <w:rFonts w:hAnsi="宋体"/>
                <w:color w:val="auto"/>
                <w:kern w:val="2"/>
                <w:sz w:val="21"/>
                <w:szCs w:val="21"/>
                <w:highlight w:val="none"/>
              </w:rPr>
            </w:pPr>
            <w:r>
              <w:rPr>
                <w:rFonts w:hint="eastAsia" w:hAnsi="宋体"/>
                <w:color w:val="auto"/>
                <w:sz w:val="21"/>
                <w:szCs w:val="21"/>
                <w:highlight w:val="none"/>
              </w:rPr>
              <w:t>评标结果将在</w:t>
            </w:r>
            <w:r>
              <w:rPr>
                <w:rFonts w:hint="eastAsia" w:hAnsi="宋体"/>
                <w:color w:val="auto"/>
                <w:sz w:val="21"/>
                <w:szCs w:val="21"/>
                <w:highlight w:val="none"/>
                <w:u w:val="single"/>
              </w:rPr>
              <w:t>重庆高速集团官网（http://www.cegc.com.cn）</w:t>
            </w:r>
            <w:r>
              <w:rPr>
                <w:rFonts w:hint="eastAsia" w:hAnsi="宋体"/>
                <w:color w:val="auto"/>
                <w:sz w:val="21"/>
                <w:szCs w:val="21"/>
                <w:highlight w:val="none"/>
              </w:rPr>
              <w:t>上进行公示，公示期为 3 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24</w:t>
            </w:r>
          </w:p>
        </w:tc>
        <w:tc>
          <w:tcPr>
            <w:tcW w:w="9210" w:type="dxa"/>
            <w:gridSpan w:val="2"/>
            <w:vAlign w:val="center"/>
          </w:tcPr>
          <w:p>
            <w:pPr>
              <w:pStyle w:val="149"/>
              <w:spacing w:line="400" w:lineRule="exact"/>
              <w:ind w:firstLine="482" w:firstLineChars="200"/>
              <w:jc w:val="center"/>
              <w:rPr>
                <w:rFonts w:hAnsi="宋体"/>
                <w:color w:val="auto"/>
                <w:kern w:val="2"/>
                <w:sz w:val="21"/>
                <w:szCs w:val="21"/>
                <w:highlight w:val="none"/>
              </w:rPr>
            </w:pPr>
            <w:r>
              <w:rPr>
                <w:rFonts w:hAnsi="宋体"/>
                <w:b/>
                <w:bCs/>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24.1</w:t>
            </w:r>
          </w:p>
        </w:tc>
        <w:tc>
          <w:tcPr>
            <w:tcW w:w="9210" w:type="dxa"/>
            <w:gridSpan w:val="2"/>
            <w:vAlign w:val="center"/>
          </w:tcPr>
          <w:p>
            <w:pPr>
              <w:pStyle w:val="149"/>
              <w:spacing w:line="400" w:lineRule="exact"/>
              <w:ind w:firstLine="420" w:firstLineChars="200"/>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w:t>
            </w:r>
          </w:p>
        </w:tc>
      </w:tr>
      <w:bookmarkEnd w:id="126"/>
    </w:tbl>
    <w:p>
      <w:pPr>
        <w:rPr>
          <w:highlight w:val="none"/>
        </w:rPr>
      </w:pPr>
      <w:bookmarkStart w:id="128" w:name="_Toc152042364"/>
      <w:bookmarkStart w:id="129" w:name="_Toc144974554"/>
      <w:bookmarkStart w:id="130" w:name="_Toc507319957"/>
      <w:bookmarkStart w:id="131" w:name="_Toc247085745"/>
      <w:bookmarkStart w:id="132" w:name="_Toc2000406"/>
      <w:bookmarkStart w:id="133" w:name="_Toc246996230"/>
      <w:bookmarkStart w:id="134" w:name="_Toc179632605"/>
      <w:bookmarkStart w:id="135" w:name="_Toc246996973"/>
      <w:bookmarkStart w:id="136" w:name="_Toc152045587"/>
      <w:r>
        <w:rPr>
          <w:rFonts w:hint="eastAsia"/>
          <w:highlight w:val="none"/>
        </w:rPr>
        <w:br w:type="page"/>
      </w:r>
    </w:p>
    <w:bookmarkEnd w:id="128"/>
    <w:bookmarkEnd w:id="129"/>
    <w:bookmarkEnd w:id="130"/>
    <w:bookmarkEnd w:id="131"/>
    <w:bookmarkEnd w:id="132"/>
    <w:bookmarkEnd w:id="133"/>
    <w:bookmarkEnd w:id="134"/>
    <w:bookmarkEnd w:id="135"/>
    <w:bookmarkEnd w:id="136"/>
    <w:p>
      <w:pPr>
        <w:pStyle w:val="3"/>
        <w:spacing w:before="0" w:after="0" w:line="360" w:lineRule="auto"/>
        <w:jc w:val="center"/>
        <w:rPr>
          <w:rFonts w:ascii="宋体" w:hAnsi="宋体" w:cs="宋体"/>
          <w:highlight w:val="none"/>
        </w:rPr>
      </w:pPr>
      <w:bookmarkStart w:id="137" w:name="_Toc7682"/>
      <w:bookmarkStart w:id="138" w:name="_Toc20774"/>
      <w:r>
        <w:rPr>
          <w:rFonts w:hint="eastAsia" w:ascii="宋体" w:hAnsi="宋体" w:cs="宋体"/>
          <w:highlight w:val="none"/>
        </w:rPr>
        <w:t xml:space="preserve">第三章 </w:t>
      </w:r>
      <w:bookmarkEnd w:id="137"/>
      <w:bookmarkEnd w:id="138"/>
      <w:r>
        <w:rPr>
          <w:rFonts w:hint="eastAsia" w:ascii="宋体" w:hAnsi="宋体" w:cs="宋体"/>
          <w:highlight w:val="none"/>
        </w:rPr>
        <w:t>评标办法（经评审的最低投标价法）</w:t>
      </w:r>
    </w:p>
    <w:tbl>
      <w:tblPr>
        <w:tblStyle w:val="43"/>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以最早提交报价文件的报价人为第一中标候选人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人须知”第11项规定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人须知”第11项规定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人须知”第11项规定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人须知”第11项规定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人须知”第25项规定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人须知”第8项规定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人须知”第9项规定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人须知”第10项规定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本项目评标采用经评审的最低投标价法，对通过初步评审、详细评审的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p>
            <w:pPr>
              <w:pStyle w:val="4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eastAsia="宋体"/>
                <w:lang w:val="en-US" w:eastAsia="zh-CN"/>
              </w:rPr>
            </w:pPr>
            <w:r>
              <w:rPr>
                <w:rFonts w:hint="eastAsia"/>
                <w:lang w:val="en-US" w:eastAsia="zh-CN"/>
              </w:rPr>
              <w:t xml:space="preserve">    </w:t>
            </w:r>
            <w:r>
              <w:rPr>
                <w:rFonts w:hint="eastAsia" w:ascii="Times New Roman" w:hAnsi="Times New Roman" w:eastAsia="宋体" w:cs="Times New Roman"/>
                <w:kern w:val="2"/>
                <w:sz w:val="21"/>
                <w:szCs w:val="24"/>
                <w:lang w:val="en-US" w:eastAsia="zh-CN" w:bidi="ar-SA"/>
              </w:rPr>
              <w:t>有效报价不足3家作流标处理。重新比选后报价人或有效报价人仍少于3个，按法定程序开标和评标，确定中标人。</w:t>
            </w:r>
          </w:p>
        </w:tc>
      </w:tr>
    </w:tbl>
    <w:p>
      <w:pPr>
        <w:snapToGrid w:val="0"/>
        <w:spacing w:line="360" w:lineRule="auto"/>
        <w:ind w:firstLine="480"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p>
    <w:p>
      <w:pPr>
        <w:pStyle w:val="28"/>
        <w:jc w:val="center"/>
        <w:outlineLvl w:val="0"/>
        <w:rPr>
          <w:highlight w:val="none"/>
        </w:rPr>
      </w:pPr>
      <w:r>
        <w:rPr>
          <w:rFonts w:hint="eastAsia"/>
          <w:highlight w:val="none"/>
        </w:rPr>
        <w:br w:type="page"/>
      </w:r>
      <w:bookmarkStart w:id="139" w:name="_Toc6879"/>
      <w:r>
        <w:rPr>
          <w:rStyle w:val="82"/>
          <w:rFonts w:hint="eastAsia"/>
          <w:b/>
          <w:bCs/>
          <w:highlight w:val="none"/>
        </w:rPr>
        <w:t>第四章 报价说明</w:t>
      </w:r>
      <w:bookmarkEnd w:id="139"/>
    </w:p>
    <w:p>
      <w:pPr>
        <w:pStyle w:val="28"/>
        <w:spacing w:before="0" w:after="0" w:line="40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1、报价清单应与本项目竞争性比选文件、技术标准和要求等文件结合起来查阅与理解。</w:t>
      </w:r>
    </w:p>
    <w:p>
      <w:pPr>
        <w:pStyle w:val="28"/>
        <w:spacing w:before="0" w:after="0" w:line="40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2、对作业和材料设备的技术标准和要求及一般说明或规定，未重复写入报价清单内，在给报价清单各细目报价前，应参阅并满足设计文件及竞争性比选文件中技术标准和要求的有关部分，如不满足相关技术标准和要求，由此对采购人造成的一切损失由报价人承担。</w:t>
      </w:r>
    </w:p>
    <w:p>
      <w:pPr>
        <w:pStyle w:val="28"/>
        <w:spacing w:before="0" w:after="0" w:line="40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3、对于符合要求的竞争性比选响应文件，在签订合同协议书前，如发现报价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8"/>
        <w:spacing w:before="0" w:after="0" w:line="400" w:lineRule="exact"/>
        <w:ind w:firstLine="420" w:firstLineChars="200"/>
        <w:rPr>
          <w:highlight w:val="none"/>
        </w:rPr>
      </w:pPr>
      <w:r>
        <w:rPr>
          <w:rFonts w:hint="eastAsia" w:ascii="宋体" w:hAnsi="宋体" w:cs="宋体"/>
          <w:b w:val="0"/>
          <w:bCs w:val="0"/>
          <w:sz w:val="21"/>
          <w:szCs w:val="21"/>
          <w:highlight w:val="none"/>
        </w:rPr>
        <w:t>4、报价清单中的任何内容不得随意删除或涂改，若有误，在有效时间内书面向采购人提出，以“补遗”资料为准。</w:t>
      </w:r>
    </w:p>
    <w:p>
      <w:pPr>
        <w:pStyle w:val="28"/>
        <w:spacing w:before="0" w:after="0" w:line="40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5、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pStyle w:val="28"/>
        <w:spacing w:before="0" w:after="0" w:line="40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6、实际采购数量以采购人最终需求数量为准，报价清单中单价在合同执行过程中保持固定不变，报价人不得以实际采购数量的变化提出调整合同单价。</w:t>
      </w:r>
    </w:p>
    <w:p>
      <w:pPr>
        <w:pStyle w:val="28"/>
        <w:spacing w:before="0" w:after="0" w:line="40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7、报价清单中各项金额均以人民币（元）结算。</w:t>
      </w:r>
    </w:p>
    <w:p>
      <w:pPr>
        <w:pStyle w:val="28"/>
        <w:spacing w:before="0" w:after="0" w:line="40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8、需缴纳的一切税费均由报价单位承担，所有税费均由服务单位自行缴纳。</w:t>
      </w:r>
    </w:p>
    <w:p>
      <w:pPr>
        <w:rPr>
          <w:highlight w:val="none"/>
        </w:rPr>
      </w:pPr>
      <w:r>
        <w:rPr>
          <w:rFonts w:hint="eastAsia"/>
          <w:highlight w:val="none"/>
        </w:rPr>
        <w:br w:type="page"/>
      </w:r>
    </w:p>
    <w:p>
      <w:pPr>
        <w:pStyle w:val="3"/>
        <w:spacing w:before="0" w:after="0" w:line="360" w:lineRule="auto"/>
        <w:jc w:val="center"/>
        <w:rPr>
          <w:rFonts w:ascii="宋体" w:hAnsi="宋体" w:cs="宋体"/>
          <w:highlight w:val="none"/>
        </w:rPr>
      </w:pPr>
      <w:bookmarkStart w:id="140" w:name="_Toc514858705"/>
      <w:bookmarkStart w:id="141" w:name="_Toc247085855"/>
      <w:bookmarkStart w:id="142" w:name="_Toc179632789"/>
      <w:bookmarkStart w:id="143" w:name="_Toc152045772"/>
      <w:bookmarkStart w:id="144" w:name="_Toc246997083"/>
      <w:bookmarkStart w:id="145" w:name="_Toc152042554"/>
      <w:bookmarkStart w:id="146" w:name="_Toc246996340"/>
      <w:bookmarkStart w:id="147" w:name="_Toc2000409"/>
      <w:bookmarkStart w:id="148" w:name="_Toc144974834"/>
      <w:bookmarkStart w:id="149" w:name="_Toc4638"/>
      <w:bookmarkStart w:id="150" w:name="_Toc179632806"/>
      <w:bookmarkStart w:id="151" w:name="_Toc144974855"/>
      <w:bookmarkStart w:id="152" w:name="_Toc152042575"/>
      <w:bookmarkStart w:id="153" w:name="_Toc246997097"/>
      <w:bookmarkStart w:id="154" w:name="_Toc152045786"/>
      <w:bookmarkStart w:id="155" w:name="_Toc246996354"/>
      <w:bookmarkStart w:id="156" w:name="_Toc247085872"/>
      <w:r>
        <w:rPr>
          <w:rFonts w:hint="eastAsia" w:ascii="宋体" w:hAnsi="宋体" w:cs="宋体"/>
          <w:highlight w:val="none"/>
        </w:rPr>
        <w:t xml:space="preserve">第五章 </w:t>
      </w:r>
      <w:bookmarkEnd w:id="140"/>
      <w:bookmarkEnd w:id="141"/>
      <w:bookmarkEnd w:id="142"/>
      <w:bookmarkEnd w:id="143"/>
      <w:bookmarkEnd w:id="144"/>
      <w:bookmarkEnd w:id="145"/>
      <w:bookmarkEnd w:id="146"/>
      <w:bookmarkEnd w:id="147"/>
      <w:bookmarkEnd w:id="148"/>
      <w:r>
        <w:rPr>
          <w:rFonts w:hint="eastAsia" w:ascii="宋体" w:hAnsi="宋体" w:cs="宋体"/>
          <w:highlight w:val="none"/>
        </w:rPr>
        <w:t>报价清单</w:t>
      </w:r>
      <w:bookmarkEnd w:id="149"/>
    </w:p>
    <w:tbl>
      <w:tblPr>
        <w:tblStyle w:val="44"/>
        <w:tblpPr w:leftFromText="180" w:rightFromText="180" w:vertAnchor="text" w:horzAnchor="page" w:tblpX="1793" w:tblpY="288"/>
        <w:tblOverlap w:val="never"/>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423"/>
        <w:gridCol w:w="1561"/>
        <w:gridCol w:w="542"/>
        <w:gridCol w:w="829"/>
        <w:gridCol w:w="829"/>
        <w:gridCol w:w="829"/>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63"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bookmarkStart w:id="157" w:name="_Toc247096438"/>
            <w:bookmarkStart w:id="158" w:name="_Toc246997093"/>
            <w:bookmarkStart w:id="159" w:name="_Toc152045782"/>
            <w:bookmarkStart w:id="160" w:name="_Toc246996350"/>
            <w:bookmarkStart w:id="161" w:name="_Toc247085866"/>
            <w:bookmarkStart w:id="162" w:name="_Toc152042571"/>
            <w:bookmarkStart w:id="163" w:name="_Toc144974851"/>
            <w:bookmarkStart w:id="164" w:name="_Toc179632800"/>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序号</w:t>
            </w:r>
          </w:p>
        </w:tc>
        <w:tc>
          <w:tcPr>
            <w:tcW w:w="1423"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项目名称</w:t>
            </w:r>
          </w:p>
        </w:tc>
        <w:tc>
          <w:tcPr>
            <w:tcW w:w="1561"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t>工程名称</w:t>
            </w:r>
          </w:p>
        </w:tc>
        <w:tc>
          <w:tcPr>
            <w:tcW w:w="542"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t>数量</w:t>
            </w: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t>单价</w:t>
            </w: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t>小计</w:t>
            </w: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合</w:t>
            </w:r>
            <w: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t>计</w:t>
            </w:r>
          </w:p>
        </w:tc>
        <w:tc>
          <w:tcPr>
            <w:tcW w:w="2040"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63" w:type="dxa"/>
            <w:vAlign w:val="center"/>
          </w:tcPr>
          <w:p>
            <w:pPr>
              <w:spacing w:line="360" w:lineRule="auto"/>
              <w:jc w:val="cente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1</w:t>
            </w:r>
          </w:p>
        </w:tc>
        <w:tc>
          <w:tcPr>
            <w:tcW w:w="1423" w:type="dxa"/>
            <w:vMerge w:val="restart"/>
            <w:vAlign w:val="center"/>
          </w:tcPr>
          <w:p>
            <w:pPr>
              <w:spacing w:line="360" w:lineRule="auto"/>
              <w:jc w:val="cente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z w:val="21"/>
                <w:szCs w:val="22"/>
                <w:highlight w:val="none"/>
                <w:lang w:eastAsia="zh-CN"/>
              </w:rPr>
              <w:t>交通地理信息大数据关键技术应用与研发项目工程师培训服务（第二次）</w:t>
            </w:r>
          </w:p>
        </w:tc>
        <w:tc>
          <w:tcPr>
            <w:tcW w:w="1561" w:type="dxa"/>
            <w:vAlign w:val="center"/>
          </w:tcPr>
          <w:p>
            <w:pPr>
              <w:spacing w:line="360" w:lineRule="auto"/>
              <w:jc w:val="cente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测绘初级</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工程师培训服务</w:t>
            </w:r>
          </w:p>
        </w:tc>
        <w:tc>
          <w:tcPr>
            <w:tcW w:w="542" w:type="dxa"/>
            <w:vAlign w:val="center"/>
          </w:tcPr>
          <w:p>
            <w:pPr>
              <w:spacing w:line="360" w:lineRule="auto"/>
              <w:jc w:val="cente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3</w:t>
            </w: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040"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2"/>
                <w:highlight w:val="none"/>
              </w:rPr>
              <w:t>详见第二章报价人须知1.服务内容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63" w:type="dxa"/>
            <w:vAlign w:val="center"/>
          </w:tcPr>
          <w:p>
            <w:pPr>
              <w:spacing w:line="360" w:lineRule="auto"/>
              <w:jc w:val="cente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2</w:t>
            </w:r>
          </w:p>
        </w:tc>
        <w:tc>
          <w:tcPr>
            <w:tcW w:w="1423" w:type="dxa"/>
            <w:vMerge w:val="continue"/>
            <w:vAlign w:val="center"/>
          </w:tcPr>
          <w:p>
            <w:pPr>
              <w:spacing w:line="360" w:lineRule="auto"/>
              <w:jc w:val="center"/>
              <w:rPr>
                <w:rFonts w:asciiTheme="minorEastAsia" w:hAnsiTheme="minorEastAsia" w:eastAsiaTheme="minorEastAsia" w:cstheme="minorEastAsia"/>
                <w:sz w:val="21"/>
                <w:szCs w:val="22"/>
                <w:highlight w:val="none"/>
              </w:rPr>
            </w:pPr>
          </w:p>
        </w:tc>
        <w:tc>
          <w:tcPr>
            <w:tcW w:w="1561" w:type="dxa"/>
            <w:vAlign w:val="center"/>
          </w:tcPr>
          <w:p>
            <w:pPr>
              <w:spacing w:line="360" w:lineRule="auto"/>
              <w:jc w:val="cente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测绘</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中级工程师培训服务</w:t>
            </w:r>
          </w:p>
        </w:tc>
        <w:tc>
          <w:tcPr>
            <w:tcW w:w="542" w:type="dxa"/>
            <w:vAlign w:val="center"/>
          </w:tcPr>
          <w:p>
            <w:pPr>
              <w:spacing w:line="360" w:lineRule="auto"/>
              <w:jc w:val="cente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1</w:t>
            </w: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040" w:type="dxa"/>
            <w:vAlign w:val="center"/>
          </w:tcPr>
          <w:p>
            <w:pPr>
              <w:spacing w:line="360" w:lineRule="auto"/>
              <w:jc w:val="center"/>
              <w:rPr>
                <w:rFonts w:asciiTheme="minorEastAsia" w:hAnsiTheme="minorEastAsia" w:eastAsiaTheme="minorEastAsia" w:cstheme="minorEastAsia"/>
                <w:sz w:val="21"/>
                <w:szCs w:val="22"/>
                <w:highlight w:val="none"/>
              </w:rPr>
            </w:pPr>
            <w:r>
              <w:rPr>
                <w:rFonts w:hint="eastAsia" w:asciiTheme="minorEastAsia" w:hAnsiTheme="minorEastAsia" w:eastAsiaTheme="minorEastAsia" w:cstheme="minorEastAsia"/>
                <w:sz w:val="21"/>
                <w:szCs w:val="22"/>
                <w:highlight w:val="none"/>
              </w:rPr>
              <w:t>详见第二章报价人须知1.服务内容</w:t>
            </w:r>
            <w:r>
              <w:rPr>
                <w:rFonts w:asciiTheme="minorEastAsia" w:hAnsiTheme="minorEastAsia" w:eastAsiaTheme="minorEastAsia" w:cstheme="minorEastAsia"/>
                <w:sz w:val="21"/>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63" w:type="dxa"/>
            <w:vAlign w:val="center"/>
          </w:tcPr>
          <w:p>
            <w:pPr>
              <w:spacing w:line="360" w:lineRule="auto"/>
              <w:jc w:val="cente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3</w:t>
            </w:r>
          </w:p>
        </w:tc>
        <w:tc>
          <w:tcPr>
            <w:tcW w:w="1423" w:type="dxa"/>
            <w:vMerge w:val="continue"/>
            <w:vAlign w:val="center"/>
          </w:tcPr>
          <w:p>
            <w:pPr>
              <w:spacing w:line="360" w:lineRule="auto"/>
              <w:jc w:val="center"/>
              <w:rPr>
                <w:rFonts w:asciiTheme="minorEastAsia" w:hAnsiTheme="minorEastAsia" w:eastAsiaTheme="minorEastAsia" w:cstheme="minorEastAsia"/>
                <w:sz w:val="21"/>
                <w:szCs w:val="22"/>
                <w:highlight w:val="none"/>
              </w:rPr>
            </w:pPr>
          </w:p>
        </w:tc>
        <w:tc>
          <w:tcPr>
            <w:tcW w:w="1561" w:type="dxa"/>
            <w:vAlign w:val="center"/>
          </w:tcPr>
          <w:p>
            <w:pPr>
              <w:spacing w:line="360" w:lineRule="auto"/>
              <w:jc w:val="cente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测绘高级工程师培训服务</w:t>
            </w:r>
          </w:p>
        </w:tc>
        <w:tc>
          <w:tcPr>
            <w:tcW w:w="542" w:type="dxa"/>
            <w:vAlign w:val="center"/>
          </w:tcPr>
          <w:p>
            <w:pPr>
              <w:spacing w:line="360" w:lineRule="auto"/>
              <w:jc w:val="cente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2</w:t>
            </w: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040" w:type="dxa"/>
            <w:vAlign w:val="center"/>
          </w:tcPr>
          <w:p>
            <w:pPr>
              <w:spacing w:line="360" w:lineRule="auto"/>
              <w:jc w:val="center"/>
              <w:rPr>
                <w:rFonts w:asciiTheme="minorEastAsia" w:hAnsiTheme="minorEastAsia" w:eastAsiaTheme="minorEastAsia" w:cstheme="minorEastAsia"/>
                <w:sz w:val="21"/>
                <w:szCs w:val="22"/>
                <w:highlight w:val="none"/>
              </w:rPr>
            </w:pPr>
            <w:r>
              <w:rPr>
                <w:rFonts w:hint="eastAsia" w:asciiTheme="minorEastAsia" w:hAnsiTheme="minorEastAsia" w:eastAsiaTheme="minorEastAsia" w:cstheme="minorEastAsia"/>
                <w:sz w:val="21"/>
                <w:szCs w:val="22"/>
                <w:highlight w:val="none"/>
              </w:rPr>
              <w:t>详见第二章报价人须知1.服务内容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63"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984" w:type="dxa"/>
            <w:gridSpan w:val="2"/>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2"/>
                <w:highlight w:val="none"/>
                <w:lang w:val="en-US" w:eastAsia="zh-CN"/>
              </w:rPr>
              <w:t>总</w:t>
            </w:r>
            <w:r>
              <w:rPr>
                <w:rFonts w:hint="eastAsia" w:asciiTheme="minorEastAsia" w:hAnsiTheme="minorEastAsia" w:eastAsiaTheme="minorEastAsia" w:cstheme="minorEastAsia"/>
                <w:sz w:val="21"/>
                <w:szCs w:val="22"/>
                <w:highlight w:val="none"/>
              </w:rPr>
              <w:t>计（元）</w:t>
            </w:r>
          </w:p>
        </w:tc>
        <w:tc>
          <w:tcPr>
            <w:tcW w:w="542"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040"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r>
    </w:tbl>
    <w:p>
      <w:pPr>
        <w:ind w:firstLine="420"/>
        <w:jc w:val="left"/>
        <w:rPr>
          <w:rFonts w:ascii="宋体" w:hAnsi="宋体" w:cs="宋体"/>
          <w:b/>
          <w:highlight w:val="none"/>
        </w:rPr>
      </w:pPr>
    </w:p>
    <w:p>
      <w:pPr>
        <w:jc w:val="center"/>
        <w:rPr>
          <w:rFonts w:ascii="宋体" w:hAnsi="宋体" w:cs="宋体"/>
          <w:b/>
          <w:highlight w:val="none"/>
        </w:rPr>
      </w:pPr>
    </w:p>
    <w:p>
      <w:pPr>
        <w:rPr>
          <w:highlight w:val="none"/>
        </w:rPr>
      </w:pPr>
      <w:r>
        <w:rPr>
          <w:rFonts w:hint="eastAsia" w:ascii="宋体" w:hAnsi="宋体" w:cs="宋体"/>
          <w:b/>
          <w:highlight w:val="none"/>
        </w:rPr>
        <w:br w:type="page"/>
      </w:r>
    </w:p>
    <w:p>
      <w:pPr>
        <w:pStyle w:val="3"/>
        <w:spacing w:before="0" w:after="0" w:line="360" w:lineRule="auto"/>
        <w:jc w:val="center"/>
        <w:rPr>
          <w:rFonts w:ascii="宋体" w:hAnsi="宋体" w:cs="宋体"/>
          <w:highlight w:val="none"/>
        </w:rPr>
      </w:pPr>
      <w:bookmarkStart w:id="165" w:name="_Toc2000410"/>
      <w:bookmarkStart w:id="166" w:name="_Toc28333"/>
      <w:bookmarkStart w:id="167" w:name="_Toc514858706"/>
      <w:bookmarkStart w:id="168" w:name="_Toc503951042"/>
      <w:bookmarkStart w:id="169" w:name="_Toc447827048"/>
      <w:bookmarkStart w:id="170" w:name="_Toc513633963"/>
      <w:r>
        <w:rPr>
          <w:rFonts w:hint="eastAsia" w:ascii="宋体" w:hAnsi="宋体" w:cs="宋体"/>
          <w:highlight w:val="none"/>
        </w:rPr>
        <w:t>第六章  图  纸</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jc w:val="center"/>
        <w:rPr>
          <w:rFonts w:ascii="宋体" w:hAnsi="宋体" w:cs="宋体"/>
          <w:b/>
          <w:highlight w:val="none"/>
        </w:rPr>
      </w:pPr>
      <w:r>
        <w:rPr>
          <w:rFonts w:hint="eastAsia" w:ascii="宋体" w:hAnsi="宋体" w:cs="宋体"/>
          <w:b/>
          <w:kern w:val="0"/>
          <w:sz w:val="24"/>
          <w:highlight w:val="none"/>
        </w:rPr>
        <w:t>无。</w:t>
      </w:r>
    </w:p>
    <w:p>
      <w:pPr>
        <w:spacing w:line="400" w:lineRule="exact"/>
        <w:rPr>
          <w:rFonts w:ascii="宋体" w:hAnsi="宋体" w:cs="宋体"/>
          <w:highlight w:val="none"/>
        </w:rPr>
      </w:pPr>
      <w:r>
        <w:rPr>
          <w:rFonts w:hint="eastAsia" w:ascii="宋体" w:hAnsi="宋体" w:cs="宋体"/>
          <w:highlight w:val="none"/>
        </w:rPr>
        <w:br w:type="page"/>
      </w:r>
      <w:bookmarkStart w:id="171" w:name="_Toc144974854"/>
      <w:bookmarkStart w:id="172" w:name="_Toc152042574"/>
      <w:bookmarkStart w:id="173" w:name="_Toc152045785"/>
    </w:p>
    <w:p>
      <w:pPr>
        <w:pStyle w:val="3"/>
        <w:spacing w:before="0" w:after="0" w:line="360" w:lineRule="auto"/>
        <w:jc w:val="center"/>
        <w:rPr>
          <w:rFonts w:ascii="宋体" w:hAnsi="宋体" w:cs="宋体"/>
          <w:highlight w:val="none"/>
        </w:rPr>
      </w:pPr>
      <w:bookmarkStart w:id="174" w:name="_Toc2000411"/>
      <w:bookmarkStart w:id="175" w:name="_Toc246996353"/>
      <w:bookmarkStart w:id="176" w:name="_Toc513633964"/>
      <w:bookmarkStart w:id="177" w:name="_Toc179632804"/>
      <w:bookmarkStart w:id="178" w:name="_Toc246997096"/>
      <w:bookmarkStart w:id="179" w:name="_Toc514858707"/>
      <w:bookmarkStart w:id="180" w:name="_Toc447827049"/>
      <w:bookmarkStart w:id="181" w:name="_Toc904"/>
      <w:bookmarkStart w:id="182" w:name="_Toc247085870"/>
      <w:bookmarkStart w:id="183" w:name="_Toc503951043"/>
      <w:r>
        <w:rPr>
          <w:rFonts w:hint="eastAsia" w:ascii="宋体" w:hAnsi="宋体" w:cs="宋体"/>
          <w:highlight w:val="none"/>
        </w:rPr>
        <w:t>第七章  技术标准和工作要求</w:t>
      </w:r>
      <w:bookmarkEnd w:id="171"/>
      <w:bookmarkEnd w:id="172"/>
      <w:bookmarkEnd w:id="173"/>
      <w:bookmarkEnd w:id="174"/>
      <w:bookmarkEnd w:id="175"/>
      <w:bookmarkEnd w:id="176"/>
      <w:bookmarkEnd w:id="177"/>
      <w:bookmarkEnd w:id="178"/>
      <w:bookmarkEnd w:id="179"/>
      <w:bookmarkEnd w:id="180"/>
      <w:bookmarkEnd w:id="181"/>
      <w:bookmarkEnd w:id="182"/>
      <w:bookmarkEnd w:id="183"/>
    </w:p>
    <w:bookmarkEnd w:id="150"/>
    <w:bookmarkEnd w:id="151"/>
    <w:bookmarkEnd w:id="152"/>
    <w:bookmarkEnd w:id="153"/>
    <w:bookmarkEnd w:id="154"/>
    <w:bookmarkEnd w:id="155"/>
    <w:bookmarkEnd w:id="156"/>
    <w:p>
      <w:pPr>
        <w:spacing w:line="400" w:lineRule="exact"/>
        <w:ind w:firstLine="562" w:firstLineChars="200"/>
        <w:jc w:val="center"/>
        <w:rPr>
          <w:rFonts w:ascii="宋体" w:hAnsi="宋体" w:cs="宋体"/>
          <w:b/>
          <w:bCs/>
          <w:sz w:val="28"/>
          <w:szCs w:val="36"/>
          <w:highlight w:val="none"/>
        </w:rPr>
      </w:pPr>
      <w:bookmarkStart w:id="184" w:name="_Toc514858708"/>
      <w:bookmarkStart w:id="185" w:name="_Toc2000412"/>
      <w:bookmarkStart w:id="186" w:name="_Toc514430114"/>
      <w:bookmarkStart w:id="187" w:name="_Toc246996355"/>
      <w:bookmarkStart w:id="188" w:name="_Toc246997098"/>
      <w:bookmarkStart w:id="189" w:name="_Toc144974856"/>
      <w:bookmarkStart w:id="190" w:name="_Toc152042576"/>
      <w:bookmarkStart w:id="191" w:name="_Toc507320039"/>
      <w:bookmarkStart w:id="192" w:name="_Toc152045787"/>
      <w:bookmarkStart w:id="193" w:name="_Toc179632807"/>
      <w:bookmarkStart w:id="194" w:name="_Toc247085873"/>
      <w:r>
        <w:rPr>
          <w:rFonts w:hint="eastAsia" w:ascii="宋体" w:hAnsi="宋体" w:cs="宋体"/>
          <w:b/>
          <w:bCs/>
          <w:sz w:val="28"/>
          <w:szCs w:val="36"/>
          <w:highlight w:val="none"/>
        </w:rPr>
        <w:t>无。</w:t>
      </w:r>
    </w:p>
    <w:p>
      <w:pPr>
        <w:spacing w:line="400" w:lineRule="exact"/>
        <w:ind w:firstLine="420" w:firstLineChars="200"/>
        <w:rPr>
          <w:rFonts w:ascii="宋体" w:hAnsi="宋体" w:cs="宋体"/>
          <w:highlight w:val="none"/>
        </w:rPr>
      </w:pPr>
      <w:r>
        <w:rPr>
          <w:rFonts w:hint="eastAsia" w:ascii="宋体" w:hAnsi="宋体" w:cs="宋体"/>
          <w:highlight w:val="none"/>
        </w:rPr>
        <w:br w:type="page"/>
      </w:r>
      <w:bookmarkEnd w:id="184"/>
      <w:bookmarkEnd w:id="185"/>
      <w:bookmarkEnd w:id="186"/>
      <w:bookmarkStart w:id="195" w:name="_Toc513633965"/>
    </w:p>
    <w:p>
      <w:pPr>
        <w:pStyle w:val="3"/>
        <w:spacing w:before="0" w:after="0" w:line="360" w:lineRule="auto"/>
        <w:jc w:val="center"/>
        <w:rPr>
          <w:rFonts w:ascii="宋体" w:hAnsi="宋体" w:cs="宋体"/>
          <w:highlight w:val="none"/>
        </w:rPr>
      </w:pPr>
      <w:bookmarkStart w:id="196" w:name="_Toc2000413"/>
      <w:bookmarkStart w:id="197" w:name="_Toc514858709"/>
      <w:bookmarkStart w:id="198" w:name="_Toc15881"/>
      <w:r>
        <w:rPr>
          <w:rFonts w:hint="eastAsia" w:ascii="宋体" w:hAnsi="宋体" w:cs="宋体"/>
          <w:highlight w:val="none"/>
        </w:rPr>
        <w:t>第八章  竞争性比选响应文件格式</w:t>
      </w:r>
      <w:bookmarkEnd w:id="195"/>
      <w:bookmarkEnd w:id="196"/>
      <w:bookmarkEnd w:id="197"/>
      <w:bookmarkEnd w:id="198"/>
    </w:p>
    <w:p>
      <w:pPr>
        <w:rPr>
          <w:highlight w:val="none"/>
        </w:rPr>
      </w:pPr>
      <w:r>
        <w:rPr>
          <w:rFonts w:hint="eastAsia" w:ascii="宋体" w:hAnsi="宋体" w:cs="宋体"/>
          <w:highlight w:val="none"/>
        </w:rPr>
        <w:br w:type="page"/>
      </w:r>
    </w:p>
    <w:p>
      <w:pPr>
        <w:jc w:val="center"/>
        <w:rPr>
          <w:rFonts w:ascii="宋体" w:hAnsi="宋体" w:cs="宋体"/>
          <w:sz w:val="52"/>
          <w:szCs w:val="52"/>
          <w:highlight w:val="none"/>
          <w:u w:val="single"/>
        </w:rPr>
      </w:pPr>
      <w:bookmarkStart w:id="199" w:name="_Toc503951046"/>
      <w:bookmarkStart w:id="200" w:name="_Toc503971829"/>
      <w:bookmarkStart w:id="201" w:name="_Toc513646738"/>
      <w:bookmarkStart w:id="202" w:name="_Toc514858710"/>
      <w:bookmarkStart w:id="203" w:name="_Toc513633967"/>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199"/>
      <w:bookmarkEnd w:id="200"/>
      <w:bookmarkEnd w:id="201"/>
      <w:bookmarkEnd w:id="202"/>
      <w:bookmarkEnd w:id="203"/>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8"/>
        <w:rPr>
          <w:highlight w:val="none"/>
        </w:rPr>
      </w:pPr>
    </w:p>
    <w:p>
      <w:pPr>
        <w:rPr>
          <w:highlight w:val="none"/>
        </w:rPr>
      </w:pPr>
    </w:p>
    <w:p>
      <w:pPr>
        <w:pStyle w:val="28"/>
        <w:rPr>
          <w:highlight w:val="none"/>
        </w:rPr>
      </w:pPr>
    </w:p>
    <w:p>
      <w:pPr>
        <w:rPr>
          <w:highlight w:val="none"/>
        </w:rPr>
      </w:pPr>
    </w:p>
    <w:p>
      <w:pPr>
        <w:pStyle w:val="28"/>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ind w:firstLine="1400" w:firstLineChars="500"/>
        <w:rPr>
          <w:rFonts w:ascii="宋体" w:hAnsi="宋体" w:cs="宋体"/>
          <w:sz w:val="28"/>
          <w:szCs w:val="28"/>
          <w:highlight w:val="none"/>
        </w:rPr>
      </w:pPr>
      <w:r>
        <w:rPr>
          <w:rFonts w:hint="eastAsia" w:ascii="宋体" w:hAnsi="宋体" w:cs="宋体"/>
          <w:sz w:val="28"/>
          <w:szCs w:val="28"/>
          <w:highlight w:val="none"/>
        </w:rPr>
        <w:t>法定代表人：</w:t>
      </w:r>
      <w:r>
        <w:rPr>
          <w:rFonts w:hint="eastAsia" w:ascii="宋体" w:hAnsi="宋体" w:cs="宋体"/>
          <w:sz w:val="28"/>
          <w:szCs w:val="28"/>
          <w:highlight w:val="none"/>
          <w:u w:val="single"/>
        </w:rPr>
        <w:t xml:space="preserve">                </w:t>
      </w:r>
    </w:p>
    <w:p>
      <w:pPr>
        <w:jc w:val="center"/>
        <w:rPr>
          <w:rFonts w:ascii="宋体" w:hAnsi="宋体" w:cs="宋体"/>
          <w:sz w:val="28"/>
          <w:szCs w:val="28"/>
          <w:highlight w:val="none"/>
        </w:rPr>
      </w:pPr>
      <w:r>
        <w:rPr>
          <w:rFonts w:hint="eastAsia" w:ascii="宋体" w:hAnsi="宋体" w:cs="宋体"/>
          <w:sz w:val="28"/>
          <w:szCs w:val="28"/>
          <w:highlight w:val="none"/>
        </w:rPr>
        <w:t>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8"/>
          <w:szCs w:val="28"/>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rPr>
          <w:highlight w:val="none"/>
        </w:rPr>
      </w:pPr>
      <w:r>
        <w:rPr>
          <w:rFonts w:hint="eastAsia"/>
          <w:highlight w:val="none"/>
        </w:rPr>
        <w:br w:type="page"/>
      </w:r>
    </w:p>
    <w:p>
      <w:pPr>
        <w:pStyle w:val="4"/>
        <w:jc w:val="center"/>
        <w:rPr>
          <w:rFonts w:ascii="宋体" w:hAnsi="宋体" w:eastAsia="宋体" w:cs="宋体"/>
          <w:highlight w:val="none"/>
        </w:rPr>
      </w:pPr>
      <w:bookmarkStart w:id="204" w:name="_Toc28780"/>
      <w:bookmarkStart w:id="205" w:name="_Toc27055"/>
      <w:bookmarkStart w:id="206" w:name="_Toc18761"/>
      <w:bookmarkStart w:id="207" w:name="_Toc5459"/>
      <w:bookmarkStart w:id="208" w:name="_Toc3606"/>
      <w:bookmarkStart w:id="209" w:name="_Toc11329273"/>
      <w:bookmarkStart w:id="210" w:name="_Toc12189"/>
      <w:bookmarkStart w:id="211" w:name="_Toc1368"/>
      <w:r>
        <w:rPr>
          <w:rFonts w:hint="eastAsia" w:ascii="宋体" w:hAnsi="宋体" w:eastAsia="宋体" w:cs="宋体"/>
          <w:highlight w:val="none"/>
        </w:rPr>
        <w:t>目    录</w:t>
      </w:r>
      <w:bookmarkEnd w:id="187"/>
      <w:bookmarkEnd w:id="188"/>
      <w:bookmarkEnd w:id="189"/>
      <w:bookmarkEnd w:id="190"/>
      <w:bookmarkEnd w:id="191"/>
      <w:bookmarkEnd w:id="192"/>
      <w:bookmarkEnd w:id="193"/>
      <w:bookmarkEnd w:id="194"/>
      <w:bookmarkEnd w:id="204"/>
      <w:bookmarkEnd w:id="205"/>
      <w:bookmarkEnd w:id="206"/>
      <w:bookmarkEnd w:id="207"/>
      <w:bookmarkEnd w:id="208"/>
      <w:bookmarkEnd w:id="209"/>
      <w:bookmarkEnd w:id="210"/>
      <w:bookmarkEnd w:id="211"/>
    </w:p>
    <w:p>
      <w:pPr>
        <w:numPr>
          <w:ilvl w:val="0"/>
          <w:numId w:val="2"/>
        </w:numPr>
        <w:spacing w:line="400" w:lineRule="exact"/>
        <w:rPr>
          <w:rFonts w:ascii="宋体" w:hAnsi="宋体" w:cs="宋体"/>
          <w:highlight w:val="none"/>
        </w:rPr>
      </w:pPr>
      <w:r>
        <w:rPr>
          <w:rFonts w:hint="eastAsia" w:ascii="宋体" w:hAnsi="宋体" w:cs="宋体"/>
          <w:highlight w:val="none"/>
        </w:rPr>
        <w:t>竞争性响应声明书</w:t>
      </w:r>
    </w:p>
    <w:p>
      <w:pPr>
        <w:numPr>
          <w:ilvl w:val="0"/>
          <w:numId w:val="2"/>
        </w:numPr>
        <w:spacing w:line="400" w:lineRule="exact"/>
        <w:rPr>
          <w:rFonts w:ascii="宋体" w:hAnsi="宋体" w:cs="宋体"/>
          <w:highlight w:val="none"/>
        </w:rPr>
      </w:pPr>
      <w:r>
        <w:rPr>
          <w:rFonts w:ascii="宋体" w:hAnsi="宋体" w:cs="宋体"/>
          <w:highlight w:val="none"/>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三、报价一览表</w:t>
      </w:r>
    </w:p>
    <w:p>
      <w:pPr>
        <w:spacing w:line="400" w:lineRule="exact"/>
        <w:rPr>
          <w:rFonts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ascii="宋体" w:hAnsi="宋体" w:cs="宋体"/>
          <w:highlight w:val="none"/>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报价人基本信息及其他材料</w:t>
      </w:r>
    </w:p>
    <w:p>
      <w:pPr>
        <w:spacing w:line="400" w:lineRule="exact"/>
        <w:rPr>
          <w:rFonts w:ascii="宋体" w:hAnsi="宋体" w:cs="宋体"/>
          <w:highlight w:val="none"/>
        </w:rPr>
      </w:pPr>
      <w:r>
        <w:rPr>
          <w:rFonts w:ascii="宋体" w:hAnsi="宋体" w:cs="宋体"/>
          <w:highlight w:val="none"/>
        </w:rPr>
        <w:br w:type="page"/>
      </w:r>
    </w:p>
    <w:p>
      <w:pPr>
        <w:pStyle w:val="4"/>
        <w:spacing w:before="0" w:after="0" w:line="360" w:lineRule="auto"/>
        <w:jc w:val="center"/>
        <w:rPr>
          <w:rFonts w:ascii="宋体" w:hAnsi="宋体" w:eastAsia="宋体" w:cs="宋体"/>
          <w:sz w:val="28"/>
          <w:highlight w:val="none"/>
        </w:rPr>
      </w:pPr>
      <w:bookmarkStart w:id="212" w:name="_Toc11329274"/>
      <w:bookmarkStart w:id="213" w:name="_Toc8870"/>
      <w:bookmarkStart w:id="214" w:name="_Toc20552"/>
      <w:bookmarkStart w:id="215" w:name="_Toc26784"/>
      <w:bookmarkStart w:id="216" w:name="_Toc29547"/>
      <w:bookmarkStart w:id="217" w:name="_Toc28490"/>
      <w:bookmarkStart w:id="218" w:name="_Toc15863"/>
      <w:bookmarkStart w:id="219" w:name="_Toc5274"/>
      <w:bookmarkStart w:id="220" w:name="_Toc25874"/>
      <w:bookmarkStart w:id="221" w:name="_Toc503951048"/>
      <w:bookmarkStart w:id="222" w:name="_Toc513633969"/>
      <w:bookmarkStart w:id="223" w:name="_Toc447827053"/>
      <w:r>
        <w:rPr>
          <w:rFonts w:hint="eastAsia" w:ascii="宋体" w:hAnsi="宋体" w:eastAsia="宋体" w:cs="宋体"/>
          <w:sz w:val="28"/>
          <w:highlight w:val="none"/>
        </w:rPr>
        <w:t>一、</w:t>
      </w:r>
      <w:bookmarkEnd w:id="212"/>
      <w:bookmarkEnd w:id="213"/>
      <w:r>
        <w:rPr>
          <w:rFonts w:hint="eastAsia" w:ascii="宋体" w:hAnsi="宋体" w:eastAsia="宋体" w:cs="宋体"/>
          <w:sz w:val="28"/>
          <w:highlight w:val="none"/>
        </w:rPr>
        <w:t>竞争比选响应声明书</w:t>
      </w:r>
      <w:bookmarkEnd w:id="214"/>
      <w:bookmarkEnd w:id="215"/>
      <w:bookmarkEnd w:id="216"/>
      <w:bookmarkEnd w:id="217"/>
      <w:bookmarkEnd w:id="218"/>
      <w:bookmarkEnd w:id="219"/>
      <w:bookmarkEnd w:id="220"/>
    </w:p>
    <w:p>
      <w:pPr>
        <w:tabs>
          <w:tab w:val="left" w:pos="900"/>
        </w:tabs>
        <w:spacing w:line="300" w:lineRule="auto"/>
        <w:rPr>
          <w:rFonts w:ascii="Arial" w:hAnsi="Arial" w:cs="Arial"/>
          <w:sz w:val="24"/>
          <w:highlight w:val="none"/>
        </w:rPr>
      </w:pPr>
      <w:r>
        <w:rPr>
          <w:rFonts w:ascii="Arial" w:hAnsi="Arial" w:cs="Arial"/>
          <w:sz w:val="24"/>
          <w:highlight w:val="none"/>
        </w:rPr>
        <w:t xml:space="preserve"> </w:t>
      </w:r>
      <w:r>
        <w:rPr>
          <w:rFonts w:hint="eastAsia" w:ascii="Arial" w:hAnsi="Arial" w:cs="Arial"/>
          <w:b/>
          <w:sz w:val="24"/>
          <w:highlight w:val="none"/>
        </w:rPr>
        <w:t>致：</w:t>
      </w:r>
      <w:r>
        <w:rPr>
          <w:rFonts w:hint="eastAsia" w:ascii="Arial" w:hAnsi="Arial" w:cs="Arial"/>
          <w:b/>
          <w:bCs/>
          <w:sz w:val="24"/>
          <w:highlight w:val="none"/>
          <w:u w:val="single"/>
        </w:rPr>
        <w:t>重庆首讯科技股份有限公司</w:t>
      </w:r>
    </w:p>
    <w:p>
      <w:pPr>
        <w:spacing w:line="700" w:lineRule="atLeast"/>
        <w:ind w:firstLine="480" w:firstLineChars="200"/>
        <w:rPr>
          <w:rFonts w:ascii="Arial" w:hAnsi="Arial" w:cs="Arial"/>
          <w:sz w:val="24"/>
          <w:highlight w:val="none"/>
        </w:rPr>
      </w:pPr>
      <w:r>
        <w:rPr>
          <w:rFonts w:hint="eastAsia" w:ascii="Arial" w:hAnsi="Arial" w:cs="Arial"/>
          <w:sz w:val="24"/>
          <w:highlight w:val="none"/>
        </w:rPr>
        <w:t>根据贵方为</w:t>
      </w:r>
      <w:r>
        <w:rPr>
          <w:rFonts w:hint="eastAsia" w:ascii="Arial" w:hAnsi="Arial" w:cs="Arial"/>
          <w:sz w:val="24"/>
          <w:highlight w:val="none"/>
          <w:u w:val="single"/>
          <w:lang w:eastAsia="zh-CN"/>
        </w:rPr>
        <w:t>交通地理信息大数据关键技术应用与研发项目工程师培训服务（第二次）</w:t>
      </w:r>
      <w:r>
        <w:rPr>
          <w:rFonts w:hint="eastAsia" w:ascii="Arial" w:hAnsi="Arial" w:cs="Arial"/>
          <w:sz w:val="24"/>
          <w:highlight w:val="none"/>
        </w:rPr>
        <w:t>竞争比选项目及服务的竞争比选邀请，签字代表</w:t>
      </w:r>
      <w:r>
        <w:rPr>
          <w:rFonts w:ascii="Arial" w:hAnsi="Arial" w:cs="Arial"/>
          <w:sz w:val="24"/>
          <w:highlight w:val="none"/>
          <w:u w:val="single"/>
        </w:rPr>
        <w:t xml:space="preserve">          </w:t>
      </w:r>
      <w:r>
        <w:rPr>
          <w:rFonts w:hint="eastAsia" w:ascii="Arial" w:hAnsi="Arial" w:cs="Arial"/>
          <w:sz w:val="24"/>
          <w:highlight w:val="none"/>
          <w:u w:val="single"/>
        </w:rPr>
        <w:t>（全名、职务）</w:t>
      </w:r>
      <w:r>
        <w:rPr>
          <w:rFonts w:hint="eastAsia" w:ascii="Arial" w:hAnsi="Arial" w:cs="Arial"/>
          <w:sz w:val="24"/>
          <w:highlight w:val="none"/>
        </w:rPr>
        <w:t>经正式授权并代表竞争比选响应单位</w:t>
      </w:r>
      <w:r>
        <w:rPr>
          <w:rFonts w:ascii="Arial" w:hAnsi="Arial" w:cs="Arial"/>
          <w:sz w:val="24"/>
          <w:highlight w:val="none"/>
          <w:u w:val="single"/>
        </w:rPr>
        <w:t xml:space="preserve"> </w:t>
      </w:r>
      <w:r>
        <w:rPr>
          <w:rFonts w:hint="eastAsia" w:ascii="Arial" w:hAnsi="Arial" w:cs="Arial"/>
          <w:sz w:val="24"/>
          <w:highlight w:val="none"/>
          <w:u w:val="single"/>
        </w:rPr>
        <w:t>（竞争比选响应单位名称）</w:t>
      </w:r>
      <w:r>
        <w:rPr>
          <w:rFonts w:ascii="Arial" w:hAnsi="Arial" w:cs="Arial"/>
          <w:sz w:val="24"/>
          <w:highlight w:val="none"/>
          <w:u w:val="single"/>
        </w:rPr>
        <w:t xml:space="preserve"> </w:t>
      </w:r>
      <w:r>
        <w:rPr>
          <w:rFonts w:hint="eastAsia" w:ascii="Arial" w:hAnsi="Arial" w:cs="Arial"/>
          <w:sz w:val="24"/>
          <w:highlight w:val="none"/>
        </w:rPr>
        <w:t>提交报价文件。</w:t>
      </w:r>
    </w:p>
    <w:p>
      <w:pPr>
        <w:spacing w:line="700" w:lineRule="atLeast"/>
        <w:ind w:firstLine="480" w:firstLineChars="200"/>
        <w:rPr>
          <w:rFonts w:ascii="Arial" w:hAnsi="Arial" w:cs="Arial"/>
          <w:sz w:val="24"/>
          <w:highlight w:val="none"/>
          <w:u w:val="single"/>
        </w:rPr>
      </w:pPr>
      <w:r>
        <w:rPr>
          <w:rFonts w:hint="eastAsia" w:ascii="Arial" w:hAnsi="Arial" w:cs="Arial"/>
          <w:sz w:val="24"/>
          <w:highlight w:val="none"/>
          <w:u w:val="single"/>
        </w:rPr>
        <w:t>我方愿以：</w:t>
      </w:r>
      <w:r>
        <w:rPr>
          <w:rFonts w:hint="eastAsia" w:ascii="Arial" w:hAnsi="Arial" w:cs="Arial"/>
          <w:color w:val="000000" w:themeColor="text1"/>
          <w:sz w:val="24"/>
          <w:highlight w:val="none"/>
          <w:u w:val="single"/>
          <w14:textFill>
            <w14:solidFill>
              <w14:schemeClr w14:val="tx1"/>
            </w14:solidFill>
          </w14:textFill>
        </w:rPr>
        <w:t xml:space="preserve">              元（大写              元）</w:t>
      </w:r>
      <w:r>
        <w:rPr>
          <w:rFonts w:hint="eastAsia" w:ascii="Arial" w:hAnsi="Arial" w:cs="Arial"/>
          <w:color w:val="000000" w:themeColor="text1"/>
          <w:sz w:val="24"/>
          <w:highlight w:val="none"/>
          <w14:textFill>
            <w14:solidFill>
              <w14:schemeClr w14:val="tx1"/>
            </w14:solidFill>
          </w14:textFill>
        </w:rPr>
        <w:t>的总报价（含增值税），按照竞争性比选文件的要求，承担本次竞争性比选含要求的服务任务。</w:t>
      </w:r>
    </w:p>
    <w:p>
      <w:pPr>
        <w:tabs>
          <w:tab w:val="left" w:pos="540"/>
          <w:tab w:val="left" w:pos="900"/>
        </w:tabs>
        <w:spacing w:line="300" w:lineRule="auto"/>
        <w:rPr>
          <w:rFonts w:ascii="Arial" w:hAnsi="Arial" w:cs="Arial"/>
          <w:sz w:val="24"/>
          <w:highlight w:val="none"/>
        </w:rPr>
      </w:pPr>
      <w:r>
        <w:rPr>
          <w:rFonts w:ascii="Arial" w:hAnsi="Arial" w:cs="Arial"/>
          <w:sz w:val="24"/>
          <w:highlight w:val="none"/>
        </w:rPr>
        <w:t xml:space="preserve">    </w:t>
      </w:r>
    </w:p>
    <w:p>
      <w:pPr>
        <w:tabs>
          <w:tab w:val="left" w:pos="540"/>
          <w:tab w:val="left" w:pos="900"/>
        </w:tabs>
        <w:spacing w:line="300" w:lineRule="auto"/>
        <w:ind w:firstLine="480" w:firstLineChars="200"/>
        <w:rPr>
          <w:rFonts w:ascii="Arial" w:hAnsi="Arial" w:cs="Arial"/>
          <w:sz w:val="24"/>
          <w:highlight w:val="none"/>
        </w:rPr>
      </w:pPr>
      <w:r>
        <w:rPr>
          <w:rFonts w:hint="eastAsia" w:ascii="Arial" w:hAnsi="Arial" w:cs="Arial"/>
          <w:sz w:val="24"/>
          <w:highlight w:val="none"/>
        </w:rPr>
        <w:t>据此函，签字代表宣布同意如下：</w:t>
      </w:r>
    </w:p>
    <w:p>
      <w:pPr>
        <w:tabs>
          <w:tab w:val="left" w:pos="540"/>
          <w:tab w:val="left" w:pos="900"/>
        </w:tabs>
        <w:spacing w:line="300" w:lineRule="auto"/>
        <w:rPr>
          <w:rFonts w:ascii="Arial" w:hAnsi="Arial" w:cs="Arial"/>
          <w:sz w:val="24"/>
          <w:highlight w:val="none"/>
        </w:rPr>
      </w:pPr>
      <w:r>
        <w:rPr>
          <w:rFonts w:ascii="Arial" w:hAnsi="Arial" w:cs="Arial"/>
          <w:sz w:val="24"/>
          <w:highlight w:val="none"/>
        </w:rPr>
        <w:t>1</w:t>
      </w:r>
      <w:r>
        <w:rPr>
          <w:rFonts w:hint="eastAsia" w:ascii="Arial" w:hAnsi="Arial" w:cs="Arial"/>
          <w:sz w:val="24"/>
          <w:highlight w:val="none"/>
        </w:rPr>
        <w:t>、竞争比选响应单位将按竞争比选文件规定履行合同责任和义务。</w:t>
      </w:r>
    </w:p>
    <w:p>
      <w:pPr>
        <w:tabs>
          <w:tab w:val="left" w:pos="900"/>
        </w:tabs>
        <w:spacing w:line="300" w:lineRule="auto"/>
        <w:rPr>
          <w:rFonts w:ascii="Arial" w:hAnsi="Arial" w:cs="Arial"/>
          <w:b/>
          <w:sz w:val="24"/>
          <w:highlight w:val="none"/>
        </w:rPr>
      </w:pPr>
      <w:r>
        <w:rPr>
          <w:rFonts w:ascii="Arial" w:hAnsi="Arial" w:cs="Arial"/>
          <w:sz w:val="24"/>
          <w:highlight w:val="none"/>
        </w:rPr>
        <w:t>2</w:t>
      </w:r>
      <w:r>
        <w:rPr>
          <w:rFonts w:hint="eastAsia" w:ascii="Arial" w:hAnsi="Arial" w:cs="Arial"/>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sz w:val="24"/>
          <w:highlight w:val="none"/>
        </w:rPr>
      </w:pPr>
      <w:r>
        <w:rPr>
          <w:rFonts w:hint="eastAsia" w:ascii="Arial" w:hAnsi="Arial" w:cs="Arial"/>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sz w:val="24"/>
          <w:highlight w:val="none"/>
        </w:rPr>
      </w:pPr>
      <w:r>
        <w:rPr>
          <w:rFonts w:hint="eastAsia" w:ascii="Arial" w:hAnsi="Arial" w:cs="Arial"/>
          <w:sz w:val="24"/>
          <w:highlight w:val="none"/>
        </w:rPr>
        <w:t>4、与本竞争比选响应有关的一切正式往来通讯请寄：</w:t>
      </w:r>
    </w:p>
    <w:p>
      <w:pPr>
        <w:tabs>
          <w:tab w:val="left" w:pos="900"/>
        </w:tabs>
        <w:spacing w:line="300" w:lineRule="auto"/>
        <w:rPr>
          <w:rFonts w:ascii="Arial" w:hAnsi="Arial" w:cs="Arial"/>
          <w:b/>
          <w:sz w:val="24"/>
          <w:highlight w:val="none"/>
        </w:rPr>
      </w:pPr>
      <w:r>
        <w:rPr>
          <w:rFonts w:hint="eastAsia" w:ascii="Arial" w:hAnsi="Arial" w:cs="Arial"/>
          <w:sz w:val="24"/>
          <w:highlight w:val="none"/>
        </w:rPr>
        <w:t>地址：</w:t>
      </w:r>
      <w:r>
        <w:rPr>
          <w:rFonts w:ascii="Arial" w:hAnsi="Arial" w:cs="Arial"/>
          <w:sz w:val="24"/>
          <w:highlight w:val="none"/>
          <w:u w:val="single"/>
        </w:rPr>
        <w:t xml:space="preserve">                         </w:t>
      </w:r>
      <w:r>
        <w:rPr>
          <w:rFonts w:ascii="Arial" w:hAnsi="Arial" w:cs="Arial"/>
          <w:sz w:val="24"/>
          <w:highlight w:val="none"/>
        </w:rPr>
        <w:t xml:space="preserve">   </w:t>
      </w:r>
      <w:r>
        <w:rPr>
          <w:rFonts w:hint="eastAsia" w:ascii="Arial" w:hAnsi="Arial" w:cs="Arial"/>
          <w:sz w:val="24"/>
          <w:highlight w:val="none"/>
        </w:rPr>
        <w:t>邮编：</w:t>
      </w:r>
      <w:r>
        <w:rPr>
          <w:rFonts w:ascii="Arial" w:hAnsi="Arial" w:cs="Arial"/>
          <w:sz w:val="24"/>
          <w:highlight w:val="none"/>
          <w:u w:val="single"/>
        </w:rPr>
        <w:t xml:space="preserve">            </w:t>
      </w:r>
      <w:r>
        <w:rPr>
          <w:rFonts w:ascii="Arial" w:hAnsi="Arial" w:cs="Arial"/>
          <w:b/>
          <w:sz w:val="24"/>
          <w:highlight w:val="none"/>
        </w:rPr>
        <w:t xml:space="preserve">  </w:t>
      </w:r>
    </w:p>
    <w:p>
      <w:pPr>
        <w:tabs>
          <w:tab w:val="left" w:pos="900"/>
        </w:tabs>
        <w:spacing w:line="300" w:lineRule="auto"/>
        <w:rPr>
          <w:rFonts w:ascii="Arial" w:hAnsi="Arial" w:cs="Arial"/>
          <w:sz w:val="24"/>
          <w:highlight w:val="none"/>
          <w:u w:val="single"/>
        </w:rPr>
      </w:pPr>
      <w:r>
        <w:rPr>
          <w:rFonts w:hint="eastAsia" w:ascii="Arial" w:hAnsi="Arial" w:cs="Arial"/>
          <w:sz w:val="24"/>
          <w:highlight w:val="none"/>
        </w:rPr>
        <w:t>电话：</w:t>
      </w:r>
      <w:r>
        <w:rPr>
          <w:rFonts w:ascii="Arial" w:hAnsi="Arial" w:cs="Arial"/>
          <w:sz w:val="24"/>
          <w:highlight w:val="none"/>
          <w:u w:val="single"/>
        </w:rPr>
        <w:t xml:space="preserve">                   </w:t>
      </w:r>
      <w:r>
        <w:rPr>
          <w:rFonts w:ascii="Arial" w:hAnsi="Arial" w:cs="Arial"/>
          <w:sz w:val="24"/>
          <w:highlight w:val="none"/>
        </w:rPr>
        <w:t xml:space="preserve">         </w:t>
      </w:r>
      <w:r>
        <w:rPr>
          <w:rFonts w:hint="eastAsia" w:ascii="Arial" w:hAnsi="Arial" w:cs="Arial"/>
          <w:sz w:val="24"/>
          <w:highlight w:val="none"/>
        </w:rPr>
        <w:t>传真：</w:t>
      </w:r>
      <w:r>
        <w:rPr>
          <w:rFonts w:ascii="Arial" w:hAnsi="Arial" w:cs="Arial"/>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竞争比选响应单位名称（加盖鲜公章）：</w:t>
      </w:r>
      <w:r>
        <w:rPr>
          <w:rFonts w:ascii="Arial" w:hAnsi="Arial" w:cs="Arial"/>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日期：</w:t>
      </w:r>
      <w:r>
        <w:rPr>
          <w:rFonts w:hint="eastAsia" w:ascii="Arial" w:hAnsi="Arial" w:cs="Arial"/>
          <w:sz w:val="24"/>
          <w:highlight w:val="none"/>
          <w:u w:val="single"/>
        </w:rPr>
        <w:t xml:space="preserve">     </w:t>
      </w:r>
      <w:r>
        <w:rPr>
          <w:rFonts w:hint="eastAsia" w:ascii="Arial" w:hAnsi="Arial" w:cs="Arial"/>
          <w:sz w:val="24"/>
          <w:highlight w:val="none"/>
        </w:rPr>
        <w:t>年</w:t>
      </w:r>
      <w:r>
        <w:rPr>
          <w:rFonts w:ascii="Arial" w:hAnsi="Arial" w:cs="Arial"/>
          <w:sz w:val="24"/>
          <w:highlight w:val="none"/>
          <w:u w:val="single"/>
        </w:rPr>
        <w:t xml:space="preserve">      </w:t>
      </w:r>
      <w:r>
        <w:rPr>
          <w:rFonts w:hint="eastAsia" w:ascii="Arial" w:hAnsi="Arial" w:cs="Arial"/>
          <w:sz w:val="24"/>
          <w:highlight w:val="none"/>
        </w:rPr>
        <w:t>月</w:t>
      </w:r>
      <w:r>
        <w:rPr>
          <w:rFonts w:ascii="Arial" w:hAnsi="Arial" w:cs="Arial"/>
          <w:sz w:val="24"/>
          <w:highlight w:val="none"/>
          <w:u w:val="single"/>
        </w:rPr>
        <w:t xml:space="preserve">    </w:t>
      </w:r>
      <w:r>
        <w:rPr>
          <w:rFonts w:hint="eastAsia" w:ascii="Arial" w:hAnsi="Arial" w:cs="Arial"/>
          <w:sz w:val="24"/>
          <w:highlight w:val="none"/>
          <w:u w:val="single"/>
        </w:rPr>
        <w:t xml:space="preserve">  </w:t>
      </w:r>
      <w:r>
        <w:rPr>
          <w:rFonts w:hint="eastAsia" w:ascii="Arial" w:hAnsi="Arial" w:cs="Arial"/>
          <w:sz w:val="24"/>
          <w:highlight w:val="none"/>
        </w:rPr>
        <w:t>日</w:t>
      </w:r>
      <w:r>
        <w:rPr>
          <w:rFonts w:ascii="Arial" w:hAnsi="Arial" w:cs="Arial"/>
          <w:sz w:val="24"/>
          <w:highlight w:val="none"/>
        </w:rPr>
        <w:t xml:space="preserve"> </w:t>
      </w:r>
      <w:bookmarkStart w:id="224" w:name="_Toc27815"/>
      <w:bookmarkStart w:id="225" w:name="_Toc491883232"/>
    </w:p>
    <w:p>
      <w:pPr>
        <w:rPr>
          <w:rFonts w:ascii="Arial" w:hAnsi="Arial" w:cs="Arial"/>
          <w:sz w:val="24"/>
          <w:highlight w:val="none"/>
        </w:rPr>
      </w:pPr>
      <w:r>
        <w:rPr>
          <w:rFonts w:hint="eastAsia" w:ascii="Arial" w:hAnsi="Arial" w:cs="Arial"/>
          <w:sz w:val="24"/>
          <w:highlight w:val="none"/>
        </w:rPr>
        <w:br w:type="page"/>
      </w:r>
    </w:p>
    <w:p>
      <w:pPr>
        <w:pStyle w:val="4"/>
        <w:jc w:val="center"/>
        <w:rPr>
          <w:rFonts w:ascii="宋体" w:hAnsi="宋体" w:eastAsia="宋体" w:cs="宋体"/>
          <w:sz w:val="28"/>
          <w:szCs w:val="28"/>
          <w:highlight w:val="none"/>
        </w:rPr>
      </w:pPr>
      <w:bookmarkStart w:id="226" w:name="_Toc30192"/>
      <w:bookmarkStart w:id="227" w:name="_Toc7724"/>
      <w:bookmarkStart w:id="228" w:name="_Toc736"/>
      <w:bookmarkStart w:id="229" w:name="_Toc3141"/>
      <w:r>
        <w:rPr>
          <w:rFonts w:hint="eastAsia" w:ascii="宋体" w:hAnsi="宋体" w:eastAsia="宋体" w:cs="宋体"/>
          <w:sz w:val="28"/>
          <w:szCs w:val="28"/>
          <w:highlight w:val="none"/>
        </w:rPr>
        <w:t>二、法定代表人身份证明或法定代表人授权委托书</w:t>
      </w:r>
      <w:bookmarkEnd w:id="224"/>
      <w:bookmarkEnd w:id="226"/>
      <w:bookmarkEnd w:id="227"/>
      <w:bookmarkEnd w:id="228"/>
      <w:bookmarkEnd w:id="229"/>
    </w:p>
    <w:p>
      <w:pPr>
        <w:pStyle w:val="4"/>
        <w:jc w:val="center"/>
        <w:rPr>
          <w:rFonts w:ascii="宋体" w:hAnsi="宋体" w:eastAsia="宋体" w:cs="宋体"/>
          <w:sz w:val="24"/>
          <w:szCs w:val="24"/>
          <w:highlight w:val="none"/>
        </w:rPr>
      </w:pPr>
      <w:bookmarkStart w:id="230" w:name="_Toc12240"/>
      <w:bookmarkStart w:id="231" w:name="_Toc5529"/>
      <w:bookmarkStart w:id="232" w:name="_Toc19701"/>
      <w:bookmarkStart w:id="233" w:name="_Toc15857"/>
      <w:bookmarkStart w:id="234" w:name="_Toc14141"/>
      <w:r>
        <w:rPr>
          <w:rFonts w:hint="eastAsia" w:ascii="宋体" w:hAnsi="宋体" w:eastAsia="宋体" w:cs="宋体"/>
          <w:sz w:val="24"/>
          <w:szCs w:val="24"/>
          <w:highlight w:val="none"/>
        </w:rPr>
        <w:t>（一）法定代表人身份证明</w:t>
      </w:r>
      <w:bookmarkEnd w:id="225"/>
      <w:bookmarkEnd w:id="230"/>
      <w:bookmarkEnd w:id="231"/>
      <w:bookmarkEnd w:id="232"/>
      <w:bookmarkEnd w:id="233"/>
      <w:bookmarkEnd w:id="234"/>
    </w:p>
    <w:p>
      <w:pPr>
        <w:spacing w:line="440" w:lineRule="exact"/>
        <w:rPr>
          <w:rFonts w:ascii="宋体" w:hAnsi="宋体"/>
          <w:highlight w:val="none"/>
        </w:rPr>
      </w:pPr>
      <w:r>
        <w:rPr>
          <w:rFonts w:hint="eastAsia" w:ascii="宋体" w:hAnsi="宋体"/>
          <w:highlight w:val="none"/>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35" w:name="_Toc27897"/>
      <w:bookmarkStart w:id="236" w:name="_Toc352691662"/>
      <w:bookmarkStart w:id="237" w:name="_Toc369531698"/>
      <w:r>
        <w:rPr>
          <w:rFonts w:ascii="宋体" w:hAnsi="宋体"/>
          <w:highlight w:val="none"/>
          <w:u w:val="single"/>
        </w:rPr>
        <w:t xml:space="preserve">        </w:t>
      </w:r>
      <w:r>
        <w:rPr>
          <w:rFonts w:ascii="宋体" w:hAnsi="宋体"/>
          <w:highlight w:val="none"/>
        </w:rPr>
        <w:t>年</w:t>
      </w:r>
      <w:bookmarkEnd w:id="235"/>
      <w:bookmarkEnd w:id="236"/>
      <w:bookmarkEnd w:id="237"/>
      <w:r>
        <w:rPr>
          <w:rFonts w:ascii="宋体" w:hAnsi="宋体"/>
          <w:highlight w:val="none"/>
        </w:rPr>
        <w:t>龄</w:t>
      </w:r>
      <w:bookmarkStart w:id="238" w:name="_Toc15573"/>
      <w:bookmarkStart w:id="239" w:name="_Toc352691663"/>
      <w:bookmarkStart w:id="240" w:name="_Toc384308377"/>
      <w:bookmarkStart w:id="241" w:name="_Toc369531699"/>
      <w:bookmarkStart w:id="242" w:name="_Toc300835211"/>
      <w:bookmarkStart w:id="243" w:name="_Toc144974858"/>
      <w:bookmarkStart w:id="244" w:name="_Toc247527829"/>
      <w:bookmarkStart w:id="245" w:name="_Toc361508754"/>
      <w:bookmarkStart w:id="246" w:name="_Toc152045789"/>
      <w:bookmarkStart w:id="247" w:name="_Toc152042578"/>
      <w:bookmarkStart w:id="248" w:name="_Toc247514248"/>
      <w:r>
        <w:rPr>
          <w:rFonts w:ascii="宋体" w:hAnsi="宋体"/>
          <w:highlight w:val="none"/>
        </w:rPr>
        <w:t>：</w:t>
      </w:r>
      <w:bookmarkEnd w:id="238"/>
      <w:bookmarkEnd w:id="239"/>
      <w:bookmarkEnd w:id="240"/>
      <w:bookmarkEnd w:id="241"/>
      <w:bookmarkEnd w:id="242"/>
      <w:bookmarkEnd w:id="243"/>
      <w:bookmarkEnd w:id="244"/>
      <w:bookmarkEnd w:id="245"/>
      <w:bookmarkEnd w:id="246"/>
      <w:bookmarkEnd w:id="247"/>
      <w:bookmarkEnd w:id="248"/>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鲜公章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鲜公章</w:t>
      </w:r>
      <w:r>
        <w:rPr>
          <w:rFonts w:ascii="宋体" w:hAnsi="宋体"/>
          <w:highlight w:val="none"/>
        </w:rPr>
        <w:t>。</w:t>
      </w:r>
    </w:p>
    <w:p>
      <w:pPr>
        <w:rPr>
          <w:highlight w:val="none"/>
        </w:rPr>
      </w:pPr>
      <w:r>
        <w:rPr>
          <w:rFonts w:ascii="宋体" w:hAnsi="宋体"/>
          <w:sz w:val="20"/>
          <w:highlight w:val="none"/>
        </w:rPr>
        <w:br w:type="page"/>
      </w:r>
    </w:p>
    <w:p>
      <w:pPr>
        <w:pStyle w:val="4"/>
        <w:jc w:val="center"/>
        <w:rPr>
          <w:rFonts w:ascii="宋体" w:hAnsi="宋体"/>
          <w:sz w:val="28"/>
          <w:szCs w:val="28"/>
          <w:highlight w:val="none"/>
        </w:rPr>
      </w:pPr>
      <w:bookmarkStart w:id="249" w:name="_Toc491883233"/>
      <w:bookmarkStart w:id="250" w:name="_Toc23491"/>
      <w:bookmarkStart w:id="251" w:name="_Toc2523"/>
      <w:bookmarkStart w:id="252" w:name="_Toc23815"/>
      <w:bookmarkStart w:id="253" w:name="_Toc58"/>
      <w:bookmarkStart w:id="254" w:name="_Toc8768"/>
      <w:r>
        <w:rPr>
          <w:rFonts w:hint="eastAsia" w:ascii="宋体" w:hAnsi="宋体" w:eastAsia="宋体" w:cs="宋体"/>
          <w:sz w:val="24"/>
          <w:szCs w:val="24"/>
          <w:highlight w:val="none"/>
        </w:rPr>
        <w:t>（二）</w:t>
      </w:r>
      <w:bookmarkEnd w:id="249"/>
      <w:r>
        <w:rPr>
          <w:rFonts w:hint="eastAsia" w:ascii="宋体" w:hAnsi="宋体" w:eastAsia="宋体" w:cs="宋体"/>
          <w:sz w:val="24"/>
          <w:szCs w:val="24"/>
          <w:highlight w:val="none"/>
        </w:rPr>
        <w:t>法定代表人授权委托书</w:t>
      </w:r>
      <w:bookmarkEnd w:id="250"/>
      <w:bookmarkEnd w:id="251"/>
      <w:bookmarkEnd w:id="252"/>
      <w:bookmarkEnd w:id="253"/>
      <w:bookmarkEnd w:id="254"/>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鲜公章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鲜公章</w:t>
      </w:r>
      <w:r>
        <w:rPr>
          <w:rFonts w:ascii="宋体" w:hAnsi="宋体"/>
          <w:highlight w:val="none"/>
        </w:rPr>
        <w:t>并由其法定代表人和委托代理人签字。</w:t>
      </w:r>
      <w:bookmarkStart w:id="255" w:name="_Toc10088"/>
      <w:bookmarkStart w:id="256" w:name="_Toc11329275"/>
    </w:p>
    <w:p>
      <w:pPr>
        <w:rPr>
          <w:highlight w:val="none"/>
        </w:rPr>
      </w:pPr>
      <w:r>
        <w:rPr>
          <w:rFonts w:ascii="宋体" w:hAnsi="宋体"/>
          <w:highlight w:val="none"/>
        </w:rPr>
        <w:br w:type="page"/>
      </w:r>
    </w:p>
    <w:bookmarkEnd w:id="221"/>
    <w:bookmarkEnd w:id="222"/>
    <w:bookmarkEnd w:id="223"/>
    <w:bookmarkEnd w:id="255"/>
    <w:bookmarkEnd w:id="256"/>
    <w:p>
      <w:pPr>
        <w:pStyle w:val="4"/>
        <w:spacing w:before="0" w:after="0" w:line="360" w:lineRule="auto"/>
        <w:jc w:val="center"/>
        <w:rPr>
          <w:rFonts w:hint="eastAsia" w:ascii="宋体" w:hAnsi="宋体" w:eastAsia="宋体" w:cs="宋体"/>
          <w:sz w:val="28"/>
          <w:highlight w:val="none"/>
          <w:lang w:eastAsia="zh-CN"/>
        </w:rPr>
      </w:pPr>
      <w:r>
        <w:rPr>
          <w:rFonts w:hint="eastAsia" w:ascii="宋体" w:hAnsi="宋体" w:eastAsia="宋体" w:cs="宋体"/>
          <w:sz w:val="28"/>
          <w:highlight w:val="none"/>
        </w:rPr>
        <w:t>三、</w:t>
      </w:r>
      <w:r>
        <w:rPr>
          <w:rFonts w:hint="eastAsia" w:ascii="宋体" w:hAnsi="宋体" w:eastAsia="宋体" w:cs="宋体"/>
          <w:sz w:val="28"/>
          <w:highlight w:val="none"/>
          <w:lang w:val="en-US" w:eastAsia="zh-CN"/>
        </w:rPr>
        <w:t>报价一览表</w:t>
      </w:r>
    </w:p>
    <w:tbl>
      <w:tblPr>
        <w:tblStyle w:val="44"/>
        <w:tblpPr w:leftFromText="180" w:rightFromText="180" w:vertAnchor="text" w:horzAnchor="page" w:tblpX="1793" w:tblpY="288"/>
        <w:tblOverlap w:val="never"/>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423"/>
        <w:gridCol w:w="1561"/>
        <w:gridCol w:w="542"/>
        <w:gridCol w:w="829"/>
        <w:gridCol w:w="829"/>
        <w:gridCol w:w="829"/>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63"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序号</w:t>
            </w:r>
          </w:p>
        </w:tc>
        <w:tc>
          <w:tcPr>
            <w:tcW w:w="1423"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项目名称</w:t>
            </w:r>
          </w:p>
        </w:tc>
        <w:tc>
          <w:tcPr>
            <w:tcW w:w="1561"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t>工程名称</w:t>
            </w:r>
          </w:p>
        </w:tc>
        <w:tc>
          <w:tcPr>
            <w:tcW w:w="542"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t>数量</w:t>
            </w: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t>单价</w:t>
            </w: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t>小计</w:t>
            </w: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合</w:t>
            </w:r>
            <w: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t>计</w:t>
            </w:r>
          </w:p>
        </w:tc>
        <w:tc>
          <w:tcPr>
            <w:tcW w:w="2040"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63" w:type="dxa"/>
            <w:vAlign w:val="center"/>
          </w:tcPr>
          <w:p>
            <w:pPr>
              <w:spacing w:line="360" w:lineRule="auto"/>
              <w:jc w:val="cente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1</w:t>
            </w:r>
          </w:p>
        </w:tc>
        <w:tc>
          <w:tcPr>
            <w:tcW w:w="1423" w:type="dxa"/>
            <w:vMerge w:val="restart"/>
            <w:vAlign w:val="center"/>
          </w:tcPr>
          <w:p>
            <w:pPr>
              <w:spacing w:line="360" w:lineRule="auto"/>
              <w:jc w:val="cente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z w:val="21"/>
                <w:szCs w:val="22"/>
                <w:highlight w:val="none"/>
                <w:lang w:eastAsia="zh-CN"/>
              </w:rPr>
              <w:t>交通地理信息大数据关键技术应用与研发项目工程师培训服务（第二次）</w:t>
            </w:r>
          </w:p>
        </w:tc>
        <w:tc>
          <w:tcPr>
            <w:tcW w:w="1561" w:type="dxa"/>
            <w:vAlign w:val="center"/>
          </w:tcPr>
          <w:p>
            <w:pPr>
              <w:spacing w:line="360" w:lineRule="auto"/>
              <w:jc w:val="cente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测绘初级</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工程师培训服务</w:t>
            </w:r>
          </w:p>
        </w:tc>
        <w:tc>
          <w:tcPr>
            <w:tcW w:w="542" w:type="dxa"/>
            <w:vAlign w:val="center"/>
          </w:tcPr>
          <w:p>
            <w:pPr>
              <w:spacing w:line="360" w:lineRule="auto"/>
              <w:jc w:val="cente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3</w:t>
            </w: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040"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2"/>
                <w:highlight w:val="none"/>
              </w:rPr>
              <w:t>详见第二章报价人须知1.服务内容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63" w:type="dxa"/>
            <w:vAlign w:val="center"/>
          </w:tcPr>
          <w:p>
            <w:pPr>
              <w:spacing w:line="360" w:lineRule="auto"/>
              <w:jc w:val="cente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2</w:t>
            </w:r>
          </w:p>
        </w:tc>
        <w:tc>
          <w:tcPr>
            <w:tcW w:w="1423" w:type="dxa"/>
            <w:vMerge w:val="continue"/>
            <w:vAlign w:val="center"/>
          </w:tcPr>
          <w:p>
            <w:pPr>
              <w:spacing w:line="360" w:lineRule="auto"/>
              <w:jc w:val="center"/>
              <w:rPr>
                <w:rFonts w:asciiTheme="minorEastAsia" w:hAnsiTheme="minorEastAsia" w:eastAsiaTheme="minorEastAsia" w:cstheme="minorEastAsia"/>
                <w:sz w:val="21"/>
                <w:szCs w:val="22"/>
                <w:highlight w:val="none"/>
              </w:rPr>
            </w:pPr>
          </w:p>
        </w:tc>
        <w:tc>
          <w:tcPr>
            <w:tcW w:w="1561" w:type="dxa"/>
            <w:vAlign w:val="center"/>
          </w:tcPr>
          <w:p>
            <w:pPr>
              <w:spacing w:line="360" w:lineRule="auto"/>
              <w:jc w:val="cente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测绘</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中级工程师培训服务</w:t>
            </w:r>
          </w:p>
        </w:tc>
        <w:tc>
          <w:tcPr>
            <w:tcW w:w="542" w:type="dxa"/>
            <w:vAlign w:val="center"/>
          </w:tcPr>
          <w:p>
            <w:pPr>
              <w:spacing w:line="360" w:lineRule="auto"/>
              <w:jc w:val="cente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1</w:t>
            </w: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040" w:type="dxa"/>
            <w:vAlign w:val="center"/>
          </w:tcPr>
          <w:p>
            <w:pPr>
              <w:spacing w:line="360" w:lineRule="auto"/>
              <w:jc w:val="center"/>
              <w:rPr>
                <w:rFonts w:asciiTheme="minorEastAsia" w:hAnsiTheme="minorEastAsia" w:eastAsiaTheme="minorEastAsia" w:cstheme="minorEastAsia"/>
                <w:sz w:val="21"/>
                <w:szCs w:val="22"/>
                <w:highlight w:val="none"/>
              </w:rPr>
            </w:pPr>
            <w:r>
              <w:rPr>
                <w:rFonts w:hint="eastAsia" w:asciiTheme="minorEastAsia" w:hAnsiTheme="minorEastAsia" w:eastAsiaTheme="minorEastAsia" w:cstheme="minorEastAsia"/>
                <w:sz w:val="21"/>
                <w:szCs w:val="22"/>
                <w:highlight w:val="none"/>
              </w:rPr>
              <w:t>详见第二章报价人须知1.服务内容</w:t>
            </w:r>
            <w:r>
              <w:rPr>
                <w:rFonts w:asciiTheme="minorEastAsia" w:hAnsiTheme="minorEastAsia" w:eastAsiaTheme="minorEastAsia" w:cstheme="minorEastAsia"/>
                <w:sz w:val="21"/>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63" w:type="dxa"/>
            <w:vAlign w:val="center"/>
          </w:tcPr>
          <w:p>
            <w:pPr>
              <w:spacing w:line="360" w:lineRule="auto"/>
              <w:jc w:val="cente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3</w:t>
            </w:r>
          </w:p>
        </w:tc>
        <w:tc>
          <w:tcPr>
            <w:tcW w:w="1423" w:type="dxa"/>
            <w:vMerge w:val="continue"/>
            <w:vAlign w:val="center"/>
          </w:tcPr>
          <w:p>
            <w:pPr>
              <w:spacing w:line="360" w:lineRule="auto"/>
              <w:jc w:val="center"/>
              <w:rPr>
                <w:rFonts w:asciiTheme="minorEastAsia" w:hAnsiTheme="minorEastAsia" w:eastAsiaTheme="minorEastAsia" w:cstheme="minorEastAsia"/>
                <w:sz w:val="21"/>
                <w:szCs w:val="22"/>
                <w:highlight w:val="none"/>
              </w:rPr>
            </w:pPr>
          </w:p>
        </w:tc>
        <w:tc>
          <w:tcPr>
            <w:tcW w:w="1561" w:type="dxa"/>
            <w:vAlign w:val="center"/>
          </w:tcPr>
          <w:p>
            <w:pPr>
              <w:spacing w:line="360" w:lineRule="auto"/>
              <w:jc w:val="cente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测绘高级工程师培训服务</w:t>
            </w:r>
          </w:p>
        </w:tc>
        <w:tc>
          <w:tcPr>
            <w:tcW w:w="542" w:type="dxa"/>
            <w:vAlign w:val="center"/>
          </w:tcPr>
          <w:p>
            <w:pPr>
              <w:spacing w:line="360" w:lineRule="auto"/>
              <w:jc w:val="cente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2</w:t>
            </w: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040" w:type="dxa"/>
            <w:vAlign w:val="center"/>
          </w:tcPr>
          <w:p>
            <w:pPr>
              <w:spacing w:line="360" w:lineRule="auto"/>
              <w:jc w:val="center"/>
              <w:rPr>
                <w:rFonts w:asciiTheme="minorEastAsia" w:hAnsiTheme="minorEastAsia" w:eastAsiaTheme="minorEastAsia" w:cstheme="minorEastAsia"/>
                <w:sz w:val="21"/>
                <w:szCs w:val="22"/>
                <w:highlight w:val="none"/>
              </w:rPr>
            </w:pPr>
            <w:r>
              <w:rPr>
                <w:rFonts w:hint="eastAsia" w:asciiTheme="minorEastAsia" w:hAnsiTheme="minorEastAsia" w:eastAsiaTheme="minorEastAsia" w:cstheme="minorEastAsia"/>
                <w:sz w:val="21"/>
                <w:szCs w:val="22"/>
                <w:highlight w:val="none"/>
              </w:rPr>
              <w:t>详见第二章报价人须知1.服务内容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63"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984" w:type="dxa"/>
            <w:gridSpan w:val="2"/>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2"/>
                <w:highlight w:val="none"/>
                <w:lang w:val="en-US" w:eastAsia="zh-CN"/>
              </w:rPr>
              <w:t>总</w:t>
            </w:r>
            <w:r>
              <w:rPr>
                <w:rFonts w:hint="eastAsia" w:asciiTheme="minorEastAsia" w:hAnsiTheme="minorEastAsia" w:eastAsiaTheme="minorEastAsia" w:cstheme="minorEastAsia"/>
                <w:sz w:val="21"/>
                <w:szCs w:val="22"/>
                <w:highlight w:val="none"/>
              </w:rPr>
              <w:t>计（元）</w:t>
            </w:r>
          </w:p>
        </w:tc>
        <w:tc>
          <w:tcPr>
            <w:tcW w:w="542"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829"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040" w:type="dxa"/>
            <w:vAlign w:val="center"/>
          </w:tcPr>
          <w:p>
            <w:pPr>
              <w:spacing w:line="360" w:lineRule="auto"/>
              <w:jc w:val="center"/>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r>
    </w:tbl>
    <w:p>
      <w:pPr>
        <w:pStyle w:val="4"/>
        <w:spacing w:before="0" w:after="0" w:line="360" w:lineRule="auto"/>
        <w:jc w:val="center"/>
        <w:rPr>
          <w:rFonts w:hint="eastAsia" w:ascii="宋体" w:hAnsi="宋体" w:eastAsia="宋体" w:cs="宋体"/>
          <w:sz w:val="28"/>
          <w:highlight w:val="none"/>
        </w:rPr>
      </w:pPr>
    </w:p>
    <w:p>
      <w:pPr>
        <w:rPr>
          <w:rFonts w:hint="eastAsia" w:ascii="宋体" w:hAnsi="宋体" w:eastAsia="宋体" w:cs="宋体"/>
          <w:sz w:val="28"/>
          <w:highlight w:val="none"/>
        </w:rPr>
      </w:pPr>
      <w:r>
        <w:rPr>
          <w:rFonts w:hint="eastAsia" w:ascii="宋体" w:hAnsi="宋体" w:eastAsia="宋体" w:cs="宋体"/>
          <w:sz w:val="28"/>
          <w:highlight w:val="none"/>
        </w:rPr>
        <w:br w:type="page"/>
      </w:r>
    </w:p>
    <w:p>
      <w:pPr>
        <w:pStyle w:val="4"/>
        <w:spacing w:before="0" w:after="0" w:line="360" w:lineRule="auto"/>
        <w:jc w:val="center"/>
        <w:rPr>
          <w:rFonts w:ascii="宋体" w:hAnsi="宋体" w:eastAsia="宋体" w:cs="宋体"/>
          <w:sz w:val="28"/>
          <w:highlight w:val="none"/>
        </w:rPr>
      </w:pPr>
      <w:r>
        <w:rPr>
          <w:rFonts w:hint="eastAsia" w:ascii="宋体" w:hAnsi="宋体" w:eastAsia="宋体" w:cs="宋体"/>
          <w:sz w:val="28"/>
          <w:highlight w:val="none"/>
          <w:lang w:val="en-US" w:eastAsia="zh-CN"/>
        </w:rPr>
        <w:t>四</w:t>
      </w:r>
      <w:r>
        <w:rPr>
          <w:rFonts w:hint="eastAsia" w:ascii="宋体" w:hAnsi="宋体" w:eastAsia="宋体" w:cs="宋体"/>
          <w:sz w:val="28"/>
          <w:highlight w:val="none"/>
        </w:rPr>
        <w:t>、资格审查资料</w:t>
      </w:r>
    </w:p>
    <w:p>
      <w:pPr>
        <w:tabs>
          <w:tab w:val="left" w:pos="1680"/>
          <w:tab w:val="left" w:pos="4215"/>
          <w:tab w:val="left" w:pos="4305"/>
          <w:tab w:val="left" w:pos="8000"/>
        </w:tabs>
        <w:autoSpaceDE w:val="0"/>
        <w:autoSpaceDN w:val="0"/>
        <w:adjustRightInd w:val="0"/>
        <w:snapToGrid w:val="0"/>
        <w:spacing w:line="360" w:lineRule="auto"/>
        <w:rPr>
          <w:rFonts w:ascii="宋体" w:hAnsi="宋体" w:cs="宋体"/>
          <w:kern w:val="0"/>
          <w:szCs w:val="21"/>
          <w:highlight w:val="none"/>
        </w:rPr>
      </w:pPr>
    </w:p>
    <w:p>
      <w:pPr>
        <w:jc w:val="center"/>
        <w:rPr>
          <w:rFonts w:hint="default"/>
          <w:b/>
          <w:bCs/>
          <w:sz w:val="32"/>
          <w:szCs w:val="36"/>
          <w:lang w:val="en-US" w:eastAsia="zh-CN"/>
        </w:rPr>
      </w:pPr>
      <w:r>
        <w:rPr>
          <w:rFonts w:hint="eastAsia"/>
          <w:b/>
          <w:bCs/>
          <w:sz w:val="32"/>
          <w:szCs w:val="36"/>
          <w:lang w:val="en-US" w:eastAsia="zh-CN"/>
        </w:rPr>
        <w:t>（一）响应性承诺书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8"/>
          <w:lang w:val="en-US" w:eastAsia="zh-CN"/>
        </w:rPr>
      </w:pPr>
      <w:r>
        <w:rPr>
          <w:rFonts w:hint="eastAsia"/>
          <w:sz w:val="24"/>
          <w:szCs w:val="28"/>
          <w:lang w:val="en-US" w:eastAsia="zh-CN"/>
        </w:rPr>
        <w:t>致：重庆首讯科技股份有限公司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8"/>
          <w:u w:val="none"/>
          <w:lang w:val="en-US" w:eastAsia="zh-CN"/>
        </w:rPr>
      </w:pPr>
      <w:r>
        <w:rPr>
          <w:rFonts w:hint="eastAsia"/>
          <w:sz w:val="24"/>
          <w:szCs w:val="28"/>
          <w:lang w:val="en-US" w:eastAsia="zh-CN"/>
        </w:rPr>
        <w:t>我公司对</w:t>
      </w:r>
      <w:r>
        <w:rPr>
          <w:rFonts w:hint="eastAsia"/>
          <w:sz w:val="24"/>
          <w:szCs w:val="28"/>
          <w:u w:val="single"/>
          <w:lang w:val="en-US" w:eastAsia="zh-CN"/>
        </w:rPr>
        <w:t xml:space="preserve">                                 （项目名称）</w:t>
      </w:r>
      <w:r>
        <w:rPr>
          <w:rFonts w:hint="eastAsia"/>
          <w:sz w:val="24"/>
          <w:szCs w:val="28"/>
          <w:u w:val="none"/>
          <w:lang w:val="en-US" w:eastAsia="zh-CN"/>
        </w:rPr>
        <w:t>竞争性比选文件中要求内容完全响应做出以下承诺：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8"/>
          <w:u w:val="none"/>
          <w:lang w:val="en-US" w:eastAsia="zh-CN"/>
        </w:rPr>
      </w:pPr>
      <w:r>
        <w:rPr>
          <w:rFonts w:hint="eastAsia"/>
          <w:sz w:val="24"/>
          <w:szCs w:val="28"/>
          <w:u w:val="none"/>
          <w:lang w:val="en-US" w:eastAsia="zh-CN"/>
        </w:rPr>
        <w:t>1、我方比选响应文件中所有资料都是真实、准确、完整的；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8"/>
          <w:u w:val="none"/>
          <w:lang w:val="en-US" w:eastAsia="zh-CN"/>
        </w:rPr>
      </w:pPr>
      <w:r>
        <w:rPr>
          <w:rFonts w:hint="eastAsia"/>
          <w:sz w:val="24"/>
          <w:szCs w:val="28"/>
          <w:u w:val="none"/>
          <w:lang w:val="en-US" w:eastAsia="zh-CN"/>
        </w:rPr>
        <w:t>2、我方不存在资质挂靠或参与串标、围标情形。所报项目相关人员未在其他项目任职。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8"/>
          <w:u w:val="none"/>
          <w:lang w:val="en-US" w:eastAsia="zh-CN"/>
        </w:rPr>
      </w:pPr>
      <w:r>
        <w:rPr>
          <w:rFonts w:hint="eastAsia"/>
          <w:sz w:val="24"/>
          <w:szCs w:val="28"/>
          <w:u w:val="none"/>
          <w:lang w:val="en-US" w:eastAsia="zh-CN"/>
        </w:rPr>
        <w:t>3、完全响应竞争性比选文件中的人员要求、机械设备要求、投标内容要求、报价要求、工期要求、质量标准、安全目标等要求；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8"/>
          <w:u w:val="none"/>
          <w:lang w:val="en-US" w:eastAsia="zh-CN"/>
        </w:rPr>
      </w:pPr>
      <w:r>
        <w:rPr>
          <w:rFonts w:hint="eastAsia"/>
          <w:sz w:val="24"/>
          <w:szCs w:val="28"/>
          <w:u w:val="none"/>
          <w:lang w:val="en-US" w:eastAsia="zh-CN"/>
        </w:rPr>
        <w:t>如我方违反上述承诺，隐瞒、提供虚假资料或不按竞争性比选文件要求组织实施，被贵方发现或被他人举报查实，无条件接受贵司的处罚，对造成的损失，任何法律和经济责任完全由我方承担。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8"/>
          <w:u w:val="none"/>
          <w:lang w:val="en-US" w:eastAsia="zh-CN"/>
        </w:rPr>
      </w:pPr>
      <w:r>
        <w:rPr>
          <w:rFonts w:hint="eastAsia"/>
          <w:sz w:val="24"/>
          <w:szCs w:val="28"/>
          <w:u w:val="none"/>
          <w:lang w:val="en-US" w:eastAsia="zh-CN"/>
        </w:rPr>
        <w:t xml:space="preserve">                    报价人（单位名称）：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8"/>
          <w:highlight w:val="none"/>
          <w:lang w:eastAsia="zh-CN"/>
        </w:rPr>
      </w:pPr>
      <w:r>
        <w:rPr>
          <w:rFonts w:hint="eastAsia"/>
          <w:sz w:val="24"/>
          <w:szCs w:val="28"/>
          <w:u w:val="none"/>
          <w:lang w:val="en-US" w:eastAsia="zh-CN"/>
        </w:rPr>
        <w:t xml:space="preserve">        </w:t>
      </w:r>
      <w:r>
        <w:rPr>
          <w:rFonts w:ascii="宋体" w:hAnsi="宋体"/>
          <w:sz w:val="24"/>
          <w:szCs w:val="28"/>
          <w:highlight w:val="none"/>
        </w:rPr>
        <w:t>法定代表人</w:t>
      </w:r>
      <w:r>
        <w:rPr>
          <w:rFonts w:hint="eastAsia" w:ascii="宋体" w:hAnsi="宋体"/>
          <w:sz w:val="24"/>
          <w:szCs w:val="28"/>
          <w:highlight w:val="none"/>
          <w:lang w:eastAsia="zh-CN"/>
        </w:rPr>
        <w:t>（</w:t>
      </w:r>
      <w:r>
        <w:rPr>
          <w:rFonts w:hint="eastAsia" w:ascii="宋体" w:hAnsi="宋体"/>
          <w:sz w:val="24"/>
          <w:szCs w:val="28"/>
          <w:highlight w:val="none"/>
          <w:lang w:val="en-US" w:eastAsia="zh-CN"/>
        </w:rPr>
        <w:t>或</w:t>
      </w:r>
      <w:r>
        <w:rPr>
          <w:rFonts w:ascii="宋体" w:hAnsi="宋体"/>
          <w:sz w:val="24"/>
          <w:szCs w:val="28"/>
          <w:highlight w:val="none"/>
        </w:rPr>
        <w:t>委托代理人</w:t>
      </w:r>
      <w:r>
        <w:rPr>
          <w:rFonts w:hint="eastAsia" w:ascii="宋体" w:hAnsi="宋体"/>
          <w:sz w:val="24"/>
          <w:szCs w:val="28"/>
          <w:highlight w:val="none"/>
          <w:lang w:eastAsia="zh-CN"/>
        </w:rPr>
        <w:t>）</w:t>
      </w:r>
      <w:r>
        <w:rPr>
          <w:rFonts w:ascii="宋体" w:hAnsi="宋体"/>
          <w:sz w:val="24"/>
          <w:szCs w:val="28"/>
          <w:highlight w:val="none"/>
        </w:rPr>
        <w:t>签字</w:t>
      </w:r>
      <w:r>
        <w:rPr>
          <w:rFonts w:hint="eastAsia" w:ascii="宋体" w:hAnsi="宋体"/>
          <w:sz w:val="24"/>
          <w:szCs w:val="28"/>
          <w:highlight w:val="none"/>
          <w:lang w:eastAsia="zh-CN"/>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kern w:val="0"/>
          <w:szCs w:val="21"/>
        </w:rPr>
      </w:pPr>
      <w:r>
        <w:rPr>
          <w:rFonts w:hint="eastAsia" w:ascii="宋体" w:hAnsi="宋体"/>
          <w:sz w:val="24"/>
          <w:szCs w:val="28"/>
          <w:highlight w:val="none"/>
          <w:lang w:val="en-US" w:eastAsia="zh-CN"/>
        </w:rPr>
        <w:t xml:space="preserve">     日期：</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kern w:val="0"/>
          <w:szCs w:val="21"/>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kern w:val="0"/>
          <w:szCs w:val="21"/>
        </w:rPr>
      </w:pPr>
      <w:r>
        <w:rPr>
          <w:rFonts w:hint="eastAsia"/>
          <w:b/>
          <w:bCs/>
          <w:sz w:val="32"/>
          <w:szCs w:val="36"/>
          <w:lang w:val="en-US" w:eastAsia="zh-CN"/>
        </w:rPr>
        <w:t>（二）资格审查资料</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（报价人营业执照、资格证书等）</w:t>
      </w:r>
    </w:p>
    <w:p>
      <w:pPr>
        <w:pStyle w:val="42"/>
        <w:rPr>
          <w:rFonts w:ascii="宋体" w:hAnsi="宋体" w:cs="宋体"/>
          <w:szCs w:val="21"/>
        </w:rPr>
      </w:pPr>
    </w:p>
    <w:p>
      <w:pPr>
        <w:pStyle w:val="42"/>
        <w:rPr>
          <w:rFonts w:ascii="宋体" w:hAnsi="宋体" w:cs="宋体"/>
          <w:szCs w:val="21"/>
          <w:highlight w:val="none"/>
        </w:rPr>
      </w:pPr>
    </w:p>
    <w:p>
      <w:pPr>
        <w:rPr>
          <w:rFonts w:ascii="宋体" w:hAnsi="宋体" w:cs="宋体"/>
          <w:kern w:val="0"/>
          <w:szCs w:val="21"/>
          <w:highlight w:val="none"/>
        </w:rPr>
      </w:pPr>
      <w:r>
        <w:rPr>
          <w:rFonts w:hint="eastAsia" w:ascii="宋体" w:hAnsi="宋体" w:cs="宋体"/>
          <w:kern w:val="0"/>
          <w:szCs w:val="21"/>
          <w:highlight w:val="none"/>
        </w:rPr>
        <w:br w:type="page"/>
      </w:r>
    </w:p>
    <w:p>
      <w:pPr>
        <w:pStyle w:val="4"/>
        <w:spacing w:before="0" w:after="0" w:line="360" w:lineRule="auto"/>
        <w:jc w:val="center"/>
        <w:rPr>
          <w:rFonts w:ascii="宋体" w:hAnsi="宋体" w:cs="宋体"/>
          <w:sz w:val="28"/>
          <w:highlight w:val="none"/>
        </w:rPr>
      </w:pPr>
      <w:bookmarkStart w:id="257" w:name="_Toc503951055"/>
      <w:bookmarkStart w:id="258" w:name="_Toc513633973"/>
      <w:bookmarkStart w:id="259" w:name="_Toc447827068"/>
      <w:bookmarkStart w:id="260" w:name="_Toc11243"/>
      <w:bookmarkStart w:id="261" w:name="_Toc29559"/>
      <w:bookmarkStart w:id="262" w:name="_Toc11672"/>
      <w:bookmarkStart w:id="263" w:name="_Toc11329281"/>
      <w:bookmarkStart w:id="264" w:name="_Toc15250"/>
      <w:bookmarkStart w:id="265" w:name="_Toc30624"/>
      <w:bookmarkStart w:id="266" w:name="_Toc10085"/>
      <w:bookmarkStart w:id="267" w:name="_Toc19964"/>
      <w:r>
        <w:rPr>
          <w:rFonts w:hint="eastAsia" w:ascii="宋体" w:hAnsi="宋体" w:eastAsia="宋体" w:cs="宋体"/>
          <w:sz w:val="28"/>
          <w:highlight w:val="none"/>
          <w:lang w:val="en-US" w:eastAsia="zh-CN"/>
        </w:rPr>
        <w:t>五</w:t>
      </w:r>
      <w:r>
        <w:rPr>
          <w:rFonts w:hint="eastAsia" w:ascii="宋体" w:hAnsi="宋体" w:eastAsia="宋体" w:cs="宋体"/>
          <w:sz w:val="28"/>
          <w:highlight w:val="none"/>
        </w:rPr>
        <w:t>、</w:t>
      </w:r>
      <w:bookmarkEnd w:id="257"/>
      <w:bookmarkEnd w:id="258"/>
      <w:bookmarkEnd w:id="259"/>
      <w:bookmarkEnd w:id="260"/>
      <w:bookmarkEnd w:id="261"/>
      <w:bookmarkEnd w:id="262"/>
      <w:bookmarkEnd w:id="263"/>
      <w:r>
        <w:rPr>
          <w:rFonts w:hint="eastAsia" w:ascii="宋体" w:hAnsi="宋体" w:eastAsia="宋体" w:cs="宋体"/>
          <w:sz w:val="28"/>
          <w:highlight w:val="none"/>
        </w:rPr>
        <w:t>报价人基本信息及其他材料</w:t>
      </w:r>
      <w:bookmarkEnd w:id="264"/>
      <w:bookmarkEnd w:id="265"/>
      <w:bookmarkEnd w:id="266"/>
      <w:bookmarkEnd w:id="267"/>
      <w:bookmarkStart w:id="268" w:name="_Toc513633974"/>
      <w:bookmarkStart w:id="269" w:name="_Toc503951058"/>
    </w:p>
    <w:p>
      <w:pPr>
        <w:pStyle w:val="5"/>
        <w:spacing w:before="0" w:after="0" w:line="360" w:lineRule="auto"/>
        <w:jc w:val="center"/>
        <w:rPr>
          <w:sz w:val="28"/>
          <w:szCs w:val="28"/>
          <w:highlight w:val="none"/>
        </w:rPr>
      </w:pPr>
      <w:r>
        <w:rPr>
          <w:rFonts w:hint="eastAsia"/>
          <w:sz w:val="28"/>
          <w:szCs w:val="28"/>
          <w:highlight w:val="none"/>
        </w:rPr>
        <w:t>（一）报价人基本信息表</w:t>
      </w:r>
    </w:p>
    <w:p>
      <w:pPr>
        <w:pStyle w:val="26"/>
        <w:rPr>
          <w:highlight w:val="none"/>
        </w:rPr>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报价人</w:t>
            </w:r>
          </w:p>
          <w:p>
            <w:pPr>
              <w:topLinePunct/>
              <w:spacing w:line="440" w:lineRule="exact"/>
              <w:jc w:val="center"/>
              <w:rPr>
                <w:rFonts w:ascii="宋体" w:hAnsi="宋体" w:cs="宋体"/>
                <w:szCs w:val="21"/>
                <w:highlight w:val="none"/>
              </w:rPr>
            </w:pPr>
            <w:r>
              <w:rPr>
                <w:rFonts w:hint="eastAsia" w:ascii="宋体" w:hAnsi="宋体" w:cs="宋体"/>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szCs w:val="21"/>
                <w:highlight w:val="none"/>
              </w:rPr>
            </w:pPr>
            <w:r>
              <w:rPr>
                <w:rFonts w:hint="eastAsia" w:ascii="宋体" w:hAnsi="宋体" w:cs="宋体"/>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highlight w:val="none"/>
              </w:rPr>
            </w:pPr>
            <w:r>
              <w:rPr>
                <w:rFonts w:hint="eastAsia" w:ascii="宋体" w:hAnsi="宋体" w:cs="宋体"/>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szCs w:val="21"/>
                <w:highlight w:val="none"/>
              </w:rPr>
            </w:pPr>
            <w:r>
              <w:rPr>
                <w:rFonts w:hint="eastAsia" w:ascii="宋体" w:hAnsi="宋体" w:cs="宋体"/>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szCs w:val="21"/>
                <w:highlight w:val="none"/>
              </w:rPr>
            </w:pPr>
            <w:r>
              <w:rPr>
                <w:rFonts w:hint="eastAsia" w:ascii="宋体" w:hAnsi="宋体" w:cs="宋体"/>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bl>
    <w:p>
      <w:pPr>
        <w:pStyle w:val="4"/>
        <w:spacing w:before="0" w:after="0" w:line="360" w:lineRule="auto"/>
        <w:jc w:val="center"/>
        <w:rPr>
          <w:rFonts w:ascii="宋体" w:hAnsi="宋体" w:eastAsia="宋体" w:cs="宋体"/>
          <w:sz w:val="28"/>
          <w:highlight w:val="none"/>
        </w:rPr>
      </w:pPr>
      <w:r>
        <w:rPr>
          <w:rFonts w:hint="eastAsia" w:ascii="宋体" w:hAnsi="宋体" w:cs="宋体"/>
          <w:sz w:val="28"/>
          <w:highlight w:val="none"/>
        </w:rPr>
        <w:t>（二）其他材料</w:t>
      </w:r>
    </w:p>
    <w:bookmarkEnd w:id="268"/>
    <w:bookmarkEnd w:id="269"/>
    <w:p>
      <w:pPr>
        <w:pStyle w:val="28"/>
        <w:rPr>
          <w:highlight w:val="none"/>
        </w:rPr>
      </w:pPr>
    </w:p>
    <w:p>
      <w:pPr>
        <w:rPr>
          <w:highlight w:val="none"/>
        </w:rPr>
      </w:pPr>
    </w:p>
    <w:sectPr>
      <w:footerReference r:id="rId8" w:type="first"/>
      <w:footerReference r:id="rId7"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3ECCB4FC-5DBD-4326-9DA0-B10436C2BD8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embedTrueTypeFonts/>
  <w:saveSubsetFonts/>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0YzI4NGJiMjg2ZWZlN2MzZDcyYzg5ZDEwYzBhZD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0368"/>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47FC8"/>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86208"/>
    <w:rsid w:val="0019148A"/>
    <w:rsid w:val="001A0539"/>
    <w:rsid w:val="001A09DE"/>
    <w:rsid w:val="001A5CDC"/>
    <w:rsid w:val="001A7336"/>
    <w:rsid w:val="001B365F"/>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0D02"/>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1A"/>
    <w:rsid w:val="002B52E8"/>
    <w:rsid w:val="002B6790"/>
    <w:rsid w:val="002B6B13"/>
    <w:rsid w:val="002B6E57"/>
    <w:rsid w:val="002B72CF"/>
    <w:rsid w:val="002C2E51"/>
    <w:rsid w:val="002C471B"/>
    <w:rsid w:val="002C5A0E"/>
    <w:rsid w:val="002C7AB6"/>
    <w:rsid w:val="002D306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1E1"/>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2E64"/>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60D0"/>
    <w:rsid w:val="00527B46"/>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5A5A"/>
    <w:rsid w:val="007560DB"/>
    <w:rsid w:val="00756FB5"/>
    <w:rsid w:val="00756FFD"/>
    <w:rsid w:val="00760CE7"/>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13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BF"/>
    <w:rsid w:val="009756CC"/>
    <w:rsid w:val="00984865"/>
    <w:rsid w:val="00993114"/>
    <w:rsid w:val="009933AA"/>
    <w:rsid w:val="00993DE8"/>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795"/>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3224"/>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1A23"/>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40AB"/>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51D9D"/>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6241"/>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25A8"/>
    <w:rsid w:val="00E64D73"/>
    <w:rsid w:val="00E65B2B"/>
    <w:rsid w:val="00E84AD3"/>
    <w:rsid w:val="00E8555A"/>
    <w:rsid w:val="00E87D31"/>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6AD"/>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6FC9"/>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87D16"/>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83B"/>
    <w:rsid w:val="00FD4E1C"/>
    <w:rsid w:val="00FD5A4F"/>
    <w:rsid w:val="00FE041C"/>
    <w:rsid w:val="00FE3166"/>
    <w:rsid w:val="00FE3EEF"/>
    <w:rsid w:val="00FE5EBF"/>
    <w:rsid w:val="00FE7AEA"/>
    <w:rsid w:val="00FF3180"/>
    <w:rsid w:val="00FF4C28"/>
    <w:rsid w:val="00FF569F"/>
    <w:rsid w:val="00FF7182"/>
    <w:rsid w:val="010B1E00"/>
    <w:rsid w:val="015D18DC"/>
    <w:rsid w:val="017A38C2"/>
    <w:rsid w:val="01852BD3"/>
    <w:rsid w:val="018A0F14"/>
    <w:rsid w:val="018A6C3C"/>
    <w:rsid w:val="01A8609A"/>
    <w:rsid w:val="01E847E5"/>
    <w:rsid w:val="01FF31C9"/>
    <w:rsid w:val="02195A53"/>
    <w:rsid w:val="0231567C"/>
    <w:rsid w:val="029D41FE"/>
    <w:rsid w:val="02A14C7A"/>
    <w:rsid w:val="02A800C5"/>
    <w:rsid w:val="02C6499B"/>
    <w:rsid w:val="02C91CAA"/>
    <w:rsid w:val="0343188F"/>
    <w:rsid w:val="037D0CD2"/>
    <w:rsid w:val="038B3366"/>
    <w:rsid w:val="03981B5E"/>
    <w:rsid w:val="03996EAD"/>
    <w:rsid w:val="03C43707"/>
    <w:rsid w:val="03F60BFA"/>
    <w:rsid w:val="04023CC8"/>
    <w:rsid w:val="04114FD7"/>
    <w:rsid w:val="04226EB2"/>
    <w:rsid w:val="042674F4"/>
    <w:rsid w:val="042D3C13"/>
    <w:rsid w:val="044004C3"/>
    <w:rsid w:val="04557501"/>
    <w:rsid w:val="04557BDD"/>
    <w:rsid w:val="04722D72"/>
    <w:rsid w:val="047A0BBC"/>
    <w:rsid w:val="047F655D"/>
    <w:rsid w:val="048779BB"/>
    <w:rsid w:val="04BE3120"/>
    <w:rsid w:val="04C12ED8"/>
    <w:rsid w:val="04DC5749"/>
    <w:rsid w:val="04E26FED"/>
    <w:rsid w:val="04E41F94"/>
    <w:rsid w:val="04E71358"/>
    <w:rsid w:val="04F04544"/>
    <w:rsid w:val="04FD6633"/>
    <w:rsid w:val="05004428"/>
    <w:rsid w:val="052A7682"/>
    <w:rsid w:val="052E2B3B"/>
    <w:rsid w:val="05436F4F"/>
    <w:rsid w:val="054416D2"/>
    <w:rsid w:val="05507F0F"/>
    <w:rsid w:val="055E6E53"/>
    <w:rsid w:val="05871A0A"/>
    <w:rsid w:val="05A42E7B"/>
    <w:rsid w:val="05A70EA9"/>
    <w:rsid w:val="05CA6079"/>
    <w:rsid w:val="05D55D36"/>
    <w:rsid w:val="060C2525"/>
    <w:rsid w:val="060F639F"/>
    <w:rsid w:val="062756FD"/>
    <w:rsid w:val="065F7A31"/>
    <w:rsid w:val="06615ED8"/>
    <w:rsid w:val="067C53E7"/>
    <w:rsid w:val="067D0139"/>
    <w:rsid w:val="067F3525"/>
    <w:rsid w:val="06820F5E"/>
    <w:rsid w:val="069F2AC2"/>
    <w:rsid w:val="06AE2ABA"/>
    <w:rsid w:val="06C75DF5"/>
    <w:rsid w:val="06DD02BB"/>
    <w:rsid w:val="06E32249"/>
    <w:rsid w:val="06E71F51"/>
    <w:rsid w:val="06F965AD"/>
    <w:rsid w:val="07050666"/>
    <w:rsid w:val="0717146F"/>
    <w:rsid w:val="071C4DB7"/>
    <w:rsid w:val="0735457E"/>
    <w:rsid w:val="07362674"/>
    <w:rsid w:val="073B195E"/>
    <w:rsid w:val="073B54B2"/>
    <w:rsid w:val="07537EF9"/>
    <w:rsid w:val="07686B6F"/>
    <w:rsid w:val="07815EE7"/>
    <w:rsid w:val="07BA63F1"/>
    <w:rsid w:val="081748AE"/>
    <w:rsid w:val="08635851"/>
    <w:rsid w:val="0879136E"/>
    <w:rsid w:val="08C2359B"/>
    <w:rsid w:val="08E91129"/>
    <w:rsid w:val="09041814"/>
    <w:rsid w:val="0910197C"/>
    <w:rsid w:val="092D7BDC"/>
    <w:rsid w:val="09332D2B"/>
    <w:rsid w:val="093E2D64"/>
    <w:rsid w:val="09472203"/>
    <w:rsid w:val="098B1DA7"/>
    <w:rsid w:val="09907951"/>
    <w:rsid w:val="099F43E4"/>
    <w:rsid w:val="09A31A61"/>
    <w:rsid w:val="09BA7A85"/>
    <w:rsid w:val="09C83FDD"/>
    <w:rsid w:val="09D83A6D"/>
    <w:rsid w:val="09DC0EB0"/>
    <w:rsid w:val="09DE1094"/>
    <w:rsid w:val="09E2475B"/>
    <w:rsid w:val="0A100F2D"/>
    <w:rsid w:val="0A1E4380"/>
    <w:rsid w:val="0A3F34B7"/>
    <w:rsid w:val="0A4B11BE"/>
    <w:rsid w:val="0A7B4003"/>
    <w:rsid w:val="0A8E5B8D"/>
    <w:rsid w:val="0AA240FA"/>
    <w:rsid w:val="0AAC0CBB"/>
    <w:rsid w:val="0AD84BD3"/>
    <w:rsid w:val="0AE941D3"/>
    <w:rsid w:val="0B1061C6"/>
    <w:rsid w:val="0B2B08D5"/>
    <w:rsid w:val="0B8A6552"/>
    <w:rsid w:val="0BA35012"/>
    <w:rsid w:val="0BB825ED"/>
    <w:rsid w:val="0BC0647C"/>
    <w:rsid w:val="0BCF34A4"/>
    <w:rsid w:val="0BD7624B"/>
    <w:rsid w:val="0BF26817"/>
    <w:rsid w:val="0C112E71"/>
    <w:rsid w:val="0C1E7DBD"/>
    <w:rsid w:val="0C22464A"/>
    <w:rsid w:val="0C2B72AE"/>
    <w:rsid w:val="0C2C7CAB"/>
    <w:rsid w:val="0C623EAC"/>
    <w:rsid w:val="0C9241DD"/>
    <w:rsid w:val="0C946488"/>
    <w:rsid w:val="0CAD24AF"/>
    <w:rsid w:val="0CB27F34"/>
    <w:rsid w:val="0D0D3F93"/>
    <w:rsid w:val="0D12389F"/>
    <w:rsid w:val="0D2820B7"/>
    <w:rsid w:val="0D662EE5"/>
    <w:rsid w:val="0D860EC5"/>
    <w:rsid w:val="0D9339BE"/>
    <w:rsid w:val="0D9E6A67"/>
    <w:rsid w:val="0D9F0DC4"/>
    <w:rsid w:val="0DC02AA1"/>
    <w:rsid w:val="0DDE695A"/>
    <w:rsid w:val="0DF73A5B"/>
    <w:rsid w:val="0E053A26"/>
    <w:rsid w:val="0E164CA8"/>
    <w:rsid w:val="0E231949"/>
    <w:rsid w:val="0E2D072E"/>
    <w:rsid w:val="0E3B295D"/>
    <w:rsid w:val="0E47249B"/>
    <w:rsid w:val="0E551882"/>
    <w:rsid w:val="0E7306EC"/>
    <w:rsid w:val="0EB254B2"/>
    <w:rsid w:val="0ED85FFB"/>
    <w:rsid w:val="0ED939EE"/>
    <w:rsid w:val="0EF728F3"/>
    <w:rsid w:val="0EFB3F5D"/>
    <w:rsid w:val="0EFE3186"/>
    <w:rsid w:val="0F041CC7"/>
    <w:rsid w:val="0F042317"/>
    <w:rsid w:val="0F076264"/>
    <w:rsid w:val="0F1209F8"/>
    <w:rsid w:val="0F4C19DA"/>
    <w:rsid w:val="0F4C7D05"/>
    <w:rsid w:val="0F4F31AF"/>
    <w:rsid w:val="0F5F17BD"/>
    <w:rsid w:val="0F90531D"/>
    <w:rsid w:val="0FAD64B5"/>
    <w:rsid w:val="0FB21FD4"/>
    <w:rsid w:val="0FB8461F"/>
    <w:rsid w:val="0FC06B1C"/>
    <w:rsid w:val="0FD9321F"/>
    <w:rsid w:val="0FFF5930"/>
    <w:rsid w:val="10033834"/>
    <w:rsid w:val="105F05EB"/>
    <w:rsid w:val="10634C16"/>
    <w:rsid w:val="106809B9"/>
    <w:rsid w:val="10981559"/>
    <w:rsid w:val="10A265EF"/>
    <w:rsid w:val="10AE0AAD"/>
    <w:rsid w:val="10DC09D3"/>
    <w:rsid w:val="10EC4A0F"/>
    <w:rsid w:val="11156FC6"/>
    <w:rsid w:val="11230124"/>
    <w:rsid w:val="11485B0D"/>
    <w:rsid w:val="114C7209"/>
    <w:rsid w:val="1154158B"/>
    <w:rsid w:val="117076B2"/>
    <w:rsid w:val="11842025"/>
    <w:rsid w:val="118865E2"/>
    <w:rsid w:val="119921B4"/>
    <w:rsid w:val="119E6579"/>
    <w:rsid w:val="11AF3DD5"/>
    <w:rsid w:val="11D435DD"/>
    <w:rsid w:val="11DA3C43"/>
    <w:rsid w:val="121360EF"/>
    <w:rsid w:val="1220326C"/>
    <w:rsid w:val="123A67B6"/>
    <w:rsid w:val="123B7AF5"/>
    <w:rsid w:val="125670E6"/>
    <w:rsid w:val="125E1A9C"/>
    <w:rsid w:val="126D6927"/>
    <w:rsid w:val="1276289F"/>
    <w:rsid w:val="1288522D"/>
    <w:rsid w:val="1288550F"/>
    <w:rsid w:val="129D6A95"/>
    <w:rsid w:val="12AF4046"/>
    <w:rsid w:val="12C37784"/>
    <w:rsid w:val="12CE506D"/>
    <w:rsid w:val="12E22E2E"/>
    <w:rsid w:val="12F65490"/>
    <w:rsid w:val="12F73D2A"/>
    <w:rsid w:val="12F9698E"/>
    <w:rsid w:val="13112273"/>
    <w:rsid w:val="131C7C5D"/>
    <w:rsid w:val="133E0119"/>
    <w:rsid w:val="13511DF6"/>
    <w:rsid w:val="138B4634"/>
    <w:rsid w:val="138F1214"/>
    <w:rsid w:val="13BF412F"/>
    <w:rsid w:val="13D101C7"/>
    <w:rsid w:val="1400440E"/>
    <w:rsid w:val="141445CA"/>
    <w:rsid w:val="142669A3"/>
    <w:rsid w:val="143805F9"/>
    <w:rsid w:val="143E60BA"/>
    <w:rsid w:val="14446C04"/>
    <w:rsid w:val="144729D8"/>
    <w:rsid w:val="145C5B42"/>
    <w:rsid w:val="147572D6"/>
    <w:rsid w:val="148E78CB"/>
    <w:rsid w:val="149F4D92"/>
    <w:rsid w:val="14A13E6D"/>
    <w:rsid w:val="14AB614D"/>
    <w:rsid w:val="14B96C2B"/>
    <w:rsid w:val="14E911D9"/>
    <w:rsid w:val="14FC7061"/>
    <w:rsid w:val="15113F9B"/>
    <w:rsid w:val="15233B0C"/>
    <w:rsid w:val="15436E45"/>
    <w:rsid w:val="15472F28"/>
    <w:rsid w:val="15507C7E"/>
    <w:rsid w:val="15664AEF"/>
    <w:rsid w:val="158E23E1"/>
    <w:rsid w:val="159D7EA6"/>
    <w:rsid w:val="159F1BF9"/>
    <w:rsid w:val="15A25A36"/>
    <w:rsid w:val="15B71B1D"/>
    <w:rsid w:val="15C520DD"/>
    <w:rsid w:val="15E63361"/>
    <w:rsid w:val="160B0227"/>
    <w:rsid w:val="162D644C"/>
    <w:rsid w:val="16532C2E"/>
    <w:rsid w:val="16585909"/>
    <w:rsid w:val="166D5E8F"/>
    <w:rsid w:val="16864176"/>
    <w:rsid w:val="16E04880"/>
    <w:rsid w:val="16F86032"/>
    <w:rsid w:val="17081A7A"/>
    <w:rsid w:val="17147661"/>
    <w:rsid w:val="17292C0C"/>
    <w:rsid w:val="176F50FE"/>
    <w:rsid w:val="17D10049"/>
    <w:rsid w:val="17DD0B49"/>
    <w:rsid w:val="17F1563C"/>
    <w:rsid w:val="17F23C73"/>
    <w:rsid w:val="180F3B80"/>
    <w:rsid w:val="181B1411"/>
    <w:rsid w:val="181C1400"/>
    <w:rsid w:val="18223BBF"/>
    <w:rsid w:val="18310248"/>
    <w:rsid w:val="18360724"/>
    <w:rsid w:val="18406E44"/>
    <w:rsid w:val="185B395E"/>
    <w:rsid w:val="185C1918"/>
    <w:rsid w:val="185F6723"/>
    <w:rsid w:val="1880349D"/>
    <w:rsid w:val="18D435BC"/>
    <w:rsid w:val="18E261BC"/>
    <w:rsid w:val="18FC2292"/>
    <w:rsid w:val="19135591"/>
    <w:rsid w:val="19136D59"/>
    <w:rsid w:val="19193365"/>
    <w:rsid w:val="19261639"/>
    <w:rsid w:val="195D5C0E"/>
    <w:rsid w:val="19640F3E"/>
    <w:rsid w:val="19B64CC2"/>
    <w:rsid w:val="19BA69A5"/>
    <w:rsid w:val="19CF1C75"/>
    <w:rsid w:val="19D07B0B"/>
    <w:rsid w:val="19DF6D3F"/>
    <w:rsid w:val="19E24459"/>
    <w:rsid w:val="1A2A28FB"/>
    <w:rsid w:val="1A305FF4"/>
    <w:rsid w:val="1A3D7EBE"/>
    <w:rsid w:val="1A4353A0"/>
    <w:rsid w:val="1A557489"/>
    <w:rsid w:val="1A650935"/>
    <w:rsid w:val="1A6525DA"/>
    <w:rsid w:val="1A704DC9"/>
    <w:rsid w:val="1A994A56"/>
    <w:rsid w:val="1AD60F9B"/>
    <w:rsid w:val="1AEA13C7"/>
    <w:rsid w:val="1AF13750"/>
    <w:rsid w:val="1AF45443"/>
    <w:rsid w:val="1B075A0C"/>
    <w:rsid w:val="1B621C93"/>
    <w:rsid w:val="1B67066F"/>
    <w:rsid w:val="1B7229E4"/>
    <w:rsid w:val="1B7549F6"/>
    <w:rsid w:val="1B7627C1"/>
    <w:rsid w:val="1B7A5EC7"/>
    <w:rsid w:val="1B8E4B82"/>
    <w:rsid w:val="1B8E5EC0"/>
    <w:rsid w:val="1BB90E2F"/>
    <w:rsid w:val="1C087134"/>
    <w:rsid w:val="1C127CD4"/>
    <w:rsid w:val="1C54737D"/>
    <w:rsid w:val="1C6D5910"/>
    <w:rsid w:val="1C776E36"/>
    <w:rsid w:val="1CA13D9D"/>
    <w:rsid w:val="1CB33990"/>
    <w:rsid w:val="1CD326F1"/>
    <w:rsid w:val="1CDA1572"/>
    <w:rsid w:val="1CF6260F"/>
    <w:rsid w:val="1CF83AEA"/>
    <w:rsid w:val="1CF911FC"/>
    <w:rsid w:val="1D291FA4"/>
    <w:rsid w:val="1D2F1366"/>
    <w:rsid w:val="1D6914D5"/>
    <w:rsid w:val="1D7C7A22"/>
    <w:rsid w:val="1D7E09CF"/>
    <w:rsid w:val="1D9F1A69"/>
    <w:rsid w:val="1DA949C5"/>
    <w:rsid w:val="1DB64010"/>
    <w:rsid w:val="1DBF20BB"/>
    <w:rsid w:val="1DE41480"/>
    <w:rsid w:val="1DF77DC1"/>
    <w:rsid w:val="1DF8756C"/>
    <w:rsid w:val="1DFE7D4B"/>
    <w:rsid w:val="1E2139B7"/>
    <w:rsid w:val="1E4364C2"/>
    <w:rsid w:val="1E490AF9"/>
    <w:rsid w:val="1E644990"/>
    <w:rsid w:val="1E6B1BDF"/>
    <w:rsid w:val="1E7A14A8"/>
    <w:rsid w:val="1E7F32B0"/>
    <w:rsid w:val="1EB76C5D"/>
    <w:rsid w:val="1EBA058B"/>
    <w:rsid w:val="1EBB622E"/>
    <w:rsid w:val="1EEA13A6"/>
    <w:rsid w:val="1EFE64E9"/>
    <w:rsid w:val="1F0B19A2"/>
    <w:rsid w:val="1F59624F"/>
    <w:rsid w:val="1F6207D0"/>
    <w:rsid w:val="1FC42F0B"/>
    <w:rsid w:val="1FD02D82"/>
    <w:rsid w:val="1FE1627D"/>
    <w:rsid w:val="1FEA603B"/>
    <w:rsid w:val="20016901"/>
    <w:rsid w:val="20133D98"/>
    <w:rsid w:val="20226856"/>
    <w:rsid w:val="20293E2F"/>
    <w:rsid w:val="20686E43"/>
    <w:rsid w:val="206E3E8E"/>
    <w:rsid w:val="207224C8"/>
    <w:rsid w:val="20735FD9"/>
    <w:rsid w:val="2076639A"/>
    <w:rsid w:val="2093114F"/>
    <w:rsid w:val="209B57AA"/>
    <w:rsid w:val="20A121FD"/>
    <w:rsid w:val="20AC7CC7"/>
    <w:rsid w:val="20C20004"/>
    <w:rsid w:val="20C94961"/>
    <w:rsid w:val="20D83D6E"/>
    <w:rsid w:val="20DE5531"/>
    <w:rsid w:val="20DE6AFC"/>
    <w:rsid w:val="20E1180E"/>
    <w:rsid w:val="20E93F65"/>
    <w:rsid w:val="20EA6084"/>
    <w:rsid w:val="20F01139"/>
    <w:rsid w:val="20F1461D"/>
    <w:rsid w:val="210C684B"/>
    <w:rsid w:val="212B522B"/>
    <w:rsid w:val="21593573"/>
    <w:rsid w:val="21661C41"/>
    <w:rsid w:val="21736537"/>
    <w:rsid w:val="21977807"/>
    <w:rsid w:val="219A6D4B"/>
    <w:rsid w:val="219B0F11"/>
    <w:rsid w:val="21C2735E"/>
    <w:rsid w:val="21E12EE9"/>
    <w:rsid w:val="21E57FA3"/>
    <w:rsid w:val="21FB5A74"/>
    <w:rsid w:val="22334040"/>
    <w:rsid w:val="22614853"/>
    <w:rsid w:val="226827C0"/>
    <w:rsid w:val="227C6EFF"/>
    <w:rsid w:val="22942795"/>
    <w:rsid w:val="22985136"/>
    <w:rsid w:val="22A10D06"/>
    <w:rsid w:val="22B665A5"/>
    <w:rsid w:val="22C63A72"/>
    <w:rsid w:val="22C925E0"/>
    <w:rsid w:val="22E46F4A"/>
    <w:rsid w:val="22F20159"/>
    <w:rsid w:val="22F37464"/>
    <w:rsid w:val="23005537"/>
    <w:rsid w:val="23103EFD"/>
    <w:rsid w:val="231C75B9"/>
    <w:rsid w:val="233C2C53"/>
    <w:rsid w:val="23486890"/>
    <w:rsid w:val="235C09CB"/>
    <w:rsid w:val="236F1F61"/>
    <w:rsid w:val="23AB4CDF"/>
    <w:rsid w:val="23C37A75"/>
    <w:rsid w:val="23FD2236"/>
    <w:rsid w:val="24127E3E"/>
    <w:rsid w:val="24220F3E"/>
    <w:rsid w:val="2423604B"/>
    <w:rsid w:val="242565A4"/>
    <w:rsid w:val="243A3F7E"/>
    <w:rsid w:val="24436391"/>
    <w:rsid w:val="2450121E"/>
    <w:rsid w:val="2487622C"/>
    <w:rsid w:val="24973094"/>
    <w:rsid w:val="24A42016"/>
    <w:rsid w:val="24A76F10"/>
    <w:rsid w:val="24AD6D9A"/>
    <w:rsid w:val="24D3085A"/>
    <w:rsid w:val="24DD793C"/>
    <w:rsid w:val="251418FC"/>
    <w:rsid w:val="251C4037"/>
    <w:rsid w:val="254A3495"/>
    <w:rsid w:val="259F294D"/>
    <w:rsid w:val="25A845B3"/>
    <w:rsid w:val="25DA3E7C"/>
    <w:rsid w:val="25E66CC5"/>
    <w:rsid w:val="25EB71B7"/>
    <w:rsid w:val="26154215"/>
    <w:rsid w:val="261A0BE6"/>
    <w:rsid w:val="263C7691"/>
    <w:rsid w:val="265E2776"/>
    <w:rsid w:val="26666FDC"/>
    <w:rsid w:val="268153A1"/>
    <w:rsid w:val="269D2467"/>
    <w:rsid w:val="26AB763C"/>
    <w:rsid w:val="26B267E7"/>
    <w:rsid w:val="26CD258B"/>
    <w:rsid w:val="26D63A44"/>
    <w:rsid w:val="26F131DC"/>
    <w:rsid w:val="26F65310"/>
    <w:rsid w:val="27052D05"/>
    <w:rsid w:val="27082804"/>
    <w:rsid w:val="270832AE"/>
    <w:rsid w:val="27357F9F"/>
    <w:rsid w:val="2740286E"/>
    <w:rsid w:val="279623B0"/>
    <w:rsid w:val="27A4553F"/>
    <w:rsid w:val="27B07189"/>
    <w:rsid w:val="27D35135"/>
    <w:rsid w:val="27DF283E"/>
    <w:rsid w:val="27EF069B"/>
    <w:rsid w:val="27EF1935"/>
    <w:rsid w:val="27FA08F6"/>
    <w:rsid w:val="2801540B"/>
    <w:rsid w:val="280A1B75"/>
    <w:rsid w:val="28206C63"/>
    <w:rsid w:val="283962F8"/>
    <w:rsid w:val="28435CE2"/>
    <w:rsid w:val="287A36F4"/>
    <w:rsid w:val="288458E7"/>
    <w:rsid w:val="28A33A20"/>
    <w:rsid w:val="28A47F17"/>
    <w:rsid w:val="28AA3EC8"/>
    <w:rsid w:val="28BF00E8"/>
    <w:rsid w:val="28C1211B"/>
    <w:rsid w:val="290212C1"/>
    <w:rsid w:val="290D5ED8"/>
    <w:rsid w:val="291F392A"/>
    <w:rsid w:val="294F2F3E"/>
    <w:rsid w:val="29656DCE"/>
    <w:rsid w:val="298B4B23"/>
    <w:rsid w:val="29915199"/>
    <w:rsid w:val="29980385"/>
    <w:rsid w:val="299A7528"/>
    <w:rsid w:val="29B71FDB"/>
    <w:rsid w:val="29CF18DD"/>
    <w:rsid w:val="29D273F6"/>
    <w:rsid w:val="29D65D23"/>
    <w:rsid w:val="29D875FE"/>
    <w:rsid w:val="29F130EF"/>
    <w:rsid w:val="2A00655D"/>
    <w:rsid w:val="2A194E5D"/>
    <w:rsid w:val="2A21554B"/>
    <w:rsid w:val="2A3C5F83"/>
    <w:rsid w:val="2A594BC2"/>
    <w:rsid w:val="2A960C6E"/>
    <w:rsid w:val="2A9F7561"/>
    <w:rsid w:val="2AA90FA0"/>
    <w:rsid w:val="2AAE38A4"/>
    <w:rsid w:val="2AB31CE2"/>
    <w:rsid w:val="2AB55266"/>
    <w:rsid w:val="2B1047B2"/>
    <w:rsid w:val="2B347A72"/>
    <w:rsid w:val="2B487382"/>
    <w:rsid w:val="2B552F60"/>
    <w:rsid w:val="2B7841A6"/>
    <w:rsid w:val="2B885195"/>
    <w:rsid w:val="2BB367B9"/>
    <w:rsid w:val="2BD66F2D"/>
    <w:rsid w:val="2C13380B"/>
    <w:rsid w:val="2C184D47"/>
    <w:rsid w:val="2C796A89"/>
    <w:rsid w:val="2C7C0AB6"/>
    <w:rsid w:val="2C9C56AD"/>
    <w:rsid w:val="2CBD3A96"/>
    <w:rsid w:val="2CC74339"/>
    <w:rsid w:val="2CCC23F7"/>
    <w:rsid w:val="2CCE1414"/>
    <w:rsid w:val="2CF93ABF"/>
    <w:rsid w:val="2D1E27A3"/>
    <w:rsid w:val="2D394FF5"/>
    <w:rsid w:val="2D4C56CF"/>
    <w:rsid w:val="2D766528"/>
    <w:rsid w:val="2DED7BE2"/>
    <w:rsid w:val="2E230605"/>
    <w:rsid w:val="2E30169A"/>
    <w:rsid w:val="2E310CE0"/>
    <w:rsid w:val="2E6A704D"/>
    <w:rsid w:val="2E8A6255"/>
    <w:rsid w:val="2E99606A"/>
    <w:rsid w:val="2EAC5A26"/>
    <w:rsid w:val="2F0B1048"/>
    <w:rsid w:val="2F0E7D4A"/>
    <w:rsid w:val="2F141AAA"/>
    <w:rsid w:val="2FCA4353"/>
    <w:rsid w:val="2FE55D75"/>
    <w:rsid w:val="2FF17BCE"/>
    <w:rsid w:val="2FF23F99"/>
    <w:rsid w:val="30236367"/>
    <w:rsid w:val="30331BC6"/>
    <w:rsid w:val="303E7E03"/>
    <w:rsid w:val="304A182B"/>
    <w:rsid w:val="307003A6"/>
    <w:rsid w:val="30700C52"/>
    <w:rsid w:val="30757C00"/>
    <w:rsid w:val="307D5D65"/>
    <w:rsid w:val="30B34CE3"/>
    <w:rsid w:val="30CB1C83"/>
    <w:rsid w:val="30ED2830"/>
    <w:rsid w:val="316B2857"/>
    <w:rsid w:val="31832D29"/>
    <w:rsid w:val="319D5339"/>
    <w:rsid w:val="319F2F47"/>
    <w:rsid w:val="31B2754D"/>
    <w:rsid w:val="31CE4181"/>
    <w:rsid w:val="31D20CDE"/>
    <w:rsid w:val="31E60B34"/>
    <w:rsid w:val="31F37E23"/>
    <w:rsid w:val="31FE689A"/>
    <w:rsid w:val="32223DC6"/>
    <w:rsid w:val="325A02A1"/>
    <w:rsid w:val="329032EF"/>
    <w:rsid w:val="329970EF"/>
    <w:rsid w:val="32A520FC"/>
    <w:rsid w:val="32B35AAA"/>
    <w:rsid w:val="33135210"/>
    <w:rsid w:val="3326373F"/>
    <w:rsid w:val="333D1567"/>
    <w:rsid w:val="333F453A"/>
    <w:rsid w:val="334459AC"/>
    <w:rsid w:val="33705A64"/>
    <w:rsid w:val="33A055AF"/>
    <w:rsid w:val="33A51E80"/>
    <w:rsid w:val="33EE589E"/>
    <w:rsid w:val="33F41ECB"/>
    <w:rsid w:val="33FD7097"/>
    <w:rsid w:val="340329A9"/>
    <w:rsid w:val="34113C0A"/>
    <w:rsid w:val="341838FD"/>
    <w:rsid w:val="342645AD"/>
    <w:rsid w:val="342B057B"/>
    <w:rsid w:val="34335C8F"/>
    <w:rsid w:val="344C7528"/>
    <w:rsid w:val="34601B2A"/>
    <w:rsid w:val="34617CD8"/>
    <w:rsid w:val="34635BE4"/>
    <w:rsid w:val="34753860"/>
    <w:rsid w:val="34A61339"/>
    <w:rsid w:val="34AE3A24"/>
    <w:rsid w:val="34CC3006"/>
    <w:rsid w:val="34F11083"/>
    <w:rsid w:val="34F3793E"/>
    <w:rsid w:val="351C1918"/>
    <w:rsid w:val="35574E9C"/>
    <w:rsid w:val="35605BF1"/>
    <w:rsid w:val="35697F42"/>
    <w:rsid w:val="356A0417"/>
    <w:rsid w:val="35712E34"/>
    <w:rsid w:val="35A46254"/>
    <w:rsid w:val="35ED793B"/>
    <w:rsid w:val="35F84740"/>
    <w:rsid w:val="36383125"/>
    <w:rsid w:val="366C082D"/>
    <w:rsid w:val="368C388A"/>
    <w:rsid w:val="36BA4838"/>
    <w:rsid w:val="36C90DD1"/>
    <w:rsid w:val="36E669DD"/>
    <w:rsid w:val="36EB0E1B"/>
    <w:rsid w:val="36EE2207"/>
    <w:rsid w:val="37410586"/>
    <w:rsid w:val="374634AB"/>
    <w:rsid w:val="375E22A0"/>
    <w:rsid w:val="37615DFD"/>
    <w:rsid w:val="37704489"/>
    <w:rsid w:val="37710026"/>
    <w:rsid w:val="37745B48"/>
    <w:rsid w:val="37847EBF"/>
    <w:rsid w:val="37925427"/>
    <w:rsid w:val="37A55DCC"/>
    <w:rsid w:val="37CA04FF"/>
    <w:rsid w:val="37D30771"/>
    <w:rsid w:val="37EC0BB8"/>
    <w:rsid w:val="3809330B"/>
    <w:rsid w:val="382C74E3"/>
    <w:rsid w:val="38A569B7"/>
    <w:rsid w:val="38AE3B6E"/>
    <w:rsid w:val="38F70143"/>
    <w:rsid w:val="394C68A5"/>
    <w:rsid w:val="394F0825"/>
    <w:rsid w:val="395E479A"/>
    <w:rsid w:val="39675804"/>
    <w:rsid w:val="398377B4"/>
    <w:rsid w:val="398E6CC1"/>
    <w:rsid w:val="39A36C2D"/>
    <w:rsid w:val="39AA29B9"/>
    <w:rsid w:val="39AA6DB1"/>
    <w:rsid w:val="39DA2245"/>
    <w:rsid w:val="39E71AEC"/>
    <w:rsid w:val="39F60058"/>
    <w:rsid w:val="3A104089"/>
    <w:rsid w:val="3A8217DE"/>
    <w:rsid w:val="3A822B01"/>
    <w:rsid w:val="3A825D5D"/>
    <w:rsid w:val="3A8B1791"/>
    <w:rsid w:val="3AB8426E"/>
    <w:rsid w:val="3ACF765C"/>
    <w:rsid w:val="3AD278CD"/>
    <w:rsid w:val="3AD841A2"/>
    <w:rsid w:val="3AFA4BE5"/>
    <w:rsid w:val="3B2A44B8"/>
    <w:rsid w:val="3B2B6476"/>
    <w:rsid w:val="3B3C7398"/>
    <w:rsid w:val="3B5B1163"/>
    <w:rsid w:val="3B620744"/>
    <w:rsid w:val="3B64220D"/>
    <w:rsid w:val="3B8F6E75"/>
    <w:rsid w:val="3BBC038E"/>
    <w:rsid w:val="3BFE3F02"/>
    <w:rsid w:val="3C2972FD"/>
    <w:rsid w:val="3C304A35"/>
    <w:rsid w:val="3C5B4444"/>
    <w:rsid w:val="3C850BDC"/>
    <w:rsid w:val="3C852047"/>
    <w:rsid w:val="3C9A3F1A"/>
    <w:rsid w:val="3CA13116"/>
    <w:rsid w:val="3CA5607A"/>
    <w:rsid w:val="3CA925AE"/>
    <w:rsid w:val="3CF877AB"/>
    <w:rsid w:val="3D2B24EF"/>
    <w:rsid w:val="3D306CB2"/>
    <w:rsid w:val="3D32729D"/>
    <w:rsid w:val="3D485E54"/>
    <w:rsid w:val="3D667959"/>
    <w:rsid w:val="3D8230F2"/>
    <w:rsid w:val="3D886E2C"/>
    <w:rsid w:val="3DAA5519"/>
    <w:rsid w:val="3DC413E8"/>
    <w:rsid w:val="3DCA34BB"/>
    <w:rsid w:val="3DD83D60"/>
    <w:rsid w:val="3E044CAE"/>
    <w:rsid w:val="3E0A667E"/>
    <w:rsid w:val="3E12201C"/>
    <w:rsid w:val="3E244EE5"/>
    <w:rsid w:val="3E3913D7"/>
    <w:rsid w:val="3E427218"/>
    <w:rsid w:val="3E7E6AF2"/>
    <w:rsid w:val="3E947004"/>
    <w:rsid w:val="3EA72ABE"/>
    <w:rsid w:val="3EA96969"/>
    <w:rsid w:val="3EAD4174"/>
    <w:rsid w:val="3EAD7F9C"/>
    <w:rsid w:val="3EB32892"/>
    <w:rsid w:val="3EBC3336"/>
    <w:rsid w:val="3ED37070"/>
    <w:rsid w:val="3EDE79C6"/>
    <w:rsid w:val="3EF65530"/>
    <w:rsid w:val="3F064AE9"/>
    <w:rsid w:val="3F3B0C43"/>
    <w:rsid w:val="3F3E7B79"/>
    <w:rsid w:val="3F4C62B0"/>
    <w:rsid w:val="3F7279F0"/>
    <w:rsid w:val="3F8F0AF3"/>
    <w:rsid w:val="3F8F525D"/>
    <w:rsid w:val="3F9717D1"/>
    <w:rsid w:val="3FB2485B"/>
    <w:rsid w:val="3FEC69F0"/>
    <w:rsid w:val="400D176C"/>
    <w:rsid w:val="402A34B8"/>
    <w:rsid w:val="40360CD1"/>
    <w:rsid w:val="40361D66"/>
    <w:rsid w:val="406060C3"/>
    <w:rsid w:val="40613E30"/>
    <w:rsid w:val="40736573"/>
    <w:rsid w:val="407B6F98"/>
    <w:rsid w:val="407D7357"/>
    <w:rsid w:val="409B4A07"/>
    <w:rsid w:val="40BF6E39"/>
    <w:rsid w:val="40C25B7F"/>
    <w:rsid w:val="40D73BA8"/>
    <w:rsid w:val="40DE1D45"/>
    <w:rsid w:val="40F6517C"/>
    <w:rsid w:val="40F66678"/>
    <w:rsid w:val="410E1C56"/>
    <w:rsid w:val="411020CF"/>
    <w:rsid w:val="4120577A"/>
    <w:rsid w:val="41485875"/>
    <w:rsid w:val="415624BA"/>
    <w:rsid w:val="416C142E"/>
    <w:rsid w:val="417C08A3"/>
    <w:rsid w:val="418238EE"/>
    <w:rsid w:val="41B93320"/>
    <w:rsid w:val="41BB069A"/>
    <w:rsid w:val="41FD121E"/>
    <w:rsid w:val="421A7627"/>
    <w:rsid w:val="4233112B"/>
    <w:rsid w:val="42401E98"/>
    <w:rsid w:val="42423B6A"/>
    <w:rsid w:val="42811338"/>
    <w:rsid w:val="42872311"/>
    <w:rsid w:val="428A6978"/>
    <w:rsid w:val="428B5762"/>
    <w:rsid w:val="42A4583D"/>
    <w:rsid w:val="42D47C2B"/>
    <w:rsid w:val="42DA32B5"/>
    <w:rsid w:val="42E32F98"/>
    <w:rsid w:val="430C28C9"/>
    <w:rsid w:val="431840BE"/>
    <w:rsid w:val="433543AC"/>
    <w:rsid w:val="43420FE8"/>
    <w:rsid w:val="434513F0"/>
    <w:rsid w:val="43702851"/>
    <w:rsid w:val="438003D7"/>
    <w:rsid w:val="438254A7"/>
    <w:rsid w:val="439A76A5"/>
    <w:rsid w:val="43C964C9"/>
    <w:rsid w:val="43CA4F48"/>
    <w:rsid w:val="43D971F8"/>
    <w:rsid w:val="43FF7B85"/>
    <w:rsid w:val="4424604A"/>
    <w:rsid w:val="442967DE"/>
    <w:rsid w:val="444437F4"/>
    <w:rsid w:val="445014AB"/>
    <w:rsid w:val="44611A27"/>
    <w:rsid w:val="44722751"/>
    <w:rsid w:val="44CE660D"/>
    <w:rsid w:val="44E5468B"/>
    <w:rsid w:val="45032E9D"/>
    <w:rsid w:val="450F2962"/>
    <w:rsid w:val="454F0B76"/>
    <w:rsid w:val="45795008"/>
    <w:rsid w:val="4579514B"/>
    <w:rsid w:val="457E2BBE"/>
    <w:rsid w:val="457F72E8"/>
    <w:rsid w:val="45AB3F41"/>
    <w:rsid w:val="45DE083B"/>
    <w:rsid w:val="45E076C0"/>
    <w:rsid w:val="45ED51BC"/>
    <w:rsid w:val="45F36067"/>
    <w:rsid w:val="460C0745"/>
    <w:rsid w:val="463122D8"/>
    <w:rsid w:val="4632053D"/>
    <w:rsid w:val="46577675"/>
    <w:rsid w:val="4662415A"/>
    <w:rsid w:val="4662498C"/>
    <w:rsid w:val="4681009E"/>
    <w:rsid w:val="46954FDF"/>
    <w:rsid w:val="46A022D9"/>
    <w:rsid w:val="46A9554B"/>
    <w:rsid w:val="46B21457"/>
    <w:rsid w:val="46BE1A6C"/>
    <w:rsid w:val="46BE6647"/>
    <w:rsid w:val="46EE3897"/>
    <w:rsid w:val="471B3499"/>
    <w:rsid w:val="4721080E"/>
    <w:rsid w:val="4730142A"/>
    <w:rsid w:val="474918D0"/>
    <w:rsid w:val="478E4BD2"/>
    <w:rsid w:val="47B512A0"/>
    <w:rsid w:val="47BA4C42"/>
    <w:rsid w:val="47D70B8B"/>
    <w:rsid w:val="47DD756D"/>
    <w:rsid w:val="47EB55C4"/>
    <w:rsid w:val="48037A8A"/>
    <w:rsid w:val="482C50CD"/>
    <w:rsid w:val="48377D23"/>
    <w:rsid w:val="484023B4"/>
    <w:rsid w:val="484D0E76"/>
    <w:rsid w:val="486634EE"/>
    <w:rsid w:val="48807890"/>
    <w:rsid w:val="48A57DFD"/>
    <w:rsid w:val="48A64B98"/>
    <w:rsid w:val="48BC156D"/>
    <w:rsid w:val="48D93D7E"/>
    <w:rsid w:val="48F765BE"/>
    <w:rsid w:val="48F801E9"/>
    <w:rsid w:val="490445F2"/>
    <w:rsid w:val="4927617E"/>
    <w:rsid w:val="49320F23"/>
    <w:rsid w:val="495D72B2"/>
    <w:rsid w:val="49AF5757"/>
    <w:rsid w:val="49B753C7"/>
    <w:rsid w:val="49DD73AE"/>
    <w:rsid w:val="49F95BD6"/>
    <w:rsid w:val="49FA6E23"/>
    <w:rsid w:val="4A0923DF"/>
    <w:rsid w:val="4A7A7858"/>
    <w:rsid w:val="4AA73240"/>
    <w:rsid w:val="4AB72272"/>
    <w:rsid w:val="4AD703A4"/>
    <w:rsid w:val="4B0D56B0"/>
    <w:rsid w:val="4B305E1B"/>
    <w:rsid w:val="4B471718"/>
    <w:rsid w:val="4B663FE5"/>
    <w:rsid w:val="4B7F5343"/>
    <w:rsid w:val="4BB92D8E"/>
    <w:rsid w:val="4BD07B58"/>
    <w:rsid w:val="4BE87BA5"/>
    <w:rsid w:val="4BE91B3A"/>
    <w:rsid w:val="4C235CCD"/>
    <w:rsid w:val="4C3176AB"/>
    <w:rsid w:val="4C415DC1"/>
    <w:rsid w:val="4C48137E"/>
    <w:rsid w:val="4C52192A"/>
    <w:rsid w:val="4C6E278E"/>
    <w:rsid w:val="4C956F44"/>
    <w:rsid w:val="4CA50074"/>
    <w:rsid w:val="4CAA39A1"/>
    <w:rsid w:val="4CB659EA"/>
    <w:rsid w:val="4CFF538B"/>
    <w:rsid w:val="4D4230D1"/>
    <w:rsid w:val="4D450975"/>
    <w:rsid w:val="4D4D7800"/>
    <w:rsid w:val="4D5F2E94"/>
    <w:rsid w:val="4D7112B5"/>
    <w:rsid w:val="4D7251FF"/>
    <w:rsid w:val="4DA16835"/>
    <w:rsid w:val="4DB75AF6"/>
    <w:rsid w:val="4DDC79D2"/>
    <w:rsid w:val="4DE50C0B"/>
    <w:rsid w:val="4E11105D"/>
    <w:rsid w:val="4E16225A"/>
    <w:rsid w:val="4E204940"/>
    <w:rsid w:val="4E253AB8"/>
    <w:rsid w:val="4E472C92"/>
    <w:rsid w:val="4E4A131D"/>
    <w:rsid w:val="4E824D97"/>
    <w:rsid w:val="4E9D5C2D"/>
    <w:rsid w:val="4EBA57C1"/>
    <w:rsid w:val="4F047E0A"/>
    <w:rsid w:val="4F133DD7"/>
    <w:rsid w:val="4F2A57CF"/>
    <w:rsid w:val="4F477F24"/>
    <w:rsid w:val="4F923BD2"/>
    <w:rsid w:val="4F9F2878"/>
    <w:rsid w:val="4FA91AAC"/>
    <w:rsid w:val="4FBD0FF5"/>
    <w:rsid w:val="4FC854D7"/>
    <w:rsid w:val="4FE13ED5"/>
    <w:rsid w:val="50111814"/>
    <w:rsid w:val="50142DE1"/>
    <w:rsid w:val="5015687B"/>
    <w:rsid w:val="501926CA"/>
    <w:rsid w:val="503109FF"/>
    <w:rsid w:val="505E3D68"/>
    <w:rsid w:val="50D13748"/>
    <w:rsid w:val="512C07D1"/>
    <w:rsid w:val="516A440A"/>
    <w:rsid w:val="51BA5A6F"/>
    <w:rsid w:val="51C42E16"/>
    <w:rsid w:val="51D23526"/>
    <w:rsid w:val="51D412F6"/>
    <w:rsid w:val="525351F4"/>
    <w:rsid w:val="525A6FBC"/>
    <w:rsid w:val="526C0997"/>
    <w:rsid w:val="52707792"/>
    <w:rsid w:val="52855A65"/>
    <w:rsid w:val="52A03358"/>
    <w:rsid w:val="53311AB3"/>
    <w:rsid w:val="53317F44"/>
    <w:rsid w:val="533D33D1"/>
    <w:rsid w:val="534907F0"/>
    <w:rsid w:val="53511F1B"/>
    <w:rsid w:val="53670B33"/>
    <w:rsid w:val="537735FB"/>
    <w:rsid w:val="53775B6A"/>
    <w:rsid w:val="537A7055"/>
    <w:rsid w:val="53852D75"/>
    <w:rsid w:val="538F5737"/>
    <w:rsid w:val="53D43855"/>
    <w:rsid w:val="53D6214F"/>
    <w:rsid w:val="53EE1101"/>
    <w:rsid w:val="53FC4E8E"/>
    <w:rsid w:val="5401256C"/>
    <w:rsid w:val="541717DC"/>
    <w:rsid w:val="54222D80"/>
    <w:rsid w:val="54271D5C"/>
    <w:rsid w:val="54722583"/>
    <w:rsid w:val="54976AA9"/>
    <w:rsid w:val="549A3F89"/>
    <w:rsid w:val="54B26300"/>
    <w:rsid w:val="54DE0134"/>
    <w:rsid w:val="54E1262F"/>
    <w:rsid w:val="550246E3"/>
    <w:rsid w:val="551D7BF3"/>
    <w:rsid w:val="55256476"/>
    <w:rsid w:val="553C46BA"/>
    <w:rsid w:val="55494082"/>
    <w:rsid w:val="557D5B60"/>
    <w:rsid w:val="55834A19"/>
    <w:rsid w:val="559B4861"/>
    <w:rsid w:val="55F27046"/>
    <w:rsid w:val="55F526C6"/>
    <w:rsid w:val="56066DC9"/>
    <w:rsid w:val="563F4179"/>
    <w:rsid w:val="564E1228"/>
    <w:rsid w:val="56753820"/>
    <w:rsid w:val="56A6131D"/>
    <w:rsid w:val="56A82B00"/>
    <w:rsid w:val="56BC5AD0"/>
    <w:rsid w:val="56D00C68"/>
    <w:rsid w:val="57022BD1"/>
    <w:rsid w:val="57212B27"/>
    <w:rsid w:val="572809C2"/>
    <w:rsid w:val="573214BA"/>
    <w:rsid w:val="574519EF"/>
    <w:rsid w:val="57480C4D"/>
    <w:rsid w:val="574C27F3"/>
    <w:rsid w:val="57791B45"/>
    <w:rsid w:val="57895A45"/>
    <w:rsid w:val="57A916CC"/>
    <w:rsid w:val="57C5313B"/>
    <w:rsid w:val="57D003BF"/>
    <w:rsid w:val="57D807D4"/>
    <w:rsid w:val="57EA7969"/>
    <w:rsid w:val="57F740F4"/>
    <w:rsid w:val="57FA3D86"/>
    <w:rsid w:val="58131D55"/>
    <w:rsid w:val="58366D88"/>
    <w:rsid w:val="583B61DC"/>
    <w:rsid w:val="58626B84"/>
    <w:rsid w:val="5865530E"/>
    <w:rsid w:val="58750691"/>
    <w:rsid w:val="58AB575D"/>
    <w:rsid w:val="58BC728D"/>
    <w:rsid w:val="58DD0763"/>
    <w:rsid w:val="58DD3F79"/>
    <w:rsid w:val="591F0ED8"/>
    <w:rsid w:val="59364F97"/>
    <w:rsid w:val="59415A4D"/>
    <w:rsid w:val="59445F91"/>
    <w:rsid w:val="59691E36"/>
    <w:rsid w:val="59815208"/>
    <w:rsid w:val="59F001A4"/>
    <w:rsid w:val="5A0315C2"/>
    <w:rsid w:val="5A0F3CCD"/>
    <w:rsid w:val="5A1E2DE7"/>
    <w:rsid w:val="5A20427A"/>
    <w:rsid w:val="5A395FB6"/>
    <w:rsid w:val="5A436A2D"/>
    <w:rsid w:val="5A7229EA"/>
    <w:rsid w:val="5A8A38B2"/>
    <w:rsid w:val="5B0A066E"/>
    <w:rsid w:val="5B123FA7"/>
    <w:rsid w:val="5B2335F4"/>
    <w:rsid w:val="5B5E18A4"/>
    <w:rsid w:val="5B613C0E"/>
    <w:rsid w:val="5B955E96"/>
    <w:rsid w:val="5B9B3675"/>
    <w:rsid w:val="5BA26571"/>
    <w:rsid w:val="5BCA6564"/>
    <w:rsid w:val="5BD66D67"/>
    <w:rsid w:val="5C107D40"/>
    <w:rsid w:val="5C1E3775"/>
    <w:rsid w:val="5C381264"/>
    <w:rsid w:val="5C4850FD"/>
    <w:rsid w:val="5C4D1947"/>
    <w:rsid w:val="5C516D01"/>
    <w:rsid w:val="5C573EDE"/>
    <w:rsid w:val="5C5F4C5A"/>
    <w:rsid w:val="5C666A3C"/>
    <w:rsid w:val="5C672644"/>
    <w:rsid w:val="5C8132C7"/>
    <w:rsid w:val="5CA23A25"/>
    <w:rsid w:val="5CA63ECF"/>
    <w:rsid w:val="5CC26330"/>
    <w:rsid w:val="5CD67F41"/>
    <w:rsid w:val="5CDF760E"/>
    <w:rsid w:val="5D017C51"/>
    <w:rsid w:val="5D1C04EB"/>
    <w:rsid w:val="5D4165A3"/>
    <w:rsid w:val="5D463591"/>
    <w:rsid w:val="5D4F2A78"/>
    <w:rsid w:val="5D5741CB"/>
    <w:rsid w:val="5D792AE4"/>
    <w:rsid w:val="5D804F27"/>
    <w:rsid w:val="5D861A18"/>
    <w:rsid w:val="5D897BA9"/>
    <w:rsid w:val="5D972330"/>
    <w:rsid w:val="5DC25C67"/>
    <w:rsid w:val="5DCA795F"/>
    <w:rsid w:val="5DD97571"/>
    <w:rsid w:val="5DF5102F"/>
    <w:rsid w:val="5E0A643D"/>
    <w:rsid w:val="5E1C73BD"/>
    <w:rsid w:val="5E2F58D3"/>
    <w:rsid w:val="5E5A06FD"/>
    <w:rsid w:val="5E9342EC"/>
    <w:rsid w:val="5EA27CF7"/>
    <w:rsid w:val="5EBC3C1E"/>
    <w:rsid w:val="5EC80351"/>
    <w:rsid w:val="5F3815EE"/>
    <w:rsid w:val="5F5C32D6"/>
    <w:rsid w:val="5FAF097A"/>
    <w:rsid w:val="5FB10E83"/>
    <w:rsid w:val="5FCA512F"/>
    <w:rsid w:val="5FE45AFE"/>
    <w:rsid w:val="600E788A"/>
    <w:rsid w:val="60182CB2"/>
    <w:rsid w:val="60234C2A"/>
    <w:rsid w:val="604130CF"/>
    <w:rsid w:val="60663C94"/>
    <w:rsid w:val="60794FD4"/>
    <w:rsid w:val="60814FEF"/>
    <w:rsid w:val="60AE4E89"/>
    <w:rsid w:val="60D32F5A"/>
    <w:rsid w:val="60E973AF"/>
    <w:rsid w:val="610C47AA"/>
    <w:rsid w:val="610E2B4C"/>
    <w:rsid w:val="61652467"/>
    <w:rsid w:val="61862140"/>
    <w:rsid w:val="618D2F8B"/>
    <w:rsid w:val="619776D4"/>
    <w:rsid w:val="619945D7"/>
    <w:rsid w:val="61C24BFD"/>
    <w:rsid w:val="61DE43D4"/>
    <w:rsid w:val="61E06967"/>
    <w:rsid w:val="61ED083B"/>
    <w:rsid w:val="62112BCB"/>
    <w:rsid w:val="624216A0"/>
    <w:rsid w:val="626343A0"/>
    <w:rsid w:val="626736F9"/>
    <w:rsid w:val="626B4082"/>
    <w:rsid w:val="626B6B00"/>
    <w:rsid w:val="627C555A"/>
    <w:rsid w:val="628E1BE9"/>
    <w:rsid w:val="62B56103"/>
    <w:rsid w:val="62D06FF9"/>
    <w:rsid w:val="62D765EB"/>
    <w:rsid w:val="631D301E"/>
    <w:rsid w:val="63293243"/>
    <w:rsid w:val="6356796F"/>
    <w:rsid w:val="636B22CC"/>
    <w:rsid w:val="636C198B"/>
    <w:rsid w:val="63B65AC7"/>
    <w:rsid w:val="63C713E9"/>
    <w:rsid w:val="63C82E3E"/>
    <w:rsid w:val="63D62198"/>
    <w:rsid w:val="63D7428B"/>
    <w:rsid w:val="63DA6A02"/>
    <w:rsid w:val="63E92F01"/>
    <w:rsid w:val="63F71F71"/>
    <w:rsid w:val="640C4C0D"/>
    <w:rsid w:val="643B5584"/>
    <w:rsid w:val="64406FC4"/>
    <w:rsid w:val="645830D7"/>
    <w:rsid w:val="64606F6A"/>
    <w:rsid w:val="64675414"/>
    <w:rsid w:val="646C6DE3"/>
    <w:rsid w:val="647258C3"/>
    <w:rsid w:val="64932629"/>
    <w:rsid w:val="64AA2E73"/>
    <w:rsid w:val="64B8434A"/>
    <w:rsid w:val="64C5008F"/>
    <w:rsid w:val="64E8446E"/>
    <w:rsid w:val="64F735D8"/>
    <w:rsid w:val="65376B47"/>
    <w:rsid w:val="654042F5"/>
    <w:rsid w:val="65475601"/>
    <w:rsid w:val="65F66C79"/>
    <w:rsid w:val="65FD7CC9"/>
    <w:rsid w:val="660447CA"/>
    <w:rsid w:val="661029C7"/>
    <w:rsid w:val="66380310"/>
    <w:rsid w:val="665622BC"/>
    <w:rsid w:val="66653739"/>
    <w:rsid w:val="666C4EE6"/>
    <w:rsid w:val="66792487"/>
    <w:rsid w:val="66A02FE8"/>
    <w:rsid w:val="66D15C09"/>
    <w:rsid w:val="66D317F2"/>
    <w:rsid w:val="66FB0FDC"/>
    <w:rsid w:val="66FC5AFF"/>
    <w:rsid w:val="6709462E"/>
    <w:rsid w:val="6748666C"/>
    <w:rsid w:val="6777196F"/>
    <w:rsid w:val="678A1ED0"/>
    <w:rsid w:val="679E4D0E"/>
    <w:rsid w:val="67AB61F8"/>
    <w:rsid w:val="67BA7741"/>
    <w:rsid w:val="67E6170C"/>
    <w:rsid w:val="680D0CA5"/>
    <w:rsid w:val="681014F3"/>
    <w:rsid w:val="682054F9"/>
    <w:rsid w:val="6878475E"/>
    <w:rsid w:val="68A45648"/>
    <w:rsid w:val="68A5668C"/>
    <w:rsid w:val="68D27297"/>
    <w:rsid w:val="68D35CA3"/>
    <w:rsid w:val="68DC2023"/>
    <w:rsid w:val="68FE0C44"/>
    <w:rsid w:val="6911241F"/>
    <w:rsid w:val="69903316"/>
    <w:rsid w:val="69B67115"/>
    <w:rsid w:val="69B82DF4"/>
    <w:rsid w:val="69EF53B4"/>
    <w:rsid w:val="6A126DD2"/>
    <w:rsid w:val="6A420E56"/>
    <w:rsid w:val="6A840BF8"/>
    <w:rsid w:val="6A924E32"/>
    <w:rsid w:val="6A94008C"/>
    <w:rsid w:val="6AC635A8"/>
    <w:rsid w:val="6AE37195"/>
    <w:rsid w:val="6AE60947"/>
    <w:rsid w:val="6AEF6EB8"/>
    <w:rsid w:val="6AF179D8"/>
    <w:rsid w:val="6B0B374F"/>
    <w:rsid w:val="6B0E6D92"/>
    <w:rsid w:val="6B17074E"/>
    <w:rsid w:val="6B1F0CCB"/>
    <w:rsid w:val="6B4B404C"/>
    <w:rsid w:val="6B6234E5"/>
    <w:rsid w:val="6BA95F10"/>
    <w:rsid w:val="6BAC2BAE"/>
    <w:rsid w:val="6BBD11F5"/>
    <w:rsid w:val="6BCE1834"/>
    <w:rsid w:val="6BD12800"/>
    <w:rsid w:val="6C022DB1"/>
    <w:rsid w:val="6C0504CD"/>
    <w:rsid w:val="6C1208F3"/>
    <w:rsid w:val="6C5E02FC"/>
    <w:rsid w:val="6C721812"/>
    <w:rsid w:val="6C8B0F52"/>
    <w:rsid w:val="6CDD07BE"/>
    <w:rsid w:val="6CDD0DD0"/>
    <w:rsid w:val="6CFA7DB1"/>
    <w:rsid w:val="6D0127E4"/>
    <w:rsid w:val="6D135E16"/>
    <w:rsid w:val="6D1C168A"/>
    <w:rsid w:val="6D347A31"/>
    <w:rsid w:val="6D3668DD"/>
    <w:rsid w:val="6D471CAB"/>
    <w:rsid w:val="6D8617C0"/>
    <w:rsid w:val="6DAC0977"/>
    <w:rsid w:val="6DB941BD"/>
    <w:rsid w:val="6DC60F63"/>
    <w:rsid w:val="6DCF0C94"/>
    <w:rsid w:val="6DD76259"/>
    <w:rsid w:val="6DF40ED9"/>
    <w:rsid w:val="6E343B64"/>
    <w:rsid w:val="6E4C770B"/>
    <w:rsid w:val="6E5F1098"/>
    <w:rsid w:val="6E6F2793"/>
    <w:rsid w:val="6E703D8E"/>
    <w:rsid w:val="6E84323D"/>
    <w:rsid w:val="6E866AA3"/>
    <w:rsid w:val="6E942A76"/>
    <w:rsid w:val="6EA41FA2"/>
    <w:rsid w:val="6EB2181E"/>
    <w:rsid w:val="6EB44AD4"/>
    <w:rsid w:val="6F313FE8"/>
    <w:rsid w:val="6F341EA2"/>
    <w:rsid w:val="6F381CAC"/>
    <w:rsid w:val="6F547DC8"/>
    <w:rsid w:val="6F555E8B"/>
    <w:rsid w:val="6F6128C1"/>
    <w:rsid w:val="6F9C6902"/>
    <w:rsid w:val="6FA0729C"/>
    <w:rsid w:val="6FD45156"/>
    <w:rsid w:val="6FF9096F"/>
    <w:rsid w:val="70070910"/>
    <w:rsid w:val="70100CA2"/>
    <w:rsid w:val="70106DE6"/>
    <w:rsid w:val="701B7EF3"/>
    <w:rsid w:val="702B1097"/>
    <w:rsid w:val="702B68F1"/>
    <w:rsid w:val="70393572"/>
    <w:rsid w:val="70741DA4"/>
    <w:rsid w:val="70782DDA"/>
    <w:rsid w:val="70A24D48"/>
    <w:rsid w:val="70BA64EF"/>
    <w:rsid w:val="70C900DF"/>
    <w:rsid w:val="70E611B1"/>
    <w:rsid w:val="70EC49AE"/>
    <w:rsid w:val="70F80524"/>
    <w:rsid w:val="70FB5C41"/>
    <w:rsid w:val="710A2419"/>
    <w:rsid w:val="71326D32"/>
    <w:rsid w:val="714C2CD0"/>
    <w:rsid w:val="715A596A"/>
    <w:rsid w:val="717C247D"/>
    <w:rsid w:val="717F26E4"/>
    <w:rsid w:val="71816B8E"/>
    <w:rsid w:val="71832D29"/>
    <w:rsid w:val="71907818"/>
    <w:rsid w:val="71B252F9"/>
    <w:rsid w:val="71CA611F"/>
    <w:rsid w:val="71CD7943"/>
    <w:rsid w:val="71E95916"/>
    <w:rsid w:val="71F950A9"/>
    <w:rsid w:val="7203413E"/>
    <w:rsid w:val="723C62EB"/>
    <w:rsid w:val="7250588C"/>
    <w:rsid w:val="7251838B"/>
    <w:rsid w:val="726F1340"/>
    <w:rsid w:val="726F5278"/>
    <w:rsid w:val="727E786A"/>
    <w:rsid w:val="72851E13"/>
    <w:rsid w:val="72887FD4"/>
    <w:rsid w:val="729A6D07"/>
    <w:rsid w:val="72BD0544"/>
    <w:rsid w:val="72C0472D"/>
    <w:rsid w:val="72D11D5C"/>
    <w:rsid w:val="72E85DAD"/>
    <w:rsid w:val="732303D9"/>
    <w:rsid w:val="735008A6"/>
    <w:rsid w:val="73532CC9"/>
    <w:rsid w:val="739F3D64"/>
    <w:rsid w:val="73D73D11"/>
    <w:rsid w:val="73EA68D4"/>
    <w:rsid w:val="741015BE"/>
    <w:rsid w:val="744975DD"/>
    <w:rsid w:val="746920A5"/>
    <w:rsid w:val="747B75DF"/>
    <w:rsid w:val="74945DFE"/>
    <w:rsid w:val="74CB1EDB"/>
    <w:rsid w:val="74DE73F5"/>
    <w:rsid w:val="75185519"/>
    <w:rsid w:val="751E77AF"/>
    <w:rsid w:val="753B4B84"/>
    <w:rsid w:val="75620003"/>
    <w:rsid w:val="7597473F"/>
    <w:rsid w:val="75D07F8B"/>
    <w:rsid w:val="75EE5669"/>
    <w:rsid w:val="764A7999"/>
    <w:rsid w:val="76571277"/>
    <w:rsid w:val="767821EC"/>
    <w:rsid w:val="76957051"/>
    <w:rsid w:val="76BD4232"/>
    <w:rsid w:val="76C10199"/>
    <w:rsid w:val="76C57BCB"/>
    <w:rsid w:val="76F927CD"/>
    <w:rsid w:val="770C0F88"/>
    <w:rsid w:val="771160B2"/>
    <w:rsid w:val="773A73E7"/>
    <w:rsid w:val="773B2934"/>
    <w:rsid w:val="773E064E"/>
    <w:rsid w:val="774E1211"/>
    <w:rsid w:val="777B71D8"/>
    <w:rsid w:val="77821DB2"/>
    <w:rsid w:val="77A54D53"/>
    <w:rsid w:val="77BF2228"/>
    <w:rsid w:val="77D75F2B"/>
    <w:rsid w:val="77FC6767"/>
    <w:rsid w:val="78016613"/>
    <w:rsid w:val="7807758E"/>
    <w:rsid w:val="780D6694"/>
    <w:rsid w:val="781A0BEC"/>
    <w:rsid w:val="78202415"/>
    <w:rsid w:val="78213FC9"/>
    <w:rsid w:val="78472EBC"/>
    <w:rsid w:val="78701D9C"/>
    <w:rsid w:val="7898372A"/>
    <w:rsid w:val="78A1562B"/>
    <w:rsid w:val="78B032FC"/>
    <w:rsid w:val="78FA0671"/>
    <w:rsid w:val="790068CB"/>
    <w:rsid w:val="791B4C63"/>
    <w:rsid w:val="793A634F"/>
    <w:rsid w:val="79474F43"/>
    <w:rsid w:val="796B5873"/>
    <w:rsid w:val="798635EB"/>
    <w:rsid w:val="79991EA7"/>
    <w:rsid w:val="79A5750A"/>
    <w:rsid w:val="7A067F11"/>
    <w:rsid w:val="7A0C1011"/>
    <w:rsid w:val="7A0E7A81"/>
    <w:rsid w:val="7A276F33"/>
    <w:rsid w:val="7A321CDB"/>
    <w:rsid w:val="7A567B6E"/>
    <w:rsid w:val="7A57218E"/>
    <w:rsid w:val="7A6E32C8"/>
    <w:rsid w:val="7AC900CF"/>
    <w:rsid w:val="7B052FBD"/>
    <w:rsid w:val="7B165244"/>
    <w:rsid w:val="7B397C08"/>
    <w:rsid w:val="7B5A5A6C"/>
    <w:rsid w:val="7B5C250E"/>
    <w:rsid w:val="7B5C38E7"/>
    <w:rsid w:val="7B6D0F87"/>
    <w:rsid w:val="7B6D7B5D"/>
    <w:rsid w:val="7B72691F"/>
    <w:rsid w:val="7B783FD8"/>
    <w:rsid w:val="7B9A3DB8"/>
    <w:rsid w:val="7BA113AB"/>
    <w:rsid w:val="7BD52290"/>
    <w:rsid w:val="7BD568A0"/>
    <w:rsid w:val="7BF20E1E"/>
    <w:rsid w:val="7C3A1BEA"/>
    <w:rsid w:val="7C5728ED"/>
    <w:rsid w:val="7C9408F4"/>
    <w:rsid w:val="7CAA0846"/>
    <w:rsid w:val="7CB14063"/>
    <w:rsid w:val="7CB83597"/>
    <w:rsid w:val="7CB90CC2"/>
    <w:rsid w:val="7CFB2CE9"/>
    <w:rsid w:val="7D0C34C4"/>
    <w:rsid w:val="7D1670F6"/>
    <w:rsid w:val="7D212CA5"/>
    <w:rsid w:val="7D255EE2"/>
    <w:rsid w:val="7D293184"/>
    <w:rsid w:val="7D4B3EE6"/>
    <w:rsid w:val="7D6112EF"/>
    <w:rsid w:val="7D68620F"/>
    <w:rsid w:val="7D69777E"/>
    <w:rsid w:val="7D927DC0"/>
    <w:rsid w:val="7DB34706"/>
    <w:rsid w:val="7DFB2CE1"/>
    <w:rsid w:val="7E0F41A9"/>
    <w:rsid w:val="7E1A0A9F"/>
    <w:rsid w:val="7E3C401A"/>
    <w:rsid w:val="7E641213"/>
    <w:rsid w:val="7E74499D"/>
    <w:rsid w:val="7E843482"/>
    <w:rsid w:val="7ED94253"/>
    <w:rsid w:val="7EE33139"/>
    <w:rsid w:val="7EF34773"/>
    <w:rsid w:val="7F0D08DC"/>
    <w:rsid w:val="7F173D26"/>
    <w:rsid w:val="7F2802D8"/>
    <w:rsid w:val="7F6531DB"/>
    <w:rsid w:val="7F663995"/>
    <w:rsid w:val="7F666017"/>
    <w:rsid w:val="7F6F8422"/>
    <w:rsid w:val="7F714EE5"/>
    <w:rsid w:val="7F7F2734"/>
    <w:rsid w:val="7F8918FF"/>
    <w:rsid w:val="7F9D261C"/>
    <w:rsid w:val="7FA63F96"/>
    <w:rsid w:val="7FA7279D"/>
    <w:rsid w:val="7FB9287C"/>
    <w:rsid w:val="7FC55840"/>
    <w:rsid w:val="7FCC47FD"/>
    <w:rsid w:val="7FD31973"/>
    <w:rsid w:val="7FDD0ADF"/>
    <w:rsid w:val="7FE15B01"/>
    <w:rsid w:val="7FFB1B6E"/>
    <w:rsid w:val="EBEEDD4E"/>
    <w:rsid w:val="FF3D1953"/>
    <w:rsid w:val="FFB68C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link w:val="68"/>
    <w:qFormat/>
    <w:uiPriority w:val="0"/>
    <w:pPr>
      <w:ind w:firstLine="420" w:firstLineChars="200"/>
    </w:pPr>
  </w:style>
  <w:style w:type="paragraph" w:styleId="13">
    <w:name w:val="Document Map"/>
    <w:basedOn w:val="1"/>
    <w:link w:val="75"/>
    <w:qFormat/>
    <w:uiPriority w:val="0"/>
    <w:pPr>
      <w:shd w:val="clear" w:color="auto" w:fill="000080"/>
    </w:pPr>
    <w:rPr>
      <w:kern w:val="0"/>
      <w:sz w:val="20"/>
    </w:rPr>
  </w:style>
  <w:style w:type="paragraph" w:styleId="14">
    <w:name w:val="annotation text"/>
    <w:basedOn w:val="1"/>
    <w:link w:val="57"/>
    <w:unhideWhenUsed/>
    <w:qFormat/>
    <w:uiPriority w:val="99"/>
    <w:pPr>
      <w:jc w:val="left"/>
    </w:pPr>
    <w:rPr>
      <w:kern w:val="0"/>
      <w:sz w:val="20"/>
    </w:rPr>
  </w:style>
  <w:style w:type="paragraph" w:styleId="15">
    <w:name w:val="Body Text 3"/>
    <w:basedOn w:val="1"/>
    <w:link w:val="61"/>
    <w:qFormat/>
    <w:uiPriority w:val="0"/>
    <w:rPr>
      <w:rFonts w:ascii="宋体"/>
      <w:kern w:val="0"/>
      <w:sz w:val="24"/>
      <w:szCs w:val="20"/>
    </w:rPr>
  </w:style>
  <w:style w:type="paragraph" w:styleId="16">
    <w:name w:val="Body Text"/>
    <w:basedOn w:val="1"/>
    <w:next w:val="1"/>
    <w:link w:val="64"/>
    <w:qFormat/>
    <w:uiPriority w:val="0"/>
    <w:pPr>
      <w:spacing w:after="120"/>
    </w:pPr>
    <w:rPr>
      <w:kern w:val="0"/>
      <w:sz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4"/>
    <w:next w:val="14"/>
    <w:link w:val="67"/>
    <w:qFormat/>
    <w:uiPriority w:val="0"/>
    <w:rPr>
      <w:b/>
      <w:bCs/>
    </w:rPr>
  </w:style>
  <w:style w:type="paragraph" w:styleId="41">
    <w:name w:val="Body Text First Indent"/>
    <w:basedOn w:val="16"/>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4"/>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5"/>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16"/>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2"/>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3"/>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character" w:customStyle="1" w:styleId="168">
    <w:name w:val="font31"/>
    <w:qFormat/>
    <w:uiPriority w:val="0"/>
    <w:rPr>
      <w:rFonts w:ascii="微软雅黑" w:hAnsi="微软雅黑" w:eastAsia="微软雅黑" w:cs="微软雅黑"/>
      <w:color w:val="000000"/>
      <w:sz w:val="22"/>
      <w:szCs w:val="22"/>
      <w:u w:val="none"/>
    </w:rPr>
  </w:style>
  <w:style w:type="paragraph" w:customStyle="1" w:styleId="169">
    <w:name w:val="表格内正文，无编号"/>
    <w:basedOn w:val="1"/>
    <w:qFormat/>
    <w:uiPriority w:val="0"/>
    <w:pPr>
      <w:spacing w:line="400" w:lineRule="exact"/>
      <w:ind w:firstLine="643" w:firstLineChars="200"/>
    </w:pPr>
  </w:style>
  <w:style w:type="paragraph" w:customStyle="1" w:styleId="17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6159</Words>
  <Characters>6451</Characters>
  <Lines>57</Lines>
  <Paragraphs>16</Paragraphs>
  <TotalTime>6</TotalTime>
  <ScaleCrop>false</ScaleCrop>
  <LinksUpToDate>false</LinksUpToDate>
  <CharactersWithSpaces>7278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2022-09-08T02:09:00Z</dcterms:created>
  <dc:creator>陈桂兰</dc:creator>
  <cp:lastModifiedBy>♂杰♂</cp:lastModifiedBy>
  <cp:lastPrinted>2020-05-11T23:11:00Z</cp:lastPrinted>
  <dcterms:modified xsi:type="dcterms:W3CDTF">2022-09-29T06:54:25Z</dcterms:modified>
  <dc:title>项目名称：2019年重庆市取消高速公路省界收费站项目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ED1152307E304A8AB7386522AE35BA3F</vt:lpwstr>
  </property>
</Properties>
</file>