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重庆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中渝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高速公路有限公司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方正小标宋_GBK" w:hAnsi="方正小标宋_GBK" w:eastAsia="方正小标宋_GBK" w:cs="方正小标宋_GBK"/>
          <w:b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土地勘测定界项目咨询技术服务竞争性比选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为明确我公司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土地租赁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土地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占用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补偿事项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的合法经济权利，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</w:rPr>
        <w:t>我司拟通过竞争性比选方式选择专业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eastAsia="zh-CN"/>
        </w:rPr>
        <w:t>土地勘测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</w:rPr>
        <w:t>咨询机构，为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eastAsia="zh-CN"/>
        </w:rPr>
        <w:t>土地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</w:rPr>
        <w:t>资产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eastAsia="zh-CN"/>
        </w:rPr>
        <w:t>相关勘界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/>
        </w:rPr>
        <w:t>定界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</w:rPr>
        <w:t>项目提供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eastAsia="zh-CN"/>
        </w:rPr>
        <w:t>勘界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</w:rPr>
        <w:t>咨询服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/>
        </w:rPr>
        <w:t>务，本次咨询技术服务期为2年（2022年11月1日至2024年10月31日）。项目概况及有关要求如下：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0" w:firstLineChars="175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/>
        </w:rPr>
        <w:t>为我司2022年土地资产相关勘测定界项目提供勘测定界咨询服务，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主要包括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中渝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范围内需要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土地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租赁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或占用补偿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的相关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土地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资产。具体项目以我司下达的任务通知书为准。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二、比选内容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权属单位现场指界并签字盖章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的土地位置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。根据现场调查及收集数据出具勘测定界成果资料。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满足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土地租赁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、土地占用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补偿等项目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的费用结算要求。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人资质要求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邀请具备以下条件的单位参与本次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人须具有独立法人资格，持有有效企业营业执照。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人须具有规划和自然资源主管部门颁发的测绘乙级及以上资格证书。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3.基本业绩要求：2020年1月1日至投标截止日止至少独立完成1个勘测定界类业绩。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4.未被“信用中国”网站(http：//www.creditchina.gov.cn/)中列入失信被执行人名单。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6.凡不满足以上资质要求的投标文件均作废标处理。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7、如不符合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人资格要求，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人可以随时取消其报价或中标资格，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人的一切损失不负任何责任。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8、根据上述资格要求，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应提供有效的企业营业执照副本和组织机构代码证副本（按照“三证合一”或“五证合一”登记制度进行登记的，可仅提供营业执照副本）、相应资质证书、业绩的合同文件。资料要求均为清晰可辨的复印件或扫描打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四、报价限价及报价方式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结合市场价本次以5000元/次（不论面积大小）作为报价最高限价。报价高于5000元/次为废标</w:t>
      </w:r>
      <w:r>
        <w:rPr>
          <w:rFonts w:hint="eastAsia" w:ascii="方正仿宋_GBK" w:hAnsi="宋体" w:eastAsia="方正仿宋_GBK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人所报单价包括但不限于为完成本次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全部工作内容所需的评审费、协调工作经费、差旅费、劳务、测绘、会务费、加班费、专家咨询费、材料、管理、税费、利润等所有费用，以及本《竞争性比选文件》明示或暗示的所有责任、义务和一般风险。本次报价单价为该项目合同包干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outlineLvl w:val="0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  <w:t>五、评审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  <w:t>法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  <w:t>评审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  <w:lang w:val="en-US"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满足资格条件并符合报价原则，经评审报价最低的单位为中标单位。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六、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包含内容如下：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目录（需加盖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（4）报价表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（5）法定代表人身份证明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（6）授权委托书（若有）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（7）资格审查资料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①（表1）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②（表2）拟委任的主要人员资历表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③（表3）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近年完成的类似项目汇总表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方正仿宋_GBK" w:cs="Calibri"/>
          <w:sz w:val="28"/>
          <w:szCs w:val="28"/>
          <w:lang w:val="en-US" w:eastAsia="zh-CN"/>
        </w:rPr>
        <w:t>④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书面声明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（8）技术方案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（9）其他资料（若有）（需加盖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的封装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提供正副本各一份。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应装订成册，不得采用活页装订。否则，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人对由于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装订松散而造成的丢失或其他后果不承担任何责任。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应编制目录，并且从目录开始逐页标注连续页码。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应密封在封套中，未密封的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将不予签收。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（4）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应使用不褪色的墨水书写或打印，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应按竞争性比选文件的要求签章完善，禁止使用印章或签名章。如果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由授权代理人签署，其代理人的授权书应按竞争性比选文件规定的格式出具，并由授权人和被授权人亲笔签名，禁止使用印章或签名章。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（5）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的任何一处涂改、行间插字或删除，均应由前款规定的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签署人在修改处签署姓名并加盖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（6）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对所提供的所有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资料均保证其真实性和合法性，如有虚假，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人将取消其报价及中标资格；若在合同实施期间发现中标人提供了虚假资料，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人有权单方面解除合同，同时没收其履约担保，或予以违约处罚并上报上级主管部门。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七、竞争性比选须知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outlineLvl w:val="9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（一）竞争性比选公告发布时间：2022年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28日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在高速集团官网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（http://www.cegc.com.cn/gw/index）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上发布竞争性比选公告。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outlineLvl w:val="9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（二）竞争性比选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时间：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投标人在2022年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时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前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提交投标书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，逾期不予受理。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outlineLvl w:val="9"/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（三）竞争性比选地点：重庆中渝高速公路有限公司二会议室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outlineLvl w:val="9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（四）竞争性比选项目开标时间：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lang w:val="en-US" w:eastAsia="zh-CN"/>
        </w:rPr>
        <w:t>2022年11月2日10时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五）各投标人应根据本次竞争性比选的具体要求，编制规范的竞争性比选响应文件（竞争性比选响应文件，要求填写规范，密封完好并在封口处加盖单位公章，所有竞争性比选响应文件均只能作一次性提交，提交后不得更改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（六）竞争性比选响应文件的份数及编制要求。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竞争性比选响应文件正本1份，副本1份，竞争性比选响应文件按竞争性比选文件中规定格式排版，并应编制目录，逐页标注页码。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（七）密封要求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将竞争性比选响应文件密封到一个封套中，再在封套上写明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outlineLvl w:val="9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重庆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中渝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高速公路有限公司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rPr>
          <w:rFonts w:hint="eastAsia" w:ascii="方正仿宋_GBK" w:hAnsi="方正仿宋_GBK" w:eastAsia="方正仿宋_GBK" w:cs="方正仿宋_GBK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eastAsia="zh-CN"/>
        </w:rPr>
        <w:t>土地相关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勘测定界项目咨询技术服务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60" w:firstLineChars="1450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竞争性比选响应性文件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800"/>
        <w:rPr>
          <w:rFonts w:hint="eastAsia" w:ascii="方正仿宋_GBK" w:hAnsi="方正仿宋_GBK" w:eastAsia="方正仿宋_GBK" w:cs="方正仿宋_GBK"/>
          <w:sz w:val="28"/>
          <w:szCs w:val="28"/>
          <w:highlight w:val="yellow"/>
          <w:u w:val="single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>在2022年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>时前不得开启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900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900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投标人单位名称：          （盖单位公章）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/>
        </w:rPr>
        <w:t>如本次竞争性比选失败，我司将按照《重庆高速集团有限公司招标投标管理办法》和中渝公司《招标管理办法》相关规定，可邀请报价较低的投标人进行谈判，确定项目承担单位。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outlineLvl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竞争性比选人：重庆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中渝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高速公路有限公司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  址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重庆市绕城高速公路双福南收费站旁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  话：023-47846830、13677677877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55075"/>
    <w:multiLevelType w:val="singleLevel"/>
    <w:tmpl w:val="4EB5507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79CA3A"/>
    <w:multiLevelType w:val="singleLevel"/>
    <w:tmpl w:val="7979CA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945B6"/>
    <w:rsid w:val="03F07B2F"/>
    <w:rsid w:val="07531EC4"/>
    <w:rsid w:val="230872A8"/>
    <w:rsid w:val="281D317B"/>
    <w:rsid w:val="29086E27"/>
    <w:rsid w:val="2C101178"/>
    <w:rsid w:val="2C773E7E"/>
    <w:rsid w:val="2FB6006F"/>
    <w:rsid w:val="386D1AF3"/>
    <w:rsid w:val="3D2945B6"/>
    <w:rsid w:val="3E8565B7"/>
    <w:rsid w:val="43FC3F98"/>
    <w:rsid w:val="46D857E3"/>
    <w:rsid w:val="48DA3690"/>
    <w:rsid w:val="4C791E9C"/>
    <w:rsid w:val="4CED444C"/>
    <w:rsid w:val="55DC7D8C"/>
    <w:rsid w:val="60820D0F"/>
    <w:rsid w:val="65856D9E"/>
    <w:rsid w:val="662D4253"/>
    <w:rsid w:val="6CA24307"/>
    <w:rsid w:val="702C43A4"/>
    <w:rsid w:val="70E437E4"/>
    <w:rsid w:val="76352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2022-10-27T02:17:00Z</dcterms:created>
  <dc:creator>傅渝凌</dc:creator>
  <cp:lastModifiedBy>傅渝凌</cp:lastModifiedBy>
  <dcterms:modified xsi:type="dcterms:W3CDTF">2022-10-27T03:24:27Z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24A4E98DE87949C98E548258C52CA44A</vt:lpwstr>
  </property>
</Properties>
</file>