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涪江渭沱枢纽船闸扩能升级改造工程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涪江渭沱枢纽船闸扩能升级改造工程</w:t>
      </w:r>
    </w:p>
    <w:p>
      <w:pPr>
        <w:spacing w:line="510" w:lineRule="exact"/>
        <w:jc w:val="center"/>
        <w:rPr>
          <w:rFonts w:hint="eastAsia" w:ascii="Times New Roman" w:hAnsi="Times New Roman" w:eastAsia="方正小标宋_GBK" w:cs="Times New Roman"/>
          <w:color w:val="auto"/>
          <w:sz w:val="36"/>
          <w:szCs w:val="36"/>
          <w:highlight w:val="none"/>
          <w:lang w:eastAsia="zh-CN"/>
        </w:rPr>
      </w:pPr>
      <w:r>
        <w:rPr>
          <w:rFonts w:hint="eastAsia" w:ascii="方正小标宋_GBK" w:hAnsi="方正小标宋_GBK" w:eastAsia="方正小标宋_GBK" w:cs="Times New Roman"/>
          <w:bCs/>
          <w:kern w:val="0"/>
          <w:sz w:val="36"/>
          <w:szCs w:val="44"/>
        </w:rPr>
        <w:t>洪水影响评价报告编制</w:t>
      </w:r>
      <w:r>
        <w:rPr>
          <w:rFonts w:hint="default" w:ascii="Times New Roman" w:hAnsi="Times New Roman" w:eastAsia="方正小标宋_GBK" w:cs="Times New Roman"/>
          <w:color w:val="auto"/>
          <w:sz w:val="36"/>
          <w:szCs w:val="36"/>
          <w:highlight w:val="none"/>
          <w:lang w:eastAsia="zh-CN"/>
        </w:rPr>
        <w:t>询价公告</w:t>
      </w:r>
      <w:r>
        <w:rPr>
          <w:rFonts w:hint="eastAsia" w:ascii="Times New Roman" w:hAnsi="Times New Roman" w:eastAsia="方正小标宋_GBK" w:cs="Times New Roman"/>
          <w:color w:val="auto"/>
          <w:sz w:val="36"/>
          <w:szCs w:val="36"/>
          <w:highlight w:val="none"/>
          <w:lang w:eastAsia="zh-CN"/>
        </w:rPr>
        <w:t>（</w:t>
      </w:r>
      <w:r>
        <w:rPr>
          <w:rFonts w:hint="eastAsia" w:ascii="Times New Roman" w:hAnsi="Times New Roman" w:eastAsia="方正小标宋_GBK" w:cs="Times New Roman"/>
          <w:color w:val="auto"/>
          <w:sz w:val="36"/>
          <w:szCs w:val="36"/>
          <w:highlight w:val="none"/>
          <w:lang w:val="en-US" w:eastAsia="zh-CN"/>
        </w:rPr>
        <w:t>第二次</w:t>
      </w:r>
      <w:r>
        <w:rPr>
          <w:rFonts w:hint="eastAsia" w:ascii="Times New Roman" w:hAnsi="Times New Roman" w:eastAsia="方正小标宋_GBK" w:cs="Times New Roman"/>
          <w:color w:val="auto"/>
          <w:sz w:val="36"/>
          <w:szCs w:val="36"/>
          <w:highlight w:val="none"/>
          <w:lang w:eastAsia="zh-CN"/>
        </w:rPr>
        <w:t>）</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6230450"/>
      <w:bookmarkStart w:id="4" w:name="_Toc29194681"/>
      <w:bookmarkStart w:id="5" w:name="_Toc52097500"/>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涪江渭沱枢纽船闸扩能升级改造工程洪水影响评价报告编制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洪水影响评价报告编制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第二次高速集团官网公开询价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39.6</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本次项目为</w:t>
      </w:r>
      <w:r>
        <w:rPr>
          <w:rFonts w:hint="eastAsia" w:ascii="方正仿宋_GBK" w:hAnsi="方正仿宋_GBK" w:eastAsia="方正仿宋_GBK" w:cs="方正仿宋_GBK"/>
          <w:sz w:val="32"/>
          <w:szCs w:val="32"/>
          <w:lang w:val="en-US" w:eastAsia="zh-CN"/>
        </w:rPr>
        <w:t>涪江渭沱枢纽船闸扩能升级改造工程洪水影响评价报告编制的第二次询价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w:t>
      </w:r>
      <w:r>
        <w:rPr>
          <w:rFonts w:hint="eastAsia" w:ascii="方正仿宋_GBK" w:hAnsi="方正仿宋_GBK" w:eastAsia="方正仿宋_GBK" w:cs="方正仿宋_GBK"/>
          <w:sz w:val="32"/>
          <w:szCs w:val="32"/>
          <w:lang w:val="en-US" w:eastAsia="zh-CN"/>
        </w:rPr>
        <w:t>洪水影响评价报告编制</w:t>
      </w:r>
      <w:r>
        <w:rPr>
          <w:rFonts w:hint="eastAsia" w:ascii="方正仿宋_GBK" w:hAnsi="方正仿宋_GBK" w:eastAsia="方正仿宋_GBK" w:cs="方正仿宋_GBK"/>
          <w:bCs/>
          <w:color w:val="auto"/>
          <w:sz w:val="32"/>
          <w:szCs w:val="32"/>
          <w:highlight w:val="none"/>
          <w:lang w:val="en-US" w:eastAsia="zh-CN"/>
        </w:rPr>
        <w:t>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w:t>
      </w:r>
      <w:r>
        <w:rPr>
          <w:rFonts w:hint="eastAsia" w:ascii="方正仿宋_GBK" w:hAnsi="方正仿宋_GBK" w:eastAsia="方正仿宋_GBK" w:cs="方正仿宋_GBK"/>
          <w:sz w:val="32"/>
          <w:szCs w:val="32"/>
          <w:lang w:val="en-US" w:eastAsia="zh-CN"/>
        </w:rPr>
        <w:t>洪水影响评价报告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取得省级（或直辖市）及以上行政主管部门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324429696"/>
      <w:bookmarkStart w:id="18" w:name="_Toc13014"/>
      <w:bookmarkStart w:id="19" w:name="_Toc29194684"/>
      <w:bookmarkStart w:id="20" w:name="_Toc323734101"/>
      <w:bookmarkStart w:id="21"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w:t>
      </w:r>
      <w:bookmarkStart w:id="22" w:name="_GoBack"/>
      <w:bookmarkEnd w:id="22"/>
      <w:r>
        <w:rPr>
          <w:rFonts w:hint="default" w:ascii="Times New Roman" w:hAnsi="Times New Roman" w:eastAsia="方正仿宋_GBK" w:cs="Times New Roman"/>
          <w:bCs/>
          <w:color w:val="auto"/>
          <w:sz w:val="32"/>
          <w:szCs w:val="32"/>
          <w:highlight w:val="none"/>
          <w:lang w:eastAsia="zh-CN"/>
        </w:rPr>
        <w:t>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396000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39.6</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渭沱船闸改造工程洪水影响评价（第二次）</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035EFE"/>
    <w:rsid w:val="01906439"/>
    <w:rsid w:val="020019E7"/>
    <w:rsid w:val="022575EF"/>
    <w:rsid w:val="048A3FA3"/>
    <w:rsid w:val="04C75BA9"/>
    <w:rsid w:val="05046843"/>
    <w:rsid w:val="05940AC6"/>
    <w:rsid w:val="0636605F"/>
    <w:rsid w:val="066E658D"/>
    <w:rsid w:val="067A2C61"/>
    <w:rsid w:val="06ED263D"/>
    <w:rsid w:val="07501833"/>
    <w:rsid w:val="08651193"/>
    <w:rsid w:val="08F93D5B"/>
    <w:rsid w:val="09CD7F8F"/>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1F7A7982"/>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F017EB"/>
    <w:rsid w:val="33254D78"/>
    <w:rsid w:val="33541C67"/>
    <w:rsid w:val="335D4929"/>
    <w:rsid w:val="33C83BC3"/>
    <w:rsid w:val="34D729A1"/>
    <w:rsid w:val="35153592"/>
    <w:rsid w:val="35276BCD"/>
    <w:rsid w:val="35996867"/>
    <w:rsid w:val="387B5356"/>
    <w:rsid w:val="389F0583"/>
    <w:rsid w:val="3A296D28"/>
    <w:rsid w:val="3B3B1938"/>
    <w:rsid w:val="3B536115"/>
    <w:rsid w:val="3B896557"/>
    <w:rsid w:val="3D12686E"/>
    <w:rsid w:val="3D18578A"/>
    <w:rsid w:val="3DA55E6C"/>
    <w:rsid w:val="3DF80EEB"/>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5260A34"/>
    <w:rsid w:val="453756CC"/>
    <w:rsid w:val="454A4722"/>
    <w:rsid w:val="455255E8"/>
    <w:rsid w:val="45912351"/>
    <w:rsid w:val="45B11EFA"/>
    <w:rsid w:val="46E4318C"/>
    <w:rsid w:val="46F43FF9"/>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0E459E"/>
    <w:rsid w:val="508711A9"/>
    <w:rsid w:val="510E35CE"/>
    <w:rsid w:val="517B4EC0"/>
    <w:rsid w:val="51B322DA"/>
    <w:rsid w:val="51CC3CA7"/>
    <w:rsid w:val="51F850A8"/>
    <w:rsid w:val="526D2EBF"/>
    <w:rsid w:val="53366EE7"/>
    <w:rsid w:val="53DC50DF"/>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6C52B2"/>
    <w:rsid w:val="5E7D7B12"/>
    <w:rsid w:val="5E96017E"/>
    <w:rsid w:val="5EB934BF"/>
    <w:rsid w:val="5EF2527F"/>
    <w:rsid w:val="5F4768A1"/>
    <w:rsid w:val="5FA74DF5"/>
    <w:rsid w:val="60895210"/>
    <w:rsid w:val="60DC0379"/>
    <w:rsid w:val="60F91A9B"/>
    <w:rsid w:val="61033B4B"/>
    <w:rsid w:val="61681DAA"/>
    <w:rsid w:val="62137647"/>
    <w:rsid w:val="64761A1E"/>
    <w:rsid w:val="65585085"/>
    <w:rsid w:val="67015D83"/>
    <w:rsid w:val="6755430C"/>
    <w:rsid w:val="676C3643"/>
    <w:rsid w:val="67B30A70"/>
    <w:rsid w:val="68466749"/>
    <w:rsid w:val="68562C5D"/>
    <w:rsid w:val="68762F5B"/>
    <w:rsid w:val="689313CC"/>
    <w:rsid w:val="69E81028"/>
    <w:rsid w:val="6D541C74"/>
    <w:rsid w:val="6D8C1329"/>
    <w:rsid w:val="6DAD722E"/>
    <w:rsid w:val="6DE06576"/>
    <w:rsid w:val="700B0D28"/>
    <w:rsid w:val="70656815"/>
    <w:rsid w:val="70833368"/>
    <w:rsid w:val="709655A9"/>
    <w:rsid w:val="70D83866"/>
    <w:rsid w:val="710D7515"/>
    <w:rsid w:val="7139605B"/>
    <w:rsid w:val="71630796"/>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2169</Words>
  <Characters>2408</Characters>
  <Lines>72</Lines>
  <Paragraphs>20</Paragraphs>
  <TotalTime>18</TotalTime>
  <ScaleCrop>false</ScaleCrop>
  <LinksUpToDate>false</LinksUpToDate>
  <CharactersWithSpaces>2492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2023-03-01T06:34:36Z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A8AC039E44EE4285AF8D8F3268F215A0</vt:lpwstr>
  </property>
</Properties>
</file>