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15"/>
        </w:tabs>
        <w:spacing w:line="360" w:lineRule="auto"/>
        <w:rPr>
          <w:rFonts w:hint="eastAsia" w:asciiTheme="majorEastAsia" w:hAnsiTheme="majorEastAsia" w:eastAsiaTheme="majorEastAsia"/>
          <w:b/>
          <w:sz w:val="32"/>
          <w:szCs w:val="32"/>
          <w:u w:val="single"/>
        </w:rPr>
      </w:pPr>
    </w:p>
    <w:p>
      <w:pPr>
        <w:tabs>
          <w:tab w:val="left" w:pos="6615"/>
        </w:tabs>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长合高速公路石船服务区空间营造EPC工程</w:t>
      </w: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276" w:lineRule="auto"/>
        <w:jc w:val="center"/>
        <w:rPr>
          <w:rFonts w:asciiTheme="majorEastAsia" w:hAnsiTheme="majorEastAsia" w:eastAsiaTheme="majorEastAsia"/>
          <w:b/>
          <w:sz w:val="88"/>
          <w:szCs w:val="88"/>
        </w:rPr>
      </w:pPr>
      <w:r>
        <w:rPr>
          <w:rFonts w:hint="eastAsia" w:asciiTheme="majorEastAsia" w:hAnsiTheme="majorEastAsia" w:eastAsiaTheme="majorEastAsia"/>
          <w:b/>
          <w:sz w:val="88"/>
          <w:szCs w:val="88"/>
        </w:rPr>
        <w:t>竞争性比选文件</w:t>
      </w: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993" w:firstLineChars="220"/>
        <w:jc w:val="left"/>
        <w:rPr>
          <w:rFonts w:asciiTheme="majorEastAsia" w:hAnsiTheme="majorEastAsia" w:eastAsiaTheme="majorEastAsia"/>
          <w:b/>
          <w:sz w:val="30"/>
          <w:szCs w:val="30"/>
          <w:u w:val="single"/>
        </w:rPr>
      </w:pPr>
      <w:r>
        <w:rPr>
          <w:rFonts w:hint="eastAsia" w:asciiTheme="majorEastAsia" w:hAnsiTheme="majorEastAsia" w:eastAsiaTheme="majorEastAsia"/>
          <w:b/>
          <w:spacing w:val="75"/>
          <w:kern w:val="0"/>
          <w:sz w:val="30"/>
          <w:szCs w:val="30"/>
        </w:rPr>
        <w:t>比选</w:t>
      </w:r>
      <w:r>
        <w:rPr>
          <w:rFonts w:hint="eastAsia" w:asciiTheme="majorEastAsia" w:hAnsiTheme="majorEastAsia" w:eastAsiaTheme="majorEastAsia"/>
          <w:b/>
          <w:kern w:val="0"/>
          <w:sz w:val="30"/>
          <w:szCs w:val="30"/>
        </w:rPr>
        <w:t>人</w:t>
      </w:r>
      <w:r>
        <w:rPr>
          <w:rFonts w:hint="eastAsia" w:asciiTheme="majorEastAsia" w:hAnsiTheme="majorEastAsia" w:eastAsiaTheme="majorEastAsia"/>
          <w:b/>
          <w:sz w:val="30"/>
          <w:szCs w:val="30"/>
        </w:rPr>
        <w:t>：</w:t>
      </w:r>
      <w:r>
        <w:rPr>
          <w:rFonts w:hint="eastAsia" w:asciiTheme="majorEastAsia" w:hAnsiTheme="majorEastAsia" w:eastAsiaTheme="majorEastAsia"/>
          <w:b/>
          <w:sz w:val="30"/>
          <w:szCs w:val="30"/>
          <w:u w:val="single"/>
        </w:rPr>
        <w:t>高速管家（重庆）实业有限公司</w:t>
      </w:r>
      <w:r>
        <w:rPr>
          <w:rFonts w:hint="eastAsia" w:cs="宋体" w:asciiTheme="majorEastAsia" w:hAnsiTheme="majorEastAsia" w:eastAsiaTheme="majorEastAsia"/>
          <w:b/>
          <w:sz w:val="30"/>
          <w:szCs w:val="30"/>
        </w:rPr>
        <w:t>（盖章）</w:t>
      </w:r>
    </w:p>
    <w:p>
      <w:pPr>
        <w:snapToGrid w:val="0"/>
        <w:jc w:val="center"/>
        <w:rPr>
          <w:rFonts w:asciiTheme="majorEastAsia" w:hAnsiTheme="majorEastAsia" w:eastAsiaTheme="majorEastAsia"/>
          <w:b/>
          <w:sz w:val="28"/>
          <w:szCs w:val="28"/>
        </w:rPr>
      </w:pPr>
    </w:p>
    <w:p>
      <w:pPr>
        <w:snapToGrid w:val="0"/>
        <w:spacing w:line="360" w:lineRule="auto"/>
        <w:jc w:val="center"/>
        <w:rPr>
          <w:rFonts w:asciiTheme="majorEastAsia" w:hAnsiTheme="majorEastAsia" w:eastAsiaTheme="majorEastAsia"/>
          <w:b/>
          <w:sz w:val="32"/>
          <w:szCs w:val="28"/>
        </w:rPr>
      </w:pPr>
      <w:r>
        <w:rPr>
          <w:rFonts w:hint="eastAsia" w:asciiTheme="majorEastAsia" w:hAnsiTheme="majorEastAsia" w:eastAsiaTheme="majorEastAsia"/>
          <w:b/>
          <w:sz w:val="32"/>
          <w:szCs w:val="28"/>
        </w:rPr>
        <w:t>二〇二一年</w:t>
      </w:r>
      <w:r>
        <w:rPr>
          <w:rFonts w:hint="eastAsia" w:asciiTheme="majorEastAsia" w:hAnsiTheme="majorEastAsia" w:eastAsiaTheme="majorEastAsia"/>
          <w:b/>
          <w:sz w:val="32"/>
          <w:szCs w:val="28"/>
          <w:lang w:val="en-US" w:eastAsia="zh-CN"/>
        </w:rPr>
        <w:t>六</w:t>
      </w:r>
      <w:r>
        <w:rPr>
          <w:rFonts w:hint="eastAsia" w:asciiTheme="majorEastAsia" w:hAnsiTheme="majorEastAsia" w:eastAsiaTheme="majorEastAsia"/>
          <w:b/>
          <w:sz w:val="32"/>
          <w:szCs w:val="28"/>
        </w:rPr>
        <w:t>月</w:t>
      </w:r>
    </w:p>
    <w:p>
      <w:pPr>
        <w:snapToGrid w:val="0"/>
        <w:spacing w:line="360" w:lineRule="auto"/>
        <w:jc w:val="center"/>
        <w:rPr>
          <w:rFonts w:asciiTheme="majorEastAsia" w:hAnsiTheme="majorEastAsia" w:eastAsiaTheme="majorEastAsia"/>
          <w:b/>
          <w:sz w:val="32"/>
          <w:szCs w:val="28"/>
        </w:rPr>
      </w:pPr>
    </w:p>
    <w:p>
      <w:pPr>
        <w:snapToGrid w:val="0"/>
        <w:spacing w:line="360" w:lineRule="auto"/>
        <w:jc w:val="center"/>
        <w:rPr>
          <w:rFonts w:asciiTheme="majorEastAsia" w:hAnsiTheme="majorEastAsia" w:eastAsiaTheme="majorEastAsia"/>
          <w:b/>
          <w:sz w:val="32"/>
          <w:szCs w:val="28"/>
        </w:rPr>
        <w:sectPr>
          <w:headerReference r:id="rId3" w:type="default"/>
          <w:pgSz w:w="11907" w:h="16839"/>
          <w:pgMar w:top="1440" w:right="1559" w:bottom="1440" w:left="1800" w:header="993" w:footer="982" w:gutter="0"/>
          <w:pgNumType w:start="1"/>
          <w:cols w:space="720" w:num="1"/>
          <w:docGrid w:linePitch="286" w:charSpace="0"/>
        </w:sectPr>
      </w:pPr>
    </w:p>
    <w:p>
      <w:pPr>
        <w:snapToGrid w:val="0"/>
        <w:spacing w:line="360" w:lineRule="auto"/>
        <w:jc w:val="center"/>
        <w:rPr>
          <w:rFonts w:asciiTheme="majorEastAsia" w:hAnsiTheme="majorEastAsia" w:eastAsiaTheme="majorEastAsia"/>
          <w:b/>
          <w:kern w:val="0"/>
          <w:sz w:val="28"/>
          <w:szCs w:val="28"/>
        </w:rPr>
      </w:pPr>
      <w:r>
        <w:rPr>
          <w:rFonts w:hint="eastAsia" w:asciiTheme="majorEastAsia" w:hAnsiTheme="majorEastAsia" w:eastAsiaTheme="majorEastAsia"/>
          <w:b/>
          <w:kern w:val="0"/>
          <w:sz w:val="28"/>
          <w:szCs w:val="28"/>
        </w:rPr>
        <w:t>目 录</w:t>
      </w:r>
    </w:p>
    <w:p>
      <w:pPr>
        <w:pStyle w:val="37"/>
        <w:tabs>
          <w:tab w:val="right" w:leader="dot" w:pos="8385"/>
        </w:tabs>
        <w:rPr>
          <w:rFonts w:ascii="Calibri" w:hAnsi="Calibri" w:eastAsia="宋体" w:cs="Times New Roman"/>
          <w:kern w:val="2"/>
          <w:lang w:val="en-US" w:eastAsia="zh-CN" w:bidi="ar-SA"/>
        </w:rPr>
      </w:pPr>
      <w:r>
        <w:rPr>
          <w:rFonts w:asciiTheme="majorEastAsia" w:hAnsiTheme="majorEastAsia" w:eastAsiaTheme="majorEastAsia"/>
          <w:bCs/>
          <w:kern w:val="0"/>
          <w:szCs w:val="21"/>
        </w:rPr>
        <w:fldChar w:fldCharType="begin"/>
      </w:r>
      <w:r>
        <w:rPr>
          <w:rFonts w:asciiTheme="majorEastAsia" w:hAnsiTheme="majorEastAsia" w:eastAsiaTheme="majorEastAsia"/>
          <w:bCs/>
          <w:kern w:val="0"/>
          <w:szCs w:val="21"/>
        </w:rPr>
        <w:instrText xml:space="preserve"> </w:instrText>
      </w:r>
      <w:r>
        <w:rPr>
          <w:rFonts w:hint="eastAsia" w:asciiTheme="majorEastAsia" w:hAnsiTheme="majorEastAsia" w:eastAsiaTheme="majorEastAsia"/>
          <w:bCs/>
          <w:kern w:val="0"/>
          <w:szCs w:val="21"/>
        </w:rPr>
        <w:instrText xml:space="preserve">TOC \o "1-3" \h \z \u</w:instrText>
      </w:r>
      <w:r>
        <w:rPr>
          <w:rFonts w:asciiTheme="majorEastAsia" w:hAnsiTheme="majorEastAsia" w:eastAsiaTheme="majorEastAsia"/>
          <w:bCs/>
          <w:kern w:val="0"/>
          <w:szCs w:val="21"/>
        </w:rPr>
        <w:instrText xml:space="preserve"> </w:instrText>
      </w:r>
      <w:r>
        <w:rPr>
          <w:rFonts w:asciiTheme="majorEastAsia" w:hAnsiTheme="majorEastAsia" w:eastAsiaTheme="majorEastAsia"/>
          <w:bCs/>
          <w:kern w:val="0"/>
          <w:szCs w:val="21"/>
        </w:rPr>
        <w:fldChar w:fldCharType="separate"/>
      </w: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_Toc29123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kern w:val="0"/>
          <w:szCs w:val="36"/>
          <w:lang w:val="en-US" w:eastAsia="zh-CN" w:bidi="ar-SA"/>
        </w:rPr>
        <w:t>第一章 竞争性比选公告</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_Toc29123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1</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_Toc8276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bCs/>
          <w:kern w:val="2"/>
          <w:szCs w:val="22"/>
          <w:lang w:val="zh-CN" w:eastAsia="zh-CN" w:bidi="ar-SA"/>
        </w:rPr>
        <w:t>1．比选条件</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_Toc8276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1</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_Toc11653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bCs/>
          <w:kern w:val="2"/>
          <w:szCs w:val="22"/>
          <w:lang w:val="zh-CN" w:eastAsia="zh-CN" w:bidi="ar-SA"/>
        </w:rPr>
        <w:t>2．项目概况与比选范围</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_Toc11653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1</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_Toc9267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bCs/>
          <w:kern w:val="2"/>
          <w:szCs w:val="22"/>
          <w:lang w:val="zh-CN" w:eastAsia="zh-CN" w:bidi="ar-SA"/>
        </w:rPr>
        <w:t>3．比选申请人资格要求</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_Toc9267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1</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_Toc27291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bCs/>
          <w:kern w:val="2"/>
          <w:szCs w:val="22"/>
          <w:lang w:val="zh-CN" w:eastAsia="zh-CN" w:bidi="ar-SA"/>
        </w:rPr>
        <w:t>4．比选文件的获取</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_Toc27291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_Toc18559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bCs/>
          <w:kern w:val="2"/>
          <w:szCs w:val="22"/>
          <w:lang w:val="zh-CN" w:eastAsia="zh-CN" w:bidi="ar-SA"/>
        </w:rPr>
        <w:t>5．比选申请文件的递交</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_Toc18559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_Toc18990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bCs/>
          <w:kern w:val="2"/>
          <w:szCs w:val="22"/>
          <w:lang w:val="en-US" w:eastAsia="zh-CN" w:bidi="ar-SA"/>
        </w:rPr>
        <w:t>6．</w:t>
      </w:r>
      <w:r>
        <w:rPr>
          <w:rFonts w:hint="eastAsia" w:cs="宋体" w:asciiTheme="majorEastAsia" w:hAnsiTheme="majorEastAsia" w:eastAsiaTheme="majorEastAsia"/>
          <w:bCs/>
          <w:kern w:val="2"/>
          <w:szCs w:val="22"/>
          <w:lang w:val="zh-CN" w:eastAsia="zh-CN" w:bidi="ar-SA"/>
        </w:rPr>
        <w:t>发布公告的媒介</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_Toc18990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_Toc9980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bCs/>
          <w:kern w:val="2"/>
          <w:szCs w:val="22"/>
          <w:lang w:val="zh-CN" w:eastAsia="zh-CN" w:bidi="ar-SA"/>
        </w:rPr>
        <w:t>7．联系方式</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_Toc9980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3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_Toc3889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kern w:val="0"/>
          <w:szCs w:val="36"/>
          <w:lang w:val="en-US" w:eastAsia="zh-CN" w:bidi="ar-SA"/>
        </w:rPr>
        <w:t>第二章</w:t>
      </w:r>
      <w:r>
        <w:rPr>
          <w:rFonts w:hint="eastAsia" w:cs="Times New Roman" w:asciiTheme="majorEastAsia" w:hAnsiTheme="majorEastAsia" w:eastAsiaTheme="majorEastAsia"/>
          <w:kern w:val="0"/>
          <w:szCs w:val="36"/>
          <w:lang w:val="en-US" w:eastAsia="zh-CN" w:bidi="ar-SA"/>
        </w:rPr>
        <w:t xml:space="preserve"> 比选申请</w:t>
      </w:r>
      <w:r>
        <w:rPr>
          <w:rFonts w:cs="Times New Roman" w:asciiTheme="majorEastAsia" w:hAnsiTheme="majorEastAsia" w:eastAsiaTheme="majorEastAsia"/>
          <w:kern w:val="0"/>
          <w:szCs w:val="36"/>
          <w:lang w:val="en-US" w:eastAsia="zh-CN" w:bidi="ar-SA"/>
        </w:rPr>
        <w:t>人须知</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_Toc3889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3</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_Toc11814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kern w:val="2"/>
          <w:szCs w:val="24"/>
          <w:lang w:val="en-US" w:eastAsia="zh-CN" w:bidi="ar-SA"/>
        </w:rPr>
        <w:t>比选申请人</w:t>
      </w:r>
      <w:r>
        <w:rPr>
          <w:rFonts w:cs="Times New Roman" w:asciiTheme="majorEastAsia" w:hAnsiTheme="majorEastAsia" w:eastAsiaTheme="majorEastAsia"/>
          <w:kern w:val="2"/>
          <w:szCs w:val="24"/>
          <w:lang w:val="en-US" w:eastAsia="zh-CN" w:bidi="ar-SA"/>
        </w:rPr>
        <w:t>须知前附表</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_Toc11814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3</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3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_Toc12555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kern w:val="0"/>
          <w:szCs w:val="36"/>
          <w:lang w:val="en-US" w:eastAsia="zh-CN" w:bidi="ar-SA"/>
        </w:rPr>
        <w:t>第三章 评审</w:t>
      </w:r>
      <w:r>
        <w:rPr>
          <w:rFonts w:cs="Times New Roman" w:asciiTheme="majorEastAsia" w:hAnsiTheme="majorEastAsia" w:eastAsiaTheme="majorEastAsia"/>
          <w:kern w:val="0"/>
          <w:szCs w:val="36"/>
          <w:lang w:val="en-US" w:eastAsia="zh-CN" w:bidi="ar-SA"/>
        </w:rPr>
        <w:t>办法</w:t>
      </w:r>
      <w:r>
        <w:rPr>
          <w:rFonts w:hint="eastAsia" w:cs="Times New Roman" w:asciiTheme="majorEastAsia" w:hAnsiTheme="majorEastAsia" w:eastAsiaTheme="majorEastAsia"/>
          <w:kern w:val="0"/>
          <w:szCs w:val="36"/>
          <w:lang w:val="en-US" w:eastAsia="zh-CN" w:bidi="ar-SA"/>
        </w:rPr>
        <w:t>（</w:t>
      </w:r>
      <w:r>
        <w:rPr>
          <w:rFonts w:cs="Times New Roman" w:asciiTheme="majorEastAsia" w:hAnsiTheme="majorEastAsia" w:eastAsiaTheme="majorEastAsia"/>
          <w:kern w:val="0"/>
          <w:szCs w:val="36"/>
          <w:lang w:val="en-US" w:eastAsia="zh-CN" w:bidi="ar-SA"/>
        </w:rPr>
        <w:t>综合评估法</w:t>
      </w:r>
      <w:r>
        <w:rPr>
          <w:rFonts w:hint="eastAsia" w:cs="Times New Roman" w:asciiTheme="majorEastAsia" w:hAnsiTheme="majorEastAsia" w:eastAsiaTheme="majorEastAsia"/>
          <w:kern w:val="0"/>
          <w:szCs w:val="36"/>
          <w:lang w:val="en-US" w:eastAsia="zh-CN" w:bidi="ar-SA"/>
        </w:rPr>
        <w:t>）</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_Toc12555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19</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_Toc13687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bCs/>
          <w:kern w:val="2"/>
          <w:szCs w:val="28"/>
          <w:lang w:val="en-US" w:eastAsia="zh-CN" w:bidi="ar-SA"/>
        </w:rPr>
        <w:t>评标办法前附表</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_Toc13687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19</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_Toc32573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kern w:val="2"/>
          <w:szCs w:val="22"/>
          <w:lang w:val="en-US" w:eastAsia="zh-CN" w:bidi="ar-SA"/>
        </w:rPr>
        <w:t>1. 评审方法</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_Toc32573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24</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_Toc7553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kern w:val="2"/>
          <w:szCs w:val="22"/>
          <w:lang w:val="en-US" w:eastAsia="zh-CN" w:bidi="ar-SA"/>
        </w:rPr>
        <w:t>2. 评审标准</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_Toc7553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24</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_Toc9769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kern w:val="2"/>
          <w:szCs w:val="22"/>
          <w:lang w:val="en-US" w:eastAsia="zh-CN" w:bidi="ar-SA"/>
        </w:rPr>
        <w:t>3. 评审程序</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_Toc9769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24</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3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_Toc18637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kern w:val="0"/>
          <w:szCs w:val="36"/>
          <w:lang w:val="en-US" w:eastAsia="zh-CN" w:bidi="ar-SA"/>
        </w:rPr>
        <w:t>第四章 合同条款及格式</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_Toc18637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26</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cs="Times New Roman" w:asciiTheme="majorEastAsia" w:hAnsiTheme="majorEastAsia" w:eastAsiaTheme="majorEastAsia"/>
          <w:bCs/>
          <w:kern w:val="0"/>
          <w:szCs w:val="21"/>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_Toc11382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bCs/>
          <w:kern w:val="0"/>
          <w:szCs w:val="21"/>
          <w:lang w:val="en-US" w:eastAsia="zh-CN" w:bidi="ar-SA"/>
        </w:rPr>
        <w:t>第</w:t>
      </w:r>
      <w:r>
        <w:rPr>
          <w:rFonts w:hint="eastAsia" w:cs="Times New Roman" w:asciiTheme="majorEastAsia" w:hAnsiTheme="majorEastAsia" w:eastAsiaTheme="majorEastAsia"/>
          <w:bCs/>
          <w:kern w:val="0"/>
          <w:szCs w:val="21"/>
          <w:lang w:val="en-US" w:eastAsia="zh-CN" w:bidi="ar-SA"/>
        </w:rPr>
        <w:t>一节 合同协议书</w:t>
      </w:r>
      <w:r>
        <w:rPr>
          <w:rFonts w:cs="Times New Roman" w:asciiTheme="majorEastAsia" w:hAnsiTheme="majorEastAsia" w:eastAsiaTheme="majorEastAsia"/>
          <w:bCs/>
          <w:kern w:val="0"/>
          <w:szCs w:val="21"/>
          <w:lang w:val="en-US" w:eastAsia="zh-CN" w:bidi="ar-SA"/>
        </w:rPr>
        <w:tab/>
      </w: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PAGEREF _Toc11382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bCs/>
          <w:kern w:val="0"/>
          <w:szCs w:val="21"/>
          <w:lang w:val="en-US" w:eastAsia="zh-CN" w:bidi="ar-SA"/>
        </w:rPr>
        <w:t>27</w:t>
      </w:r>
      <w:r>
        <w:rPr>
          <w:rFonts w:cs="Times New Roman" w:asciiTheme="majorEastAsia" w:hAnsiTheme="majorEastAsia" w:eastAsiaTheme="majorEastAsia"/>
          <w:bCs/>
          <w:kern w:val="0"/>
          <w:szCs w:val="21"/>
          <w:lang w:val="en-US" w:eastAsia="zh-CN" w:bidi="ar-SA"/>
        </w:rPr>
        <w:fldChar w:fldCharType="end"/>
      </w:r>
      <w:r>
        <w:rPr>
          <w:rFonts w:hint="eastAsia"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cs="Times New Roman" w:asciiTheme="majorEastAsia" w:hAnsiTheme="majorEastAsia" w:eastAsiaTheme="majorEastAsia"/>
          <w:bCs/>
          <w:kern w:val="0"/>
          <w:szCs w:val="21"/>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_Toc3780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bCs/>
          <w:kern w:val="0"/>
          <w:szCs w:val="21"/>
          <w:lang w:val="en-US" w:eastAsia="zh-CN" w:bidi="ar-SA"/>
        </w:rPr>
        <w:t>第</w:t>
      </w:r>
      <w:r>
        <w:rPr>
          <w:rFonts w:hint="eastAsia" w:cs="Times New Roman" w:asciiTheme="majorEastAsia" w:hAnsiTheme="majorEastAsia" w:eastAsiaTheme="majorEastAsia"/>
          <w:bCs/>
          <w:kern w:val="0"/>
          <w:szCs w:val="21"/>
          <w:lang w:val="en-US" w:eastAsia="zh-CN" w:bidi="ar-SA"/>
        </w:rPr>
        <w:t>二节 通用合同条款</w:t>
      </w:r>
      <w:r>
        <w:rPr>
          <w:rFonts w:cs="Times New Roman" w:asciiTheme="majorEastAsia" w:hAnsiTheme="majorEastAsia" w:eastAsiaTheme="majorEastAsia"/>
          <w:bCs/>
          <w:kern w:val="0"/>
          <w:szCs w:val="21"/>
          <w:lang w:val="en-US" w:eastAsia="zh-CN" w:bidi="ar-SA"/>
        </w:rPr>
        <w:tab/>
      </w: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PAGEREF _Toc3780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bCs/>
          <w:kern w:val="0"/>
          <w:szCs w:val="21"/>
          <w:lang w:val="en-US" w:eastAsia="zh-CN" w:bidi="ar-SA"/>
        </w:rPr>
        <w:t>29</w:t>
      </w:r>
      <w:r>
        <w:rPr>
          <w:rFonts w:cs="Times New Roman" w:asciiTheme="majorEastAsia" w:hAnsiTheme="majorEastAsia" w:eastAsiaTheme="majorEastAsia"/>
          <w:bCs/>
          <w:kern w:val="0"/>
          <w:szCs w:val="21"/>
          <w:lang w:val="en-US" w:eastAsia="zh-CN" w:bidi="ar-SA"/>
        </w:rPr>
        <w:fldChar w:fldCharType="end"/>
      </w:r>
      <w:r>
        <w:rPr>
          <w:rFonts w:hint="eastAsia"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_Toc17258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bCs/>
          <w:kern w:val="0"/>
          <w:szCs w:val="21"/>
          <w:lang w:val="en-US" w:eastAsia="zh-CN" w:bidi="ar-SA"/>
        </w:rPr>
        <w:t>第</w:t>
      </w:r>
      <w:r>
        <w:rPr>
          <w:rFonts w:hint="eastAsia" w:cs="Times New Roman" w:asciiTheme="majorEastAsia" w:hAnsiTheme="majorEastAsia" w:eastAsiaTheme="majorEastAsia"/>
          <w:bCs/>
          <w:kern w:val="0"/>
          <w:szCs w:val="21"/>
          <w:lang w:val="en-US" w:eastAsia="zh-CN" w:bidi="ar-SA"/>
        </w:rPr>
        <w:t>三节 专用合同条款</w:t>
      </w:r>
      <w:r>
        <w:rPr>
          <w:rFonts w:cs="Times New Roman" w:asciiTheme="majorEastAsia" w:hAnsiTheme="majorEastAsia" w:eastAsiaTheme="majorEastAsia"/>
          <w:bCs/>
          <w:kern w:val="0"/>
          <w:szCs w:val="21"/>
          <w:lang w:val="en-US" w:eastAsia="zh-CN" w:bidi="ar-SA"/>
        </w:rPr>
        <w:tab/>
      </w: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PAGEREF _Toc17258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bCs/>
          <w:kern w:val="0"/>
          <w:szCs w:val="21"/>
          <w:lang w:val="en-US" w:eastAsia="zh-CN" w:bidi="ar-SA"/>
        </w:rPr>
        <w:t>30</w:t>
      </w:r>
      <w:r>
        <w:rPr>
          <w:rFonts w:cs="Times New Roman" w:asciiTheme="majorEastAsia" w:hAnsiTheme="majorEastAsia" w:eastAsiaTheme="majorEastAsia"/>
          <w:bCs/>
          <w:kern w:val="0"/>
          <w:szCs w:val="21"/>
          <w:lang w:val="en-US" w:eastAsia="zh-CN" w:bidi="ar-SA"/>
        </w:rPr>
        <w:fldChar w:fldCharType="end"/>
      </w:r>
      <w:r>
        <w:rPr>
          <w:rFonts w:hint="eastAsia" w:cs="Times New Roman" w:asciiTheme="majorEastAsia" w:hAnsiTheme="majorEastAsia" w:eastAsiaTheme="majorEastAsia"/>
          <w:bCs/>
          <w:kern w:val="0"/>
          <w:szCs w:val="21"/>
          <w:lang w:val="en-US" w:eastAsia="zh-CN" w:bidi="ar-SA"/>
        </w:rPr>
        <w:fldChar w:fldCharType="end"/>
      </w:r>
    </w:p>
    <w:p>
      <w:pPr>
        <w:pStyle w:val="3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_Toc25954 </w:instrText>
      </w:r>
      <w:r>
        <w:rPr>
          <w:rFonts w:cs="Times New Roman" w:asciiTheme="majorEastAsia" w:hAnsiTheme="majorEastAsia" w:eastAsiaTheme="majorEastAsia"/>
          <w:bCs/>
          <w:kern w:val="0"/>
          <w:szCs w:val="21"/>
          <w:lang w:val="en-US" w:eastAsia="zh-CN" w:bidi="ar-SA"/>
        </w:rPr>
        <w:fldChar w:fldCharType="separate"/>
      </w:r>
      <w:r>
        <w:rPr>
          <w:rFonts w:cs="Times New Roman" w:asciiTheme="majorEastAsia" w:hAnsiTheme="majorEastAsia" w:eastAsiaTheme="majorEastAsia"/>
          <w:kern w:val="1"/>
          <w:szCs w:val="36"/>
          <w:lang w:val="en-US" w:eastAsia="zh-CN" w:bidi="ar-SA"/>
        </w:rPr>
        <w:t>第</w:t>
      </w:r>
      <w:r>
        <w:rPr>
          <w:rFonts w:hint="eastAsia" w:cs="Times New Roman" w:asciiTheme="majorEastAsia" w:hAnsiTheme="majorEastAsia" w:eastAsiaTheme="majorEastAsia"/>
          <w:kern w:val="1"/>
          <w:szCs w:val="36"/>
          <w:lang w:val="en-US" w:eastAsia="zh-CN" w:bidi="ar-SA"/>
        </w:rPr>
        <w:t>五章 技术标准和要求</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_Toc25954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56</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_Toc28210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kern w:val="2"/>
          <w:szCs w:val="44"/>
          <w:lang w:val="en-US" w:eastAsia="zh-CN" w:bidi="ar-SA"/>
        </w:rPr>
        <w:t>一、比选申请函</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_Toc28210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59</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2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_Toc32154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bCs/>
          <w:snapToGrid w:val="0"/>
          <w:kern w:val="2"/>
          <w:szCs w:val="28"/>
          <w:lang w:val="en-US" w:eastAsia="zh-CN" w:bidi="ar-SA"/>
        </w:rPr>
        <w:t>（一）</w:t>
      </w:r>
      <w:r>
        <w:rPr>
          <w:rFonts w:hint="eastAsia" w:cs="宋体" w:asciiTheme="majorEastAsia" w:hAnsiTheme="majorEastAsia" w:eastAsiaTheme="majorEastAsia"/>
          <w:kern w:val="0"/>
          <w:szCs w:val="28"/>
          <w:lang w:val="en-US" w:eastAsia="zh-CN" w:bidi="ar-SA"/>
        </w:rPr>
        <w:t>比选申请</w:t>
      </w:r>
      <w:r>
        <w:rPr>
          <w:rFonts w:hint="eastAsia" w:cs="Times New Roman" w:asciiTheme="majorEastAsia" w:hAnsiTheme="majorEastAsia" w:eastAsiaTheme="majorEastAsia"/>
          <w:bCs/>
          <w:snapToGrid w:val="0"/>
          <w:kern w:val="2"/>
          <w:szCs w:val="28"/>
          <w:lang w:val="en-US" w:eastAsia="zh-CN" w:bidi="ar-SA"/>
        </w:rPr>
        <w:t>函</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_Toc32154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61</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2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_Toc27468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bCs/>
          <w:snapToGrid w:val="0"/>
          <w:kern w:val="2"/>
          <w:szCs w:val="28"/>
          <w:lang w:val="en-US" w:eastAsia="zh-CN" w:bidi="ar-SA"/>
        </w:rPr>
        <w:t>（二）法定代表人身份证明及授权委托书</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_Toc27468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62</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_Toc16938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kern w:val="2"/>
          <w:szCs w:val="44"/>
          <w:lang w:val="en-US" w:eastAsia="zh-CN" w:bidi="ar-SA"/>
        </w:rPr>
        <w:t>二、资格审查资料</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_Toc16938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64</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2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_Toc17058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kern w:val="2"/>
          <w:lang w:val="en-US" w:eastAsia="zh-CN" w:bidi="ar-SA"/>
        </w:rPr>
        <w:t>（一）法定代表人身份证明及授权委托书</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_Toc17058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66</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2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_Toc17202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kern w:val="2"/>
          <w:lang w:val="en-US" w:eastAsia="zh-CN" w:bidi="ar-SA"/>
        </w:rPr>
        <w:t>（二）比选申请人基本情况表</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_Toc17202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68</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2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_Toc18440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bCs/>
          <w:snapToGrid w:val="0"/>
          <w:kern w:val="2"/>
          <w:szCs w:val="28"/>
          <w:lang w:val="en-US" w:eastAsia="zh-CN" w:bidi="ar-SA"/>
        </w:rPr>
        <w:t>（三）项目人员配备表</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_Toc18440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69</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2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_Toc16545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bCs/>
          <w:snapToGrid w:val="0"/>
          <w:kern w:val="2"/>
          <w:szCs w:val="28"/>
          <w:lang w:val="en-US" w:eastAsia="zh-CN" w:bidi="ar-SA"/>
        </w:rPr>
        <w:t>（四）信誉要求</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_Toc16545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71</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27"/>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_Toc12661 </w:instrText>
      </w:r>
      <w:r>
        <w:rPr>
          <w:rFonts w:cs="Times New Roman" w:asciiTheme="majorEastAsia" w:hAnsiTheme="majorEastAsia" w:eastAsiaTheme="majorEastAsia"/>
          <w:bCs/>
          <w:kern w:val="0"/>
          <w:szCs w:val="21"/>
          <w:lang w:val="en-US" w:eastAsia="zh-CN" w:bidi="ar-SA"/>
        </w:rPr>
        <w:fldChar w:fldCharType="separate"/>
      </w:r>
      <w:r>
        <w:rPr>
          <w:rFonts w:hint="eastAsia" w:cs="Times New Roman" w:asciiTheme="majorEastAsia" w:hAnsiTheme="majorEastAsia" w:eastAsiaTheme="majorEastAsia"/>
          <w:bCs/>
          <w:snapToGrid w:val="0"/>
          <w:kern w:val="2"/>
          <w:szCs w:val="28"/>
          <w:lang w:val="en-US" w:eastAsia="zh-CN" w:bidi="ar-SA"/>
        </w:rPr>
        <w:t>（五）其他资料</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_Toc12661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72</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pStyle w:val="43"/>
        <w:tabs>
          <w:tab w:val="right" w:leader="dot" w:pos="8385"/>
        </w:tabs>
        <w:rPr>
          <w:rFonts w:ascii="Calibri" w:hAnsi="Calibri" w:eastAsia="宋体" w:cs="Times New Roman"/>
          <w:kern w:val="2"/>
          <w:lang w:val="en-US" w:eastAsia="zh-CN" w:bidi="ar-SA"/>
        </w:rPr>
      </w:pPr>
      <w:r>
        <w:rPr>
          <w:rFonts w:cs="Times New Roman" w:asciiTheme="majorEastAsia" w:hAnsiTheme="majorEastAsia" w:eastAsiaTheme="majorEastAsia"/>
          <w:bCs/>
          <w:kern w:val="0"/>
          <w:szCs w:val="21"/>
          <w:lang w:val="en-US" w:eastAsia="zh-CN" w:bidi="ar-SA"/>
        </w:rPr>
        <w:fldChar w:fldCharType="begin"/>
      </w:r>
      <w:r>
        <w:rPr>
          <w:rFonts w:cs="Times New Roman" w:asciiTheme="majorEastAsia" w:hAnsiTheme="majorEastAsia" w:eastAsiaTheme="majorEastAsia"/>
          <w:bCs/>
          <w:kern w:val="0"/>
          <w:szCs w:val="21"/>
          <w:lang w:val="en-US" w:eastAsia="zh-CN" w:bidi="ar-SA"/>
        </w:rPr>
        <w:instrText xml:space="preserve"> HYPERLINK \l _Toc16205 </w:instrText>
      </w:r>
      <w:r>
        <w:rPr>
          <w:rFonts w:cs="Times New Roman" w:asciiTheme="majorEastAsia" w:hAnsiTheme="majorEastAsia" w:eastAsiaTheme="majorEastAsia"/>
          <w:bCs/>
          <w:kern w:val="0"/>
          <w:szCs w:val="21"/>
          <w:lang w:val="en-US" w:eastAsia="zh-CN" w:bidi="ar-SA"/>
        </w:rPr>
        <w:fldChar w:fldCharType="separate"/>
      </w:r>
      <w:r>
        <w:rPr>
          <w:rFonts w:hint="eastAsia" w:cs="宋体" w:asciiTheme="majorEastAsia" w:hAnsiTheme="majorEastAsia" w:eastAsiaTheme="majorEastAsia"/>
          <w:kern w:val="2"/>
          <w:szCs w:val="44"/>
          <w:lang w:val="en-US" w:eastAsia="zh-CN" w:bidi="ar-SA"/>
        </w:rPr>
        <w:t>三</w:t>
      </w:r>
      <w:r>
        <w:rPr>
          <w:rFonts w:cs="宋体" w:asciiTheme="majorEastAsia" w:hAnsiTheme="majorEastAsia" w:eastAsiaTheme="majorEastAsia"/>
          <w:kern w:val="2"/>
          <w:szCs w:val="44"/>
          <w:lang w:val="en-US" w:eastAsia="zh-CN" w:bidi="ar-SA"/>
        </w:rPr>
        <w:t>、比选方案</w:t>
      </w:r>
      <w:r>
        <w:rPr>
          <w:rFonts w:ascii="Calibri" w:hAnsi="Calibri" w:eastAsia="宋体" w:cs="Times New Roman"/>
          <w:kern w:val="2"/>
          <w:lang w:val="en-US" w:eastAsia="zh-CN" w:bidi="ar-SA"/>
        </w:rPr>
        <w:tab/>
      </w:r>
      <w:r>
        <w:rPr>
          <w:rFonts w:ascii="Calibri" w:hAnsi="Calibri" w:eastAsia="宋体" w:cs="Times New Roman"/>
          <w:kern w:val="2"/>
          <w:lang w:val="en-US" w:eastAsia="zh-CN" w:bidi="ar-SA"/>
        </w:rPr>
        <w:fldChar w:fldCharType="begin"/>
      </w:r>
      <w:r>
        <w:rPr>
          <w:rFonts w:ascii="Calibri" w:hAnsi="Calibri" w:eastAsia="宋体" w:cs="Times New Roman"/>
          <w:kern w:val="2"/>
          <w:lang w:val="en-US" w:eastAsia="zh-CN" w:bidi="ar-SA"/>
        </w:rPr>
        <w:instrText xml:space="preserve"> PAGEREF _Toc16205 </w:instrText>
      </w:r>
      <w:r>
        <w:rPr>
          <w:rFonts w:ascii="Calibri" w:hAnsi="Calibri" w:eastAsia="宋体" w:cs="Times New Roman"/>
          <w:kern w:val="2"/>
          <w:lang w:val="en-US" w:eastAsia="zh-CN" w:bidi="ar-SA"/>
        </w:rPr>
        <w:fldChar w:fldCharType="separate"/>
      </w:r>
      <w:r>
        <w:rPr>
          <w:rFonts w:ascii="Calibri" w:hAnsi="Calibri" w:eastAsia="宋体" w:cs="Times New Roman"/>
          <w:kern w:val="2"/>
          <w:lang w:val="en-US" w:eastAsia="zh-CN" w:bidi="ar-SA"/>
        </w:rPr>
        <w:t>73</w:t>
      </w:r>
      <w:r>
        <w:rPr>
          <w:rFonts w:ascii="Calibri" w:hAnsi="Calibri" w:eastAsia="宋体" w:cs="Times New Roman"/>
          <w:kern w:val="2"/>
          <w:lang w:val="en-US" w:eastAsia="zh-CN" w:bidi="ar-SA"/>
        </w:rPr>
        <w:fldChar w:fldCharType="end"/>
      </w:r>
      <w:r>
        <w:rPr>
          <w:rFonts w:cs="Times New Roman" w:asciiTheme="majorEastAsia" w:hAnsiTheme="majorEastAsia" w:eastAsiaTheme="majorEastAsia"/>
          <w:bCs/>
          <w:kern w:val="0"/>
          <w:szCs w:val="21"/>
          <w:lang w:val="en-US" w:eastAsia="zh-CN" w:bidi="ar-SA"/>
        </w:rPr>
        <w:fldChar w:fldCharType="end"/>
      </w:r>
    </w:p>
    <w:p>
      <w:pPr>
        <w:autoSpaceDE w:val="0"/>
        <w:autoSpaceDN w:val="0"/>
        <w:adjustRightInd w:val="0"/>
        <w:snapToGrid w:val="0"/>
        <w:spacing w:line="276" w:lineRule="auto"/>
        <w:jc w:val="distribute"/>
        <w:rPr>
          <w:rFonts w:asciiTheme="majorEastAsia" w:hAnsiTheme="majorEastAsia" w:eastAsiaTheme="majorEastAsia"/>
          <w:bCs/>
          <w:kern w:val="0"/>
          <w:szCs w:val="21"/>
        </w:rPr>
      </w:pPr>
      <w:r>
        <w:rPr>
          <w:rFonts w:cs="Times New Roman" w:asciiTheme="majorEastAsia" w:hAnsiTheme="majorEastAsia" w:eastAsiaTheme="majorEastAsia"/>
          <w:bCs/>
          <w:kern w:val="0"/>
          <w:szCs w:val="21"/>
          <w:lang w:val="en-US" w:eastAsia="zh-CN" w:bidi="ar-SA"/>
        </w:rPr>
        <w:fldChar w:fldCharType="end"/>
      </w:r>
    </w:p>
    <w:p>
      <w:pPr>
        <w:autoSpaceDE w:val="0"/>
        <w:autoSpaceDN w:val="0"/>
        <w:adjustRightInd w:val="0"/>
        <w:snapToGrid w:val="0"/>
        <w:spacing w:line="360" w:lineRule="auto"/>
        <w:jc w:val="distribute"/>
        <w:rPr>
          <w:rFonts w:asciiTheme="majorEastAsia" w:hAnsiTheme="majorEastAsia" w:eastAsiaTheme="majorEastAsia"/>
          <w:kern w:val="0"/>
          <w:sz w:val="32"/>
          <w:szCs w:val="32"/>
        </w:rPr>
        <w:sectPr>
          <w:headerReference r:id="rId4" w:type="default"/>
          <w:footerReference r:id="rId5" w:type="default"/>
          <w:pgSz w:w="11907" w:h="16839"/>
          <w:pgMar w:top="1440" w:right="1722" w:bottom="1440" w:left="1800" w:header="993" w:footer="982" w:gutter="0"/>
          <w:pgNumType w:start="1"/>
          <w:cols w:space="720" w:num="1"/>
          <w:docGrid w:linePitch="286" w:charSpace="0"/>
        </w:sectPr>
      </w:pPr>
    </w:p>
    <w:p>
      <w:pPr>
        <w:pStyle w:val="3"/>
        <w:ind w:left="0" w:firstLine="0"/>
        <w:rPr>
          <w:rFonts w:asciiTheme="majorEastAsia" w:hAnsiTheme="majorEastAsia" w:eastAsiaTheme="majorEastAsia"/>
          <w:b/>
          <w:kern w:val="0"/>
          <w:sz w:val="36"/>
          <w:szCs w:val="36"/>
        </w:rPr>
      </w:pPr>
      <w:bookmarkStart w:id="0" w:name="_Toc232500168"/>
      <w:bookmarkStart w:id="1" w:name="_Toc9850"/>
      <w:bookmarkStart w:id="2" w:name="_Toc6226"/>
      <w:bookmarkStart w:id="3" w:name="_Toc28097764"/>
      <w:bookmarkStart w:id="4" w:name="_Toc29123"/>
      <w:r>
        <w:rPr>
          <w:rFonts w:hint="eastAsia" w:asciiTheme="majorEastAsia" w:hAnsiTheme="majorEastAsia" w:eastAsiaTheme="majorEastAsia"/>
          <w:b/>
          <w:kern w:val="0"/>
          <w:sz w:val="36"/>
          <w:szCs w:val="36"/>
        </w:rPr>
        <w:t xml:space="preserve">第一章 </w:t>
      </w:r>
      <w:bookmarkEnd w:id="0"/>
      <w:bookmarkEnd w:id="1"/>
      <w:bookmarkEnd w:id="2"/>
      <w:r>
        <w:rPr>
          <w:rFonts w:hint="eastAsia" w:asciiTheme="majorEastAsia" w:hAnsiTheme="majorEastAsia" w:eastAsiaTheme="majorEastAsia"/>
          <w:b/>
          <w:kern w:val="0"/>
          <w:sz w:val="36"/>
          <w:szCs w:val="36"/>
        </w:rPr>
        <w:t>竞争性比选公告</w:t>
      </w:r>
      <w:bookmarkEnd w:id="3"/>
      <w:bookmarkEnd w:id="4"/>
    </w:p>
    <w:p>
      <w:pPr>
        <w:spacing w:line="360" w:lineRule="auto"/>
        <w:jc w:val="center"/>
        <w:rPr>
          <w:rFonts w:cs="宋体" w:asciiTheme="majorEastAsia" w:hAnsiTheme="majorEastAsia" w:eastAsiaTheme="majorEastAsia"/>
          <w:b/>
          <w:bCs/>
          <w:kern w:val="0"/>
          <w:sz w:val="30"/>
          <w:szCs w:val="30"/>
          <w:lang w:val="zh-CN"/>
        </w:rPr>
      </w:pPr>
      <w:bookmarkStart w:id="5" w:name="OLE_LINK6"/>
      <w:bookmarkStart w:id="6" w:name="OLE_LINK8"/>
      <w:r>
        <w:rPr>
          <w:rFonts w:hint="eastAsia" w:cs="宋体" w:asciiTheme="majorEastAsia" w:hAnsiTheme="majorEastAsia" w:eastAsiaTheme="majorEastAsia"/>
          <w:b/>
          <w:bCs/>
          <w:kern w:val="0"/>
          <w:sz w:val="30"/>
          <w:szCs w:val="30"/>
        </w:rPr>
        <w:t>长合高速公路石船服务区空间营造EPC</w:t>
      </w:r>
      <w:r>
        <w:rPr>
          <w:rFonts w:hint="eastAsia" w:cs="宋体" w:asciiTheme="majorEastAsia" w:hAnsiTheme="majorEastAsia" w:eastAsiaTheme="majorEastAsia"/>
          <w:b/>
          <w:bCs/>
          <w:kern w:val="0"/>
          <w:sz w:val="30"/>
          <w:szCs w:val="30"/>
          <w:lang w:val="zh-CN"/>
        </w:rPr>
        <w:t>工程</w:t>
      </w:r>
    </w:p>
    <w:bookmarkEnd w:id="5"/>
    <w:p>
      <w:pPr>
        <w:spacing w:line="360" w:lineRule="auto"/>
        <w:jc w:val="center"/>
        <w:rPr>
          <w:rFonts w:cs="宋体" w:asciiTheme="majorEastAsia" w:hAnsiTheme="majorEastAsia" w:eastAsiaTheme="majorEastAsia"/>
          <w:b/>
          <w:bCs/>
          <w:kern w:val="0"/>
          <w:sz w:val="30"/>
          <w:szCs w:val="30"/>
          <w:lang w:val="zh-CN"/>
        </w:rPr>
      </w:pPr>
      <w:r>
        <w:rPr>
          <w:rFonts w:hint="eastAsia" w:cs="宋体" w:asciiTheme="majorEastAsia" w:hAnsiTheme="majorEastAsia" w:eastAsiaTheme="majorEastAsia"/>
          <w:b/>
          <w:bCs/>
          <w:kern w:val="0"/>
          <w:sz w:val="30"/>
          <w:szCs w:val="30"/>
          <w:lang w:val="zh-CN"/>
        </w:rPr>
        <w:t>竞争性比选公告</w:t>
      </w:r>
    </w:p>
    <w:p>
      <w:pPr>
        <w:pStyle w:val="4"/>
        <w:rPr>
          <w:rFonts w:cs="宋体" w:asciiTheme="majorEastAsia" w:hAnsiTheme="majorEastAsia" w:eastAsiaTheme="majorEastAsia"/>
          <w:bCs/>
          <w:sz w:val="24"/>
          <w:szCs w:val="22"/>
          <w:lang w:val="zh-CN"/>
        </w:rPr>
      </w:pPr>
      <w:bookmarkStart w:id="7" w:name="_Toc8276"/>
      <w:r>
        <w:rPr>
          <w:rFonts w:hint="eastAsia" w:cs="宋体" w:asciiTheme="majorEastAsia" w:hAnsiTheme="majorEastAsia" w:eastAsiaTheme="majorEastAsia"/>
          <w:bCs/>
          <w:sz w:val="24"/>
          <w:szCs w:val="22"/>
          <w:lang w:val="zh-CN"/>
        </w:rPr>
        <w:t>1．比选条件</w:t>
      </w:r>
      <w:bookmarkEnd w:id="7"/>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本项目</w:t>
      </w:r>
      <w:r>
        <w:rPr>
          <w:rFonts w:hint="eastAsia" w:asciiTheme="majorEastAsia" w:hAnsiTheme="majorEastAsia" w:eastAsiaTheme="majorEastAsia"/>
          <w:sz w:val="22"/>
          <w:szCs w:val="22"/>
          <w:u w:val="single"/>
        </w:rPr>
        <w:t>长合高速公路石船服务区空间营造EPC工程</w:t>
      </w:r>
      <w:r>
        <w:rPr>
          <w:rFonts w:hint="eastAsia" w:asciiTheme="majorEastAsia" w:hAnsiTheme="majorEastAsia" w:eastAsiaTheme="majorEastAsia"/>
          <w:sz w:val="22"/>
          <w:szCs w:val="22"/>
        </w:rPr>
        <w:t>，比选人为</w:t>
      </w:r>
      <w:r>
        <w:rPr>
          <w:rFonts w:hint="eastAsia" w:asciiTheme="majorEastAsia" w:hAnsiTheme="majorEastAsia" w:eastAsiaTheme="majorEastAsia"/>
          <w:sz w:val="22"/>
          <w:szCs w:val="22"/>
          <w:u w:val="single"/>
        </w:rPr>
        <w:t>高速管家（重庆）实业有限公司</w:t>
      </w:r>
      <w:r>
        <w:rPr>
          <w:rFonts w:hint="eastAsia" w:asciiTheme="majorEastAsia" w:hAnsiTheme="majorEastAsia" w:eastAsiaTheme="majorEastAsia"/>
          <w:sz w:val="22"/>
          <w:szCs w:val="22"/>
        </w:rPr>
        <w:t>，建设资金为</w:t>
      </w:r>
      <w:r>
        <w:rPr>
          <w:rFonts w:hint="eastAsia" w:asciiTheme="majorEastAsia" w:hAnsiTheme="majorEastAsia" w:eastAsiaTheme="majorEastAsia"/>
          <w:sz w:val="22"/>
          <w:szCs w:val="22"/>
          <w:u w:val="single"/>
        </w:rPr>
        <w:t>业主自筹</w:t>
      </w:r>
      <w:r>
        <w:rPr>
          <w:rFonts w:hint="eastAsia" w:asciiTheme="majorEastAsia" w:hAnsiTheme="majorEastAsia" w:eastAsiaTheme="majorEastAsia"/>
          <w:sz w:val="22"/>
          <w:szCs w:val="22"/>
        </w:rPr>
        <w:t>，现对该项目的设计</w:t>
      </w:r>
      <w:r>
        <w:rPr>
          <w:rFonts w:asciiTheme="majorEastAsia" w:hAnsiTheme="majorEastAsia" w:eastAsiaTheme="majorEastAsia"/>
          <w:sz w:val="22"/>
          <w:szCs w:val="22"/>
        </w:rPr>
        <w:t>及</w:t>
      </w:r>
      <w:r>
        <w:rPr>
          <w:rFonts w:hint="eastAsia" w:asciiTheme="majorEastAsia" w:hAnsiTheme="majorEastAsia" w:eastAsiaTheme="majorEastAsia"/>
          <w:sz w:val="22"/>
          <w:szCs w:val="22"/>
        </w:rPr>
        <w:t>施工进行竞争性比选。</w:t>
      </w:r>
      <w:r>
        <w:rPr>
          <w:rFonts w:hint="eastAsia" w:cs="宋体" w:asciiTheme="majorEastAsia" w:hAnsiTheme="majorEastAsia" w:eastAsiaTheme="majorEastAsia"/>
          <w:sz w:val="22"/>
          <w:szCs w:val="22"/>
        </w:rPr>
        <w:t xml:space="preserve"> </w:t>
      </w:r>
    </w:p>
    <w:p>
      <w:pPr>
        <w:pStyle w:val="4"/>
        <w:rPr>
          <w:rFonts w:cs="宋体" w:asciiTheme="majorEastAsia" w:hAnsiTheme="majorEastAsia" w:eastAsiaTheme="majorEastAsia"/>
          <w:bCs/>
          <w:sz w:val="22"/>
          <w:szCs w:val="22"/>
          <w:lang w:val="zh-CN"/>
        </w:rPr>
      </w:pPr>
      <w:bookmarkStart w:id="8" w:name="_Toc11653"/>
      <w:r>
        <w:rPr>
          <w:rFonts w:hint="eastAsia" w:cs="宋体" w:asciiTheme="majorEastAsia" w:hAnsiTheme="majorEastAsia" w:eastAsiaTheme="majorEastAsia"/>
          <w:bCs/>
          <w:sz w:val="24"/>
          <w:szCs w:val="22"/>
          <w:lang w:val="zh-CN"/>
        </w:rPr>
        <w:t>2．项目概况与比选范围</w:t>
      </w:r>
      <w:bookmarkEnd w:id="8"/>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2.1 建设地点：重庆市渝北区石船镇南两高速在建路段石船服务区</w:t>
      </w:r>
    </w:p>
    <w:p>
      <w:pPr>
        <w:snapToGrid w:val="0"/>
        <w:spacing w:line="360" w:lineRule="auto"/>
        <w:ind w:firstLine="440" w:firstLineChars="200"/>
        <w:rPr>
          <w:rFonts w:cs="宋体" w:asciiTheme="majorEastAsia" w:hAnsiTheme="majorEastAsia" w:eastAsiaTheme="majorEastAsia"/>
          <w:sz w:val="22"/>
          <w:szCs w:val="22"/>
          <w:highlight w:val="yellow"/>
        </w:rPr>
      </w:pPr>
      <w:r>
        <w:rPr>
          <w:rFonts w:hint="eastAsia" w:cs="宋体" w:asciiTheme="majorEastAsia" w:hAnsiTheme="majorEastAsia" w:eastAsiaTheme="majorEastAsia"/>
          <w:sz w:val="22"/>
          <w:szCs w:val="22"/>
        </w:rPr>
        <w:t>2.2 建设规模：主要包括方案设计、施工图设计、造价编制、施工等，服务区双侧施工面积约2000平方米。</w:t>
      </w:r>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2.3 本次比选项目</w:t>
      </w:r>
      <w:r>
        <w:rPr>
          <w:rFonts w:hint="eastAsia" w:cs="宋体" w:asciiTheme="majorEastAsia" w:hAnsiTheme="majorEastAsia" w:eastAsiaTheme="majorEastAsia"/>
          <w:sz w:val="22"/>
          <w:szCs w:val="22"/>
          <w:lang w:val="en-US" w:eastAsia="zh-CN"/>
        </w:rPr>
        <w:t>暂定</w:t>
      </w:r>
      <w:bookmarkStart w:id="577" w:name="_GoBack"/>
      <w:bookmarkEnd w:id="577"/>
      <w:r>
        <w:rPr>
          <w:rFonts w:hint="eastAsia" w:cs="宋体" w:asciiTheme="majorEastAsia" w:hAnsiTheme="majorEastAsia" w:eastAsiaTheme="majorEastAsia"/>
          <w:sz w:val="22"/>
          <w:szCs w:val="22"/>
        </w:rPr>
        <w:t>总投资350万元。</w:t>
      </w:r>
    </w:p>
    <w:p>
      <w:pPr>
        <w:snapToGrid w:val="0"/>
        <w:spacing w:line="360" w:lineRule="auto"/>
        <w:ind w:firstLine="440" w:firstLineChars="200"/>
        <w:rPr>
          <w:rFonts w:cs="宋体" w:asciiTheme="majorEastAsia" w:hAnsiTheme="majorEastAsia" w:eastAsiaTheme="majorEastAsia"/>
          <w:sz w:val="22"/>
          <w:szCs w:val="22"/>
        </w:rPr>
      </w:pPr>
      <w:r>
        <w:rPr>
          <w:rFonts w:cs="宋体" w:asciiTheme="majorEastAsia" w:hAnsiTheme="majorEastAsia" w:eastAsiaTheme="majorEastAsia"/>
          <w:sz w:val="22"/>
          <w:szCs w:val="22"/>
        </w:rPr>
        <w:t>2.</w:t>
      </w:r>
      <w:r>
        <w:rPr>
          <w:rFonts w:hint="eastAsia" w:cs="宋体" w:asciiTheme="majorEastAsia" w:hAnsiTheme="majorEastAsia" w:eastAsiaTheme="majorEastAsia"/>
          <w:sz w:val="22"/>
          <w:szCs w:val="22"/>
        </w:rPr>
        <w:t>4</w:t>
      </w:r>
      <w:r>
        <w:rPr>
          <w:rFonts w:cs="宋体" w:asciiTheme="majorEastAsia" w:hAnsiTheme="majorEastAsia" w:eastAsiaTheme="majorEastAsia"/>
          <w:sz w:val="22"/>
          <w:szCs w:val="22"/>
        </w:rPr>
        <w:t xml:space="preserve"> </w:t>
      </w:r>
      <w:r>
        <w:rPr>
          <w:rFonts w:hint="eastAsia" w:cs="宋体" w:asciiTheme="majorEastAsia" w:hAnsiTheme="majorEastAsia" w:eastAsiaTheme="majorEastAsia"/>
          <w:sz w:val="22"/>
          <w:szCs w:val="22"/>
        </w:rPr>
        <w:t>比选范围：</w:t>
      </w:r>
      <w:bookmarkStart w:id="9" w:name="OLE_LINK3"/>
      <w:r>
        <w:rPr>
          <w:rFonts w:hint="eastAsia" w:cs="宋体" w:asciiTheme="majorEastAsia" w:hAnsiTheme="majorEastAsia" w:eastAsiaTheme="majorEastAsia"/>
          <w:sz w:val="22"/>
          <w:szCs w:val="22"/>
        </w:rPr>
        <w:t>长合高速公路石船服务区空间营造EPC工程设计、施工等全部工作，包括但不限于：</w:t>
      </w:r>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1）设计：完成室内装饰设计（天地墙面硬装饰的概念设计、方案设计及施工图深化设计），水电设计（室内装饰配电系统、照明平面布置、插座平面布置、给排水系统、平面布置图）、弱电与智能化设计（电话通信与网络(含WIFI)系统; 电话通信与网络(含WIFI)布线系统、摄像监控系统），机电设计（空调系统、排烟系统），灯光设计，家具、灯具、饰品、挂画、布艺、植物等陈设意向概念设计、点位设计和清单选型等相关内容方案图设计、施工图设计、施工阶段和竣工验收阶段的设计服务以及协助比选人完成各阶段各项审批手续的办理等工作，按比选人要求按时按质提交设计成果并取得相关职能部门的批准。</w:t>
      </w:r>
    </w:p>
    <w:p>
      <w:pPr>
        <w:pStyle w:val="2"/>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（2）施工：按照审核确认的施工设计图纸与比选人要求，完成该项目设计范围内的室内</w:t>
      </w:r>
      <w:r>
        <w:rPr>
          <w:rFonts w:hint="eastAsia" w:cs="宋体" w:asciiTheme="majorEastAsia" w:hAnsiTheme="majorEastAsia" w:eastAsiaTheme="majorEastAsia"/>
          <w:sz w:val="22"/>
          <w:szCs w:val="22"/>
          <w:lang w:val="en-US" w:eastAsia="zh-CN"/>
        </w:rPr>
        <w:t>基装、</w:t>
      </w:r>
      <w:r>
        <w:rPr>
          <w:rFonts w:hint="eastAsia" w:cs="宋体" w:asciiTheme="majorEastAsia" w:hAnsiTheme="majorEastAsia" w:eastAsiaTheme="majorEastAsia"/>
          <w:sz w:val="22"/>
          <w:szCs w:val="22"/>
        </w:rPr>
        <w:t>硬装、软装、强弱电、给排水、空调系统、排烟系统、排污系统、司机休息室、应急设施设备、公区绿植等全部工程的施工</w:t>
      </w:r>
      <w:r>
        <w:rPr>
          <w:rFonts w:hint="eastAsia" w:cs="宋体" w:asciiTheme="majorEastAsia" w:hAnsiTheme="majorEastAsia" w:eastAsiaTheme="majorEastAsia"/>
          <w:sz w:val="22"/>
          <w:szCs w:val="22"/>
          <w:lang w:val="en-US" w:eastAsia="zh-CN"/>
        </w:rPr>
        <w:t>以及按要求工程竣工资料</w:t>
      </w:r>
      <w:r>
        <w:rPr>
          <w:rFonts w:hint="eastAsia" w:cs="宋体" w:asciiTheme="majorEastAsia" w:hAnsiTheme="majorEastAsia" w:eastAsiaTheme="majorEastAsia"/>
          <w:sz w:val="22"/>
          <w:szCs w:val="22"/>
        </w:rPr>
        <w:t>。</w:t>
      </w:r>
    </w:p>
    <w:p>
      <w:pPr>
        <w:pStyle w:val="2"/>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3）其他：办理EPC总承包各阶段的报建、审查、审批、核准、办证、备案、外协谈判等相关手续，协调及配合必要的安全评估和检查、综合调试、智慧工地、竣工图的审核、竣工验收、质量保修等直至满足比选人要求并交付使用。</w:t>
      </w:r>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2.5 计划工期：</w:t>
      </w:r>
      <w:bookmarkEnd w:id="9"/>
    </w:p>
    <w:p>
      <w:pPr>
        <w:snapToGrid w:val="0"/>
        <w:spacing w:line="360" w:lineRule="auto"/>
        <w:ind w:firstLine="880" w:firstLineChars="4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 xml:space="preserve">2.5.1 </w:t>
      </w: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6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w:t>
      </w:r>
      <w:r>
        <w:rPr>
          <w:rFonts w:hint="eastAsia" w:cs="宋体" w:asciiTheme="majorEastAsia" w:hAnsiTheme="majorEastAsia" w:eastAsiaTheme="majorEastAsia"/>
          <w:sz w:val="22"/>
          <w:szCs w:val="22"/>
          <w:u w:val="single"/>
          <w:lang w:val="en-US" w:eastAsia="zh-CN"/>
        </w:rPr>
        <w:t>12</w:t>
      </w:r>
      <w:r>
        <w:rPr>
          <w:rFonts w:hint="eastAsia" w:cs="宋体" w:asciiTheme="majorEastAsia" w:hAnsiTheme="majorEastAsia" w:eastAsiaTheme="majorEastAsia"/>
          <w:sz w:val="22"/>
          <w:szCs w:val="22"/>
          <w:u w:val="single"/>
        </w:rPr>
        <w:t xml:space="preserve"> </w:t>
      </w:r>
      <w:r>
        <w:rPr>
          <w:rFonts w:hint="eastAsia" w:cs="宋体" w:asciiTheme="majorEastAsia" w:hAnsiTheme="majorEastAsia" w:eastAsiaTheme="majorEastAsia"/>
          <w:sz w:val="22"/>
          <w:szCs w:val="22"/>
        </w:rPr>
        <w:t>日前完成方案</w:t>
      </w:r>
      <w:r>
        <w:rPr>
          <w:rFonts w:cs="宋体" w:asciiTheme="majorEastAsia" w:hAnsiTheme="majorEastAsia" w:eastAsiaTheme="majorEastAsia"/>
          <w:sz w:val="22"/>
          <w:szCs w:val="22"/>
        </w:rPr>
        <w:t>设计并通过审批</w:t>
      </w:r>
      <w:r>
        <w:rPr>
          <w:rFonts w:hint="eastAsia" w:cs="宋体" w:asciiTheme="majorEastAsia" w:hAnsiTheme="majorEastAsia" w:eastAsiaTheme="majorEastAsia"/>
          <w:sz w:val="22"/>
          <w:szCs w:val="22"/>
        </w:rPr>
        <w:t>；</w:t>
      </w:r>
    </w:p>
    <w:p>
      <w:pPr>
        <w:snapToGrid w:val="0"/>
        <w:spacing w:line="360" w:lineRule="auto"/>
        <w:ind w:firstLine="880" w:firstLineChars="400"/>
        <w:rPr>
          <w:rFonts w:cs="宋体" w:asciiTheme="majorEastAsia" w:hAnsiTheme="majorEastAsia" w:eastAsiaTheme="majorEastAsia"/>
          <w:sz w:val="22"/>
          <w:szCs w:val="22"/>
        </w:rPr>
      </w:pPr>
      <w:r>
        <w:rPr>
          <w:rFonts w:cs="宋体" w:asciiTheme="majorEastAsia" w:hAnsiTheme="majorEastAsia" w:eastAsiaTheme="majorEastAsia"/>
          <w:sz w:val="22"/>
          <w:szCs w:val="22"/>
        </w:rPr>
        <w:t>2.</w:t>
      </w:r>
      <w:r>
        <w:rPr>
          <w:rFonts w:hint="eastAsia" w:cs="宋体" w:asciiTheme="majorEastAsia" w:hAnsiTheme="majorEastAsia" w:eastAsiaTheme="majorEastAsia"/>
          <w:sz w:val="22"/>
          <w:szCs w:val="22"/>
        </w:rPr>
        <w:t>5</w:t>
      </w:r>
      <w:r>
        <w:rPr>
          <w:rFonts w:cs="宋体" w:asciiTheme="majorEastAsia" w:hAnsiTheme="majorEastAsia" w:eastAsiaTheme="majorEastAsia"/>
          <w:sz w:val="22"/>
          <w:szCs w:val="22"/>
        </w:rPr>
        <w:t>.2</w:t>
      </w:r>
      <w:r>
        <w:rPr>
          <w:rFonts w:hint="eastAsia" w:cs="宋体" w:asciiTheme="majorEastAsia" w:hAnsiTheme="majorEastAsia" w:eastAsiaTheme="majorEastAsia"/>
          <w:sz w:val="22"/>
          <w:szCs w:val="22"/>
        </w:rPr>
        <w:t xml:space="preserve"> </w:t>
      </w: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6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25 </w:t>
      </w:r>
      <w:r>
        <w:rPr>
          <w:rFonts w:hint="eastAsia" w:cs="宋体" w:asciiTheme="majorEastAsia" w:hAnsiTheme="majorEastAsia" w:eastAsiaTheme="majorEastAsia"/>
          <w:sz w:val="22"/>
          <w:szCs w:val="22"/>
        </w:rPr>
        <w:t>日前完成施工图</w:t>
      </w:r>
      <w:r>
        <w:rPr>
          <w:rFonts w:cs="宋体" w:asciiTheme="majorEastAsia" w:hAnsiTheme="majorEastAsia" w:eastAsiaTheme="majorEastAsia"/>
          <w:sz w:val="22"/>
          <w:szCs w:val="22"/>
        </w:rPr>
        <w:t>设计并通过审批</w:t>
      </w:r>
      <w:r>
        <w:rPr>
          <w:rFonts w:hint="eastAsia" w:cs="宋体" w:asciiTheme="majorEastAsia" w:hAnsiTheme="majorEastAsia" w:eastAsiaTheme="majorEastAsia"/>
          <w:sz w:val="22"/>
          <w:szCs w:val="22"/>
        </w:rPr>
        <w:t>；</w:t>
      </w:r>
    </w:p>
    <w:p>
      <w:pPr>
        <w:snapToGrid w:val="0"/>
        <w:spacing w:line="360" w:lineRule="auto"/>
        <w:ind w:firstLine="880" w:firstLineChars="400"/>
        <w:rPr>
          <w:rFonts w:cs="宋体" w:asciiTheme="majorEastAsia" w:hAnsiTheme="majorEastAsia" w:eastAsiaTheme="majorEastAsia"/>
          <w:sz w:val="22"/>
          <w:szCs w:val="22"/>
        </w:rPr>
      </w:pPr>
      <w:r>
        <w:rPr>
          <w:rFonts w:cs="宋体" w:asciiTheme="majorEastAsia" w:hAnsiTheme="majorEastAsia" w:eastAsiaTheme="majorEastAsia"/>
          <w:sz w:val="22"/>
          <w:szCs w:val="22"/>
        </w:rPr>
        <w:t>2.</w:t>
      </w:r>
      <w:r>
        <w:rPr>
          <w:rFonts w:hint="eastAsia" w:cs="宋体" w:asciiTheme="majorEastAsia" w:hAnsiTheme="majorEastAsia" w:eastAsiaTheme="majorEastAsia"/>
          <w:sz w:val="22"/>
          <w:szCs w:val="22"/>
        </w:rPr>
        <w:t>5</w:t>
      </w:r>
      <w:r>
        <w:rPr>
          <w:rFonts w:cs="宋体" w:asciiTheme="majorEastAsia" w:hAnsiTheme="majorEastAsia" w:eastAsiaTheme="majorEastAsia"/>
          <w:sz w:val="22"/>
          <w:szCs w:val="22"/>
        </w:rPr>
        <w:t>.3</w:t>
      </w:r>
      <w:r>
        <w:rPr>
          <w:rFonts w:hint="eastAsia" w:cs="宋体" w:asciiTheme="majorEastAsia" w:hAnsiTheme="majorEastAsia" w:eastAsiaTheme="majorEastAsia"/>
          <w:sz w:val="22"/>
          <w:szCs w:val="22"/>
        </w:rPr>
        <w:t xml:space="preserve"> </w:t>
      </w: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7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30 </w:t>
      </w:r>
      <w:r>
        <w:rPr>
          <w:rFonts w:hint="eastAsia" w:cs="宋体" w:asciiTheme="majorEastAsia" w:hAnsiTheme="majorEastAsia" w:eastAsiaTheme="majorEastAsia"/>
          <w:sz w:val="22"/>
          <w:szCs w:val="22"/>
        </w:rPr>
        <w:t>日前完成工程量清单</w:t>
      </w:r>
      <w:r>
        <w:rPr>
          <w:rFonts w:cs="宋体" w:asciiTheme="majorEastAsia" w:hAnsiTheme="majorEastAsia" w:eastAsiaTheme="majorEastAsia"/>
          <w:sz w:val="22"/>
          <w:szCs w:val="22"/>
        </w:rPr>
        <w:t>及组价编制</w:t>
      </w:r>
      <w:r>
        <w:rPr>
          <w:rFonts w:hint="eastAsia" w:cs="宋体" w:asciiTheme="majorEastAsia" w:hAnsiTheme="majorEastAsia" w:eastAsiaTheme="majorEastAsia"/>
          <w:sz w:val="22"/>
          <w:szCs w:val="22"/>
        </w:rPr>
        <w:t>并配合</w:t>
      </w:r>
      <w:r>
        <w:rPr>
          <w:rFonts w:cs="宋体" w:asciiTheme="majorEastAsia" w:hAnsiTheme="majorEastAsia" w:eastAsiaTheme="majorEastAsia"/>
          <w:sz w:val="22"/>
          <w:szCs w:val="22"/>
        </w:rPr>
        <w:t>审核单位完成审核</w:t>
      </w:r>
      <w:r>
        <w:rPr>
          <w:rFonts w:hint="eastAsia" w:cs="宋体" w:asciiTheme="majorEastAsia" w:hAnsiTheme="majorEastAsia" w:eastAsiaTheme="majorEastAsia"/>
          <w:sz w:val="22"/>
          <w:szCs w:val="22"/>
        </w:rPr>
        <w:t>；</w:t>
      </w:r>
    </w:p>
    <w:p>
      <w:pPr>
        <w:snapToGrid w:val="0"/>
        <w:spacing w:line="360" w:lineRule="auto"/>
        <w:ind w:firstLine="880" w:firstLineChars="400"/>
        <w:rPr>
          <w:rFonts w:cs="宋体" w:asciiTheme="majorEastAsia" w:hAnsiTheme="majorEastAsia" w:eastAsiaTheme="majorEastAsia"/>
          <w:sz w:val="22"/>
          <w:szCs w:val="22"/>
        </w:rPr>
      </w:pPr>
      <w:r>
        <w:rPr>
          <w:rFonts w:cs="宋体" w:asciiTheme="majorEastAsia" w:hAnsiTheme="majorEastAsia" w:eastAsiaTheme="majorEastAsia"/>
          <w:sz w:val="22"/>
          <w:szCs w:val="22"/>
        </w:rPr>
        <w:t>2.</w:t>
      </w:r>
      <w:r>
        <w:rPr>
          <w:rFonts w:hint="eastAsia" w:cs="宋体" w:asciiTheme="majorEastAsia" w:hAnsiTheme="majorEastAsia" w:eastAsiaTheme="majorEastAsia"/>
          <w:sz w:val="22"/>
          <w:szCs w:val="22"/>
        </w:rPr>
        <w:t>5</w:t>
      </w:r>
      <w:r>
        <w:rPr>
          <w:rFonts w:cs="宋体" w:asciiTheme="majorEastAsia" w:hAnsiTheme="majorEastAsia" w:eastAsiaTheme="majorEastAsia"/>
          <w:sz w:val="22"/>
          <w:szCs w:val="22"/>
        </w:rPr>
        <w:t>.4</w:t>
      </w:r>
      <w:r>
        <w:rPr>
          <w:rFonts w:hint="eastAsia" w:cs="宋体" w:asciiTheme="majorEastAsia" w:hAnsiTheme="majorEastAsia" w:eastAsiaTheme="majorEastAsia"/>
          <w:sz w:val="22"/>
          <w:szCs w:val="22"/>
        </w:rPr>
        <w:t xml:space="preserve"> </w:t>
      </w: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8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30 </w:t>
      </w:r>
      <w:r>
        <w:rPr>
          <w:rFonts w:hint="eastAsia" w:cs="宋体" w:asciiTheme="majorEastAsia" w:hAnsiTheme="majorEastAsia" w:eastAsiaTheme="majorEastAsia"/>
          <w:sz w:val="22"/>
          <w:szCs w:val="22"/>
        </w:rPr>
        <w:t>日前竣工</w:t>
      </w:r>
      <w:r>
        <w:rPr>
          <w:rFonts w:cs="宋体" w:asciiTheme="majorEastAsia" w:hAnsiTheme="majorEastAsia" w:eastAsiaTheme="majorEastAsia"/>
          <w:sz w:val="22"/>
          <w:szCs w:val="22"/>
        </w:rPr>
        <w:t>移交</w:t>
      </w:r>
      <w:r>
        <w:rPr>
          <w:rFonts w:hint="eastAsia" w:cs="宋体" w:asciiTheme="majorEastAsia" w:hAnsiTheme="majorEastAsia" w:eastAsiaTheme="majorEastAsia"/>
          <w:sz w:val="22"/>
          <w:szCs w:val="22"/>
        </w:rPr>
        <w:t>并</w:t>
      </w:r>
      <w:r>
        <w:rPr>
          <w:rFonts w:cs="宋体" w:asciiTheme="majorEastAsia" w:hAnsiTheme="majorEastAsia" w:eastAsiaTheme="majorEastAsia"/>
          <w:sz w:val="22"/>
          <w:szCs w:val="22"/>
        </w:rPr>
        <w:t>投入使用</w:t>
      </w:r>
      <w:r>
        <w:rPr>
          <w:rFonts w:hint="eastAsia" w:cs="宋体" w:asciiTheme="majorEastAsia" w:hAnsiTheme="majorEastAsia" w:eastAsiaTheme="majorEastAsia"/>
          <w:sz w:val="22"/>
          <w:szCs w:val="22"/>
        </w:rPr>
        <w:t>。</w:t>
      </w:r>
    </w:p>
    <w:p>
      <w:pPr>
        <w:pStyle w:val="4"/>
        <w:rPr>
          <w:rFonts w:cs="宋体" w:asciiTheme="majorEastAsia" w:hAnsiTheme="majorEastAsia" w:eastAsiaTheme="majorEastAsia"/>
          <w:bCs/>
          <w:sz w:val="24"/>
          <w:szCs w:val="22"/>
          <w:lang w:val="zh-CN"/>
        </w:rPr>
      </w:pPr>
      <w:bookmarkStart w:id="10" w:name="_Toc9267"/>
      <w:r>
        <w:rPr>
          <w:rFonts w:hint="eastAsia" w:cs="宋体" w:asciiTheme="majorEastAsia" w:hAnsiTheme="majorEastAsia" w:eastAsiaTheme="majorEastAsia"/>
          <w:bCs/>
          <w:sz w:val="24"/>
          <w:szCs w:val="22"/>
          <w:lang w:val="zh-CN"/>
        </w:rPr>
        <w:t>3．比选申请人资格要求</w:t>
      </w:r>
      <w:bookmarkEnd w:id="10"/>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3.1比选申请人须同时具备建设行政主管部门颁发的有效的</w:t>
      </w:r>
      <w:r>
        <w:rPr>
          <w:rFonts w:hint="eastAsia"/>
          <w:b/>
          <w:u w:val="single"/>
        </w:rPr>
        <w:t>工程设计综合甲级资质</w:t>
      </w:r>
      <w:r>
        <w:rPr>
          <w:rFonts w:hint="eastAsia"/>
        </w:rPr>
        <w:t>或</w:t>
      </w:r>
      <w:r>
        <w:rPr>
          <w:rFonts w:hint="eastAsia"/>
          <w:b/>
          <w:u w:val="single"/>
        </w:rPr>
        <w:t>工程设计建筑行业乙级及</w:t>
      </w:r>
      <w:r>
        <w:rPr>
          <w:b/>
          <w:u w:val="single"/>
        </w:rPr>
        <w:t>以上</w:t>
      </w:r>
      <w:r>
        <w:rPr>
          <w:rFonts w:hint="eastAsia"/>
          <w:b/>
          <w:u w:val="single"/>
        </w:rPr>
        <w:t>资质</w:t>
      </w:r>
      <w:r>
        <w:rPr>
          <w:rFonts w:hint="eastAsia"/>
        </w:rPr>
        <w:t>或</w:t>
      </w:r>
      <w:r>
        <w:rPr>
          <w:rFonts w:hint="eastAsia"/>
          <w:b/>
          <w:u w:val="single"/>
        </w:rPr>
        <w:t>工程设计建筑行业（建筑工程）专业乙级及</w:t>
      </w:r>
      <w:r>
        <w:rPr>
          <w:b/>
          <w:u w:val="single"/>
        </w:rPr>
        <w:t>以上</w:t>
      </w:r>
      <w:r>
        <w:rPr>
          <w:rFonts w:hint="eastAsia"/>
          <w:b/>
          <w:u w:val="single"/>
        </w:rPr>
        <w:t>资质</w:t>
      </w:r>
      <w:r>
        <w:rPr>
          <w:rFonts w:hint="eastAsia"/>
          <w:bCs/>
        </w:rPr>
        <w:t>或</w:t>
      </w:r>
      <w:r>
        <w:rPr>
          <w:rFonts w:hint="eastAsia" w:asciiTheme="majorEastAsia" w:hAnsiTheme="majorEastAsia" w:eastAsiaTheme="majorEastAsia"/>
          <w:b/>
          <w:sz w:val="22"/>
          <w:szCs w:val="22"/>
          <w:u w:val="single"/>
        </w:rPr>
        <w:t>建筑</w:t>
      </w:r>
      <w:r>
        <w:rPr>
          <w:rFonts w:asciiTheme="majorEastAsia" w:hAnsiTheme="majorEastAsia" w:eastAsiaTheme="majorEastAsia"/>
          <w:b/>
          <w:sz w:val="22"/>
          <w:szCs w:val="22"/>
          <w:u w:val="single"/>
        </w:rPr>
        <w:t>装饰</w:t>
      </w:r>
      <w:r>
        <w:rPr>
          <w:rFonts w:hint="eastAsia" w:asciiTheme="majorEastAsia" w:hAnsiTheme="majorEastAsia" w:eastAsiaTheme="majorEastAsia"/>
          <w:b/>
          <w:sz w:val="22"/>
          <w:szCs w:val="22"/>
          <w:u w:val="single"/>
        </w:rPr>
        <w:t>工程</w:t>
      </w:r>
      <w:r>
        <w:rPr>
          <w:rFonts w:asciiTheme="majorEastAsia" w:hAnsiTheme="majorEastAsia" w:eastAsiaTheme="majorEastAsia"/>
          <w:b/>
          <w:sz w:val="22"/>
          <w:szCs w:val="22"/>
          <w:u w:val="single"/>
        </w:rPr>
        <w:t>设计</w:t>
      </w:r>
      <w:r>
        <w:rPr>
          <w:rFonts w:hint="eastAsia" w:asciiTheme="majorEastAsia" w:hAnsiTheme="majorEastAsia" w:eastAsiaTheme="majorEastAsia"/>
          <w:b/>
          <w:sz w:val="22"/>
          <w:szCs w:val="22"/>
          <w:u w:val="single"/>
        </w:rPr>
        <w:t>专项</w:t>
      </w:r>
      <w:r>
        <w:rPr>
          <w:rFonts w:asciiTheme="majorEastAsia" w:hAnsiTheme="majorEastAsia" w:eastAsiaTheme="majorEastAsia"/>
          <w:b/>
          <w:sz w:val="22"/>
          <w:szCs w:val="22"/>
          <w:u w:val="single"/>
        </w:rPr>
        <w:t>资质乙级及以上资质</w:t>
      </w:r>
      <w:r>
        <w:rPr>
          <w:rFonts w:hint="eastAsia" w:asciiTheme="majorEastAsia" w:hAnsiTheme="majorEastAsia" w:eastAsiaTheme="majorEastAsia"/>
          <w:b/>
          <w:sz w:val="22"/>
          <w:szCs w:val="22"/>
          <w:u w:val="single"/>
        </w:rPr>
        <w:t>和建筑工程施工总承包叁级及以上资质</w:t>
      </w:r>
      <w:r>
        <w:rPr>
          <w:rFonts w:hint="eastAsia"/>
        </w:rPr>
        <w:t>或</w:t>
      </w:r>
      <w:r>
        <w:rPr>
          <w:rFonts w:hint="eastAsia" w:asciiTheme="majorEastAsia" w:hAnsiTheme="majorEastAsia" w:eastAsiaTheme="majorEastAsia"/>
          <w:b/>
          <w:sz w:val="22"/>
          <w:szCs w:val="22"/>
          <w:u w:val="single"/>
        </w:rPr>
        <w:t>建筑装修装饰工程专业承包贰级及以上资质</w:t>
      </w:r>
      <w:r>
        <w:rPr>
          <w:rFonts w:hint="eastAsia" w:asciiTheme="majorEastAsia" w:hAnsiTheme="majorEastAsia" w:eastAsiaTheme="majorEastAsia"/>
          <w:sz w:val="22"/>
          <w:szCs w:val="22"/>
        </w:rPr>
        <w:t>，并在人员、设备、资金等方面具有相应的能力；</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3.2 本次比选接受联合体竞标。</w:t>
      </w:r>
    </w:p>
    <w:p>
      <w:pPr>
        <w:pStyle w:val="4"/>
        <w:rPr>
          <w:rFonts w:cs="宋体" w:asciiTheme="majorEastAsia" w:hAnsiTheme="majorEastAsia" w:eastAsiaTheme="majorEastAsia"/>
          <w:bCs/>
          <w:sz w:val="24"/>
          <w:szCs w:val="22"/>
          <w:lang w:val="zh-CN"/>
        </w:rPr>
      </w:pPr>
      <w:bookmarkStart w:id="11" w:name="_Toc27291"/>
      <w:r>
        <w:rPr>
          <w:rFonts w:hint="eastAsia" w:cs="宋体" w:asciiTheme="majorEastAsia" w:hAnsiTheme="majorEastAsia" w:eastAsiaTheme="majorEastAsia"/>
          <w:bCs/>
          <w:sz w:val="24"/>
          <w:szCs w:val="22"/>
          <w:lang w:val="zh-CN"/>
        </w:rPr>
        <w:t>4．比选文件的获取</w:t>
      </w:r>
      <w:bookmarkEnd w:id="11"/>
    </w:p>
    <w:p>
      <w:pPr>
        <w:tabs>
          <w:tab w:val="left" w:pos="3840"/>
          <w:tab w:val="left" w:pos="5300"/>
        </w:tabs>
        <w:autoSpaceDE w:val="0"/>
        <w:autoSpaceDN w:val="0"/>
        <w:adjustRightInd w:val="0"/>
        <w:snapToGrid w:val="0"/>
        <w:spacing w:line="360" w:lineRule="auto"/>
        <w:ind w:firstLine="440" w:firstLineChars="200"/>
        <w:jc w:val="left"/>
        <w:rPr>
          <w:rFonts w:asciiTheme="majorEastAsia" w:hAnsiTheme="majorEastAsia" w:eastAsiaTheme="majorEastAsia"/>
          <w:sz w:val="22"/>
          <w:szCs w:val="22"/>
        </w:rPr>
      </w:pPr>
      <w:r>
        <w:rPr>
          <w:rFonts w:hint="eastAsia" w:cs="MingLiU" w:asciiTheme="majorEastAsia" w:hAnsiTheme="majorEastAsia" w:eastAsiaTheme="majorEastAsia"/>
          <w:snapToGrid w:val="0"/>
          <w:kern w:val="0"/>
          <w:sz w:val="22"/>
          <w:szCs w:val="22"/>
        </w:rPr>
        <w:t>4.1 本项目不需报名，凡有意参加竞标者，请于</w:t>
      </w:r>
      <w:r>
        <w:rPr>
          <w:rFonts w:hint="eastAsia" w:cs="MingLiU" w:asciiTheme="majorEastAsia" w:hAnsiTheme="majorEastAsia" w:eastAsiaTheme="majorEastAsia"/>
          <w:b/>
          <w:snapToGrid w:val="0"/>
          <w:color w:val="auto"/>
          <w:kern w:val="0"/>
          <w:sz w:val="22"/>
          <w:szCs w:val="22"/>
          <w:u w:val="single"/>
        </w:rPr>
        <w:t>202</w:t>
      </w:r>
      <w:r>
        <w:rPr>
          <w:rFonts w:cs="MingLiU" w:asciiTheme="majorEastAsia" w:hAnsiTheme="majorEastAsia" w:eastAsiaTheme="majorEastAsia"/>
          <w:b/>
          <w:snapToGrid w:val="0"/>
          <w:color w:val="auto"/>
          <w:kern w:val="0"/>
          <w:sz w:val="22"/>
          <w:szCs w:val="22"/>
          <w:u w:val="single"/>
        </w:rPr>
        <w:t>1</w:t>
      </w:r>
      <w:r>
        <w:rPr>
          <w:rFonts w:hint="eastAsia" w:cs="MingLiU" w:asciiTheme="majorEastAsia" w:hAnsiTheme="majorEastAsia" w:eastAsiaTheme="majorEastAsia"/>
          <w:b/>
          <w:snapToGrid w:val="0"/>
          <w:color w:val="auto"/>
          <w:kern w:val="0"/>
          <w:sz w:val="22"/>
          <w:szCs w:val="22"/>
          <w:u w:val="single"/>
        </w:rPr>
        <w:t>年</w:t>
      </w:r>
      <w:r>
        <w:rPr>
          <w:rFonts w:hint="eastAsia" w:cs="MingLiU" w:asciiTheme="majorEastAsia" w:hAnsiTheme="majorEastAsia" w:eastAsiaTheme="majorEastAsia"/>
          <w:b/>
          <w:snapToGrid w:val="0"/>
          <w:color w:val="auto"/>
          <w:kern w:val="0"/>
          <w:sz w:val="22"/>
          <w:szCs w:val="22"/>
          <w:u w:val="single"/>
          <w:lang w:val="en-US" w:eastAsia="zh-CN"/>
        </w:rPr>
        <w:t>6</w:t>
      </w:r>
      <w:r>
        <w:rPr>
          <w:rFonts w:hint="eastAsia" w:cs="MingLiU" w:asciiTheme="majorEastAsia" w:hAnsiTheme="majorEastAsia" w:eastAsiaTheme="majorEastAsia"/>
          <w:b/>
          <w:snapToGrid w:val="0"/>
          <w:color w:val="auto"/>
          <w:kern w:val="0"/>
          <w:sz w:val="22"/>
          <w:szCs w:val="22"/>
          <w:u w:val="single"/>
        </w:rPr>
        <w:t>月</w:t>
      </w:r>
      <w:r>
        <w:rPr>
          <w:rFonts w:hint="eastAsia" w:cs="MingLiU" w:asciiTheme="majorEastAsia" w:hAnsiTheme="majorEastAsia" w:eastAsiaTheme="majorEastAsia"/>
          <w:b/>
          <w:snapToGrid w:val="0"/>
          <w:color w:val="auto"/>
          <w:kern w:val="0"/>
          <w:sz w:val="22"/>
          <w:szCs w:val="22"/>
          <w:u w:val="single"/>
          <w:lang w:val="en-US" w:eastAsia="zh-CN"/>
        </w:rPr>
        <w:t>8</w:t>
      </w:r>
      <w:r>
        <w:rPr>
          <w:rFonts w:hint="eastAsia" w:cs="MingLiU" w:asciiTheme="majorEastAsia" w:hAnsiTheme="majorEastAsia" w:eastAsiaTheme="majorEastAsia"/>
          <w:b/>
          <w:snapToGrid w:val="0"/>
          <w:color w:val="auto"/>
          <w:kern w:val="0"/>
          <w:sz w:val="22"/>
          <w:szCs w:val="22"/>
          <w:u w:val="single"/>
        </w:rPr>
        <w:t>日</w:t>
      </w:r>
      <w:r>
        <w:rPr>
          <w:rFonts w:hint="eastAsia" w:cs="MingLiU" w:asciiTheme="majorEastAsia" w:hAnsiTheme="majorEastAsia" w:eastAsiaTheme="majorEastAsia"/>
          <w:b/>
          <w:snapToGrid w:val="0"/>
          <w:color w:val="auto"/>
          <w:kern w:val="0"/>
          <w:sz w:val="22"/>
          <w:szCs w:val="22"/>
          <w:u w:val="single"/>
          <w:lang w:val="en-US" w:eastAsia="zh-CN"/>
        </w:rPr>
        <w:t>前</w:t>
      </w:r>
      <w:r>
        <w:rPr>
          <w:rFonts w:hint="eastAsia" w:cs="MingLiU" w:asciiTheme="majorEastAsia" w:hAnsiTheme="majorEastAsia" w:eastAsiaTheme="majorEastAsia"/>
          <w:snapToGrid w:val="0"/>
          <w:kern w:val="0"/>
          <w:sz w:val="22"/>
          <w:szCs w:val="22"/>
        </w:rPr>
        <w:t>在</w:t>
      </w:r>
      <w:r>
        <w:rPr>
          <w:rFonts w:hint="eastAsia" w:cs="MingLiU" w:asciiTheme="majorEastAsia" w:hAnsiTheme="majorEastAsia" w:eastAsiaTheme="majorEastAsia"/>
          <w:b/>
          <w:snapToGrid w:val="0"/>
          <w:kern w:val="0"/>
          <w:sz w:val="22"/>
          <w:szCs w:val="22"/>
        </w:rPr>
        <w:t>重庆高速公路集团有限公司招投标管理平台（http://43.240.249.109:8081/）、重庆高速集团官网（http://www.cegc.com.cn/gw/newsInfoMenu.html?id=42&amp;key=2）</w:t>
      </w:r>
      <w:r>
        <w:rPr>
          <w:rFonts w:hint="eastAsia" w:cs="MingLiU" w:asciiTheme="majorEastAsia" w:hAnsiTheme="majorEastAsia" w:eastAsiaTheme="majorEastAsia"/>
          <w:snapToGrid w:val="0"/>
          <w:kern w:val="0"/>
          <w:sz w:val="22"/>
          <w:szCs w:val="22"/>
        </w:rPr>
        <w:t>下载本项目竞争性比选文件、答疑、补遗等开标前公布的所有相关资料，不管比选申请人下载与否，比选人都视为比选申请人已收到以上资料并全部知晓有关比选过程和事宜，否则由此产生的一切后果由比选申请人自负。</w:t>
      </w:r>
    </w:p>
    <w:p>
      <w:pPr>
        <w:pStyle w:val="4"/>
        <w:rPr>
          <w:rFonts w:cs="宋体" w:asciiTheme="majorEastAsia" w:hAnsiTheme="majorEastAsia" w:eastAsiaTheme="majorEastAsia"/>
          <w:bCs/>
          <w:sz w:val="24"/>
          <w:szCs w:val="22"/>
          <w:lang w:val="zh-CN"/>
        </w:rPr>
      </w:pPr>
      <w:bookmarkStart w:id="12" w:name="_Toc18559"/>
      <w:r>
        <w:rPr>
          <w:rFonts w:hint="eastAsia" w:cs="宋体" w:asciiTheme="majorEastAsia" w:hAnsiTheme="majorEastAsia" w:eastAsiaTheme="majorEastAsia"/>
          <w:bCs/>
          <w:sz w:val="24"/>
          <w:szCs w:val="22"/>
          <w:lang w:val="zh-CN"/>
        </w:rPr>
        <w:t>5．比选申请文件的递交</w:t>
      </w:r>
      <w:bookmarkEnd w:id="12"/>
    </w:p>
    <w:p>
      <w:pPr>
        <w:tabs>
          <w:tab w:val="left" w:pos="3840"/>
          <w:tab w:val="left" w:pos="5300"/>
        </w:tabs>
        <w:autoSpaceDE w:val="0"/>
        <w:autoSpaceDN w:val="0"/>
        <w:adjustRightInd w:val="0"/>
        <w:snapToGrid w:val="0"/>
        <w:spacing w:line="360" w:lineRule="auto"/>
        <w:ind w:firstLine="440" w:firstLineChars="200"/>
        <w:jc w:val="left"/>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5.1 比选申请文件的递交时间</w:t>
      </w:r>
      <w:r>
        <w:rPr>
          <w:rFonts w:hint="eastAsia" w:cs="MingLiU" w:asciiTheme="majorEastAsia" w:hAnsiTheme="majorEastAsia" w:eastAsiaTheme="majorEastAsia"/>
          <w:snapToGrid w:val="0"/>
          <w:color w:val="auto"/>
          <w:kern w:val="0"/>
          <w:sz w:val="22"/>
          <w:szCs w:val="22"/>
        </w:rPr>
        <w:t>为</w:t>
      </w:r>
      <w:r>
        <w:rPr>
          <w:rFonts w:hint="eastAsia" w:cs="MingLiU" w:asciiTheme="majorEastAsia" w:hAnsiTheme="majorEastAsia" w:eastAsiaTheme="majorEastAsia"/>
          <w:b/>
          <w:snapToGrid w:val="0"/>
          <w:color w:val="auto"/>
          <w:kern w:val="0"/>
          <w:sz w:val="22"/>
          <w:szCs w:val="22"/>
          <w:u w:val="single"/>
        </w:rPr>
        <w:t>202</w:t>
      </w:r>
      <w:r>
        <w:rPr>
          <w:rFonts w:cs="MingLiU" w:asciiTheme="majorEastAsia" w:hAnsiTheme="majorEastAsia" w:eastAsiaTheme="majorEastAsia"/>
          <w:b/>
          <w:snapToGrid w:val="0"/>
          <w:color w:val="auto"/>
          <w:kern w:val="0"/>
          <w:sz w:val="22"/>
          <w:szCs w:val="22"/>
          <w:u w:val="single"/>
        </w:rPr>
        <w:t>1</w:t>
      </w:r>
      <w:r>
        <w:rPr>
          <w:rFonts w:hint="eastAsia" w:cs="MingLiU" w:asciiTheme="majorEastAsia" w:hAnsiTheme="majorEastAsia" w:eastAsiaTheme="majorEastAsia"/>
          <w:b/>
          <w:snapToGrid w:val="0"/>
          <w:color w:val="auto"/>
          <w:kern w:val="0"/>
          <w:sz w:val="22"/>
          <w:szCs w:val="22"/>
          <w:u w:val="single"/>
        </w:rPr>
        <w:t>年</w:t>
      </w:r>
      <w:r>
        <w:rPr>
          <w:rFonts w:hint="eastAsia" w:cs="MingLiU" w:asciiTheme="majorEastAsia" w:hAnsiTheme="majorEastAsia" w:eastAsiaTheme="majorEastAsia"/>
          <w:b/>
          <w:snapToGrid w:val="0"/>
          <w:color w:val="auto"/>
          <w:kern w:val="0"/>
          <w:sz w:val="22"/>
          <w:szCs w:val="22"/>
          <w:u w:val="single"/>
          <w:lang w:val="en-US" w:eastAsia="zh-CN"/>
        </w:rPr>
        <w:t>6</w:t>
      </w:r>
      <w:r>
        <w:rPr>
          <w:rFonts w:hint="eastAsia" w:cs="MingLiU" w:asciiTheme="majorEastAsia" w:hAnsiTheme="majorEastAsia" w:eastAsiaTheme="majorEastAsia"/>
          <w:b/>
          <w:snapToGrid w:val="0"/>
          <w:color w:val="auto"/>
          <w:kern w:val="0"/>
          <w:sz w:val="22"/>
          <w:szCs w:val="22"/>
          <w:u w:val="single"/>
        </w:rPr>
        <w:t>月</w:t>
      </w:r>
      <w:r>
        <w:rPr>
          <w:rFonts w:hint="eastAsia" w:cs="MingLiU" w:asciiTheme="majorEastAsia" w:hAnsiTheme="majorEastAsia" w:eastAsiaTheme="majorEastAsia"/>
          <w:b/>
          <w:snapToGrid w:val="0"/>
          <w:color w:val="auto"/>
          <w:kern w:val="0"/>
          <w:sz w:val="22"/>
          <w:szCs w:val="22"/>
          <w:u w:val="single"/>
          <w:lang w:val="en-US" w:eastAsia="zh-CN"/>
        </w:rPr>
        <w:t>8</w:t>
      </w:r>
      <w:r>
        <w:rPr>
          <w:rFonts w:hint="eastAsia" w:cs="MingLiU" w:asciiTheme="majorEastAsia" w:hAnsiTheme="majorEastAsia" w:eastAsiaTheme="majorEastAsia"/>
          <w:b/>
          <w:snapToGrid w:val="0"/>
          <w:color w:val="auto"/>
          <w:kern w:val="0"/>
          <w:sz w:val="22"/>
          <w:szCs w:val="22"/>
          <w:u w:val="single"/>
        </w:rPr>
        <w:t>日</w:t>
      </w:r>
      <w:r>
        <w:rPr>
          <w:rFonts w:hint="eastAsia" w:cs="MingLiU" w:asciiTheme="majorEastAsia" w:hAnsiTheme="majorEastAsia" w:eastAsiaTheme="majorEastAsia"/>
          <w:b/>
          <w:snapToGrid w:val="0"/>
          <w:color w:val="auto"/>
          <w:kern w:val="0"/>
          <w:sz w:val="22"/>
          <w:szCs w:val="22"/>
          <w:u w:val="single"/>
          <w:lang w:val="en-US" w:eastAsia="zh-CN"/>
        </w:rPr>
        <w:t>9</w:t>
      </w:r>
      <w:r>
        <w:rPr>
          <w:rFonts w:hint="eastAsia" w:cs="MingLiU" w:asciiTheme="majorEastAsia" w:hAnsiTheme="majorEastAsia" w:eastAsiaTheme="majorEastAsia"/>
          <w:b/>
          <w:snapToGrid w:val="0"/>
          <w:color w:val="auto"/>
          <w:kern w:val="0"/>
          <w:sz w:val="22"/>
          <w:szCs w:val="22"/>
          <w:u w:val="single"/>
        </w:rPr>
        <w:t>时</w:t>
      </w:r>
      <w:r>
        <w:rPr>
          <w:rFonts w:hint="eastAsia" w:cs="MingLiU" w:asciiTheme="majorEastAsia" w:hAnsiTheme="majorEastAsia" w:eastAsiaTheme="majorEastAsia"/>
          <w:b/>
          <w:snapToGrid w:val="0"/>
          <w:color w:val="auto"/>
          <w:kern w:val="0"/>
          <w:sz w:val="22"/>
          <w:szCs w:val="22"/>
          <w:u w:val="single"/>
          <w:lang w:val="en-US" w:eastAsia="zh-CN"/>
        </w:rPr>
        <w:t>30</w:t>
      </w:r>
      <w:r>
        <w:rPr>
          <w:rFonts w:hint="eastAsia" w:cs="MingLiU" w:asciiTheme="majorEastAsia" w:hAnsiTheme="majorEastAsia" w:eastAsiaTheme="majorEastAsia"/>
          <w:b/>
          <w:snapToGrid w:val="0"/>
          <w:color w:val="auto"/>
          <w:kern w:val="0"/>
          <w:sz w:val="22"/>
          <w:szCs w:val="22"/>
          <w:u w:val="single"/>
        </w:rPr>
        <w:t>分至</w:t>
      </w:r>
      <w:r>
        <w:rPr>
          <w:rFonts w:hint="eastAsia" w:cs="MingLiU" w:asciiTheme="majorEastAsia" w:hAnsiTheme="majorEastAsia" w:eastAsiaTheme="majorEastAsia"/>
          <w:b/>
          <w:snapToGrid w:val="0"/>
          <w:color w:val="auto"/>
          <w:kern w:val="0"/>
          <w:sz w:val="22"/>
          <w:szCs w:val="22"/>
          <w:u w:val="single"/>
          <w:lang w:val="en-US" w:eastAsia="zh-CN"/>
        </w:rPr>
        <w:t>10</w:t>
      </w:r>
      <w:r>
        <w:rPr>
          <w:rFonts w:hint="eastAsia" w:cs="MingLiU" w:asciiTheme="majorEastAsia" w:hAnsiTheme="majorEastAsia" w:eastAsiaTheme="majorEastAsia"/>
          <w:b/>
          <w:snapToGrid w:val="0"/>
          <w:color w:val="auto"/>
          <w:kern w:val="0"/>
          <w:sz w:val="22"/>
          <w:szCs w:val="22"/>
          <w:u w:val="single"/>
        </w:rPr>
        <w:t>时</w:t>
      </w:r>
      <w:r>
        <w:rPr>
          <w:rFonts w:hint="eastAsia" w:cs="MingLiU" w:asciiTheme="majorEastAsia" w:hAnsiTheme="majorEastAsia" w:eastAsiaTheme="majorEastAsia"/>
          <w:b/>
          <w:snapToGrid w:val="0"/>
          <w:color w:val="auto"/>
          <w:kern w:val="0"/>
          <w:sz w:val="22"/>
          <w:szCs w:val="22"/>
          <w:u w:val="single"/>
          <w:lang w:val="en-US" w:eastAsia="zh-CN"/>
        </w:rPr>
        <w:t>00</w:t>
      </w:r>
      <w:r>
        <w:rPr>
          <w:rFonts w:hint="eastAsia" w:cs="MingLiU" w:asciiTheme="majorEastAsia" w:hAnsiTheme="majorEastAsia" w:eastAsiaTheme="majorEastAsia"/>
          <w:b/>
          <w:snapToGrid w:val="0"/>
          <w:color w:val="auto"/>
          <w:kern w:val="0"/>
          <w:sz w:val="22"/>
          <w:szCs w:val="22"/>
          <w:u w:val="single"/>
        </w:rPr>
        <w:t>分</w:t>
      </w:r>
      <w:r>
        <w:rPr>
          <w:rFonts w:hint="eastAsia" w:cs="MingLiU" w:asciiTheme="majorEastAsia" w:hAnsiTheme="majorEastAsia" w:eastAsiaTheme="majorEastAsia"/>
          <w:snapToGrid w:val="0"/>
          <w:color w:val="auto"/>
          <w:kern w:val="0"/>
          <w:sz w:val="22"/>
          <w:szCs w:val="22"/>
        </w:rPr>
        <w:t>，</w:t>
      </w:r>
      <w:r>
        <w:rPr>
          <w:rFonts w:hint="eastAsia" w:cs="MingLiU" w:asciiTheme="majorEastAsia" w:hAnsiTheme="majorEastAsia" w:eastAsiaTheme="majorEastAsia"/>
          <w:snapToGrid w:val="0"/>
          <w:kern w:val="0"/>
          <w:sz w:val="22"/>
          <w:szCs w:val="22"/>
        </w:rPr>
        <w:t>地点为</w:t>
      </w:r>
      <w:r>
        <w:rPr>
          <w:rFonts w:hint="eastAsia" w:cs="MingLiU" w:asciiTheme="majorEastAsia" w:hAnsiTheme="majorEastAsia" w:eastAsiaTheme="majorEastAsia"/>
          <w:snapToGrid w:val="0"/>
          <w:kern w:val="0"/>
          <w:sz w:val="22"/>
          <w:szCs w:val="22"/>
          <w:u w:val="single"/>
        </w:rPr>
        <w:t>渝北区人和香锦路4号7层</w:t>
      </w:r>
      <w:r>
        <w:rPr>
          <w:rFonts w:hint="eastAsia" w:cs="MingLiU" w:asciiTheme="majorEastAsia" w:hAnsiTheme="majorEastAsia" w:eastAsiaTheme="majorEastAsia"/>
          <w:snapToGrid w:val="0"/>
          <w:kern w:val="0"/>
          <w:sz w:val="22"/>
          <w:szCs w:val="22"/>
        </w:rPr>
        <w:t>。</w:t>
      </w:r>
    </w:p>
    <w:p>
      <w:pPr>
        <w:tabs>
          <w:tab w:val="left" w:pos="3840"/>
          <w:tab w:val="left" w:pos="5300"/>
        </w:tabs>
        <w:autoSpaceDE w:val="0"/>
        <w:autoSpaceDN w:val="0"/>
        <w:adjustRightInd w:val="0"/>
        <w:snapToGrid w:val="0"/>
        <w:spacing w:line="360" w:lineRule="auto"/>
        <w:ind w:firstLine="440" w:firstLineChars="200"/>
        <w:jc w:val="left"/>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5.2 逾期送达的或者未送达指定地点的比选申请文件，比选人不予受理。</w:t>
      </w:r>
    </w:p>
    <w:p>
      <w:pPr>
        <w:pStyle w:val="4"/>
        <w:rPr>
          <w:rFonts w:cs="宋体" w:asciiTheme="majorEastAsia" w:hAnsiTheme="majorEastAsia" w:eastAsiaTheme="majorEastAsia"/>
          <w:bCs/>
          <w:sz w:val="24"/>
          <w:szCs w:val="22"/>
        </w:rPr>
      </w:pPr>
      <w:bookmarkStart w:id="13" w:name="_Toc18990"/>
      <w:r>
        <w:rPr>
          <w:rFonts w:hint="eastAsia" w:cs="宋体" w:asciiTheme="majorEastAsia" w:hAnsiTheme="majorEastAsia" w:eastAsiaTheme="majorEastAsia"/>
          <w:bCs/>
          <w:sz w:val="24"/>
          <w:szCs w:val="22"/>
        </w:rPr>
        <w:t>6．</w:t>
      </w:r>
      <w:r>
        <w:rPr>
          <w:rFonts w:hint="eastAsia" w:cs="宋体" w:asciiTheme="majorEastAsia" w:hAnsiTheme="majorEastAsia" w:eastAsiaTheme="majorEastAsia"/>
          <w:bCs/>
          <w:sz w:val="24"/>
          <w:szCs w:val="22"/>
          <w:lang w:val="zh-CN"/>
        </w:rPr>
        <w:t>发布公告的媒介</w:t>
      </w:r>
      <w:bookmarkEnd w:id="13"/>
    </w:p>
    <w:p>
      <w:pPr>
        <w:tabs>
          <w:tab w:val="left" w:pos="3840"/>
          <w:tab w:val="left" w:pos="5300"/>
        </w:tabs>
        <w:autoSpaceDE w:val="0"/>
        <w:autoSpaceDN w:val="0"/>
        <w:adjustRightInd w:val="0"/>
        <w:snapToGrid w:val="0"/>
        <w:spacing w:line="360" w:lineRule="auto"/>
        <w:ind w:firstLine="440" w:firstLineChars="200"/>
        <w:jc w:val="left"/>
        <w:rPr>
          <w:rFonts w:cs="MingLiU" w:asciiTheme="majorEastAsia" w:hAnsiTheme="majorEastAsia" w:eastAsiaTheme="majorEastAsia"/>
          <w:b/>
          <w:snapToGrid w:val="0"/>
          <w:kern w:val="0"/>
          <w:sz w:val="22"/>
          <w:szCs w:val="22"/>
        </w:rPr>
      </w:pPr>
      <w:r>
        <w:rPr>
          <w:rFonts w:hint="eastAsia" w:cs="Arial" w:asciiTheme="majorEastAsia" w:hAnsiTheme="majorEastAsia" w:eastAsiaTheme="majorEastAsia"/>
          <w:sz w:val="22"/>
          <w:szCs w:val="22"/>
        </w:rPr>
        <w:t>本次竞争性比选公告</w:t>
      </w:r>
      <w:r>
        <w:rPr>
          <w:rFonts w:hint="eastAsia" w:cs="MingLiU" w:asciiTheme="majorEastAsia" w:hAnsiTheme="majorEastAsia" w:eastAsiaTheme="majorEastAsia"/>
          <w:snapToGrid w:val="0"/>
          <w:kern w:val="0"/>
          <w:sz w:val="22"/>
          <w:szCs w:val="22"/>
        </w:rPr>
        <w:t>在</w:t>
      </w:r>
      <w:r>
        <w:rPr>
          <w:rFonts w:hint="eastAsia" w:cs="MingLiU" w:asciiTheme="majorEastAsia" w:hAnsiTheme="majorEastAsia" w:eastAsiaTheme="majorEastAsia"/>
          <w:b/>
          <w:snapToGrid w:val="0"/>
          <w:kern w:val="0"/>
          <w:sz w:val="22"/>
          <w:szCs w:val="22"/>
        </w:rPr>
        <w:t>重庆高速公路集团有限公司招投标管理平台（http://43.240.249.109:8</w:t>
      </w:r>
    </w:p>
    <w:p>
      <w:pPr>
        <w:tabs>
          <w:tab w:val="left" w:pos="3840"/>
          <w:tab w:val="left" w:pos="5300"/>
        </w:tabs>
        <w:autoSpaceDE w:val="0"/>
        <w:autoSpaceDN w:val="0"/>
        <w:adjustRightInd w:val="0"/>
        <w:snapToGrid w:val="0"/>
        <w:spacing w:line="360" w:lineRule="auto"/>
        <w:jc w:val="left"/>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b/>
          <w:snapToGrid w:val="0"/>
          <w:kern w:val="0"/>
          <w:sz w:val="22"/>
          <w:szCs w:val="22"/>
        </w:rPr>
        <w:t>081/）和重庆高速集团官网（http://www.cegc.com.cn/gw/newsInfoMenu.html?id=42&amp;key=2）</w:t>
      </w:r>
      <w:r>
        <w:rPr>
          <w:rFonts w:hint="eastAsia" w:cs="MingLiU" w:asciiTheme="majorEastAsia" w:hAnsiTheme="majorEastAsia" w:eastAsiaTheme="majorEastAsia"/>
          <w:snapToGrid w:val="0"/>
          <w:kern w:val="0"/>
          <w:sz w:val="22"/>
          <w:szCs w:val="22"/>
        </w:rPr>
        <w:t>上发布。</w:t>
      </w:r>
    </w:p>
    <w:p>
      <w:pPr>
        <w:pStyle w:val="4"/>
        <w:rPr>
          <w:rFonts w:cs="宋体" w:asciiTheme="majorEastAsia" w:hAnsiTheme="majorEastAsia" w:eastAsiaTheme="majorEastAsia"/>
          <w:b w:val="0"/>
          <w:bCs/>
          <w:sz w:val="22"/>
          <w:szCs w:val="22"/>
          <w:lang w:val="zh-CN"/>
        </w:rPr>
      </w:pPr>
      <w:bookmarkStart w:id="14" w:name="_Toc9980"/>
      <w:r>
        <w:rPr>
          <w:rFonts w:hint="eastAsia" w:cs="宋体" w:asciiTheme="majorEastAsia" w:hAnsiTheme="majorEastAsia" w:eastAsiaTheme="majorEastAsia"/>
          <w:bCs/>
          <w:sz w:val="24"/>
          <w:szCs w:val="22"/>
          <w:lang w:val="zh-CN"/>
        </w:rPr>
        <w:t>7．联系方式</w:t>
      </w:r>
      <w:bookmarkEnd w:id="14"/>
      <w:r>
        <w:rPr>
          <w:rFonts w:hint="eastAsia" w:cs="宋体" w:asciiTheme="majorEastAsia" w:hAnsiTheme="majorEastAsia" w:eastAsiaTheme="majorEastAsia"/>
          <w:bCs/>
          <w:sz w:val="24"/>
          <w:szCs w:val="22"/>
          <w:lang w:val="zh-CN"/>
        </w:rPr>
        <w:t xml:space="preserve">    </w:t>
      </w:r>
      <w:r>
        <w:rPr>
          <w:rFonts w:hint="eastAsia" w:cs="宋体" w:asciiTheme="majorEastAsia" w:hAnsiTheme="majorEastAsia" w:eastAsiaTheme="majorEastAsia"/>
          <w:bCs/>
          <w:sz w:val="22"/>
          <w:szCs w:val="22"/>
          <w:lang w:val="zh-CN"/>
        </w:rPr>
        <w:t xml:space="preserve">  </w:t>
      </w:r>
      <w:r>
        <w:rPr>
          <w:rFonts w:hint="eastAsia" w:cs="宋体" w:asciiTheme="majorEastAsia" w:hAnsiTheme="majorEastAsia" w:eastAsiaTheme="majorEastAsia"/>
          <w:sz w:val="22"/>
          <w:szCs w:val="22"/>
          <w:lang w:val="zh-CN"/>
        </w:rPr>
        <w:t xml:space="preserve">                                                 </w:t>
      </w:r>
    </w:p>
    <w:bookmarkEnd w:id="6"/>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bookmarkStart w:id="15" w:name="_Toc19959"/>
      <w:bookmarkStart w:id="16" w:name="_Toc2353"/>
      <w:r>
        <w:rPr>
          <w:rFonts w:hint="eastAsia" w:asciiTheme="majorEastAsia" w:hAnsiTheme="majorEastAsia" w:eastAsiaTheme="majorEastAsia"/>
          <w:sz w:val="22"/>
          <w:szCs w:val="22"/>
        </w:rPr>
        <w:t>比选人：高速管家（重庆）实业有限公司</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地  址：</w:t>
      </w:r>
      <w:r>
        <w:rPr>
          <w:rFonts w:asciiTheme="majorEastAsia" w:hAnsiTheme="majorEastAsia" w:eastAsiaTheme="majorEastAsia"/>
          <w:sz w:val="22"/>
          <w:szCs w:val="22"/>
        </w:rPr>
        <w:t xml:space="preserve"> </w:t>
      </w:r>
      <w:r>
        <w:rPr>
          <w:rFonts w:hint="eastAsia" w:cs="MingLiU" w:asciiTheme="majorEastAsia" w:hAnsiTheme="majorEastAsia" w:eastAsiaTheme="majorEastAsia"/>
          <w:snapToGrid w:val="0"/>
          <w:kern w:val="0"/>
          <w:sz w:val="22"/>
          <w:szCs w:val="22"/>
        </w:rPr>
        <w:t>渝北区人和香锦路4号7层</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联系人：王老师</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电  话：18523996320、023-89186705</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p>
    <w:p>
      <w:pPr>
        <w:pStyle w:val="3"/>
        <w:ind w:left="0" w:firstLine="0"/>
        <w:rPr>
          <w:rFonts w:asciiTheme="majorEastAsia" w:hAnsiTheme="majorEastAsia" w:eastAsiaTheme="majorEastAsia"/>
          <w:b/>
          <w:kern w:val="0"/>
          <w:sz w:val="36"/>
          <w:szCs w:val="36"/>
        </w:rPr>
      </w:pPr>
      <w:r>
        <w:rPr>
          <w:rFonts w:asciiTheme="majorEastAsia" w:hAnsiTheme="majorEastAsia" w:eastAsiaTheme="majorEastAsia"/>
          <w:b/>
          <w:kern w:val="0"/>
        </w:rPr>
        <w:br w:type="page"/>
      </w:r>
      <w:bookmarkStart w:id="17" w:name="_Toc28097765"/>
      <w:bookmarkStart w:id="18" w:name="_Toc3889"/>
      <w:r>
        <w:rPr>
          <w:rFonts w:asciiTheme="majorEastAsia" w:hAnsiTheme="majorEastAsia" w:eastAsiaTheme="majorEastAsia"/>
          <w:b/>
          <w:kern w:val="0"/>
          <w:sz w:val="36"/>
          <w:szCs w:val="36"/>
        </w:rPr>
        <w:t>第二章</w:t>
      </w:r>
      <w:r>
        <w:rPr>
          <w:rFonts w:hint="eastAsia" w:asciiTheme="majorEastAsia" w:hAnsiTheme="majorEastAsia" w:eastAsiaTheme="majorEastAsia"/>
          <w:b/>
          <w:kern w:val="0"/>
          <w:sz w:val="36"/>
          <w:szCs w:val="36"/>
        </w:rPr>
        <w:t xml:space="preserve"> 比选申请</w:t>
      </w:r>
      <w:r>
        <w:rPr>
          <w:rFonts w:asciiTheme="majorEastAsia" w:hAnsiTheme="majorEastAsia" w:eastAsiaTheme="majorEastAsia"/>
          <w:b/>
          <w:kern w:val="0"/>
          <w:sz w:val="36"/>
          <w:szCs w:val="36"/>
        </w:rPr>
        <w:t>人须知</w:t>
      </w:r>
      <w:bookmarkEnd w:id="15"/>
      <w:bookmarkEnd w:id="16"/>
      <w:bookmarkEnd w:id="17"/>
      <w:bookmarkEnd w:id="18"/>
    </w:p>
    <w:p>
      <w:pPr>
        <w:pStyle w:val="4"/>
        <w:rPr>
          <w:rFonts w:asciiTheme="majorEastAsia" w:hAnsiTheme="majorEastAsia" w:eastAsiaTheme="majorEastAsia"/>
          <w:sz w:val="24"/>
          <w:szCs w:val="24"/>
        </w:rPr>
      </w:pPr>
      <w:bookmarkStart w:id="19" w:name="_Toc22095"/>
      <w:bookmarkStart w:id="20" w:name="_Toc26244"/>
      <w:bookmarkStart w:id="21" w:name="_Toc11814"/>
      <w:r>
        <w:rPr>
          <w:rFonts w:hint="eastAsia" w:asciiTheme="majorEastAsia" w:hAnsiTheme="majorEastAsia" w:eastAsiaTheme="majorEastAsia"/>
          <w:sz w:val="24"/>
          <w:szCs w:val="24"/>
        </w:rPr>
        <w:t>比选申请人</w:t>
      </w:r>
      <w:r>
        <w:rPr>
          <w:rFonts w:asciiTheme="majorEastAsia" w:hAnsiTheme="majorEastAsia" w:eastAsiaTheme="majorEastAsia"/>
          <w:sz w:val="24"/>
          <w:szCs w:val="24"/>
        </w:rPr>
        <w:t>须知前附表</w:t>
      </w:r>
      <w:bookmarkEnd w:id="19"/>
      <w:bookmarkEnd w:id="20"/>
      <w:bookmarkEnd w:id="21"/>
    </w:p>
    <w:tbl>
      <w:tblPr>
        <w:tblStyle w:val="57"/>
        <w:tblW w:w="9640" w:type="dxa"/>
        <w:jc w:val="center"/>
        <w:tblInd w:w="0" w:type="dxa"/>
        <w:tblLayout w:type="fixed"/>
        <w:tblCellMar>
          <w:top w:w="0" w:type="dxa"/>
          <w:left w:w="108" w:type="dxa"/>
          <w:bottom w:w="0" w:type="dxa"/>
          <w:right w:w="108" w:type="dxa"/>
        </w:tblCellMar>
      </w:tblPr>
      <w:tblGrid>
        <w:gridCol w:w="1205"/>
        <w:gridCol w:w="1844"/>
        <w:gridCol w:w="48"/>
        <w:gridCol w:w="6543"/>
      </w:tblGrid>
      <w:tr>
        <w:tblPrEx>
          <w:tblLayout w:type="fixed"/>
          <w:tblCellMar>
            <w:top w:w="0" w:type="dxa"/>
            <w:left w:w="108" w:type="dxa"/>
            <w:bottom w:w="0" w:type="dxa"/>
            <w:right w:w="108" w:type="dxa"/>
          </w:tblCellMar>
        </w:tblPrEx>
        <w:trPr>
          <w:trHeight w:val="448"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条款号</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条款名称</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2"/>
              <w:jc w:val="center"/>
              <w:rPr>
                <w:rFonts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编</w:t>
            </w:r>
            <w:r>
              <w:rPr>
                <w:rFonts w:asciiTheme="majorEastAsia" w:hAnsiTheme="majorEastAsia" w:eastAsiaTheme="majorEastAsia"/>
                <w:b/>
                <w:sz w:val="22"/>
                <w:szCs w:val="22"/>
                <w:lang w:bidi="ar"/>
              </w:rPr>
              <w:t xml:space="preserve">  </w:t>
            </w:r>
            <w:r>
              <w:rPr>
                <w:rFonts w:hint="eastAsia" w:cs="宋体" w:asciiTheme="majorEastAsia" w:hAnsiTheme="majorEastAsia" w:eastAsiaTheme="majorEastAsia"/>
                <w:b/>
                <w:sz w:val="22"/>
                <w:szCs w:val="22"/>
                <w:lang w:bidi="ar"/>
              </w:rPr>
              <w:t>列</w:t>
            </w:r>
            <w:r>
              <w:rPr>
                <w:rFonts w:asciiTheme="majorEastAsia" w:hAnsiTheme="majorEastAsia" w:eastAsiaTheme="majorEastAsia"/>
                <w:b/>
                <w:sz w:val="22"/>
                <w:szCs w:val="22"/>
                <w:lang w:bidi="ar"/>
              </w:rPr>
              <w:t xml:space="preserve">  </w:t>
            </w:r>
            <w:r>
              <w:rPr>
                <w:rFonts w:hint="eastAsia" w:cs="宋体" w:asciiTheme="majorEastAsia" w:hAnsiTheme="majorEastAsia" w:eastAsiaTheme="majorEastAsia"/>
                <w:b/>
                <w:sz w:val="22"/>
                <w:szCs w:val="22"/>
                <w:lang w:bidi="ar"/>
              </w:rPr>
              <w:t>内</w:t>
            </w:r>
            <w:r>
              <w:rPr>
                <w:rFonts w:asciiTheme="majorEastAsia" w:hAnsiTheme="majorEastAsia" w:eastAsiaTheme="majorEastAsia"/>
                <w:b/>
                <w:sz w:val="22"/>
                <w:szCs w:val="22"/>
                <w:lang w:bidi="ar"/>
              </w:rPr>
              <w:t xml:space="preserve">  </w:t>
            </w:r>
            <w:r>
              <w:rPr>
                <w:rFonts w:hint="eastAsia" w:cs="宋体" w:asciiTheme="majorEastAsia" w:hAnsiTheme="majorEastAsia" w:eastAsiaTheme="majorEastAsia"/>
                <w:b/>
                <w:sz w:val="22"/>
                <w:szCs w:val="22"/>
                <w:lang w:bidi="ar"/>
              </w:rPr>
              <w:t>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1.1.</w:t>
            </w:r>
            <w:r>
              <w:rPr>
                <w:rFonts w:hint="eastAsia" w:asciiTheme="majorEastAsia" w:hAnsiTheme="majorEastAsia" w:eastAsiaTheme="majorEastAsia"/>
                <w:sz w:val="22"/>
                <w:szCs w:val="22"/>
                <w:lang w:bidi="ar"/>
              </w:rPr>
              <w:t>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比选人</w:t>
            </w:r>
          </w:p>
        </w:tc>
        <w:tc>
          <w:tcPr>
            <w:tcW w:w="6591" w:type="dxa"/>
            <w:gridSpan w:val="2"/>
            <w:tcBorders>
              <w:top w:val="single" w:color="auto" w:sz="4" w:space="0"/>
              <w:left w:val="nil"/>
              <w:bottom w:val="single" w:color="auto" w:sz="4" w:space="0"/>
              <w:right w:val="single" w:color="auto" w:sz="4" w:space="0"/>
            </w:tcBorders>
            <w:vAlign w:val="center"/>
          </w:tcPr>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比选人：高速管家（重庆）实业有限公司</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地  址：</w:t>
            </w:r>
            <w:r>
              <w:rPr>
                <w:rFonts w:asciiTheme="majorEastAsia" w:hAnsiTheme="majorEastAsia" w:eastAsiaTheme="majorEastAsia"/>
                <w:sz w:val="22"/>
                <w:szCs w:val="22"/>
              </w:rPr>
              <w:t xml:space="preserve"> </w:t>
            </w:r>
            <w:r>
              <w:rPr>
                <w:rFonts w:hint="eastAsia" w:cs="MingLiU" w:asciiTheme="majorEastAsia" w:hAnsiTheme="majorEastAsia" w:eastAsiaTheme="majorEastAsia"/>
                <w:snapToGrid w:val="0"/>
                <w:kern w:val="0"/>
                <w:sz w:val="22"/>
                <w:szCs w:val="22"/>
              </w:rPr>
              <w:t>渝北区人和香锦路4号6层</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联系人：王老师</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电  话：18523996320、023-89186705</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1.1.</w:t>
            </w:r>
            <w:r>
              <w:rPr>
                <w:rFonts w:hint="eastAsia" w:asciiTheme="majorEastAsia" w:hAnsiTheme="majorEastAsia" w:eastAsiaTheme="majorEastAsia"/>
                <w:sz w:val="22"/>
                <w:szCs w:val="22"/>
                <w:lang w:bidi="ar"/>
              </w:rPr>
              <w:t>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项目名称</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lang w:bidi="ar"/>
              </w:rPr>
            </w:pPr>
            <w:r>
              <w:rPr>
                <w:rFonts w:hint="eastAsia" w:asciiTheme="majorEastAsia" w:hAnsiTheme="majorEastAsia" w:eastAsiaTheme="majorEastAsia"/>
                <w:sz w:val="22"/>
                <w:szCs w:val="22"/>
              </w:rPr>
              <w:t>长合高速公路石船服务区空间营造EPC工程。</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1.1.</w:t>
            </w:r>
            <w:r>
              <w:rPr>
                <w:rFonts w:hint="eastAsia" w:asciiTheme="majorEastAsia" w:hAnsiTheme="majorEastAsia" w:eastAsiaTheme="majorEastAsia"/>
                <w:sz w:val="22"/>
                <w:szCs w:val="22"/>
                <w:lang w:bidi="ar"/>
              </w:rPr>
              <w:t>4</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建设地点</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rPr>
              <w:t>重庆市渝北区石船镇南两高速在建路段石船服务区。</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lang w:bidi="ar"/>
              </w:rPr>
            </w:pPr>
            <w:r>
              <w:rPr>
                <w:rFonts w:hint="eastAsia" w:asciiTheme="majorEastAsia" w:hAnsiTheme="majorEastAsia" w:eastAsiaTheme="majorEastAsia"/>
                <w:sz w:val="22"/>
                <w:szCs w:val="22"/>
                <w:lang w:bidi="ar"/>
              </w:rPr>
              <w:t>1.1.5</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建设规模</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服务区双侧施工面积约2000平方米。</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1.2.1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资金来源</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业主自筹。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1.2.2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出资比例</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lang w:bidi="ar"/>
              </w:rPr>
              <w:t>100%</w:t>
            </w:r>
            <w:r>
              <w:rPr>
                <w:rFonts w:hint="eastAsia" w:asciiTheme="majorEastAsia" w:hAnsiTheme="majorEastAsia" w:eastAsiaTheme="majorEastAsia"/>
                <w:sz w:val="22"/>
                <w:szCs w:val="22"/>
                <w:lang w:bidi="ar"/>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1.2.3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资金落实情况</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已落实。</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1.3.1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比选范围</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长合高速公路石船服务区空间营造EPC工程</w:t>
            </w:r>
            <w:r>
              <w:rPr>
                <w:rFonts w:hint="eastAsia" w:cs="宋体" w:asciiTheme="majorEastAsia" w:hAnsiTheme="majorEastAsia" w:eastAsiaTheme="majorEastAsia"/>
                <w:sz w:val="22"/>
                <w:szCs w:val="22"/>
              </w:rPr>
              <w:t>设计施工</w:t>
            </w:r>
            <w:r>
              <w:rPr>
                <w:rFonts w:cs="宋体" w:asciiTheme="majorEastAsia" w:hAnsiTheme="majorEastAsia" w:eastAsiaTheme="majorEastAsia"/>
                <w:sz w:val="22"/>
                <w:szCs w:val="22"/>
              </w:rPr>
              <w:t>总承包</w:t>
            </w:r>
            <w:r>
              <w:rPr>
                <w:rFonts w:hint="eastAsia" w:cs="宋体" w:asciiTheme="majorEastAsia" w:hAnsiTheme="majorEastAsia" w:eastAsiaTheme="majorEastAsia"/>
                <w:sz w:val="22"/>
                <w:szCs w:val="22"/>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1.3.2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计划工期</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6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w:t>
            </w:r>
            <w:r>
              <w:rPr>
                <w:rFonts w:hint="eastAsia" w:cs="宋体" w:asciiTheme="majorEastAsia" w:hAnsiTheme="majorEastAsia" w:eastAsiaTheme="majorEastAsia"/>
                <w:sz w:val="22"/>
                <w:szCs w:val="22"/>
                <w:u w:val="single"/>
                <w:lang w:val="en-US" w:eastAsia="zh-CN"/>
              </w:rPr>
              <w:t>12</w:t>
            </w:r>
            <w:r>
              <w:rPr>
                <w:rFonts w:hint="eastAsia" w:cs="宋体" w:asciiTheme="majorEastAsia" w:hAnsiTheme="majorEastAsia" w:eastAsiaTheme="majorEastAsia"/>
                <w:sz w:val="22"/>
                <w:szCs w:val="22"/>
                <w:u w:val="single"/>
              </w:rPr>
              <w:t xml:space="preserve"> </w:t>
            </w:r>
            <w:r>
              <w:rPr>
                <w:rFonts w:hint="eastAsia" w:cs="宋体" w:asciiTheme="majorEastAsia" w:hAnsiTheme="majorEastAsia" w:eastAsiaTheme="majorEastAsia"/>
                <w:sz w:val="22"/>
                <w:szCs w:val="22"/>
              </w:rPr>
              <w:t>日前完成方案</w:t>
            </w:r>
            <w:r>
              <w:rPr>
                <w:rFonts w:cs="宋体" w:asciiTheme="majorEastAsia" w:hAnsiTheme="majorEastAsia" w:eastAsiaTheme="majorEastAsia"/>
                <w:sz w:val="22"/>
                <w:szCs w:val="22"/>
              </w:rPr>
              <w:t>设计并通过审批</w:t>
            </w:r>
            <w:r>
              <w:rPr>
                <w:rFonts w:hint="eastAsia" w:cs="宋体" w:asciiTheme="majorEastAsia" w:hAnsiTheme="majorEastAsia" w:eastAsiaTheme="majorEastAsia"/>
                <w:sz w:val="22"/>
                <w:szCs w:val="22"/>
              </w:rPr>
              <w:t>；</w:t>
            </w:r>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6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25 </w:t>
            </w:r>
            <w:r>
              <w:rPr>
                <w:rFonts w:hint="eastAsia" w:cs="宋体" w:asciiTheme="majorEastAsia" w:hAnsiTheme="majorEastAsia" w:eastAsiaTheme="majorEastAsia"/>
                <w:sz w:val="22"/>
                <w:szCs w:val="22"/>
              </w:rPr>
              <w:t>日前完成施工图</w:t>
            </w:r>
            <w:r>
              <w:rPr>
                <w:rFonts w:cs="宋体" w:asciiTheme="majorEastAsia" w:hAnsiTheme="majorEastAsia" w:eastAsiaTheme="majorEastAsia"/>
                <w:sz w:val="22"/>
                <w:szCs w:val="22"/>
              </w:rPr>
              <w:t>设计并通过审批</w:t>
            </w:r>
            <w:r>
              <w:rPr>
                <w:rFonts w:hint="eastAsia" w:cs="宋体" w:asciiTheme="majorEastAsia" w:hAnsiTheme="majorEastAsia" w:eastAsiaTheme="majorEastAsia"/>
                <w:sz w:val="22"/>
                <w:szCs w:val="22"/>
              </w:rPr>
              <w:t>；</w:t>
            </w:r>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7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30 </w:t>
            </w:r>
            <w:r>
              <w:rPr>
                <w:rFonts w:hint="eastAsia" w:cs="宋体" w:asciiTheme="majorEastAsia" w:hAnsiTheme="majorEastAsia" w:eastAsiaTheme="majorEastAsia"/>
                <w:sz w:val="22"/>
                <w:szCs w:val="22"/>
              </w:rPr>
              <w:t>日前完成工程量清单</w:t>
            </w:r>
            <w:r>
              <w:rPr>
                <w:rFonts w:cs="宋体" w:asciiTheme="majorEastAsia" w:hAnsiTheme="majorEastAsia" w:eastAsiaTheme="majorEastAsia"/>
                <w:sz w:val="22"/>
                <w:szCs w:val="22"/>
              </w:rPr>
              <w:t>及组价编制</w:t>
            </w:r>
            <w:r>
              <w:rPr>
                <w:rFonts w:hint="eastAsia" w:cs="宋体" w:asciiTheme="majorEastAsia" w:hAnsiTheme="majorEastAsia" w:eastAsiaTheme="majorEastAsia"/>
                <w:sz w:val="22"/>
                <w:szCs w:val="22"/>
              </w:rPr>
              <w:t>并配合</w:t>
            </w:r>
            <w:r>
              <w:rPr>
                <w:rFonts w:cs="宋体" w:asciiTheme="majorEastAsia" w:hAnsiTheme="majorEastAsia" w:eastAsiaTheme="majorEastAsia"/>
                <w:sz w:val="22"/>
                <w:szCs w:val="22"/>
              </w:rPr>
              <w:t>审核单位完成审核</w:t>
            </w:r>
            <w:r>
              <w:rPr>
                <w:rFonts w:hint="eastAsia" w:cs="宋体" w:asciiTheme="majorEastAsia" w:hAnsiTheme="majorEastAsia" w:eastAsiaTheme="majorEastAsia"/>
                <w:sz w:val="22"/>
                <w:szCs w:val="22"/>
              </w:rPr>
              <w:t>；</w:t>
            </w:r>
          </w:p>
          <w:p>
            <w:pPr>
              <w:snapToGrid w:val="0"/>
              <w:spacing w:line="360" w:lineRule="auto"/>
              <w:ind w:firstLine="440" w:firstLineChars="200"/>
              <w:rPr>
                <w:rFonts w:asciiTheme="majorEastAsia" w:hAnsiTheme="majorEastAsia" w:eastAsiaTheme="majorEastAsia"/>
                <w:sz w:val="22"/>
                <w:szCs w:val="22"/>
              </w:rPr>
            </w:pPr>
            <w:r>
              <w:rPr>
                <w:rFonts w:hint="eastAsia" w:cs="宋体" w:asciiTheme="majorEastAsia" w:hAnsiTheme="majorEastAsia" w:eastAsiaTheme="majorEastAsia"/>
                <w:sz w:val="22"/>
                <w:szCs w:val="22"/>
                <w:u w:val="single"/>
              </w:rPr>
              <w:t>2021</w:t>
            </w:r>
            <w:r>
              <w:rPr>
                <w:rFonts w:hint="eastAsia" w:cs="宋体" w:asciiTheme="majorEastAsia" w:hAnsiTheme="majorEastAsia" w:eastAsiaTheme="majorEastAsia"/>
                <w:sz w:val="22"/>
                <w:szCs w:val="22"/>
              </w:rPr>
              <w:t>年</w:t>
            </w:r>
            <w:r>
              <w:rPr>
                <w:rFonts w:hint="eastAsia" w:cs="宋体" w:asciiTheme="majorEastAsia" w:hAnsiTheme="majorEastAsia" w:eastAsiaTheme="majorEastAsia"/>
                <w:sz w:val="22"/>
                <w:szCs w:val="22"/>
                <w:u w:val="single"/>
              </w:rPr>
              <w:t xml:space="preserve">  8 </w:t>
            </w:r>
            <w:r>
              <w:rPr>
                <w:rFonts w:hint="eastAsia" w:cs="宋体" w:asciiTheme="majorEastAsia" w:hAnsiTheme="majorEastAsia" w:eastAsiaTheme="majorEastAsia"/>
                <w:sz w:val="22"/>
                <w:szCs w:val="22"/>
              </w:rPr>
              <w:t>月</w:t>
            </w:r>
            <w:r>
              <w:rPr>
                <w:rFonts w:hint="eastAsia" w:cs="宋体" w:asciiTheme="majorEastAsia" w:hAnsiTheme="majorEastAsia" w:eastAsiaTheme="majorEastAsia"/>
                <w:sz w:val="22"/>
                <w:szCs w:val="22"/>
                <w:u w:val="single"/>
              </w:rPr>
              <w:t xml:space="preserve"> 30 </w:t>
            </w:r>
            <w:r>
              <w:rPr>
                <w:rFonts w:hint="eastAsia" w:cs="宋体" w:asciiTheme="majorEastAsia" w:hAnsiTheme="majorEastAsia" w:eastAsiaTheme="majorEastAsia"/>
                <w:sz w:val="22"/>
                <w:szCs w:val="22"/>
              </w:rPr>
              <w:t>日前竣工</w:t>
            </w:r>
            <w:r>
              <w:rPr>
                <w:rFonts w:cs="宋体" w:asciiTheme="majorEastAsia" w:hAnsiTheme="majorEastAsia" w:eastAsiaTheme="majorEastAsia"/>
                <w:sz w:val="22"/>
                <w:szCs w:val="22"/>
              </w:rPr>
              <w:t>移交</w:t>
            </w:r>
            <w:r>
              <w:rPr>
                <w:rFonts w:hint="eastAsia" w:cs="宋体" w:asciiTheme="majorEastAsia" w:hAnsiTheme="majorEastAsia" w:eastAsiaTheme="majorEastAsia"/>
                <w:sz w:val="22"/>
                <w:szCs w:val="22"/>
              </w:rPr>
              <w:t>并</w:t>
            </w:r>
            <w:r>
              <w:rPr>
                <w:rFonts w:cs="宋体" w:asciiTheme="majorEastAsia" w:hAnsiTheme="majorEastAsia" w:eastAsiaTheme="majorEastAsia"/>
                <w:sz w:val="22"/>
                <w:szCs w:val="22"/>
              </w:rPr>
              <w:t>投入使用</w:t>
            </w:r>
            <w:r>
              <w:rPr>
                <w:rFonts w:hint="eastAsia" w:cs="宋体" w:asciiTheme="majorEastAsia" w:hAnsiTheme="majorEastAsia" w:eastAsiaTheme="majorEastAsia"/>
                <w:sz w:val="22"/>
                <w:szCs w:val="22"/>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1.3.3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质量要求</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lang w:bidi="ar"/>
              </w:rPr>
            </w:pPr>
            <w:r>
              <w:rPr>
                <w:rFonts w:hint="eastAsia" w:ascii="宋体" w:hAnsi="宋体" w:cs="宋体"/>
                <w:kern w:val="0"/>
                <w:szCs w:val="21"/>
              </w:rPr>
              <w:t>设计质量必须达到国家及重庆市有关设计深度和建设单位功能需要的要求并通过有关单位和部门的审查</w:t>
            </w:r>
            <w:r>
              <w:rPr>
                <w:rFonts w:hint="eastAsia" w:ascii="宋体" w:hAnsi="宋体" w:cs="宋体"/>
              </w:rPr>
              <w:t>。</w:t>
            </w:r>
          </w:p>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施工</w:t>
            </w:r>
            <w:r>
              <w:rPr>
                <w:rFonts w:cs="宋体" w:asciiTheme="majorEastAsia" w:hAnsiTheme="majorEastAsia" w:eastAsiaTheme="majorEastAsia"/>
                <w:sz w:val="22"/>
                <w:szCs w:val="22"/>
                <w:lang w:bidi="ar"/>
              </w:rPr>
              <w:t>质量</w:t>
            </w:r>
            <w:r>
              <w:rPr>
                <w:rFonts w:hint="eastAsia" w:cs="宋体" w:asciiTheme="majorEastAsia" w:hAnsiTheme="majorEastAsia" w:eastAsiaTheme="majorEastAsia"/>
                <w:sz w:val="22"/>
                <w:szCs w:val="22"/>
                <w:lang w:bidi="ar"/>
              </w:rPr>
              <w:t>达到国家现行有关施工质量验收规范要求，并验收合格。</w:t>
            </w:r>
          </w:p>
        </w:tc>
      </w:tr>
      <w:tr>
        <w:tblPrEx>
          <w:tblLayout w:type="fixed"/>
          <w:tblCellMar>
            <w:top w:w="0" w:type="dxa"/>
            <w:left w:w="108" w:type="dxa"/>
            <w:bottom w:w="0" w:type="dxa"/>
            <w:right w:w="108" w:type="dxa"/>
          </w:tblCellMar>
        </w:tblPrEx>
        <w:trPr>
          <w:trHeight w:val="204"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1.4.1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比选申请人资格条件</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20"/>
              <w:rPr>
                <w:rFonts w:cs="黑体" w:asciiTheme="majorEastAsia" w:hAnsiTheme="majorEastAsia" w:eastAsiaTheme="majorEastAsia"/>
                <w:sz w:val="22"/>
                <w:szCs w:val="22"/>
              </w:rPr>
            </w:pPr>
            <w:r>
              <w:rPr>
                <w:rFonts w:hint="eastAsia" w:cs="宋体" w:asciiTheme="majorEastAsia" w:hAnsiTheme="majorEastAsia" w:eastAsiaTheme="majorEastAsia"/>
                <w:sz w:val="22"/>
                <w:szCs w:val="22"/>
                <w:lang w:bidi="ar"/>
              </w:rPr>
              <w:t>本项目比选实行资格后审，</w:t>
            </w:r>
            <w:r>
              <w:rPr>
                <w:rFonts w:hint="eastAsia" w:cs="宋体" w:asciiTheme="majorEastAsia" w:hAnsiTheme="majorEastAsia" w:eastAsiaTheme="majorEastAsia"/>
                <w:kern w:val="0"/>
                <w:sz w:val="22"/>
                <w:szCs w:val="22"/>
                <w:lang w:bidi="ar"/>
              </w:rPr>
              <w:t>比选申请人应具备以下资格条件：</w:t>
            </w:r>
          </w:p>
          <w:p>
            <w:pPr>
              <w:spacing w:line="360" w:lineRule="auto"/>
              <w:ind w:firstLine="422"/>
              <w:rPr>
                <w:rFonts w:cs="方正小标宋简体" w:asciiTheme="majorEastAsia" w:hAnsiTheme="majorEastAsia" w:eastAsiaTheme="majorEastAsia"/>
                <w:b/>
                <w:sz w:val="22"/>
                <w:szCs w:val="22"/>
              </w:rPr>
            </w:pPr>
            <w:r>
              <w:rPr>
                <w:rFonts w:cs="方正小标宋简体" w:asciiTheme="majorEastAsia" w:hAnsiTheme="majorEastAsia" w:eastAsiaTheme="majorEastAsia"/>
                <w:b/>
                <w:sz w:val="22"/>
                <w:szCs w:val="22"/>
                <w:lang w:bidi="ar"/>
              </w:rPr>
              <w:t>1.</w:t>
            </w:r>
            <w:r>
              <w:rPr>
                <w:rFonts w:hint="eastAsia" w:cs="宋体" w:asciiTheme="majorEastAsia" w:hAnsiTheme="majorEastAsia" w:eastAsiaTheme="majorEastAsia"/>
                <w:b/>
                <w:sz w:val="22"/>
                <w:szCs w:val="22"/>
                <w:lang w:bidi="ar"/>
              </w:rPr>
              <w:t>营业执照、资质条件及安全生产条件</w:t>
            </w:r>
          </w:p>
          <w:p>
            <w:pPr>
              <w:spacing w:line="360" w:lineRule="auto"/>
              <w:ind w:firstLine="420"/>
              <w:rPr>
                <w:rFonts w:cs="宋体" w:asciiTheme="majorEastAsia" w:hAnsiTheme="majorEastAsia" w:eastAsiaTheme="majorEastAsia"/>
                <w:b/>
                <w:sz w:val="22"/>
                <w:szCs w:val="22"/>
                <w:lang w:bidi="ar"/>
              </w:rPr>
            </w:pPr>
            <w:r>
              <w:rPr>
                <w:rFonts w:hint="eastAsia" w:cs="宋体" w:asciiTheme="majorEastAsia" w:hAnsiTheme="majorEastAsia" w:eastAsiaTheme="majorEastAsia"/>
                <w:b/>
                <w:sz w:val="22"/>
                <w:szCs w:val="22"/>
                <w:lang w:bidi="ar"/>
              </w:rPr>
              <w:t>（1）营业执照</w:t>
            </w:r>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具有有效的营业执照。</w:t>
            </w:r>
          </w:p>
          <w:p>
            <w:pPr>
              <w:spacing w:line="360" w:lineRule="auto"/>
              <w:ind w:firstLine="422"/>
              <w:rPr>
                <w:rFonts w:cs="方正小标宋简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lang w:bidi="ar"/>
              </w:rPr>
              <w:t>【</w:t>
            </w:r>
            <w:r>
              <w:rPr>
                <w:rFonts w:hint="eastAsia" w:cs="宋体" w:asciiTheme="majorEastAsia" w:hAnsiTheme="majorEastAsia" w:eastAsiaTheme="majorEastAsia"/>
                <w:b/>
                <w:sz w:val="22"/>
                <w:szCs w:val="22"/>
                <w:lang w:bidi="ar"/>
              </w:rPr>
              <w:t>须</w:t>
            </w:r>
            <w:r>
              <w:rPr>
                <w:rFonts w:hint="eastAsia" w:cs="宋体" w:asciiTheme="majorEastAsia" w:hAnsiTheme="majorEastAsia" w:eastAsiaTheme="majorEastAsia"/>
                <w:b/>
                <w:kern w:val="0"/>
                <w:sz w:val="22"/>
                <w:szCs w:val="22"/>
                <w:lang w:bidi="ar"/>
              </w:rPr>
              <w:t>提供有效的营业执照复印件并加盖比选申请人单位公章。】</w:t>
            </w:r>
          </w:p>
          <w:p>
            <w:pPr>
              <w:spacing w:line="360" w:lineRule="auto"/>
              <w:ind w:firstLine="422"/>
              <w:rPr>
                <w:rFonts w:cs="方正小标宋简体" w:asciiTheme="majorEastAsia" w:hAnsiTheme="majorEastAsia" w:eastAsiaTheme="majorEastAsia"/>
                <w:b/>
                <w:sz w:val="22"/>
                <w:szCs w:val="22"/>
              </w:rPr>
            </w:pPr>
            <w:r>
              <w:rPr>
                <w:rFonts w:hint="eastAsia" w:cs="方正小标宋简体" w:asciiTheme="majorEastAsia" w:hAnsiTheme="majorEastAsia" w:eastAsiaTheme="majorEastAsia"/>
                <w:b/>
                <w:sz w:val="22"/>
                <w:szCs w:val="22"/>
                <w:lang w:bidi="ar"/>
              </w:rPr>
              <w:t>（2）</w:t>
            </w:r>
            <w:r>
              <w:rPr>
                <w:rFonts w:hint="eastAsia" w:cs="宋体" w:asciiTheme="majorEastAsia" w:hAnsiTheme="majorEastAsia" w:eastAsiaTheme="majorEastAsia"/>
                <w:b/>
                <w:sz w:val="22"/>
                <w:szCs w:val="22"/>
                <w:lang w:bidi="ar"/>
              </w:rPr>
              <w:t>资质条件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同时具备建设行政主管部门颁发的有效的</w:t>
            </w:r>
            <w:r>
              <w:rPr>
                <w:rFonts w:hint="eastAsia"/>
                <w:b/>
                <w:u w:val="single"/>
              </w:rPr>
              <w:t>工程设计综合甲级资质</w:t>
            </w:r>
            <w:r>
              <w:rPr>
                <w:rFonts w:hint="eastAsia"/>
              </w:rPr>
              <w:t>或</w:t>
            </w:r>
            <w:r>
              <w:rPr>
                <w:rFonts w:hint="eastAsia"/>
                <w:b/>
                <w:u w:val="single"/>
              </w:rPr>
              <w:t>工程设计建筑行业乙级及</w:t>
            </w:r>
            <w:r>
              <w:rPr>
                <w:b/>
                <w:u w:val="single"/>
              </w:rPr>
              <w:t>以上</w:t>
            </w:r>
            <w:r>
              <w:rPr>
                <w:rFonts w:hint="eastAsia"/>
                <w:b/>
                <w:u w:val="single"/>
              </w:rPr>
              <w:t>资质</w:t>
            </w:r>
            <w:r>
              <w:rPr>
                <w:rFonts w:hint="eastAsia"/>
              </w:rPr>
              <w:t>或</w:t>
            </w:r>
            <w:r>
              <w:rPr>
                <w:rFonts w:hint="eastAsia"/>
                <w:b/>
                <w:u w:val="single"/>
              </w:rPr>
              <w:t>工程设计建筑行业（建筑工程）专业乙级及</w:t>
            </w:r>
            <w:r>
              <w:rPr>
                <w:b/>
                <w:u w:val="single"/>
              </w:rPr>
              <w:t>以上</w:t>
            </w:r>
            <w:r>
              <w:rPr>
                <w:rFonts w:hint="eastAsia"/>
                <w:b/>
                <w:u w:val="single"/>
              </w:rPr>
              <w:t>资质</w:t>
            </w:r>
            <w:r>
              <w:rPr>
                <w:rFonts w:hint="eastAsia"/>
                <w:bCs/>
              </w:rPr>
              <w:t>或</w:t>
            </w:r>
            <w:r>
              <w:rPr>
                <w:rFonts w:hint="eastAsia" w:asciiTheme="majorEastAsia" w:hAnsiTheme="majorEastAsia" w:eastAsiaTheme="majorEastAsia"/>
                <w:b/>
                <w:sz w:val="22"/>
                <w:szCs w:val="22"/>
                <w:u w:val="single"/>
              </w:rPr>
              <w:t>建筑</w:t>
            </w:r>
            <w:r>
              <w:rPr>
                <w:rFonts w:asciiTheme="majorEastAsia" w:hAnsiTheme="majorEastAsia" w:eastAsiaTheme="majorEastAsia"/>
                <w:b/>
                <w:sz w:val="22"/>
                <w:szCs w:val="22"/>
                <w:u w:val="single"/>
              </w:rPr>
              <w:t>装饰</w:t>
            </w:r>
            <w:r>
              <w:rPr>
                <w:rFonts w:hint="eastAsia" w:asciiTheme="majorEastAsia" w:hAnsiTheme="majorEastAsia" w:eastAsiaTheme="majorEastAsia"/>
                <w:b/>
                <w:sz w:val="22"/>
                <w:szCs w:val="22"/>
                <w:u w:val="single"/>
              </w:rPr>
              <w:t>工程</w:t>
            </w:r>
            <w:r>
              <w:rPr>
                <w:rFonts w:asciiTheme="majorEastAsia" w:hAnsiTheme="majorEastAsia" w:eastAsiaTheme="majorEastAsia"/>
                <w:b/>
                <w:sz w:val="22"/>
                <w:szCs w:val="22"/>
                <w:u w:val="single"/>
              </w:rPr>
              <w:t>设计</w:t>
            </w:r>
            <w:r>
              <w:rPr>
                <w:rFonts w:hint="eastAsia" w:asciiTheme="majorEastAsia" w:hAnsiTheme="majorEastAsia" w:eastAsiaTheme="majorEastAsia"/>
                <w:b/>
                <w:sz w:val="22"/>
                <w:szCs w:val="22"/>
                <w:u w:val="single"/>
              </w:rPr>
              <w:t>专项</w:t>
            </w:r>
            <w:r>
              <w:rPr>
                <w:rFonts w:asciiTheme="majorEastAsia" w:hAnsiTheme="majorEastAsia" w:eastAsiaTheme="majorEastAsia"/>
                <w:b/>
                <w:sz w:val="22"/>
                <w:szCs w:val="22"/>
                <w:u w:val="single"/>
              </w:rPr>
              <w:t>资质乙级及以上资质</w:t>
            </w:r>
            <w:r>
              <w:rPr>
                <w:rFonts w:hint="eastAsia" w:asciiTheme="majorEastAsia" w:hAnsiTheme="majorEastAsia" w:eastAsiaTheme="majorEastAsia"/>
                <w:b/>
                <w:sz w:val="22"/>
                <w:szCs w:val="22"/>
                <w:u w:val="single"/>
              </w:rPr>
              <w:t>和建筑工程施工总承包叁级及以上资质</w:t>
            </w:r>
            <w:r>
              <w:rPr>
                <w:rFonts w:hint="eastAsia"/>
              </w:rPr>
              <w:t>或</w:t>
            </w:r>
            <w:r>
              <w:rPr>
                <w:rFonts w:hint="eastAsia" w:asciiTheme="majorEastAsia" w:hAnsiTheme="majorEastAsia" w:eastAsiaTheme="majorEastAsia"/>
                <w:b/>
                <w:sz w:val="22"/>
                <w:szCs w:val="22"/>
                <w:u w:val="single"/>
              </w:rPr>
              <w:t>建筑装修装饰工程专业承包贰级及以上资质</w:t>
            </w:r>
            <w:r>
              <w:rPr>
                <w:rFonts w:hint="eastAsia" w:asciiTheme="majorEastAsia" w:hAnsiTheme="majorEastAsia" w:eastAsiaTheme="majorEastAsia"/>
                <w:sz w:val="22"/>
                <w:szCs w:val="22"/>
              </w:rPr>
              <w:t>；</w:t>
            </w:r>
          </w:p>
          <w:p>
            <w:pPr>
              <w:spacing w:line="360" w:lineRule="auto"/>
              <w:ind w:firstLine="422"/>
              <w:rPr>
                <w:rFonts w:cs="方正小标宋简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lang w:bidi="ar"/>
              </w:rPr>
              <w:t>【</w:t>
            </w:r>
            <w:r>
              <w:rPr>
                <w:rFonts w:hint="eastAsia" w:cs="宋体" w:asciiTheme="majorEastAsia" w:hAnsiTheme="majorEastAsia" w:eastAsiaTheme="majorEastAsia"/>
                <w:b/>
                <w:sz w:val="22"/>
                <w:szCs w:val="22"/>
                <w:lang w:bidi="ar"/>
              </w:rPr>
              <w:t>须</w:t>
            </w:r>
            <w:r>
              <w:rPr>
                <w:rFonts w:hint="eastAsia" w:cs="宋体" w:asciiTheme="majorEastAsia" w:hAnsiTheme="majorEastAsia" w:eastAsiaTheme="majorEastAsia"/>
                <w:b/>
                <w:kern w:val="0"/>
                <w:sz w:val="22"/>
                <w:szCs w:val="22"/>
                <w:lang w:bidi="ar"/>
              </w:rPr>
              <w:t>提供有效的资质证书复印件并加盖比选申请人单位公章。】</w:t>
            </w:r>
          </w:p>
          <w:p>
            <w:pPr>
              <w:spacing w:line="360" w:lineRule="auto"/>
              <w:ind w:firstLine="422"/>
              <w:rPr>
                <w:rFonts w:cs="黑体" w:asciiTheme="majorEastAsia" w:hAnsiTheme="majorEastAsia" w:eastAsiaTheme="majorEastAsia"/>
                <w:b/>
                <w:sz w:val="22"/>
                <w:szCs w:val="22"/>
              </w:rPr>
            </w:pPr>
            <w:r>
              <w:rPr>
                <w:rFonts w:hint="eastAsia" w:cs="方正小标宋简体" w:asciiTheme="majorEastAsia" w:hAnsiTheme="majorEastAsia" w:eastAsiaTheme="majorEastAsia"/>
                <w:b/>
                <w:sz w:val="22"/>
                <w:szCs w:val="22"/>
                <w:lang w:bidi="ar"/>
              </w:rPr>
              <w:t>（3）</w:t>
            </w:r>
            <w:r>
              <w:rPr>
                <w:rFonts w:hint="eastAsia" w:cs="宋体" w:asciiTheme="majorEastAsia" w:hAnsiTheme="majorEastAsia" w:eastAsiaTheme="majorEastAsia"/>
                <w:b/>
                <w:sz w:val="22"/>
                <w:szCs w:val="22"/>
                <w:lang w:bidi="ar"/>
              </w:rPr>
              <w:t>安全生产条件</w:t>
            </w:r>
          </w:p>
          <w:p>
            <w:pPr>
              <w:spacing w:line="360" w:lineRule="auto"/>
              <w:ind w:firstLine="420"/>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具备建设行政主管部门颁发的有效安全生产许可证，企业负责人、拟担任该项目负责人（项目经理）和专职安全生产管理人员（即“三类人员”）须具备相应的有效的建设行政主管部门颁发的安全生产考核合格证书。</w:t>
            </w:r>
          </w:p>
          <w:p>
            <w:pPr>
              <w:spacing w:line="360" w:lineRule="auto"/>
              <w:ind w:firstLine="422"/>
              <w:rPr>
                <w:rFonts w:cs="方正小标宋简体"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【须提供有效的安全生产许可证</w:t>
            </w:r>
            <w:r>
              <w:rPr>
                <w:rFonts w:hint="eastAsia" w:asciiTheme="majorEastAsia" w:hAnsiTheme="majorEastAsia" w:eastAsiaTheme="majorEastAsia"/>
                <w:b/>
                <w:sz w:val="22"/>
                <w:szCs w:val="22"/>
              </w:rPr>
              <w:t>、</w:t>
            </w:r>
            <w:r>
              <w:rPr>
                <w:rFonts w:hint="eastAsia" w:cs="宋体" w:asciiTheme="majorEastAsia" w:hAnsiTheme="majorEastAsia" w:eastAsiaTheme="majorEastAsia"/>
                <w:b/>
                <w:sz w:val="22"/>
                <w:szCs w:val="22"/>
                <w:lang w:bidi="ar"/>
              </w:rPr>
              <w:t>“三类人员”安全生产考核合格证书复印件且均需加盖比选申请人单位公章，</w:t>
            </w:r>
            <w:r>
              <w:rPr>
                <w:rFonts w:cs="宋体" w:asciiTheme="majorEastAsia" w:hAnsiTheme="majorEastAsia" w:eastAsiaTheme="majorEastAsia"/>
                <w:b/>
                <w:sz w:val="22"/>
                <w:szCs w:val="22"/>
                <w:lang w:bidi="ar"/>
              </w:rPr>
              <w:t>联合体投标的，由施工单位负责</w:t>
            </w:r>
            <w:r>
              <w:rPr>
                <w:rFonts w:hint="eastAsia" w:cs="宋体" w:asciiTheme="majorEastAsia" w:hAnsiTheme="majorEastAsia" w:eastAsiaTheme="majorEastAsia"/>
                <w:b/>
                <w:sz w:val="22"/>
                <w:szCs w:val="22"/>
                <w:lang w:bidi="ar"/>
              </w:rPr>
              <w:t>提供。】</w:t>
            </w:r>
          </w:p>
          <w:p>
            <w:pPr>
              <w:spacing w:line="360" w:lineRule="auto"/>
              <w:ind w:firstLine="422"/>
              <w:rPr>
                <w:rFonts w:cs="方正小标宋简体" w:asciiTheme="majorEastAsia" w:hAnsiTheme="majorEastAsia" w:eastAsiaTheme="majorEastAsia"/>
                <w:b/>
                <w:sz w:val="22"/>
                <w:szCs w:val="22"/>
              </w:rPr>
            </w:pPr>
            <w:r>
              <w:rPr>
                <w:rFonts w:hint="eastAsia" w:cs="方正小标宋简体" w:asciiTheme="majorEastAsia" w:hAnsiTheme="majorEastAsia" w:eastAsiaTheme="majorEastAsia"/>
                <w:b/>
                <w:sz w:val="22"/>
                <w:szCs w:val="22"/>
                <w:lang w:bidi="ar"/>
              </w:rPr>
              <w:t>2</w:t>
            </w:r>
            <w:r>
              <w:rPr>
                <w:rFonts w:cs="方正小标宋简体" w:asciiTheme="majorEastAsia" w:hAnsiTheme="majorEastAsia" w:eastAsiaTheme="majorEastAsia"/>
                <w:b/>
                <w:sz w:val="22"/>
                <w:szCs w:val="22"/>
                <w:lang w:bidi="ar"/>
              </w:rPr>
              <w:t>.</w:t>
            </w:r>
            <w:r>
              <w:rPr>
                <w:rFonts w:hint="eastAsia" w:cs="宋体" w:asciiTheme="majorEastAsia" w:hAnsiTheme="majorEastAsia" w:eastAsiaTheme="majorEastAsia"/>
                <w:b/>
                <w:sz w:val="22"/>
                <w:szCs w:val="22"/>
                <w:lang w:bidi="ar"/>
              </w:rPr>
              <w:t>项目经理资格要求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具有建设行政主管部门颁发的</w:t>
            </w:r>
            <w:r>
              <w:rPr>
                <w:rFonts w:hint="eastAsia" w:asciiTheme="majorEastAsia" w:hAnsiTheme="majorEastAsia" w:eastAsiaTheme="majorEastAsia"/>
                <w:b/>
                <w:sz w:val="22"/>
                <w:szCs w:val="22"/>
                <w:u w:val="single"/>
              </w:rPr>
              <w:t>建筑工程类贰级及以上</w:t>
            </w:r>
            <w:r>
              <w:rPr>
                <w:rFonts w:hint="eastAsia" w:asciiTheme="majorEastAsia" w:hAnsiTheme="majorEastAsia" w:eastAsiaTheme="majorEastAsia"/>
                <w:sz w:val="22"/>
                <w:szCs w:val="22"/>
              </w:rPr>
              <w:t>注册建造师执业资格，且必须在比选申请人单位注册。</w:t>
            </w:r>
          </w:p>
          <w:p>
            <w:pPr>
              <w:spacing w:line="360" w:lineRule="auto"/>
              <w:ind w:firstLine="442"/>
              <w:rPr>
                <w:rFonts w:asciiTheme="majorEastAsia" w:hAnsiTheme="majorEastAsia" w:eastAsiaTheme="majorEastAsia"/>
                <w:b/>
                <w:sz w:val="22"/>
                <w:szCs w:val="22"/>
              </w:rPr>
            </w:pPr>
            <w:r>
              <w:rPr>
                <w:rFonts w:hint="eastAsia" w:asciiTheme="majorEastAsia" w:hAnsiTheme="majorEastAsia" w:eastAsiaTheme="majorEastAsia"/>
                <w:b/>
                <w:sz w:val="22"/>
                <w:szCs w:val="22"/>
              </w:rPr>
              <w:t>【须</w:t>
            </w:r>
            <w:r>
              <w:rPr>
                <w:rFonts w:hint="eastAsia" w:cs="方正小标宋简体" w:asciiTheme="majorEastAsia" w:hAnsiTheme="majorEastAsia" w:eastAsiaTheme="majorEastAsia"/>
                <w:b/>
                <w:kern w:val="0"/>
                <w:sz w:val="22"/>
                <w:szCs w:val="22"/>
              </w:rPr>
              <w:t>提供项目经理的建造师</w:t>
            </w:r>
            <w:r>
              <w:rPr>
                <w:rFonts w:hint="eastAsia" w:asciiTheme="majorEastAsia" w:hAnsiTheme="majorEastAsia" w:eastAsiaTheme="majorEastAsia"/>
                <w:b/>
                <w:sz w:val="22"/>
                <w:szCs w:val="22"/>
              </w:rPr>
              <w:t>注册证书、比选申请人为其缴纳的</w:t>
            </w:r>
            <w:r>
              <w:rPr>
                <w:rFonts w:hint="eastAsia" w:cs="方正小标宋简体" w:asciiTheme="majorEastAsia" w:hAnsiTheme="majorEastAsia" w:eastAsiaTheme="majorEastAsia"/>
                <w:b/>
                <w:sz w:val="22"/>
                <w:szCs w:val="22"/>
              </w:rPr>
              <w:t>202</w:t>
            </w:r>
            <w:r>
              <w:rPr>
                <w:rFonts w:cs="方正小标宋简体" w:asciiTheme="majorEastAsia" w:hAnsiTheme="majorEastAsia" w:eastAsiaTheme="majorEastAsia"/>
                <w:b/>
                <w:sz w:val="22"/>
                <w:szCs w:val="22"/>
              </w:rPr>
              <w:t>1</w:t>
            </w:r>
            <w:r>
              <w:rPr>
                <w:rFonts w:hint="eastAsia" w:asciiTheme="majorEastAsia" w:hAnsiTheme="majorEastAsia" w:eastAsiaTheme="majorEastAsia"/>
                <w:b/>
                <w:sz w:val="22"/>
                <w:szCs w:val="22"/>
              </w:rPr>
              <w:t>年</w:t>
            </w:r>
            <w:r>
              <w:rPr>
                <w:rFonts w:asciiTheme="majorEastAsia" w:hAnsiTheme="majorEastAsia" w:eastAsiaTheme="majorEastAsia"/>
                <w:b/>
                <w:sz w:val="22"/>
                <w:szCs w:val="22"/>
              </w:rPr>
              <w:t>3</w:t>
            </w:r>
            <w:r>
              <w:rPr>
                <w:rFonts w:hint="eastAsia" w:asciiTheme="majorEastAsia" w:hAnsiTheme="majorEastAsia" w:eastAsiaTheme="majorEastAsia"/>
                <w:b/>
                <w:sz w:val="22"/>
                <w:szCs w:val="22"/>
              </w:rPr>
              <w:t>月至</w:t>
            </w:r>
            <w:r>
              <w:rPr>
                <w:rFonts w:hint="eastAsia" w:cs="方正小标宋简体" w:asciiTheme="majorEastAsia" w:hAnsiTheme="majorEastAsia" w:eastAsiaTheme="majorEastAsia"/>
                <w:b/>
                <w:sz w:val="22"/>
                <w:szCs w:val="22"/>
              </w:rPr>
              <w:t>202</w:t>
            </w:r>
            <w:r>
              <w:rPr>
                <w:rFonts w:cs="方正小标宋简体" w:asciiTheme="majorEastAsia" w:hAnsiTheme="majorEastAsia" w:eastAsiaTheme="majorEastAsia"/>
                <w:b/>
                <w:sz w:val="22"/>
                <w:szCs w:val="22"/>
              </w:rPr>
              <w:t>1</w:t>
            </w:r>
            <w:r>
              <w:rPr>
                <w:rFonts w:hint="eastAsia" w:asciiTheme="majorEastAsia" w:hAnsiTheme="majorEastAsia" w:eastAsiaTheme="majorEastAsia"/>
                <w:b/>
                <w:sz w:val="22"/>
                <w:szCs w:val="22"/>
              </w:rPr>
              <w:t>年</w:t>
            </w:r>
            <w:r>
              <w:rPr>
                <w:rFonts w:asciiTheme="majorEastAsia" w:hAnsiTheme="majorEastAsia" w:eastAsiaTheme="majorEastAsia"/>
                <w:b/>
                <w:sz w:val="22"/>
                <w:szCs w:val="22"/>
              </w:rPr>
              <w:t>5</w:t>
            </w:r>
            <w:r>
              <w:rPr>
                <w:rFonts w:hint="eastAsia" w:asciiTheme="majorEastAsia" w:hAnsiTheme="majorEastAsia" w:eastAsiaTheme="majorEastAsia"/>
                <w:b/>
                <w:sz w:val="22"/>
                <w:szCs w:val="22"/>
              </w:rPr>
              <w:t>月的社会保险参保证明材料复印件并加盖比选申请人单位公章。】</w:t>
            </w:r>
          </w:p>
          <w:p>
            <w:pPr>
              <w:spacing w:line="360" w:lineRule="auto"/>
              <w:ind w:firstLine="422"/>
              <w:rPr>
                <w:rFonts w:cs="方正小标宋简体" w:asciiTheme="majorEastAsia" w:hAnsiTheme="majorEastAsia" w:eastAsiaTheme="majorEastAsia"/>
                <w:b/>
                <w:sz w:val="22"/>
                <w:szCs w:val="22"/>
              </w:rPr>
            </w:pPr>
            <w:r>
              <w:rPr>
                <w:rFonts w:hint="eastAsia" w:cs="方正小标宋简体" w:asciiTheme="majorEastAsia" w:hAnsiTheme="majorEastAsia" w:eastAsiaTheme="majorEastAsia"/>
                <w:b/>
                <w:sz w:val="22"/>
                <w:szCs w:val="22"/>
                <w:lang w:bidi="ar"/>
              </w:rPr>
              <w:t>3</w:t>
            </w:r>
            <w:r>
              <w:rPr>
                <w:rFonts w:cs="方正小标宋简体" w:asciiTheme="majorEastAsia" w:hAnsiTheme="majorEastAsia" w:eastAsiaTheme="majorEastAsia"/>
                <w:b/>
                <w:sz w:val="22"/>
                <w:szCs w:val="22"/>
                <w:lang w:bidi="ar"/>
              </w:rPr>
              <w:t>.</w:t>
            </w:r>
            <w:r>
              <w:rPr>
                <w:rFonts w:hint="eastAsia" w:cs="宋体" w:asciiTheme="majorEastAsia" w:hAnsiTheme="majorEastAsia" w:eastAsiaTheme="majorEastAsia"/>
                <w:b/>
                <w:sz w:val="22"/>
                <w:szCs w:val="22"/>
                <w:lang w:bidi="ar"/>
              </w:rPr>
              <w:t>设计负责人资格要求</w:t>
            </w:r>
          </w:p>
          <w:p>
            <w:pPr>
              <w:spacing w:line="360" w:lineRule="auto"/>
              <w:ind w:firstLine="440"/>
              <w:rPr>
                <w:rFonts w:asciiTheme="majorEastAsia" w:hAnsiTheme="majorEastAsia" w:eastAsiaTheme="majorEastAsia"/>
                <w:sz w:val="22"/>
                <w:szCs w:val="22"/>
              </w:rPr>
            </w:pPr>
            <w:r>
              <w:t>具备</w:t>
            </w:r>
            <w:r>
              <w:rPr>
                <w:rFonts w:hint="eastAsia"/>
                <w:b/>
                <w:u w:val="single"/>
              </w:rPr>
              <w:t>建筑工程类中级及以上技术职称</w:t>
            </w:r>
            <w:r>
              <w:t>。</w:t>
            </w:r>
          </w:p>
          <w:p>
            <w:pPr>
              <w:spacing w:line="360" w:lineRule="auto"/>
              <w:ind w:firstLine="442"/>
              <w:rPr>
                <w:rFonts w:asciiTheme="majorEastAsia" w:hAnsiTheme="majorEastAsia" w:eastAsiaTheme="majorEastAsia"/>
                <w:b/>
                <w:sz w:val="22"/>
                <w:szCs w:val="22"/>
              </w:rPr>
            </w:pPr>
            <w:r>
              <w:rPr>
                <w:rFonts w:hint="eastAsia" w:cs="方正小标宋简体" w:asciiTheme="majorEastAsia" w:hAnsiTheme="majorEastAsia" w:eastAsiaTheme="majorEastAsia"/>
                <w:b/>
                <w:bCs/>
                <w:kern w:val="0"/>
                <w:sz w:val="22"/>
                <w:szCs w:val="22"/>
              </w:rPr>
              <w:t>【</w:t>
            </w:r>
            <w:r>
              <w:rPr>
                <w:rFonts w:hint="eastAsia" w:asciiTheme="majorEastAsia" w:hAnsiTheme="majorEastAsia" w:eastAsiaTheme="majorEastAsia"/>
                <w:b/>
                <w:sz w:val="22"/>
                <w:szCs w:val="22"/>
              </w:rPr>
              <w:t>须</w:t>
            </w:r>
            <w:r>
              <w:rPr>
                <w:rFonts w:hint="eastAsia" w:cs="方正小标宋简体" w:asciiTheme="majorEastAsia" w:hAnsiTheme="majorEastAsia" w:eastAsiaTheme="majorEastAsia"/>
                <w:b/>
                <w:kern w:val="0"/>
                <w:sz w:val="22"/>
                <w:szCs w:val="22"/>
              </w:rPr>
              <w:t>提供技术负责人的</w:t>
            </w:r>
            <w:r>
              <w:rPr>
                <w:rFonts w:hint="eastAsia" w:asciiTheme="majorEastAsia" w:hAnsiTheme="majorEastAsia" w:eastAsiaTheme="majorEastAsia"/>
                <w:b/>
                <w:sz w:val="22"/>
                <w:szCs w:val="22"/>
              </w:rPr>
              <w:t>职称证证书、比选申请人为其缴纳的</w:t>
            </w:r>
            <w:r>
              <w:rPr>
                <w:rFonts w:hint="eastAsia" w:cs="方正小标宋简体" w:asciiTheme="majorEastAsia" w:hAnsiTheme="majorEastAsia" w:eastAsiaTheme="majorEastAsia"/>
                <w:b/>
                <w:sz w:val="22"/>
                <w:szCs w:val="22"/>
              </w:rPr>
              <w:t>202</w:t>
            </w:r>
            <w:r>
              <w:rPr>
                <w:rFonts w:cs="方正小标宋简体" w:asciiTheme="majorEastAsia" w:hAnsiTheme="majorEastAsia" w:eastAsiaTheme="majorEastAsia"/>
                <w:b/>
                <w:sz w:val="22"/>
                <w:szCs w:val="22"/>
              </w:rPr>
              <w:t>1</w:t>
            </w:r>
            <w:r>
              <w:rPr>
                <w:rFonts w:hint="eastAsia" w:asciiTheme="majorEastAsia" w:hAnsiTheme="majorEastAsia" w:eastAsiaTheme="majorEastAsia"/>
                <w:b/>
                <w:sz w:val="22"/>
                <w:szCs w:val="22"/>
              </w:rPr>
              <w:t>年</w:t>
            </w:r>
            <w:r>
              <w:rPr>
                <w:rFonts w:asciiTheme="majorEastAsia" w:hAnsiTheme="majorEastAsia" w:eastAsiaTheme="majorEastAsia"/>
                <w:b/>
                <w:sz w:val="22"/>
                <w:szCs w:val="22"/>
              </w:rPr>
              <w:t>3</w:t>
            </w:r>
            <w:r>
              <w:rPr>
                <w:rFonts w:hint="eastAsia" w:asciiTheme="majorEastAsia" w:hAnsiTheme="majorEastAsia" w:eastAsiaTheme="majorEastAsia"/>
                <w:b/>
                <w:sz w:val="22"/>
                <w:szCs w:val="22"/>
              </w:rPr>
              <w:t>月至</w:t>
            </w:r>
            <w:r>
              <w:rPr>
                <w:rFonts w:hint="eastAsia" w:cs="方正小标宋简体" w:asciiTheme="majorEastAsia" w:hAnsiTheme="majorEastAsia" w:eastAsiaTheme="majorEastAsia"/>
                <w:b/>
                <w:sz w:val="22"/>
                <w:szCs w:val="22"/>
              </w:rPr>
              <w:t>202</w:t>
            </w:r>
            <w:r>
              <w:rPr>
                <w:rFonts w:cs="方正小标宋简体" w:asciiTheme="majorEastAsia" w:hAnsiTheme="majorEastAsia" w:eastAsiaTheme="majorEastAsia"/>
                <w:b/>
                <w:sz w:val="22"/>
                <w:szCs w:val="22"/>
              </w:rPr>
              <w:t>1</w:t>
            </w:r>
            <w:r>
              <w:rPr>
                <w:rFonts w:hint="eastAsia" w:asciiTheme="majorEastAsia" w:hAnsiTheme="majorEastAsia" w:eastAsiaTheme="majorEastAsia"/>
                <w:b/>
                <w:sz w:val="22"/>
                <w:szCs w:val="22"/>
              </w:rPr>
              <w:t>年</w:t>
            </w:r>
            <w:r>
              <w:rPr>
                <w:rFonts w:asciiTheme="majorEastAsia" w:hAnsiTheme="majorEastAsia" w:eastAsiaTheme="majorEastAsia"/>
                <w:b/>
                <w:sz w:val="22"/>
                <w:szCs w:val="22"/>
              </w:rPr>
              <w:t>5</w:t>
            </w:r>
            <w:r>
              <w:rPr>
                <w:rFonts w:hint="eastAsia" w:asciiTheme="majorEastAsia" w:hAnsiTheme="majorEastAsia" w:eastAsiaTheme="majorEastAsia"/>
                <w:b/>
                <w:sz w:val="22"/>
                <w:szCs w:val="22"/>
              </w:rPr>
              <w:t>月的社会保险参保证明材料复印件并加盖比选申请人单位公章。</w:t>
            </w:r>
            <w:r>
              <w:rPr>
                <w:rFonts w:hint="eastAsia" w:cs="方正小标宋简体" w:asciiTheme="majorEastAsia" w:hAnsiTheme="majorEastAsia" w:eastAsiaTheme="majorEastAsia"/>
                <w:b/>
                <w:bCs/>
                <w:kern w:val="0"/>
                <w:sz w:val="22"/>
                <w:szCs w:val="22"/>
              </w:rPr>
              <w:t>】</w:t>
            </w:r>
          </w:p>
          <w:p>
            <w:pPr>
              <w:spacing w:line="360" w:lineRule="auto"/>
              <w:ind w:firstLine="422"/>
              <w:rPr>
                <w:rFonts w:cs="宋体" w:asciiTheme="majorEastAsia" w:hAnsiTheme="majorEastAsia" w:eastAsiaTheme="majorEastAsia"/>
                <w:b/>
                <w:sz w:val="22"/>
                <w:szCs w:val="22"/>
                <w:lang w:bidi="ar"/>
              </w:rPr>
            </w:pPr>
            <w:r>
              <w:rPr>
                <w:rFonts w:hint="eastAsia" w:cs="宋体" w:asciiTheme="majorEastAsia" w:hAnsiTheme="majorEastAsia" w:eastAsiaTheme="majorEastAsia"/>
                <w:b/>
                <w:sz w:val="22"/>
                <w:szCs w:val="22"/>
                <w:lang w:bidi="ar"/>
              </w:rPr>
              <w:t>4.主要管理人员</w:t>
            </w:r>
          </w:p>
          <w:p>
            <w:pPr>
              <w:spacing w:line="360" w:lineRule="auto"/>
              <w:ind w:firstLine="440"/>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lang w:bidi="ar"/>
              </w:rPr>
              <w:t>投标人自行承诺中标后在签订合同之前，须按照建设行政主管部门的要求组建设计</w:t>
            </w:r>
            <w:r>
              <w:rPr>
                <w:rFonts w:cs="宋体" w:asciiTheme="majorEastAsia" w:hAnsiTheme="majorEastAsia" w:eastAsiaTheme="majorEastAsia"/>
                <w:kern w:val="0"/>
                <w:sz w:val="22"/>
                <w:szCs w:val="22"/>
                <w:lang w:bidi="ar"/>
              </w:rPr>
              <w:t>及</w:t>
            </w:r>
            <w:r>
              <w:rPr>
                <w:rFonts w:hint="eastAsia" w:cs="宋体" w:asciiTheme="majorEastAsia" w:hAnsiTheme="majorEastAsia" w:eastAsiaTheme="majorEastAsia"/>
                <w:kern w:val="0"/>
                <w:sz w:val="22"/>
                <w:szCs w:val="22"/>
                <w:lang w:bidi="ar"/>
              </w:rPr>
              <w:t>施工项目团队，配置项目管理班子，出具任命文件。任命文件应当明确设计</w:t>
            </w:r>
            <w:r>
              <w:rPr>
                <w:rFonts w:cs="宋体" w:asciiTheme="majorEastAsia" w:hAnsiTheme="majorEastAsia" w:eastAsiaTheme="majorEastAsia"/>
                <w:kern w:val="0"/>
                <w:sz w:val="22"/>
                <w:szCs w:val="22"/>
                <w:lang w:bidi="ar"/>
              </w:rPr>
              <w:t>及</w:t>
            </w:r>
            <w:r>
              <w:rPr>
                <w:rFonts w:hint="eastAsia" w:cs="宋体" w:asciiTheme="majorEastAsia" w:hAnsiTheme="majorEastAsia" w:eastAsiaTheme="majorEastAsia"/>
                <w:kern w:val="0"/>
                <w:sz w:val="22"/>
                <w:szCs w:val="22"/>
                <w:lang w:bidi="ar"/>
              </w:rPr>
              <w:t>施工项目团队的职责、岗位设置、人员配备，并书面通知建设单位。相关岗位管理人员应持有建设行政主管部门要求的岗位证书，并提供投标人为其缴纳的养老保险证明材料。中标后不能满足该要求的，取消其中标资格，给招标人造成损失的，投标人依法承担违约赔偿责任。</w:t>
            </w:r>
          </w:p>
          <w:p>
            <w:pPr>
              <w:spacing w:line="360" w:lineRule="auto"/>
              <w:ind w:firstLine="442"/>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5. 信誉要求</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比选申请人自行承诺（格式自拟）不得存在下列情形之一：</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（1）被最高人民法院在“信用中国”网站（www.creditchina.gov.cn）列入失信被执行人名单；</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（2）被列入《重庆市工程建设领域招标投标信用管理暂行办法》规定的重点关注名单且记分达到12分；</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（3）被列入《重庆市工程建设领域招标投标信用管理暂行办法》规定的黑名单；</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（4）被国家、重庆市（含市或任意区县）有关行政部门处以暂停投标资格行政处罚，且在处罚期限内；</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（5）被重庆市住房和城乡建设主管部门暂停在渝承揽新业务。</w:t>
            </w:r>
          </w:p>
          <w:p>
            <w:pPr>
              <w:spacing w:line="360" w:lineRule="auto"/>
              <w:ind w:firstLine="442"/>
              <w:rPr>
                <w:rFonts w:asciiTheme="majorEastAsia" w:hAnsiTheme="majorEastAsia" w:eastAsiaTheme="majorEastAsia"/>
                <w:b/>
                <w:sz w:val="22"/>
                <w:szCs w:val="22"/>
              </w:rPr>
            </w:pPr>
            <w:r>
              <w:rPr>
                <w:rFonts w:hint="eastAsia" w:asciiTheme="majorEastAsia" w:hAnsiTheme="majorEastAsia" w:eastAsiaTheme="majorEastAsia"/>
                <w:b/>
                <w:sz w:val="22"/>
                <w:szCs w:val="22"/>
              </w:rPr>
              <w:t>【由比选申请人自行承诺，格式详见第八章比选申请文件格式；若承诺与实际不符，将被取消竞标或中选资格，其比选申请保证金不予退还。】</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1.4.2</w:t>
            </w:r>
          </w:p>
        </w:tc>
        <w:tc>
          <w:tcPr>
            <w:tcW w:w="1844" w:type="dxa"/>
            <w:tcBorders>
              <w:top w:val="single" w:color="auto" w:sz="4" w:space="0"/>
              <w:left w:val="nil"/>
              <w:bottom w:val="single" w:color="auto" w:sz="4" w:space="0"/>
              <w:right w:val="single" w:color="auto" w:sz="4" w:space="0"/>
            </w:tcBorders>
            <w:vAlign w:val="center"/>
          </w:tcPr>
          <w:p>
            <w:pPr>
              <w:autoSpaceDE w:val="0"/>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是否接受联合体竞选</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是，且牵头人必须</w:t>
            </w:r>
            <w:r>
              <w:rPr>
                <w:rFonts w:cs="宋体" w:asciiTheme="majorEastAsia" w:hAnsiTheme="majorEastAsia" w:eastAsiaTheme="majorEastAsia"/>
                <w:sz w:val="22"/>
                <w:szCs w:val="22"/>
                <w:lang w:bidi="ar"/>
              </w:rPr>
              <w:t>是设计单位。</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5</w:t>
            </w:r>
            <w:r>
              <w:rPr>
                <w:rFonts w:asciiTheme="majorEastAsia" w:hAnsiTheme="majorEastAsia" w:eastAsiaTheme="majorEastAsia"/>
                <w:sz w:val="22"/>
                <w:szCs w:val="22"/>
                <w:lang w:bidi="ar"/>
              </w:rPr>
              <w:t>.1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踏勘现场</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不组织。</w:t>
            </w:r>
          </w:p>
        </w:tc>
      </w:tr>
      <w:tr>
        <w:tblPrEx>
          <w:tblLayout w:type="fixed"/>
          <w:tblCellMar>
            <w:top w:w="0" w:type="dxa"/>
            <w:left w:w="108" w:type="dxa"/>
            <w:bottom w:w="0" w:type="dxa"/>
            <w:right w:w="108" w:type="dxa"/>
          </w:tblCellMar>
        </w:tblPrEx>
        <w:trPr>
          <w:trHeight w:val="9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6</w:t>
            </w:r>
            <w:r>
              <w:rPr>
                <w:rFonts w:asciiTheme="majorEastAsia" w:hAnsiTheme="majorEastAsia" w:eastAsiaTheme="majorEastAsia"/>
                <w:sz w:val="22"/>
                <w:szCs w:val="22"/>
                <w:lang w:bidi="ar"/>
              </w:rPr>
              <w:t>.1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比选申请预备会</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不召开。</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6</w:t>
            </w:r>
            <w:r>
              <w:rPr>
                <w:rFonts w:asciiTheme="majorEastAsia" w:hAnsiTheme="majorEastAsia" w:eastAsiaTheme="majorEastAsia"/>
                <w:sz w:val="22"/>
                <w:szCs w:val="22"/>
                <w:lang w:bidi="ar"/>
              </w:rPr>
              <w:t>.2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比选申请人提出问题的截止时间</w:t>
            </w:r>
          </w:p>
        </w:tc>
        <w:tc>
          <w:tcPr>
            <w:tcW w:w="6591" w:type="dxa"/>
            <w:gridSpan w:val="2"/>
            <w:tcBorders>
              <w:top w:val="single" w:color="auto" w:sz="4" w:space="0"/>
              <w:left w:val="nil"/>
              <w:bottom w:val="single" w:color="auto" w:sz="4" w:space="0"/>
              <w:right w:val="single" w:color="auto" w:sz="4" w:space="0"/>
            </w:tcBorders>
            <w:vAlign w:val="center"/>
          </w:tcPr>
          <w:p>
            <w:pPr>
              <w:wordWrap w:val="0"/>
              <w:topLinePunct/>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color w:val="auto"/>
                <w:sz w:val="22"/>
                <w:szCs w:val="22"/>
              </w:rPr>
              <w:t>比选申请人在收到比选文件后，应仔细检查比选文件的所有内容，如有残缺或文字表述不清，存在错、碰、漏、缺、概念模糊和有可能出现歧义或理解上的偏差的内容等须在</w:t>
            </w:r>
            <w:r>
              <w:rPr>
                <w:rFonts w:hint="eastAsia" w:asciiTheme="majorEastAsia" w:hAnsiTheme="majorEastAsia" w:eastAsiaTheme="majorEastAsia"/>
                <w:b/>
                <w:bCs/>
                <w:color w:val="auto"/>
                <w:sz w:val="22"/>
                <w:szCs w:val="22"/>
                <w:u w:val="single"/>
              </w:rPr>
              <w:t>202</w:t>
            </w:r>
            <w:r>
              <w:rPr>
                <w:rFonts w:asciiTheme="majorEastAsia" w:hAnsiTheme="majorEastAsia" w:eastAsiaTheme="majorEastAsia"/>
                <w:b/>
                <w:bCs/>
                <w:color w:val="auto"/>
                <w:sz w:val="22"/>
                <w:szCs w:val="22"/>
                <w:u w:val="single"/>
              </w:rPr>
              <w:t>1</w:t>
            </w:r>
            <w:r>
              <w:rPr>
                <w:rFonts w:hint="eastAsia" w:asciiTheme="majorEastAsia" w:hAnsiTheme="majorEastAsia" w:eastAsiaTheme="majorEastAsia"/>
                <w:b/>
                <w:bCs/>
                <w:color w:val="auto"/>
                <w:sz w:val="22"/>
                <w:szCs w:val="22"/>
                <w:u w:val="single"/>
              </w:rPr>
              <w:t>年</w:t>
            </w:r>
            <w:r>
              <w:rPr>
                <w:rFonts w:hint="eastAsia" w:asciiTheme="majorEastAsia" w:hAnsiTheme="majorEastAsia" w:eastAsiaTheme="majorEastAsia"/>
                <w:b/>
                <w:bCs/>
                <w:color w:val="auto"/>
                <w:sz w:val="22"/>
                <w:szCs w:val="22"/>
                <w:u w:val="single"/>
                <w:lang w:val="en-US" w:eastAsia="zh-CN"/>
              </w:rPr>
              <w:t>6</w:t>
            </w:r>
            <w:r>
              <w:rPr>
                <w:rFonts w:hint="eastAsia" w:asciiTheme="majorEastAsia" w:hAnsiTheme="majorEastAsia" w:eastAsiaTheme="majorEastAsia"/>
                <w:b/>
                <w:bCs/>
                <w:color w:val="auto"/>
                <w:sz w:val="22"/>
                <w:szCs w:val="22"/>
                <w:u w:val="single"/>
              </w:rPr>
              <w:t>月</w:t>
            </w:r>
            <w:r>
              <w:rPr>
                <w:rFonts w:hint="eastAsia" w:asciiTheme="majorEastAsia" w:hAnsiTheme="majorEastAsia" w:eastAsiaTheme="majorEastAsia"/>
                <w:b/>
                <w:bCs/>
                <w:color w:val="auto"/>
                <w:sz w:val="22"/>
                <w:szCs w:val="22"/>
                <w:u w:val="single"/>
                <w:lang w:val="en-US" w:eastAsia="zh-CN"/>
              </w:rPr>
              <w:t>3</w:t>
            </w:r>
            <w:r>
              <w:rPr>
                <w:rFonts w:hint="eastAsia" w:asciiTheme="majorEastAsia" w:hAnsiTheme="majorEastAsia" w:eastAsiaTheme="majorEastAsia"/>
                <w:b/>
                <w:bCs/>
                <w:color w:val="auto"/>
                <w:sz w:val="22"/>
                <w:szCs w:val="22"/>
                <w:u w:val="single"/>
              </w:rPr>
              <w:t xml:space="preserve">日 </w:t>
            </w:r>
            <w:r>
              <w:rPr>
                <w:rFonts w:hint="eastAsia" w:asciiTheme="majorEastAsia" w:hAnsiTheme="majorEastAsia" w:eastAsiaTheme="majorEastAsia"/>
                <w:b/>
                <w:bCs/>
                <w:color w:val="auto"/>
                <w:sz w:val="22"/>
                <w:szCs w:val="22"/>
                <w:u w:val="single"/>
                <w:lang w:val="en-US" w:eastAsia="zh-CN"/>
              </w:rPr>
              <w:t>17</w:t>
            </w:r>
            <w:r>
              <w:rPr>
                <w:rFonts w:hint="eastAsia" w:asciiTheme="majorEastAsia" w:hAnsiTheme="majorEastAsia" w:eastAsiaTheme="majorEastAsia"/>
                <w:b/>
                <w:bCs/>
                <w:color w:val="auto"/>
                <w:sz w:val="22"/>
                <w:szCs w:val="22"/>
                <w:u w:val="single"/>
              </w:rPr>
              <w:t>时</w:t>
            </w:r>
            <w:r>
              <w:rPr>
                <w:rFonts w:hint="eastAsia" w:asciiTheme="majorEastAsia" w:hAnsiTheme="majorEastAsia" w:eastAsiaTheme="majorEastAsia"/>
                <w:b/>
                <w:bCs/>
                <w:color w:val="auto"/>
                <w:sz w:val="22"/>
                <w:szCs w:val="22"/>
                <w:u w:val="single"/>
                <w:lang w:val="en-US" w:eastAsia="zh-CN"/>
              </w:rPr>
              <w:t>00</w:t>
            </w:r>
            <w:r>
              <w:rPr>
                <w:rFonts w:hint="eastAsia" w:asciiTheme="majorEastAsia" w:hAnsiTheme="majorEastAsia" w:eastAsiaTheme="majorEastAsia"/>
                <w:b/>
                <w:bCs/>
                <w:color w:val="auto"/>
                <w:sz w:val="22"/>
                <w:szCs w:val="22"/>
                <w:u w:val="single"/>
              </w:rPr>
              <w:t>分</w:t>
            </w:r>
            <w:r>
              <w:rPr>
                <w:rFonts w:hint="eastAsia" w:asciiTheme="majorEastAsia" w:hAnsiTheme="majorEastAsia" w:eastAsiaTheme="majorEastAsia"/>
                <w:b/>
                <w:bCs/>
                <w:color w:val="auto"/>
                <w:sz w:val="22"/>
                <w:szCs w:val="22"/>
              </w:rPr>
              <w:t>前</w:t>
            </w:r>
            <w:r>
              <w:rPr>
                <w:rFonts w:hint="eastAsia" w:asciiTheme="majorEastAsia" w:hAnsiTheme="majorEastAsia" w:eastAsiaTheme="majorEastAsia"/>
                <w:color w:val="auto"/>
                <w:sz w:val="22"/>
                <w:szCs w:val="22"/>
              </w:rPr>
              <w:t>通过电子邮件的形式，同时电话通知比选人，电子邮箱：</w:t>
            </w:r>
            <w:r>
              <w:rPr>
                <w:color w:val="auto"/>
              </w:rPr>
              <w:fldChar w:fldCharType="begin"/>
            </w:r>
            <w:r>
              <w:rPr>
                <w:color w:val="auto"/>
              </w:rPr>
              <w:instrText xml:space="preserve"> HYPERLINK "mailto:3090192547@qq.com" </w:instrText>
            </w:r>
            <w:r>
              <w:rPr>
                <w:color w:val="auto"/>
              </w:rPr>
              <w:fldChar w:fldCharType="separate"/>
            </w:r>
            <w:r>
              <w:rPr>
                <w:color w:val="auto"/>
              </w:rPr>
              <w:fldChar w:fldCharType="end"/>
            </w:r>
            <w:r>
              <w:rPr>
                <w:rStyle w:val="54"/>
                <w:rFonts w:asciiTheme="majorEastAsia" w:hAnsiTheme="majorEastAsia" w:eastAsiaTheme="majorEastAsia"/>
                <w:color w:val="auto"/>
                <w:sz w:val="22"/>
                <w:szCs w:val="22"/>
              </w:rPr>
              <w:t xml:space="preserve"> </w:t>
            </w:r>
            <w:r>
              <w:rPr>
                <w:rStyle w:val="54"/>
                <w:rFonts w:hint="eastAsia" w:asciiTheme="majorEastAsia" w:hAnsiTheme="majorEastAsia" w:eastAsiaTheme="majorEastAsia"/>
                <w:color w:val="auto"/>
                <w:sz w:val="22"/>
                <w:szCs w:val="22"/>
              </w:rPr>
              <w:t>260956798@qq.com</w:t>
            </w:r>
            <w:r>
              <w:rPr>
                <w:rFonts w:hint="eastAsia" w:asciiTheme="majorEastAsia" w:hAnsiTheme="majorEastAsia" w:eastAsiaTheme="majorEastAsia"/>
                <w:color w:val="auto"/>
                <w:sz w:val="22"/>
                <w:szCs w:val="22"/>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6</w:t>
            </w:r>
            <w:r>
              <w:rPr>
                <w:rFonts w:asciiTheme="majorEastAsia" w:hAnsiTheme="majorEastAsia" w:eastAsiaTheme="majorEastAsia"/>
                <w:sz w:val="22"/>
                <w:szCs w:val="22"/>
                <w:lang w:bidi="ar"/>
              </w:rPr>
              <w:t>.3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比选人书面澄清的时间</w:t>
            </w:r>
          </w:p>
        </w:tc>
        <w:tc>
          <w:tcPr>
            <w:tcW w:w="6591" w:type="dxa"/>
            <w:gridSpan w:val="2"/>
            <w:tcBorders>
              <w:top w:val="single" w:color="auto" w:sz="4" w:space="0"/>
              <w:left w:val="nil"/>
              <w:bottom w:val="single" w:color="auto" w:sz="4" w:space="0"/>
              <w:right w:val="single" w:color="auto" w:sz="4" w:space="0"/>
            </w:tcBorders>
            <w:vAlign w:val="center"/>
          </w:tcPr>
          <w:p>
            <w:pPr>
              <w:wordWrap w:val="0"/>
              <w:topLinePunct/>
              <w:spacing w:line="360" w:lineRule="auto"/>
              <w:ind w:firstLine="440"/>
              <w:rPr>
                <w:rFonts w:cs="方正小标宋简体" w:asciiTheme="majorEastAsia" w:hAnsiTheme="majorEastAsia" w:eastAsiaTheme="majorEastAsia"/>
                <w:sz w:val="22"/>
                <w:szCs w:val="22"/>
              </w:rPr>
            </w:pPr>
            <w:r>
              <w:rPr>
                <w:rFonts w:hint="eastAsia" w:cs="方正小标宋简体" w:asciiTheme="majorEastAsia" w:hAnsiTheme="majorEastAsia" w:eastAsiaTheme="majorEastAsia"/>
                <w:color w:val="auto"/>
                <w:sz w:val="22"/>
                <w:szCs w:val="22"/>
              </w:rPr>
              <w:t>比选人在</w:t>
            </w:r>
            <w:r>
              <w:rPr>
                <w:rFonts w:hint="eastAsia" w:asciiTheme="majorEastAsia" w:hAnsiTheme="majorEastAsia" w:eastAsiaTheme="majorEastAsia"/>
                <w:b/>
                <w:bCs/>
                <w:color w:val="auto"/>
                <w:sz w:val="22"/>
                <w:szCs w:val="22"/>
                <w:u w:val="single"/>
              </w:rPr>
              <w:t>202</w:t>
            </w:r>
            <w:r>
              <w:rPr>
                <w:rFonts w:asciiTheme="majorEastAsia" w:hAnsiTheme="majorEastAsia" w:eastAsiaTheme="majorEastAsia"/>
                <w:b/>
                <w:bCs/>
                <w:color w:val="auto"/>
                <w:sz w:val="22"/>
                <w:szCs w:val="22"/>
                <w:u w:val="single"/>
              </w:rPr>
              <w:t>1</w:t>
            </w:r>
            <w:r>
              <w:rPr>
                <w:rFonts w:hint="eastAsia" w:asciiTheme="majorEastAsia" w:hAnsiTheme="majorEastAsia" w:eastAsiaTheme="majorEastAsia"/>
                <w:b/>
                <w:bCs/>
                <w:color w:val="auto"/>
                <w:sz w:val="22"/>
                <w:szCs w:val="22"/>
                <w:u w:val="single"/>
              </w:rPr>
              <w:t>年</w:t>
            </w:r>
            <w:r>
              <w:rPr>
                <w:rFonts w:hint="eastAsia" w:asciiTheme="majorEastAsia" w:hAnsiTheme="majorEastAsia" w:eastAsiaTheme="majorEastAsia"/>
                <w:b/>
                <w:bCs/>
                <w:color w:val="auto"/>
                <w:sz w:val="22"/>
                <w:szCs w:val="22"/>
                <w:u w:val="single"/>
                <w:lang w:val="en-US" w:eastAsia="zh-CN"/>
              </w:rPr>
              <w:t>6</w:t>
            </w:r>
            <w:r>
              <w:rPr>
                <w:rFonts w:hint="eastAsia" w:asciiTheme="majorEastAsia" w:hAnsiTheme="majorEastAsia" w:eastAsiaTheme="majorEastAsia"/>
                <w:b/>
                <w:bCs/>
                <w:color w:val="auto"/>
                <w:sz w:val="22"/>
                <w:szCs w:val="22"/>
                <w:u w:val="single"/>
              </w:rPr>
              <w:t>月</w:t>
            </w:r>
            <w:r>
              <w:rPr>
                <w:rFonts w:hint="eastAsia" w:asciiTheme="majorEastAsia" w:hAnsiTheme="majorEastAsia" w:eastAsiaTheme="majorEastAsia"/>
                <w:b/>
                <w:bCs/>
                <w:color w:val="auto"/>
                <w:sz w:val="22"/>
                <w:szCs w:val="22"/>
                <w:u w:val="single"/>
                <w:lang w:val="en-US" w:eastAsia="zh-CN"/>
              </w:rPr>
              <w:t>4</w:t>
            </w:r>
            <w:r>
              <w:rPr>
                <w:rFonts w:hint="eastAsia" w:asciiTheme="majorEastAsia" w:hAnsiTheme="majorEastAsia" w:eastAsiaTheme="majorEastAsia"/>
                <w:b/>
                <w:bCs/>
                <w:color w:val="auto"/>
                <w:sz w:val="22"/>
                <w:szCs w:val="22"/>
                <w:u w:val="single"/>
              </w:rPr>
              <w:t>日</w:t>
            </w:r>
            <w:r>
              <w:rPr>
                <w:rFonts w:hint="eastAsia" w:asciiTheme="majorEastAsia" w:hAnsiTheme="majorEastAsia" w:eastAsiaTheme="majorEastAsia"/>
                <w:b/>
                <w:bCs/>
                <w:color w:val="auto"/>
                <w:sz w:val="22"/>
                <w:szCs w:val="22"/>
                <w:u w:val="single"/>
                <w:lang w:val="en-US" w:eastAsia="zh-CN"/>
              </w:rPr>
              <w:t>12</w:t>
            </w:r>
            <w:r>
              <w:rPr>
                <w:rFonts w:hint="eastAsia" w:asciiTheme="majorEastAsia" w:hAnsiTheme="majorEastAsia" w:eastAsiaTheme="majorEastAsia"/>
                <w:b/>
                <w:bCs/>
                <w:color w:val="auto"/>
                <w:sz w:val="22"/>
                <w:szCs w:val="22"/>
                <w:u w:val="single"/>
              </w:rPr>
              <w:t>时</w:t>
            </w:r>
            <w:r>
              <w:rPr>
                <w:rFonts w:hint="eastAsia" w:asciiTheme="majorEastAsia" w:hAnsiTheme="majorEastAsia" w:eastAsiaTheme="majorEastAsia"/>
                <w:b/>
                <w:bCs/>
                <w:color w:val="auto"/>
                <w:sz w:val="22"/>
                <w:szCs w:val="22"/>
                <w:u w:val="single"/>
                <w:lang w:val="en-US" w:eastAsia="zh-CN"/>
              </w:rPr>
              <w:t>00</w:t>
            </w:r>
            <w:r>
              <w:rPr>
                <w:rFonts w:hint="eastAsia" w:asciiTheme="majorEastAsia" w:hAnsiTheme="majorEastAsia" w:eastAsiaTheme="majorEastAsia"/>
                <w:b/>
                <w:bCs/>
                <w:color w:val="auto"/>
                <w:sz w:val="22"/>
                <w:szCs w:val="22"/>
                <w:u w:val="single"/>
              </w:rPr>
              <w:t>分</w:t>
            </w:r>
            <w:r>
              <w:rPr>
                <w:rFonts w:hint="eastAsia" w:asciiTheme="majorEastAsia" w:hAnsiTheme="majorEastAsia" w:eastAsiaTheme="majorEastAsia"/>
                <w:b/>
                <w:bCs/>
                <w:color w:val="auto"/>
                <w:sz w:val="22"/>
                <w:szCs w:val="22"/>
              </w:rPr>
              <w:t>前</w:t>
            </w:r>
            <w:r>
              <w:rPr>
                <w:rFonts w:hint="eastAsia" w:cs="方正小标宋简体" w:asciiTheme="majorEastAsia" w:hAnsiTheme="majorEastAsia" w:eastAsiaTheme="majorEastAsia"/>
                <w:color w:val="auto"/>
                <w:sz w:val="22"/>
                <w:szCs w:val="22"/>
              </w:rPr>
              <w:t>就所有比选申请人提出的问题进行澄清，但不指明问题的来源。</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7</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分包</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不允许。</w:t>
            </w:r>
          </w:p>
        </w:tc>
      </w:tr>
      <w:tr>
        <w:tblPrEx>
          <w:tblLayout w:type="fixed"/>
          <w:tblCellMar>
            <w:top w:w="0" w:type="dxa"/>
            <w:left w:w="108" w:type="dxa"/>
            <w:bottom w:w="0" w:type="dxa"/>
            <w:right w:w="108" w:type="dxa"/>
          </w:tblCellMar>
        </w:tblPrEx>
        <w:trPr>
          <w:trHeight w:val="869"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2.1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构成比选文件的其他材料</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比选人发出的答疑及补遗文件。</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构成比选申请文件的其他材料</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比选申请人的书面澄清、说明和补正（但不得改变比选申请文件的实质性内容）。</w:t>
            </w:r>
          </w:p>
        </w:tc>
      </w:tr>
      <w:tr>
        <w:tblPrEx>
          <w:tblLayout w:type="fixed"/>
          <w:tblCellMar>
            <w:top w:w="0" w:type="dxa"/>
            <w:left w:w="108" w:type="dxa"/>
            <w:bottom w:w="0" w:type="dxa"/>
            <w:right w:w="108" w:type="dxa"/>
          </w:tblCellMar>
        </w:tblPrEx>
        <w:trPr>
          <w:trHeight w:val="9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比选申请报价</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508"/>
              <w:rPr>
                <w:b/>
                <w:bCs/>
              </w:rPr>
            </w:pPr>
            <w:r>
              <w:t>1</w:t>
            </w:r>
            <w:r>
              <w:rPr>
                <w:rFonts w:hint="eastAsia"/>
              </w:rPr>
              <w:t>.</w:t>
            </w:r>
            <w:r>
              <w:t>本项目</w:t>
            </w:r>
            <w:r>
              <w:rPr>
                <w:rFonts w:hint="eastAsia"/>
              </w:rPr>
              <w:t>设计</w:t>
            </w:r>
            <w:r>
              <w:t>费</w:t>
            </w:r>
            <w:r>
              <w:rPr>
                <w:rFonts w:hint="eastAsia"/>
              </w:rPr>
              <w:t>及建安</w:t>
            </w:r>
            <w:r>
              <w:t>工程</w:t>
            </w:r>
            <w:r>
              <w:rPr>
                <w:rFonts w:hint="eastAsia"/>
              </w:rPr>
              <w:t>施工</w:t>
            </w:r>
            <w:r>
              <w:t>费</w:t>
            </w:r>
            <w:r>
              <w:rPr>
                <w:rFonts w:hint="eastAsia"/>
              </w:rPr>
              <w:t>分别</w:t>
            </w:r>
            <w:r>
              <w:t>报价，均采用</w:t>
            </w:r>
            <w:r>
              <w:rPr>
                <w:rFonts w:hint="eastAsia"/>
              </w:rPr>
              <w:t>费率</w:t>
            </w:r>
            <w:r>
              <w:t>包干。</w:t>
            </w:r>
            <w:r>
              <w:rPr>
                <w:rFonts w:hint="eastAsia" w:ascii="宋体" w:hAnsi="宋体" w:cs="宋体"/>
                <w:position w:val="-2"/>
              </w:rPr>
              <w:t>施工图预算招标</w:t>
            </w:r>
            <w:r>
              <w:rPr>
                <w:rFonts w:ascii="宋体" w:hAnsi="宋体" w:cs="宋体"/>
                <w:position w:val="-2"/>
              </w:rPr>
              <w:t>人</w:t>
            </w:r>
            <w:r>
              <w:rPr>
                <w:rFonts w:hint="eastAsia" w:ascii="宋体" w:hAnsi="宋体" w:cs="宋体"/>
                <w:position w:val="-2"/>
              </w:rPr>
              <w:t>和</w:t>
            </w:r>
            <w:r>
              <w:rPr>
                <w:rFonts w:ascii="宋体" w:hAnsi="宋体" w:cs="宋体"/>
                <w:position w:val="-2"/>
              </w:rPr>
              <w:t>招标人委托的第三方</w:t>
            </w:r>
            <w:r>
              <w:rPr>
                <w:rFonts w:hint="eastAsia" w:ascii="宋体" w:hAnsi="宋体" w:cs="宋体"/>
                <w:position w:val="-2"/>
              </w:rPr>
              <w:t>造价</w:t>
            </w:r>
            <w:r>
              <w:rPr>
                <w:rFonts w:ascii="宋体" w:hAnsi="宋体" w:cs="宋体"/>
                <w:position w:val="-2"/>
              </w:rPr>
              <w:t>审核</w:t>
            </w:r>
            <w:r>
              <w:rPr>
                <w:rFonts w:hint="eastAsia" w:ascii="宋体" w:hAnsi="宋体" w:cs="宋体"/>
                <w:position w:val="-2"/>
              </w:rPr>
              <w:t>机构</w:t>
            </w:r>
            <w:r>
              <w:rPr>
                <w:rFonts w:ascii="宋体" w:hAnsi="宋体" w:cs="宋体"/>
                <w:position w:val="-2"/>
              </w:rPr>
              <w:t>将以</w:t>
            </w:r>
            <w:r>
              <w:rPr>
                <w:rFonts w:hint="eastAsia" w:ascii="宋体" w:hAnsi="宋体" w:cs="宋体"/>
                <w:position w:val="-2"/>
              </w:rPr>
              <w:t>招标人审定且图审合格的施工设计图</w:t>
            </w:r>
            <w:r>
              <w:rPr>
                <w:rFonts w:hint="eastAsia" w:ascii="宋体" w:hAnsi="宋体" w:cs="方正仿宋_GBK"/>
              </w:rPr>
              <w:t>（包括过程分阶段出具的图纸）</w:t>
            </w:r>
            <w:r>
              <w:rPr>
                <w:rFonts w:hint="eastAsia" w:ascii="宋体" w:hAnsi="宋体" w:cs="宋体"/>
                <w:position w:val="-2"/>
              </w:rPr>
              <w:t>以及编制施工图预算同期的重庆市建设工程造价管理总站发布的</w:t>
            </w:r>
            <w:r>
              <w:rPr>
                <w:rFonts w:hint="eastAsia" w:ascii="宋体" w:hAnsi="宋体" w:cs="宋体"/>
              </w:rPr>
              <w:t>《重庆工程造价信息》的信息价（不含税价格）、市场行情等为依据进行审核。</w:t>
            </w:r>
          </w:p>
          <w:p>
            <w:pPr>
              <w:autoSpaceDE w:val="0"/>
              <w:autoSpaceDN w:val="0"/>
              <w:adjustRightInd w:val="0"/>
              <w:snapToGrid w:val="0"/>
              <w:spacing w:line="360" w:lineRule="auto"/>
              <w:ind w:firstLine="422" w:firstLineChars="200"/>
              <w:rPr>
                <w:rFonts w:ascii="宋体" w:hAnsi="宋体" w:cs="宋体"/>
                <w:b/>
                <w:szCs w:val="21"/>
              </w:rPr>
            </w:pPr>
            <w:r>
              <w:rPr>
                <w:rFonts w:hint="eastAsia" w:ascii="宋体" w:hAnsi="宋体" w:cs="宋体"/>
                <w:b/>
                <w:kern w:val="0"/>
                <w:position w:val="-2"/>
                <w:szCs w:val="21"/>
              </w:rPr>
              <w:t>（1）设计费报价原则：</w:t>
            </w:r>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w:t>
            </w:r>
            <w:r>
              <w:rPr>
                <w:rFonts w:hint="eastAsia" w:ascii="宋体" w:hAnsi="宋体" w:cs="宋体"/>
                <w:kern w:val="0"/>
                <w:szCs w:val="21"/>
              </w:rPr>
              <w:t>本工程设计费</w:t>
            </w:r>
            <w:r>
              <w:rPr>
                <w:rFonts w:ascii="宋体" w:hAnsi="宋体" w:cs="宋体"/>
                <w:kern w:val="0"/>
                <w:szCs w:val="21"/>
              </w:rPr>
              <w:t>以</w:t>
            </w:r>
            <w:r>
              <w:rPr>
                <w:rFonts w:hint="eastAsia" w:ascii="宋体" w:hAnsi="宋体" w:cs="宋体"/>
              </w:rPr>
              <w:t>本次比选项目暂定总投资350万元</w:t>
            </w:r>
            <w:r>
              <w:rPr>
                <w:rFonts w:hint="eastAsia" w:ascii="宋体" w:hAnsi="宋体" w:cs="宋体"/>
                <w:kern w:val="0"/>
                <w:szCs w:val="21"/>
              </w:rPr>
              <w:t>为基数，按照《工程勘察设计收费管理规定》（计价格【2002】10号）采用</w:t>
            </w:r>
            <w:r>
              <w:rPr>
                <w:rFonts w:hint="eastAsia" w:ascii="宋体" w:hAnsi="宋体" w:cs="宋体"/>
              </w:rPr>
              <w:t>下浮率</w:t>
            </w:r>
            <w:r>
              <w:rPr>
                <w:rFonts w:hint="eastAsia" w:ascii="宋体" w:hAnsi="宋体" w:cs="宋体"/>
                <w:kern w:val="0"/>
                <w:szCs w:val="21"/>
              </w:rPr>
              <w:t>报价。</w:t>
            </w:r>
            <w:r>
              <w:rPr>
                <w:rFonts w:hint="eastAsia" w:ascii="宋体" w:hAnsi="宋体" w:cs="宋体"/>
                <w:szCs w:val="21"/>
              </w:rPr>
              <w:t>本项目调整系数分别</w:t>
            </w:r>
            <w:r>
              <w:rPr>
                <w:rFonts w:ascii="宋体" w:hAnsi="宋体" w:cs="宋体"/>
                <w:szCs w:val="21"/>
              </w:rPr>
              <w:t>为</w:t>
            </w:r>
            <w:r>
              <w:rPr>
                <w:rFonts w:hint="eastAsia" w:ascii="宋体" w:hAnsi="宋体" w:cs="宋体"/>
                <w:szCs w:val="21"/>
              </w:rPr>
              <w:t>：复杂系数为1.0、专业调整系数为1、附加调整系数1.5。</w:t>
            </w:r>
          </w:p>
          <w:p>
            <w:pPr>
              <w:pStyle w:val="182"/>
              <w:widowControl w:val="0"/>
              <w:autoSpaceDE w:val="0"/>
              <w:snapToGrid w:val="0"/>
              <w:spacing w:line="360" w:lineRule="auto"/>
              <w:ind w:firstLine="420"/>
              <w:rPr>
                <w:rFonts w:ascii="宋体" w:hAnsi="宋体" w:cs="宋体"/>
                <w:bCs/>
              </w:rPr>
            </w:pPr>
            <w:r>
              <w:rPr>
                <w:rFonts w:hint="eastAsia" w:ascii="宋体" w:hAnsi="宋体" w:cs="宋体"/>
                <w:snapToGrid w:val="0"/>
              </w:rPr>
              <w:t>2）</w:t>
            </w:r>
            <w:r>
              <w:rPr>
                <w:rFonts w:ascii="宋体" w:hAnsi="宋体" w:cs="宋体"/>
              </w:rPr>
              <w:t>以</w:t>
            </w:r>
            <w:r>
              <w:rPr>
                <w:rFonts w:hint="eastAsia" w:ascii="宋体" w:hAnsi="宋体" w:cs="宋体"/>
              </w:rPr>
              <w:t>本次比选项目暂定总投资350万元为基数按照《工程勘察设计收费管理规定》（计价格【</w:t>
            </w:r>
            <w:r>
              <w:rPr>
                <w:rFonts w:ascii="宋体" w:hAnsi="宋体" w:cs="宋体"/>
              </w:rPr>
              <w:t>2002】10号），各</w:t>
            </w:r>
            <w:r>
              <w:rPr>
                <w:rFonts w:hint="eastAsia" w:ascii="宋体" w:hAnsi="宋体" w:cs="宋体"/>
              </w:rPr>
              <w:t>投标人</w:t>
            </w:r>
            <w:r>
              <w:rPr>
                <w:rFonts w:hint="eastAsia" w:ascii="宋体" w:hAnsi="宋体" w:cs="宋体"/>
                <w:bCs/>
              </w:rPr>
              <w:t>须根据本招标文件、设计要求、国家有关标准规范结合本工程特点和现场考察，自行计算设计工作量（含</w:t>
            </w:r>
            <w:r>
              <w:rPr>
                <w:rFonts w:ascii="宋体" w:hAnsi="宋体" w:cs="宋体"/>
                <w:bCs/>
              </w:rPr>
              <w:t>工程量清单及组价编制</w:t>
            </w:r>
            <w:r>
              <w:rPr>
                <w:rFonts w:hint="eastAsia" w:ascii="宋体" w:hAnsi="宋体" w:cs="宋体"/>
                <w:bCs/>
              </w:rPr>
              <w:t>）、综合考虑各调整系数、编制设计费预算和报价并承担相应的风险。投标人根据自身的经营决策、企业实力和市场行情自主填报取费下浮率（N）（N为下浮率，保留两</w:t>
            </w:r>
            <w:r>
              <w:rPr>
                <w:rFonts w:hint="eastAsia" w:ascii="宋体" w:hAnsi="宋体" w:cs="宋体"/>
              </w:rPr>
              <w:t>位小数），投标人所报取费下浮率</w:t>
            </w:r>
            <w:r>
              <w:rPr>
                <w:rFonts w:ascii="宋体" w:hAnsi="宋体" w:cs="宋体"/>
              </w:rPr>
              <w:t>N必须≥0.00%（</w:t>
            </w:r>
            <w:r>
              <w:rPr>
                <w:rFonts w:hint="eastAsia" w:ascii="宋体" w:hAnsi="宋体" w:cs="宋体"/>
              </w:rPr>
              <w:t>百</w:t>
            </w:r>
            <w:r>
              <w:rPr>
                <w:rFonts w:ascii="宋体" w:hAnsi="宋体" w:cs="宋体"/>
              </w:rPr>
              <w:t>分号前保留两位小数）</w:t>
            </w:r>
            <w:r>
              <w:rPr>
                <w:rFonts w:hint="eastAsia" w:ascii="宋体" w:hAnsi="宋体" w:cs="宋体"/>
              </w:rPr>
              <w:t>。评</w:t>
            </w:r>
            <w:r>
              <w:rPr>
                <w:rFonts w:hint="eastAsia" w:ascii="宋体" w:hAnsi="宋体" w:cs="宋体"/>
                <w:bCs/>
              </w:rPr>
              <w:t>标时按所报设计费下浮率进行评分，中标后按投标人所报设计费下浮率作为签定合同和结算的依据。中标后投标取费下浮率固定不变，不因任何因素调整。投标人的投标报价下浮率N＜</w:t>
            </w:r>
            <w:r>
              <w:rPr>
                <w:rFonts w:ascii="宋体" w:hAnsi="宋体" w:cs="宋体"/>
                <w:bCs/>
              </w:rPr>
              <w:t>0.00%</w:t>
            </w:r>
            <w:r>
              <w:rPr>
                <w:rFonts w:hint="eastAsia" w:ascii="宋体" w:hAnsi="宋体" w:cs="宋体"/>
                <w:bCs/>
              </w:rPr>
              <w:t>的，按否决投标处理。</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3）因下述原因产生的设计费用由中标人自行承担，招标人均不另行支付任何费用。</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①招标人提出的修改或调整意见而产生的设计费、资料费等；</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②在报建过程中相关主管职能部门提出的方案设计（含估算编制）、初步设计（含概算）、施工图设计修改或调整意见而产生的设计费、资料费等；</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③施工过程中设计变更而产生的设计费、资料费、专家评审费等。</w:t>
            </w:r>
          </w:p>
          <w:p>
            <w:pPr>
              <w:numPr>
                <w:ilvl w:val="0"/>
                <w:numId w:val="1"/>
              </w:numPr>
              <w:spacing w:line="360" w:lineRule="auto"/>
              <w:ind w:firstLine="442"/>
              <w:rPr>
                <w:rFonts w:ascii="宋体" w:hAnsi="宋体" w:cs="宋体"/>
                <w:kern w:val="0"/>
                <w:szCs w:val="21"/>
              </w:rPr>
            </w:pPr>
            <w:r>
              <w:rPr>
                <w:rFonts w:hint="eastAsia" w:ascii="宋体" w:hAnsi="宋体" w:cs="宋体"/>
                <w:kern w:val="0"/>
                <w:szCs w:val="21"/>
              </w:rPr>
              <w:t>设计费报价中已包含完成本项目设计任务书中要求的所有设计工作涉及的设计费、评审费（施工图设计审查除外）、专项论证</w:t>
            </w:r>
            <w:r>
              <w:rPr>
                <w:rFonts w:ascii="宋体" w:hAnsi="宋体" w:cs="宋体"/>
                <w:kern w:val="0"/>
                <w:szCs w:val="21"/>
              </w:rPr>
              <w:t>费、</w:t>
            </w:r>
            <w:r>
              <w:rPr>
                <w:rFonts w:hint="eastAsia" w:ascii="宋体" w:hAnsi="宋体" w:cs="宋体"/>
                <w:kern w:val="0"/>
                <w:szCs w:val="21"/>
              </w:rPr>
              <w:t>资料费以及设计单位的管理费、税金、利润等一切可预见和不可预见费用。</w:t>
            </w:r>
          </w:p>
          <w:p>
            <w:pPr>
              <w:numPr>
                <w:ilvl w:val="0"/>
                <w:numId w:val="1"/>
              </w:numPr>
              <w:spacing w:line="360" w:lineRule="auto"/>
              <w:ind w:firstLine="442"/>
              <w:rPr>
                <w:rFonts w:ascii="宋体" w:hAnsi="宋体" w:cs="宋体"/>
                <w:kern w:val="0"/>
                <w:szCs w:val="21"/>
              </w:rPr>
            </w:pPr>
            <w:r>
              <w:rPr>
                <w:rFonts w:hint="eastAsia" w:ascii="宋体" w:hAnsi="宋体" w:cs="宋体"/>
                <w:kern w:val="0"/>
                <w:szCs w:val="21"/>
              </w:rPr>
              <w:t>投标人应自行到项目所在地进行踏勘，以充分了解项目位置、项目性质、项目特点、项目现状等基本情况以及任何其他足以影响其完成设计工作的各项事宜。任何因中标人忽视或误解项目基本情况而导致的索赔或设计工期的延长要求均将不被批准。</w:t>
            </w:r>
          </w:p>
          <w:p>
            <w:pPr>
              <w:snapToGrid w:val="0"/>
              <w:spacing w:line="360" w:lineRule="auto"/>
              <w:ind w:firstLine="316" w:firstLineChars="150"/>
              <w:rPr>
                <w:rFonts w:ascii="宋体" w:hAnsi="宋体" w:cs="宋体"/>
                <w:b/>
                <w:kern w:val="0"/>
                <w:szCs w:val="21"/>
              </w:rPr>
            </w:pPr>
            <w:r>
              <w:rPr>
                <w:rFonts w:hint="eastAsia" w:ascii="宋体" w:hAnsi="宋体" w:cs="宋体"/>
                <w:b/>
                <w:kern w:val="0"/>
                <w:szCs w:val="21"/>
              </w:rPr>
              <w:t>（2）建安工程施工费报价原则：</w:t>
            </w:r>
          </w:p>
          <w:p>
            <w:pPr>
              <w:snapToGrid w:val="0"/>
              <w:spacing w:line="360" w:lineRule="auto"/>
              <w:ind w:firstLine="315" w:firstLineChars="150"/>
              <w:rPr>
                <w:rFonts w:ascii="宋体" w:hAnsi="宋体" w:cs="宋体"/>
                <w:kern w:val="0"/>
                <w:szCs w:val="21"/>
              </w:rPr>
            </w:pPr>
            <w:r>
              <w:rPr>
                <w:rFonts w:hint="eastAsia" w:ascii="宋体" w:hAnsi="宋体" w:cs="宋体"/>
                <w:kern w:val="0"/>
                <w:szCs w:val="21"/>
              </w:rPr>
              <w:t>1）本工程建筑工程施工费采用下浮比例报价。</w:t>
            </w:r>
          </w:p>
          <w:p>
            <w:pPr>
              <w:snapToGrid w:val="0"/>
              <w:spacing w:line="360" w:lineRule="auto"/>
              <w:ind w:firstLine="315" w:firstLineChars="150"/>
              <w:rPr>
                <w:rFonts w:ascii="宋体" w:hAnsi="宋体" w:cs="宋体"/>
                <w:b/>
                <w:kern w:val="0"/>
                <w:szCs w:val="21"/>
              </w:rPr>
            </w:pPr>
            <w:r>
              <w:rPr>
                <w:rFonts w:hint="eastAsia" w:ascii="宋体" w:hAnsi="宋体" w:cs="宋体"/>
                <w:kern w:val="0"/>
                <w:szCs w:val="21"/>
              </w:rPr>
              <w:t>2）投标人应根据招标文件及其补充通知、答疑纪要，施工现场情况，工程特点，与招标文件实质性要求相匹配的施工技术方案，企业定额，国家及地方有关现行的政策、标准及规范等，结合自身实力、市场行情自主合理报价。投标人的投标报价应综合考虑完成招标范围内工程项目的分部分项工程费（人工费、材料费、施工机具使用费、企业管理费、利润、风险费）、措施项目费、其他项目费、规费、税金、政策性文件规定的所有费用。</w:t>
            </w:r>
          </w:p>
          <w:p>
            <w:pPr>
              <w:snapToGrid w:val="0"/>
              <w:spacing w:line="360" w:lineRule="auto"/>
              <w:ind w:firstLine="420" w:firstLineChars="200"/>
              <w:rPr>
                <w:rFonts w:ascii="宋体" w:hAnsi="宋体" w:cs="宋体"/>
                <w:szCs w:val="21"/>
              </w:rPr>
            </w:pPr>
            <w:r>
              <w:rPr>
                <w:rFonts w:hint="eastAsia" w:ascii="宋体" w:hAnsi="宋体" w:cs="宋体"/>
                <w:szCs w:val="21"/>
              </w:rPr>
              <w:t>工程投标下浮比例为百分数，百分号前保留2位小数。中标后投标下浮比例固定不变，不因</w:t>
            </w:r>
            <w:r>
              <w:rPr>
                <w:rFonts w:hint="eastAsia" w:ascii="宋体" w:hAnsi="宋体" w:cs="宋体"/>
                <w:kern w:val="0"/>
                <w:szCs w:val="21"/>
              </w:rPr>
              <w:t>任何</w:t>
            </w:r>
            <w:r>
              <w:rPr>
                <w:rFonts w:hint="eastAsia" w:ascii="宋体" w:hAnsi="宋体" w:cs="宋体"/>
                <w:szCs w:val="21"/>
              </w:rPr>
              <w:t>因素调整。</w:t>
            </w:r>
          </w:p>
          <w:p>
            <w:pPr>
              <w:spacing w:line="360" w:lineRule="auto"/>
              <w:ind w:firstLine="422" w:firstLineChars="200"/>
              <w:rPr>
                <w:rFonts w:ascii="宋体" w:hAnsi="宋体" w:cs="宋体"/>
                <w:bCs/>
                <w:kern w:val="0"/>
                <w:szCs w:val="21"/>
              </w:rPr>
            </w:pPr>
            <w:r>
              <w:rPr>
                <w:rFonts w:hint="eastAsia" w:ascii="宋体" w:hAnsi="宋体" w:cs="宋体"/>
                <w:b/>
                <w:bCs/>
                <w:kern w:val="0"/>
                <w:szCs w:val="21"/>
              </w:rPr>
              <w:t>注：</w:t>
            </w:r>
            <w:r>
              <w:rPr>
                <w:rFonts w:hint="eastAsia" w:ascii="宋体" w:hAnsi="宋体" w:cs="宋体"/>
                <w:bCs/>
                <w:kern w:val="0"/>
                <w:szCs w:val="21"/>
              </w:rPr>
              <w:t>1.安全文明</w:t>
            </w:r>
            <w:r>
              <w:rPr>
                <w:rFonts w:hint="eastAsia" w:ascii="宋体" w:hAnsi="宋体" w:cs="宋体"/>
                <w:kern w:val="0"/>
                <w:szCs w:val="21"/>
              </w:rPr>
              <w:t>施工</w:t>
            </w:r>
            <w:r>
              <w:rPr>
                <w:rFonts w:hint="eastAsia" w:ascii="宋体" w:hAnsi="宋体" w:cs="宋体"/>
                <w:bCs/>
                <w:kern w:val="0"/>
                <w:szCs w:val="21"/>
              </w:rPr>
              <w:t>费：按《重庆市建设工程费用定额》（CQFYDE-2018）规定及重庆市相关部门审定的金额结算，不得浮动。</w:t>
            </w:r>
          </w:p>
          <w:p>
            <w:pPr>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2.规费：为不可竞争费，按照《重庆市建设工程费用定额》（CQFYDE-2018）所规定费率，不得浮动。</w:t>
            </w:r>
          </w:p>
          <w:p>
            <w:pPr>
              <w:snapToGrid w:val="0"/>
              <w:spacing w:line="360" w:lineRule="auto"/>
              <w:ind w:firstLine="420" w:firstLineChars="200"/>
              <w:rPr>
                <w:rFonts w:ascii="宋体" w:hAnsi="宋体"/>
                <w:szCs w:val="21"/>
              </w:rPr>
            </w:pPr>
            <w:r>
              <w:rPr>
                <w:rFonts w:hint="eastAsia" w:ascii="宋体" w:hAnsi="宋体" w:cs="宋体"/>
                <w:bCs/>
                <w:kern w:val="0"/>
                <w:szCs w:val="21"/>
              </w:rPr>
              <w:t>3.税金：</w:t>
            </w:r>
            <w:r>
              <w:rPr>
                <w:rFonts w:hint="eastAsia" w:ascii="宋体" w:hAnsi="宋体"/>
                <w:szCs w:val="21"/>
              </w:rPr>
              <w:t>按</w:t>
            </w:r>
            <w:r>
              <w:rPr>
                <w:rFonts w:hint="eastAsia" w:ascii="宋体" w:hAnsi="宋体" w:cs="宋体"/>
                <w:kern w:val="0"/>
                <w:szCs w:val="21"/>
              </w:rPr>
              <w:t>《重庆市城乡建设委员会关于建筑业营业税改征增值税调整建设工程计价依据的通知》</w:t>
            </w:r>
            <w:r>
              <w:rPr>
                <w:rFonts w:hint="eastAsia" w:ascii="宋体" w:hAnsi="宋体"/>
                <w:szCs w:val="21"/>
              </w:rPr>
              <w:t>（渝建（2016）35号）、</w:t>
            </w:r>
            <w:r>
              <w:rPr>
                <w:rFonts w:hint="eastAsia" w:ascii="宋体" w:hAnsi="宋体" w:cs="宋体"/>
                <w:kern w:val="0"/>
                <w:szCs w:val="21"/>
              </w:rPr>
              <w:t>《重庆市住房和城乡建设委员会关于适用增值税新税率调整建设工程计价依据的通知》</w:t>
            </w:r>
            <w:r>
              <w:rPr>
                <w:rFonts w:hint="eastAsia" w:ascii="宋体" w:hAnsi="宋体"/>
                <w:szCs w:val="21"/>
              </w:rPr>
              <w:t>（渝建（2019）143号）的要求执行。</w:t>
            </w:r>
          </w:p>
          <w:p>
            <w:pPr>
              <w:snapToGrid w:val="0"/>
              <w:spacing w:line="360" w:lineRule="auto"/>
              <w:ind w:firstLine="420" w:firstLineChars="200"/>
              <w:rPr>
                <w:rFonts w:ascii="宋体" w:hAnsi="宋体" w:cs="宋体"/>
                <w:kern w:val="0"/>
                <w:szCs w:val="21"/>
                <w:lang w:val="zh-CN"/>
              </w:rPr>
            </w:pPr>
            <w:r>
              <w:rPr>
                <w:rFonts w:hint="eastAsia" w:ascii="宋体" w:hAnsi="宋体"/>
                <w:szCs w:val="21"/>
              </w:rPr>
              <w:t>4.</w:t>
            </w:r>
            <w:r>
              <w:rPr>
                <w:rFonts w:hint="eastAsia" w:ascii="宋体" w:hAnsi="宋体" w:cs="宋体"/>
                <w:kern w:val="0"/>
                <w:szCs w:val="21"/>
              </w:rPr>
              <w:t>人工单价：</w:t>
            </w:r>
            <w:r>
              <w:rPr>
                <w:rFonts w:hint="eastAsia" w:ascii="宋体" w:hAnsi="宋体" w:cs="宋体"/>
                <w:kern w:val="0"/>
                <w:szCs w:val="21"/>
                <w:lang w:val="zh-CN"/>
              </w:rPr>
              <w:t>本工程人工单价参照《重庆工程造价信息》施工图预算编制当期的市场人工指导价和评审期相关现行文件。</w:t>
            </w:r>
          </w:p>
          <w:p>
            <w:pPr>
              <w:snapToGrid w:val="0"/>
              <w:spacing w:line="360" w:lineRule="auto"/>
              <w:ind w:firstLine="420" w:firstLineChars="200"/>
              <w:rPr>
                <w:rFonts w:asciiTheme="majorEastAsia" w:hAnsiTheme="majorEastAsia" w:eastAsiaTheme="majorEastAsia"/>
                <w:sz w:val="22"/>
                <w:szCs w:val="22"/>
              </w:rPr>
            </w:pPr>
            <w:r>
              <w:rPr>
                <w:rFonts w:hint="eastAsia" w:ascii="宋体" w:hAnsi="宋体" w:cs="宋体"/>
                <w:kern w:val="0"/>
                <w:szCs w:val="21"/>
                <w:lang w:val="zh-CN"/>
              </w:rPr>
              <w:t>5.</w:t>
            </w:r>
            <w:r>
              <w:rPr>
                <w:rFonts w:hint="eastAsia" w:ascii="宋体" w:hAnsi="宋体" w:cs="宋体"/>
                <w:kern w:val="0"/>
                <w:szCs w:val="21"/>
              </w:rPr>
              <w:t>材料单价：本工程所需的全部材料、设备单价：参照编制预算同期的重庆市建设工程造价管理总站主办的《重庆工程造价信息》公布的信息价（不含税价格）并结合市场行情确定。若《重庆工程造价信息》没有的材料和设备等，应根据编制预算同期的市场行情</w:t>
            </w:r>
            <w:r>
              <w:rPr>
                <w:rFonts w:hint="eastAsia" w:ascii="宋体" w:hAnsi="宋体"/>
                <w:kern w:val="0"/>
                <w:szCs w:val="21"/>
              </w:rPr>
              <w:t>由招标人、监理人及跟审单位（如果有）按认质核价相关管理办法及程序进行核定，发包人认质核价部分的材料价差（含未计价材料费）不参与下浮。</w:t>
            </w:r>
            <w:r>
              <w:rPr>
                <w:rFonts w:hint="eastAsia" w:ascii="宋体" w:hAnsi="宋体" w:cs="宋体"/>
                <w:kern w:val="0"/>
                <w:szCs w:val="21"/>
              </w:rPr>
              <w:t>上述材料价格均为不含税价格，包括材料原价、运杂费、运输损耗费、采购及保管费等所有费用，本项目的材料、设备在采购前承包人应将所采购材料、设备的厂家、技术参数、品牌、质量等级等指标以书面形式通知发包人，发包人收到承包人的书面报告后予以认质、封样后，承包人方可采购进场；对需要认价的材料、设备若承包人在发包人核价后5个工作日内，承包人拒绝签字确认发包人核定的价格或拒绝按发包人核定的价格采购的，则该种材料或设备改为第三方供货，发包人收取承包人该类材料或设备费的20%作为违约金，并按发包人实际支付的货款从承包人的进度款中扣除，</w:t>
            </w:r>
            <w:r>
              <w:rPr>
                <w:rFonts w:hint="eastAsia" w:ascii="宋体" w:hAnsi="宋体" w:cs="宋体"/>
              </w:rPr>
              <w:t>同时并不解除承包人对工程质量保修责任</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3.3</w:t>
            </w:r>
          </w:p>
        </w:tc>
        <w:tc>
          <w:tcPr>
            <w:tcW w:w="1844" w:type="dxa"/>
            <w:tcBorders>
              <w:top w:val="single" w:color="auto" w:sz="4" w:space="0"/>
              <w:left w:val="nil"/>
              <w:bottom w:val="single" w:color="auto" w:sz="4" w:space="0"/>
              <w:right w:val="single" w:color="auto" w:sz="4" w:space="0"/>
            </w:tcBorders>
            <w:vAlign w:val="center"/>
          </w:tcPr>
          <w:p>
            <w:pPr>
              <w:snapToGrid w:val="0"/>
              <w:spacing w:line="360" w:lineRule="auto"/>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设计文件的组成</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440" w:firstLineChars="200"/>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比选申请函、资格审查资料、比选方案（包括但不限于设计方案平面规划图及效果图等）。</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lang w:bidi="ar"/>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4</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比选申请有效期</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440"/>
              <w:rPr>
                <w:rFonts w:cs="方正小标宋简体" w:asciiTheme="majorEastAsia" w:hAnsiTheme="majorEastAsia" w:eastAsiaTheme="majorEastAsia"/>
                <w:sz w:val="22"/>
                <w:szCs w:val="22"/>
                <w:lang w:bidi="ar"/>
              </w:rPr>
            </w:pPr>
            <w:r>
              <w:rPr>
                <w:rFonts w:hint="eastAsia" w:cs="方正小标宋简体" w:asciiTheme="majorEastAsia" w:hAnsiTheme="majorEastAsia" w:eastAsiaTheme="majorEastAsia"/>
                <w:sz w:val="22"/>
                <w:szCs w:val="22"/>
                <w:lang w:bidi="ar"/>
              </w:rPr>
              <w:t>60</w:t>
            </w:r>
            <w:r>
              <w:rPr>
                <w:rFonts w:hint="eastAsia" w:cs="宋体" w:asciiTheme="majorEastAsia" w:hAnsiTheme="majorEastAsia" w:eastAsiaTheme="majorEastAsia"/>
                <w:sz w:val="22"/>
                <w:szCs w:val="22"/>
                <w:lang w:bidi="ar"/>
              </w:rPr>
              <w:t>日历天（从提交比选申请文件截止时间起计算）。</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5</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比选申请保证金</w:t>
            </w:r>
          </w:p>
        </w:tc>
        <w:tc>
          <w:tcPr>
            <w:tcW w:w="6591"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40" w:firstLineChars="200"/>
              <w:rPr>
                <w:rFonts w:ascii="宋体" w:hAnsi="宋体"/>
                <w:sz w:val="22"/>
                <w:szCs w:val="24"/>
              </w:rPr>
            </w:pPr>
            <w:r>
              <w:rPr>
                <w:rFonts w:hint="eastAsia" w:ascii="宋体" w:hAnsi="宋体"/>
                <w:sz w:val="22"/>
                <w:szCs w:val="24"/>
              </w:rPr>
              <w:t>无</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6</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资格审查资料</w:t>
            </w:r>
          </w:p>
        </w:tc>
        <w:tc>
          <w:tcPr>
            <w:tcW w:w="65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详见本表第1.4.1项。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7</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是否允许递交备选投标方案</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不允许。</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8</w:t>
            </w:r>
            <w:r>
              <w:rPr>
                <w:rFonts w:asciiTheme="majorEastAsia" w:hAnsiTheme="majorEastAsia" w:eastAsiaTheme="majorEastAsia"/>
                <w:sz w:val="22"/>
                <w:szCs w:val="22"/>
                <w:lang w:bidi="ar"/>
              </w:rPr>
              <w:t>.</w:t>
            </w:r>
            <w:r>
              <w:rPr>
                <w:rFonts w:hint="eastAsia" w:asciiTheme="majorEastAsia" w:hAnsiTheme="majorEastAsia" w:eastAsiaTheme="majorEastAsia"/>
                <w:sz w:val="22"/>
                <w:szCs w:val="22"/>
                <w:lang w:bidi="ar"/>
              </w:rPr>
              <w:t>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比选申请文件的副本份数</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2"/>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一式两份，一正一副。</w:t>
            </w:r>
          </w:p>
          <w:p>
            <w:pPr>
              <w:spacing w:line="360" w:lineRule="auto"/>
              <w:ind w:firstLine="440"/>
              <w:rPr>
                <w:rFonts w:cs="宋体" w:asciiTheme="majorEastAsia" w:hAnsiTheme="majorEastAsia" w:eastAsiaTheme="majorEastAsia"/>
                <w:b/>
                <w:sz w:val="22"/>
                <w:szCs w:val="22"/>
                <w:lang w:bidi="ar"/>
              </w:rPr>
            </w:pPr>
            <w:r>
              <w:rPr>
                <w:rFonts w:hint="eastAsia" w:cs="宋体" w:asciiTheme="majorEastAsia" w:hAnsiTheme="majorEastAsia" w:eastAsiaTheme="majorEastAsia"/>
                <w:kern w:val="0"/>
                <w:sz w:val="22"/>
                <w:szCs w:val="22"/>
              </w:rPr>
              <w:t>备注：比选申请文件正本和副本的封面应清楚地标记“正本”或“副本”的字样，正本</w:t>
            </w:r>
            <w:r>
              <w:rPr>
                <w:rFonts w:hint="eastAsia" w:asciiTheme="majorEastAsia" w:hAnsiTheme="majorEastAsia" w:eastAsiaTheme="majorEastAsia"/>
                <w:kern w:val="0"/>
                <w:sz w:val="22"/>
                <w:szCs w:val="22"/>
              </w:rPr>
              <w:t>和副本封面均须加盖单位公章（鲜章）。</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8</w:t>
            </w:r>
            <w:r>
              <w:rPr>
                <w:rFonts w:asciiTheme="majorEastAsia" w:hAnsiTheme="majorEastAsia" w:eastAsiaTheme="majorEastAsia"/>
                <w:sz w:val="22"/>
                <w:szCs w:val="22"/>
                <w:lang w:bidi="ar"/>
              </w:rPr>
              <w:t>.</w:t>
            </w:r>
            <w:r>
              <w:rPr>
                <w:rFonts w:hint="eastAsia" w:asciiTheme="majorEastAsia" w:hAnsiTheme="majorEastAsia" w:eastAsiaTheme="majorEastAsia"/>
                <w:sz w:val="22"/>
                <w:szCs w:val="22"/>
                <w:lang w:bidi="ar"/>
              </w:rPr>
              <w:t>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装订要求</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1、比选申请人将比选申请文件装订成册，必须保证比选申请书装订牢固，否则，比选人对由于比选申请文件装订松散而造成的丢失或其他后果不承担任何责任。</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2、装订</w:t>
            </w:r>
          </w:p>
          <w:p>
            <w:pPr>
              <w:spacing w:line="360" w:lineRule="auto"/>
              <w:ind w:firstLine="440"/>
              <w:rPr>
                <w:rFonts w:asciiTheme="majorEastAsia" w:hAnsiTheme="majorEastAsia" w:eastAsiaTheme="majorEastAsia"/>
                <w:b/>
                <w:sz w:val="22"/>
                <w:szCs w:val="22"/>
              </w:rPr>
            </w:pPr>
            <w:r>
              <w:rPr>
                <w:rFonts w:hint="eastAsia" w:asciiTheme="majorEastAsia" w:hAnsiTheme="majorEastAsia" w:eastAsiaTheme="majorEastAsia"/>
                <w:sz w:val="22"/>
                <w:szCs w:val="22"/>
              </w:rPr>
              <w:t>应按照第八章规定格式装订成册，并应编制目录。</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4.1.1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比选申请文件的密封</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比选申请文件使用牛皮纸或投标文件袋密封并在袋上加盖比选申请人单位公章，同时文件袋封面应按本表4.1.2项的规定写明相应内容。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4.1.2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封套上写明</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22"/>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应在比选申请文件袋封套上写明如下内容：</w:t>
            </w:r>
          </w:p>
          <w:p>
            <w:pPr>
              <w:spacing w:line="360" w:lineRule="auto"/>
              <w:ind w:firstLine="420"/>
              <w:rPr>
                <w:rFonts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比选人的名称</w:t>
            </w:r>
            <w:r>
              <w:rPr>
                <w:rFonts w:hint="eastAsia" w:asciiTheme="majorEastAsia" w:hAnsiTheme="majorEastAsia" w:eastAsiaTheme="majorEastAsia"/>
                <w:sz w:val="22"/>
                <w:szCs w:val="22"/>
                <w:lang w:bidi="ar"/>
              </w:rPr>
              <w:t>：</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lang w:bidi="ar"/>
              </w:rPr>
              <w:t> </w:t>
            </w:r>
          </w:p>
          <w:p>
            <w:pPr>
              <w:spacing w:line="360" w:lineRule="auto"/>
              <w:ind w:firstLine="420"/>
              <w:rPr>
                <w:rFonts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比选申请人名称（盖公章）：</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lang w:bidi="ar"/>
              </w:rPr>
              <w:t> </w:t>
            </w:r>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比选申请人的地址：</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lang w:bidi="ar"/>
              </w:rPr>
              <w:t> </w:t>
            </w:r>
          </w:p>
          <w:p>
            <w:pPr>
              <w:spacing w:line="360" w:lineRule="auto"/>
              <w:ind w:firstLine="420"/>
              <w:rPr>
                <w:rFonts w:asciiTheme="majorEastAsia" w:hAnsiTheme="majorEastAsia" w:eastAsiaTheme="majorEastAsia"/>
                <w:sz w:val="22"/>
                <w:szCs w:val="22"/>
              </w:rPr>
            </w:pPr>
            <w:r>
              <w:rPr>
                <w:rFonts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u w:val="single"/>
                <w:lang w:bidi="ar"/>
              </w:rPr>
              <w:t>（项目名称）</w:t>
            </w:r>
            <w:r>
              <w:rPr>
                <w:rFonts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比选申请文件</w:t>
            </w:r>
          </w:p>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年</w:t>
            </w: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月</w:t>
            </w: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日</w:t>
            </w:r>
            <w:r>
              <w:rPr>
                <w:rFonts w:hint="eastAsia"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时</w:t>
            </w: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分前不得开启</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lang w:bidi="ar"/>
              </w:rPr>
            </w:pPr>
            <w:r>
              <w:rPr>
                <w:rFonts w:hint="eastAsia" w:asciiTheme="majorEastAsia" w:hAnsiTheme="majorEastAsia" w:eastAsiaTheme="majorEastAsia"/>
                <w:sz w:val="22"/>
                <w:szCs w:val="22"/>
                <w:lang w:bidi="ar"/>
              </w:rPr>
              <w:t>4.2.1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比选申请截止时间</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b/>
                <w:color w:val="FF0000"/>
                <w:sz w:val="22"/>
                <w:szCs w:val="22"/>
                <w:u w:val="single"/>
                <w:lang w:bidi="ar"/>
              </w:rPr>
            </w:pPr>
            <w:r>
              <w:rPr>
                <w:rFonts w:hint="eastAsia" w:cs="宋体" w:asciiTheme="majorEastAsia" w:hAnsiTheme="majorEastAsia" w:eastAsiaTheme="majorEastAsia"/>
                <w:b/>
                <w:color w:val="auto"/>
                <w:sz w:val="22"/>
                <w:szCs w:val="22"/>
                <w:u w:val="single"/>
                <w:lang w:bidi="ar"/>
              </w:rPr>
              <w:t>202</w:t>
            </w:r>
            <w:r>
              <w:rPr>
                <w:rFonts w:cs="宋体" w:asciiTheme="majorEastAsia" w:hAnsiTheme="majorEastAsia" w:eastAsiaTheme="majorEastAsia"/>
                <w:b/>
                <w:color w:val="auto"/>
                <w:sz w:val="22"/>
                <w:szCs w:val="22"/>
                <w:u w:val="single"/>
                <w:lang w:bidi="ar"/>
              </w:rPr>
              <w:t>1</w:t>
            </w:r>
            <w:r>
              <w:rPr>
                <w:rFonts w:hint="eastAsia" w:cs="宋体" w:asciiTheme="majorEastAsia" w:hAnsiTheme="majorEastAsia" w:eastAsiaTheme="majorEastAsia"/>
                <w:b/>
                <w:color w:val="auto"/>
                <w:sz w:val="22"/>
                <w:szCs w:val="22"/>
                <w:lang w:bidi="ar"/>
              </w:rPr>
              <w:t>年</w:t>
            </w:r>
            <w:r>
              <w:rPr>
                <w:rFonts w:hint="eastAsia" w:cs="宋体" w:asciiTheme="majorEastAsia" w:hAnsiTheme="majorEastAsia" w:eastAsiaTheme="majorEastAsia"/>
                <w:b/>
                <w:color w:val="auto"/>
                <w:sz w:val="22"/>
                <w:szCs w:val="22"/>
                <w:u w:val="single"/>
                <w:lang w:val="en-US" w:eastAsia="zh-CN" w:bidi="ar"/>
              </w:rPr>
              <w:t>6</w:t>
            </w:r>
            <w:r>
              <w:rPr>
                <w:rFonts w:hint="eastAsia" w:cs="宋体" w:asciiTheme="majorEastAsia" w:hAnsiTheme="majorEastAsia" w:eastAsiaTheme="majorEastAsia"/>
                <w:b/>
                <w:color w:val="auto"/>
                <w:sz w:val="22"/>
                <w:szCs w:val="22"/>
                <w:lang w:bidi="ar"/>
              </w:rPr>
              <w:t>月</w:t>
            </w:r>
            <w:r>
              <w:rPr>
                <w:rFonts w:hint="eastAsia" w:cs="宋体" w:asciiTheme="majorEastAsia" w:hAnsiTheme="majorEastAsia" w:eastAsiaTheme="majorEastAsia"/>
                <w:b/>
                <w:color w:val="auto"/>
                <w:sz w:val="22"/>
                <w:szCs w:val="22"/>
                <w:u w:val="single"/>
                <w:lang w:val="en-US" w:eastAsia="zh-CN" w:bidi="ar"/>
              </w:rPr>
              <w:t>8</w:t>
            </w:r>
            <w:r>
              <w:rPr>
                <w:rFonts w:hint="eastAsia" w:cs="宋体" w:asciiTheme="majorEastAsia" w:hAnsiTheme="majorEastAsia" w:eastAsiaTheme="majorEastAsia"/>
                <w:b/>
                <w:color w:val="auto"/>
                <w:sz w:val="22"/>
                <w:szCs w:val="22"/>
                <w:lang w:bidi="ar"/>
              </w:rPr>
              <w:t>日</w:t>
            </w:r>
            <w:r>
              <w:rPr>
                <w:rFonts w:hint="eastAsia" w:asciiTheme="majorEastAsia" w:hAnsiTheme="majorEastAsia" w:eastAsiaTheme="majorEastAsia"/>
                <w:b/>
                <w:color w:val="auto"/>
                <w:sz w:val="22"/>
                <w:szCs w:val="22"/>
                <w:u w:val="single"/>
                <w:lang w:val="en-US" w:eastAsia="zh-CN" w:bidi="ar"/>
              </w:rPr>
              <w:t>10</w:t>
            </w:r>
            <w:r>
              <w:rPr>
                <w:rFonts w:hint="eastAsia" w:cs="宋体" w:asciiTheme="majorEastAsia" w:hAnsiTheme="majorEastAsia" w:eastAsiaTheme="majorEastAsia"/>
                <w:b/>
                <w:color w:val="auto"/>
                <w:sz w:val="22"/>
                <w:szCs w:val="22"/>
                <w:lang w:bidi="ar"/>
              </w:rPr>
              <w:t>时</w:t>
            </w:r>
            <w:r>
              <w:rPr>
                <w:rFonts w:hint="eastAsia" w:cs="宋体" w:asciiTheme="majorEastAsia" w:hAnsiTheme="majorEastAsia" w:eastAsiaTheme="majorEastAsia"/>
                <w:b/>
                <w:color w:val="auto"/>
                <w:sz w:val="22"/>
                <w:szCs w:val="22"/>
                <w:u w:val="single"/>
                <w:lang w:val="en-US" w:eastAsia="zh-CN" w:bidi="ar"/>
              </w:rPr>
              <w:t>00</w:t>
            </w:r>
            <w:r>
              <w:rPr>
                <w:rFonts w:hint="eastAsia" w:cs="宋体" w:asciiTheme="majorEastAsia" w:hAnsiTheme="majorEastAsia" w:eastAsiaTheme="majorEastAsia"/>
                <w:b/>
                <w:color w:val="auto"/>
                <w:sz w:val="22"/>
                <w:szCs w:val="22"/>
                <w:lang w:bidi="ar"/>
              </w:rPr>
              <w:t>分。</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4.2.2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递交比选申请文件地点</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方正小标宋简体" w:asciiTheme="majorEastAsia" w:hAnsiTheme="majorEastAsia" w:eastAsiaTheme="majorEastAsia"/>
                <w:sz w:val="22"/>
                <w:szCs w:val="22"/>
              </w:rPr>
            </w:pPr>
            <w:r>
              <w:rPr>
                <w:rFonts w:hint="eastAsia" w:cs="方正小标宋简体" w:asciiTheme="majorEastAsia" w:hAnsiTheme="majorEastAsia" w:eastAsiaTheme="majorEastAsia"/>
                <w:sz w:val="22"/>
                <w:szCs w:val="22"/>
              </w:rPr>
              <w:t>重庆市渝北区人和香锦路4号7层</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4.2.3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是否退还比选申请文件</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否。</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lang w:bidi="ar"/>
              </w:rPr>
            </w:pPr>
            <w:r>
              <w:rPr>
                <w:rFonts w:hint="eastAsia" w:asciiTheme="majorEastAsia" w:hAnsiTheme="majorEastAsia" w:eastAsiaTheme="majorEastAsia"/>
                <w:sz w:val="22"/>
                <w:szCs w:val="22"/>
                <w:lang w:bidi="ar"/>
              </w:rPr>
              <w:t>4.2.4</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rPr>
              <w:t>比选申请人设计方案所有权</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rPr>
              <w:t>归比选人所有，如果</w:t>
            </w:r>
            <w:r>
              <w:rPr>
                <w:rFonts w:cs="宋体" w:asciiTheme="majorEastAsia" w:hAnsiTheme="majorEastAsia" w:eastAsiaTheme="majorEastAsia"/>
                <w:sz w:val="22"/>
                <w:szCs w:val="22"/>
              </w:rPr>
              <w:t>比选人需要使用其中部分方案，比选申请人不</w:t>
            </w:r>
            <w:r>
              <w:rPr>
                <w:rFonts w:hint="eastAsia" w:cs="宋体" w:asciiTheme="majorEastAsia" w:hAnsiTheme="majorEastAsia" w:eastAsiaTheme="majorEastAsia"/>
                <w:sz w:val="22"/>
                <w:szCs w:val="22"/>
              </w:rPr>
              <w:t>得</w:t>
            </w:r>
            <w:r>
              <w:rPr>
                <w:rFonts w:cs="宋体" w:asciiTheme="majorEastAsia" w:hAnsiTheme="majorEastAsia" w:eastAsiaTheme="majorEastAsia"/>
                <w:sz w:val="22"/>
                <w:szCs w:val="22"/>
              </w:rPr>
              <w:t>有异议，</w:t>
            </w:r>
            <w:r>
              <w:rPr>
                <w:rFonts w:hint="eastAsia" w:cs="宋体" w:asciiTheme="majorEastAsia" w:hAnsiTheme="majorEastAsia" w:eastAsiaTheme="majorEastAsia"/>
                <w:sz w:val="22"/>
                <w:szCs w:val="22"/>
              </w:rPr>
              <w:t>比选人不</w:t>
            </w:r>
            <w:r>
              <w:rPr>
                <w:rFonts w:cs="宋体" w:asciiTheme="majorEastAsia" w:hAnsiTheme="majorEastAsia" w:eastAsiaTheme="majorEastAsia"/>
                <w:sz w:val="22"/>
                <w:szCs w:val="22"/>
              </w:rPr>
              <w:t>给予比选申请人任何补偿</w:t>
            </w:r>
            <w:r>
              <w:rPr>
                <w:rFonts w:hint="eastAsia" w:cs="宋体" w:asciiTheme="majorEastAsia" w:hAnsiTheme="majorEastAsia" w:eastAsiaTheme="majorEastAsia"/>
                <w:sz w:val="22"/>
                <w:szCs w:val="22"/>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5.1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开标时间</w:t>
            </w:r>
          </w:p>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和地点</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开标时间：</w:t>
            </w:r>
            <w:r>
              <w:rPr>
                <w:rFonts w:asciiTheme="majorEastAsia" w:hAnsiTheme="majorEastAsia" w:eastAsiaTheme="majorEastAsia"/>
                <w:color w:val="auto"/>
                <w:sz w:val="22"/>
                <w:szCs w:val="22"/>
              </w:rPr>
              <w:t xml:space="preserve"> </w:t>
            </w:r>
            <w:r>
              <w:rPr>
                <w:rFonts w:hint="eastAsia" w:cs="宋体" w:asciiTheme="majorEastAsia" w:hAnsiTheme="majorEastAsia" w:eastAsiaTheme="majorEastAsia"/>
                <w:b/>
                <w:color w:val="auto"/>
                <w:sz w:val="22"/>
                <w:szCs w:val="22"/>
                <w:u w:val="single"/>
                <w:lang w:bidi="ar"/>
              </w:rPr>
              <w:t>202</w:t>
            </w:r>
            <w:r>
              <w:rPr>
                <w:rFonts w:cs="宋体" w:asciiTheme="majorEastAsia" w:hAnsiTheme="majorEastAsia" w:eastAsiaTheme="majorEastAsia"/>
                <w:b/>
                <w:color w:val="auto"/>
                <w:sz w:val="22"/>
                <w:szCs w:val="22"/>
                <w:u w:val="single"/>
                <w:lang w:bidi="ar"/>
              </w:rPr>
              <w:t>1</w:t>
            </w:r>
            <w:r>
              <w:rPr>
                <w:rFonts w:hint="eastAsia" w:cs="宋体" w:asciiTheme="majorEastAsia" w:hAnsiTheme="majorEastAsia" w:eastAsiaTheme="majorEastAsia"/>
                <w:b/>
                <w:color w:val="auto"/>
                <w:sz w:val="22"/>
                <w:szCs w:val="22"/>
                <w:lang w:bidi="ar"/>
              </w:rPr>
              <w:t>年</w:t>
            </w:r>
            <w:r>
              <w:rPr>
                <w:rFonts w:hint="eastAsia" w:cs="宋体" w:asciiTheme="majorEastAsia" w:hAnsiTheme="majorEastAsia" w:eastAsiaTheme="majorEastAsia"/>
                <w:b/>
                <w:color w:val="auto"/>
                <w:sz w:val="22"/>
                <w:szCs w:val="22"/>
                <w:u w:val="single"/>
                <w:lang w:val="en-US" w:eastAsia="zh-CN" w:bidi="ar"/>
              </w:rPr>
              <w:t>6</w:t>
            </w:r>
            <w:r>
              <w:rPr>
                <w:rFonts w:hint="eastAsia" w:cs="宋体" w:asciiTheme="majorEastAsia" w:hAnsiTheme="majorEastAsia" w:eastAsiaTheme="majorEastAsia"/>
                <w:b/>
                <w:color w:val="auto"/>
                <w:sz w:val="22"/>
                <w:szCs w:val="22"/>
                <w:lang w:bidi="ar"/>
              </w:rPr>
              <w:t>月</w:t>
            </w:r>
            <w:r>
              <w:rPr>
                <w:rFonts w:hint="eastAsia" w:cs="宋体" w:asciiTheme="majorEastAsia" w:hAnsiTheme="majorEastAsia" w:eastAsiaTheme="majorEastAsia"/>
                <w:b/>
                <w:color w:val="auto"/>
                <w:sz w:val="22"/>
                <w:szCs w:val="22"/>
                <w:u w:val="single"/>
                <w:lang w:val="en-US" w:eastAsia="zh-CN" w:bidi="ar"/>
              </w:rPr>
              <w:t>8</w:t>
            </w:r>
            <w:r>
              <w:rPr>
                <w:rFonts w:hint="eastAsia" w:cs="宋体" w:asciiTheme="majorEastAsia" w:hAnsiTheme="majorEastAsia" w:eastAsiaTheme="majorEastAsia"/>
                <w:b/>
                <w:color w:val="auto"/>
                <w:sz w:val="22"/>
                <w:szCs w:val="22"/>
                <w:lang w:bidi="ar"/>
              </w:rPr>
              <w:t>日</w:t>
            </w:r>
            <w:r>
              <w:rPr>
                <w:rFonts w:hint="eastAsia" w:asciiTheme="majorEastAsia" w:hAnsiTheme="majorEastAsia" w:eastAsiaTheme="majorEastAsia"/>
                <w:b/>
                <w:color w:val="auto"/>
                <w:sz w:val="22"/>
                <w:szCs w:val="22"/>
                <w:u w:val="single"/>
                <w:lang w:val="en-US" w:eastAsia="zh-CN" w:bidi="ar"/>
              </w:rPr>
              <w:t>10</w:t>
            </w:r>
            <w:r>
              <w:rPr>
                <w:rFonts w:hint="eastAsia" w:cs="宋体" w:asciiTheme="majorEastAsia" w:hAnsiTheme="majorEastAsia" w:eastAsiaTheme="majorEastAsia"/>
                <w:b/>
                <w:color w:val="auto"/>
                <w:sz w:val="22"/>
                <w:szCs w:val="22"/>
                <w:lang w:bidi="ar"/>
              </w:rPr>
              <w:t>时</w:t>
            </w:r>
            <w:r>
              <w:rPr>
                <w:rFonts w:hint="eastAsia" w:cs="宋体" w:asciiTheme="majorEastAsia" w:hAnsiTheme="majorEastAsia" w:eastAsiaTheme="majorEastAsia"/>
                <w:b/>
                <w:color w:val="auto"/>
                <w:sz w:val="22"/>
                <w:szCs w:val="22"/>
                <w:u w:val="single"/>
                <w:lang w:val="en-US" w:eastAsia="zh-CN" w:bidi="ar"/>
              </w:rPr>
              <w:t>00</w:t>
            </w:r>
            <w:r>
              <w:rPr>
                <w:rFonts w:hint="eastAsia" w:cs="宋体" w:asciiTheme="majorEastAsia" w:hAnsiTheme="majorEastAsia" w:eastAsiaTheme="majorEastAsia"/>
                <w:b/>
                <w:color w:val="auto"/>
                <w:sz w:val="22"/>
                <w:szCs w:val="22"/>
                <w:lang w:bidi="ar"/>
              </w:rPr>
              <w:t>分。</w:t>
            </w:r>
          </w:p>
          <w:p>
            <w:pPr>
              <w:spacing w:line="360" w:lineRule="auto"/>
              <w:ind w:firstLine="440"/>
              <w:rPr>
                <w:rFonts w:asciiTheme="majorEastAsia" w:hAnsiTheme="majorEastAsia" w:eastAsiaTheme="majorEastAsia"/>
                <w:sz w:val="22"/>
                <w:szCs w:val="22"/>
                <w:u w:val="single"/>
              </w:rPr>
            </w:pPr>
            <w:r>
              <w:rPr>
                <w:rFonts w:hint="eastAsia" w:cs="宋体" w:asciiTheme="majorEastAsia" w:hAnsiTheme="majorEastAsia" w:eastAsiaTheme="majorEastAsia"/>
                <w:sz w:val="22"/>
                <w:szCs w:val="22"/>
                <w:lang w:bidi="ar"/>
              </w:rPr>
              <w:t>开标地点：</w:t>
            </w:r>
            <w:r>
              <w:rPr>
                <w:rFonts w:hint="eastAsia" w:cs="方正小标宋简体" w:asciiTheme="majorEastAsia" w:hAnsiTheme="majorEastAsia" w:eastAsiaTheme="majorEastAsia"/>
                <w:sz w:val="22"/>
                <w:szCs w:val="22"/>
              </w:rPr>
              <w:t>重庆市渝北区人和香锦路4号7层</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5.2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比选程序</w:t>
            </w:r>
          </w:p>
        </w:tc>
        <w:tc>
          <w:tcPr>
            <w:tcW w:w="659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1.宣布比选纪律。</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2.宣布比选人、唱标人、记录人、监督人等有关人员姓名。</w:t>
            </w:r>
          </w:p>
          <w:p>
            <w:pPr>
              <w:adjustRightInd w:val="0"/>
              <w:snapToGrid w:val="0"/>
              <w:spacing w:line="360" w:lineRule="auto"/>
              <w:ind w:firstLine="440" w:firstLineChars="200"/>
              <w:rPr>
                <w:rFonts w:ascii="宋体" w:hAnsi="宋体"/>
                <w:sz w:val="22"/>
                <w:szCs w:val="24"/>
              </w:rPr>
            </w:pPr>
            <w:r>
              <w:rPr>
                <w:rFonts w:hint="eastAsia" w:asciiTheme="majorEastAsia" w:hAnsiTheme="majorEastAsia" w:eastAsiaTheme="majorEastAsia"/>
                <w:sz w:val="22"/>
                <w:szCs w:val="22"/>
              </w:rPr>
              <w:t>3.</w:t>
            </w:r>
            <w:r>
              <w:rPr>
                <w:rFonts w:hint="eastAsia" w:cs="宋体" w:asciiTheme="majorEastAsia" w:hAnsiTheme="majorEastAsia" w:eastAsiaTheme="majorEastAsia"/>
                <w:sz w:val="22"/>
                <w:szCs w:val="22"/>
              </w:rPr>
              <w:t>公布在比选申请截止时间前递交比选申请文件的比选申请人名称并点名确认比选申请人是否派人到场，核查比选申请人代表身份材料：</w:t>
            </w:r>
            <w:r>
              <w:rPr>
                <w:rFonts w:hint="eastAsia" w:ascii="宋体" w:hAnsi="宋体"/>
                <w:sz w:val="22"/>
                <w:szCs w:val="24"/>
              </w:rPr>
              <w:t>如法定代表人参加开标会的，</w:t>
            </w:r>
            <w:r>
              <w:rPr>
                <w:rFonts w:ascii="宋体" w:hAnsi="宋体"/>
                <w:sz w:val="22"/>
                <w:szCs w:val="24"/>
              </w:rPr>
              <w:t>核验法定代表人</w:t>
            </w:r>
            <w:r>
              <w:rPr>
                <w:rFonts w:hint="eastAsia" w:ascii="宋体" w:hAnsi="宋体"/>
                <w:sz w:val="22"/>
                <w:szCs w:val="24"/>
              </w:rPr>
              <w:t>本人</w:t>
            </w:r>
            <w:r>
              <w:rPr>
                <w:rFonts w:ascii="宋体" w:hAnsi="宋体"/>
                <w:sz w:val="22"/>
                <w:szCs w:val="24"/>
              </w:rPr>
              <w:t>身份证（原件）</w:t>
            </w:r>
            <w:r>
              <w:rPr>
                <w:rFonts w:hint="eastAsia" w:ascii="宋体" w:hAnsi="宋体"/>
                <w:sz w:val="22"/>
                <w:szCs w:val="24"/>
              </w:rPr>
              <w:t>及法定代表人身份证明（原件）</w:t>
            </w:r>
            <w:r>
              <w:rPr>
                <w:rFonts w:ascii="宋体" w:hAnsi="宋体"/>
                <w:sz w:val="22"/>
                <w:szCs w:val="24"/>
              </w:rPr>
              <w:t>；如委托代理人</w:t>
            </w:r>
            <w:r>
              <w:rPr>
                <w:rFonts w:hint="eastAsia" w:ascii="宋体" w:hAnsi="宋体"/>
                <w:sz w:val="22"/>
                <w:szCs w:val="24"/>
              </w:rPr>
              <w:t>参加开标会的，</w:t>
            </w:r>
            <w:r>
              <w:rPr>
                <w:rFonts w:ascii="宋体" w:hAnsi="宋体"/>
                <w:sz w:val="22"/>
                <w:szCs w:val="24"/>
              </w:rPr>
              <w:t>核验委托代理人本人身份证</w:t>
            </w:r>
            <w:r>
              <w:rPr>
                <w:rFonts w:hint="eastAsia" w:ascii="宋体" w:hAnsi="宋体"/>
                <w:sz w:val="22"/>
                <w:szCs w:val="24"/>
              </w:rPr>
              <w:t>（原件）</w:t>
            </w:r>
            <w:r>
              <w:rPr>
                <w:rFonts w:ascii="宋体" w:hAnsi="宋体"/>
                <w:sz w:val="22"/>
                <w:szCs w:val="24"/>
              </w:rPr>
              <w:t>、</w:t>
            </w:r>
            <w:r>
              <w:rPr>
                <w:rFonts w:hint="eastAsia" w:ascii="宋体" w:hAnsi="宋体"/>
                <w:sz w:val="22"/>
                <w:szCs w:val="24"/>
              </w:rPr>
              <w:t>法定代表人身份证明及授权委托书（</w:t>
            </w:r>
            <w:r>
              <w:rPr>
                <w:rFonts w:ascii="宋体" w:hAnsi="宋体"/>
                <w:sz w:val="22"/>
                <w:szCs w:val="24"/>
              </w:rPr>
              <w:t>原件）</w:t>
            </w:r>
            <w:r>
              <w:rPr>
                <w:rFonts w:hint="eastAsia" w:ascii="宋体" w:hAnsi="宋体"/>
                <w:sz w:val="22"/>
                <w:szCs w:val="24"/>
              </w:rPr>
              <w:t>；</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4.密封情况检查：比选申请人或者其推选的代表检查比选申请</w:t>
            </w:r>
          </w:p>
          <w:p>
            <w:pPr>
              <w:autoSpaceDE w:val="0"/>
              <w:autoSpaceDN w:val="0"/>
              <w:adjustRightInd w:val="0"/>
              <w:snapToGrid w:val="0"/>
              <w:spacing w:line="360" w:lineRule="auto"/>
              <w:ind w:firstLine="440"/>
              <w:rPr>
                <w:rFonts w:cs="宋体" w:asciiTheme="majorEastAsia" w:hAnsiTheme="majorEastAsia" w:eastAsiaTheme="majorEastAsia"/>
                <w:b/>
                <w:sz w:val="22"/>
                <w:szCs w:val="22"/>
              </w:rPr>
            </w:pPr>
            <w:r>
              <w:rPr>
                <w:rFonts w:hint="eastAsia" w:cs="宋体" w:asciiTheme="majorEastAsia" w:hAnsiTheme="majorEastAsia" w:eastAsiaTheme="majorEastAsia"/>
                <w:snapToGrid w:val="0"/>
                <w:kern w:val="0"/>
                <w:sz w:val="22"/>
                <w:szCs w:val="22"/>
                <w:lang w:val="en-US" w:eastAsia="zh-CN"/>
              </w:rPr>
              <w:t>5</w:t>
            </w:r>
            <w:r>
              <w:rPr>
                <w:rFonts w:hint="eastAsia" w:cs="宋体" w:asciiTheme="majorEastAsia" w:hAnsiTheme="majorEastAsia" w:eastAsiaTheme="majorEastAsia"/>
                <w:snapToGrid w:val="0"/>
                <w:kern w:val="0"/>
                <w:sz w:val="22"/>
                <w:szCs w:val="22"/>
              </w:rPr>
              <w:t>.公布最高限价。</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lang w:val="en-US" w:eastAsia="zh-CN"/>
              </w:rPr>
              <w:t>6</w:t>
            </w:r>
            <w:r>
              <w:rPr>
                <w:rFonts w:hint="eastAsia" w:cs="宋体" w:asciiTheme="majorEastAsia" w:hAnsiTheme="majorEastAsia" w:eastAsiaTheme="majorEastAsia"/>
                <w:snapToGrid w:val="0"/>
                <w:kern w:val="0"/>
                <w:sz w:val="22"/>
                <w:szCs w:val="22"/>
              </w:rPr>
              <w:t>.开启</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文件顺序：随机开启。</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lang w:val="en-US" w:eastAsia="zh-CN"/>
              </w:rPr>
              <w:t>7</w:t>
            </w:r>
            <w:r>
              <w:rPr>
                <w:rFonts w:hint="eastAsia" w:cs="宋体" w:asciiTheme="majorEastAsia" w:hAnsiTheme="majorEastAsia" w:eastAsiaTheme="majorEastAsia"/>
                <w:snapToGrid w:val="0"/>
                <w:kern w:val="0"/>
                <w:sz w:val="22"/>
                <w:szCs w:val="22"/>
              </w:rPr>
              <w:t>.按照宣布的比选顺序当众比选，公布</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人名称、</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报价及其他内容，并记录在案；若</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kern w:val="0"/>
                <w:sz w:val="22"/>
                <w:szCs w:val="22"/>
              </w:rPr>
              <w:t>人对比选有异议的，应当在比选现场提出，比选人应当当场作出答复，并如实记录。</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lang w:val="en-US" w:eastAsia="zh-CN"/>
              </w:rPr>
              <w:t>8</w:t>
            </w:r>
            <w:r>
              <w:rPr>
                <w:rFonts w:hint="eastAsia" w:cs="宋体" w:asciiTheme="majorEastAsia" w:hAnsiTheme="majorEastAsia" w:eastAsiaTheme="majorEastAsia"/>
                <w:snapToGrid w:val="0"/>
                <w:kern w:val="0"/>
                <w:sz w:val="22"/>
                <w:szCs w:val="22"/>
              </w:rPr>
              <w:t>.</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人代表、比选人代表、监督人、记录人等有关人员在比选记录上签字确认。</w:t>
            </w:r>
          </w:p>
          <w:p>
            <w:pPr>
              <w:autoSpaceDE w:val="0"/>
              <w:autoSpaceDN w:val="0"/>
              <w:adjustRightInd w:val="0"/>
              <w:snapToGrid w:val="0"/>
              <w:spacing w:line="360" w:lineRule="auto"/>
              <w:ind w:firstLine="44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lang w:val="en-US" w:eastAsia="zh-CN"/>
              </w:rPr>
              <w:t>9</w:t>
            </w:r>
            <w:r>
              <w:rPr>
                <w:rFonts w:hint="eastAsia" w:cs="宋体" w:asciiTheme="majorEastAsia" w:hAnsiTheme="majorEastAsia" w:eastAsiaTheme="majorEastAsia"/>
                <w:sz w:val="22"/>
                <w:szCs w:val="22"/>
              </w:rPr>
              <w:t xml:space="preserve">.比选结束。 </w:t>
            </w:r>
          </w:p>
        </w:tc>
      </w:tr>
      <w:tr>
        <w:tblPrEx>
          <w:tblLayout w:type="fixed"/>
          <w:tblCellMar>
            <w:top w:w="0" w:type="dxa"/>
            <w:left w:w="108" w:type="dxa"/>
            <w:bottom w:w="0" w:type="dxa"/>
            <w:right w:w="108" w:type="dxa"/>
          </w:tblCellMar>
        </w:tblPrEx>
        <w:trPr>
          <w:trHeight w:val="62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6.1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评审委员会</w:t>
            </w:r>
          </w:p>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的组建</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由比选人依法组建。</w:t>
            </w:r>
          </w:p>
        </w:tc>
      </w:tr>
      <w:tr>
        <w:tblPrEx>
          <w:tblLayout w:type="fixed"/>
          <w:tblCellMar>
            <w:top w:w="0" w:type="dxa"/>
            <w:left w:w="108" w:type="dxa"/>
            <w:bottom w:w="0" w:type="dxa"/>
            <w:right w:w="108" w:type="dxa"/>
          </w:tblCellMar>
        </w:tblPrEx>
        <w:trPr>
          <w:trHeight w:val="59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7.1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是否授权评审委员会确定中选人</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否，评标委员会按经评审的综合得分由高到低推荐中标候选人。</w:t>
            </w:r>
          </w:p>
        </w:tc>
      </w:tr>
      <w:tr>
        <w:tblPrEx>
          <w:tblLayout w:type="fixed"/>
          <w:tblCellMar>
            <w:top w:w="0" w:type="dxa"/>
            <w:left w:w="108" w:type="dxa"/>
            <w:bottom w:w="0" w:type="dxa"/>
            <w:right w:w="108" w:type="dxa"/>
          </w:tblCellMar>
        </w:tblPrEx>
        <w:trPr>
          <w:trHeight w:val="9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7.</w:t>
            </w:r>
            <w:r>
              <w:rPr>
                <w:rFonts w:hint="eastAsia" w:asciiTheme="majorEastAsia" w:hAnsiTheme="majorEastAsia" w:eastAsiaTheme="majorEastAsia"/>
                <w:sz w:val="22"/>
                <w:szCs w:val="22"/>
                <w:lang w:bidi="ar"/>
              </w:rPr>
              <w:t>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履约担保</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（1）担保形式：履约保证金（银行转账）；</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）担保金额：中选金额的</w:t>
            </w:r>
            <w:r>
              <w:rPr>
                <w:rFonts w:asciiTheme="majorEastAsia" w:hAnsiTheme="majorEastAsia" w:eastAsiaTheme="majorEastAsia"/>
                <w:sz w:val="22"/>
                <w:szCs w:val="22"/>
              </w:rPr>
              <w:t>10%</w:t>
            </w:r>
            <w:r>
              <w:rPr>
                <w:rFonts w:hint="eastAsia" w:asciiTheme="majorEastAsia" w:hAnsiTheme="majorEastAsia" w:eastAsiaTheme="majorEastAsia"/>
                <w:sz w:val="22"/>
                <w:szCs w:val="22"/>
              </w:rPr>
              <w:t>；</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）缴纳时间：比选人发出中选通知书后七日内，合同签订之前，中选人向比选人缴纳（未在规定时间内提交履约担保的，比选人有权取消其中选资格，并没收其比选申请保证金）；</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（4）退还期限及方式：本合同工程竣工验收合格后无息退还。</w:t>
            </w:r>
          </w:p>
        </w:tc>
      </w:tr>
      <w:tr>
        <w:tblPrEx>
          <w:tblLayout w:type="fixed"/>
          <w:tblCellMar>
            <w:top w:w="0" w:type="dxa"/>
            <w:left w:w="108" w:type="dxa"/>
            <w:bottom w:w="0" w:type="dxa"/>
            <w:right w:w="108" w:type="dxa"/>
          </w:tblCellMar>
        </w:tblPrEx>
        <w:trPr>
          <w:trHeight w:val="1048"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8.1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重新比选</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经评审后，如有效比选申请人不足三个的，但竞选未明显缺乏竞争的，评审委员会应当继续评审。若否决全部竞选，比选人将重新组织竞选。</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b/>
                <w:sz w:val="22"/>
                <w:szCs w:val="22"/>
              </w:rPr>
            </w:pPr>
            <w:r>
              <w:rPr>
                <w:rFonts w:hint="eastAsia" w:asciiTheme="majorEastAsia" w:hAnsiTheme="majorEastAsia" w:eastAsiaTheme="majorEastAsia"/>
                <w:b/>
                <w:sz w:val="22"/>
                <w:szCs w:val="22"/>
                <w:lang w:bidi="ar"/>
              </w:rPr>
              <w:t>10</w:t>
            </w:r>
          </w:p>
        </w:tc>
        <w:tc>
          <w:tcPr>
            <w:tcW w:w="8435" w:type="dxa"/>
            <w:gridSpan w:val="3"/>
            <w:tcBorders>
              <w:top w:val="single" w:color="auto" w:sz="4" w:space="0"/>
              <w:left w:val="nil"/>
              <w:bottom w:val="single" w:color="auto" w:sz="4" w:space="0"/>
              <w:right w:val="single" w:color="auto" w:sz="4" w:space="0"/>
            </w:tcBorders>
            <w:vAlign w:val="center"/>
          </w:tcPr>
          <w:p>
            <w:pPr>
              <w:spacing w:line="360" w:lineRule="auto"/>
              <w:ind w:firstLine="442"/>
              <w:jc w:val="center"/>
              <w:rPr>
                <w:rFonts w:cs="华文细黑"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需要补充的其他内容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b/>
                <w:sz w:val="22"/>
                <w:szCs w:val="22"/>
                <w:lang w:bidi="ar"/>
              </w:rPr>
            </w:pPr>
            <w:r>
              <w:rPr>
                <w:rFonts w:hint="eastAsia" w:asciiTheme="majorEastAsia" w:hAnsiTheme="majorEastAsia" w:eastAsiaTheme="majorEastAsia"/>
                <w:sz w:val="22"/>
                <w:szCs w:val="22"/>
                <w:lang w:bidi="ar"/>
              </w:rPr>
              <w:t>10.1</w:t>
            </w:r>
          </w:p>
        </w:tc>
        <w:tc>
          <w:tcPr>
            <w:tcW w:w="1892" w:type="dxa"/>
            <w:gridSpan w:val="2"/>
            <w:tcBorders>
              <w:top w:val="single" w:color="auto" w:sz="4" w:space="0"/>
              <w:left w:val="nil"/>
              <w:bottom w:val="single" w:color="auto" w:sz="4" w:space="0"/>
              <w:right w:val="single" w:color="auto" w:sz="4" w:space="0"/>
            </w:tcBorders>
            <w:vAlign w:val="center"/>
          </w:tcPr>
          <w:p>
            <w:pPr>
              <w:spacing w:line="360" w:lineRule="auto"/>
              <w:ind w:firstLine="198" w:firstLineChars="90"/>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付款方式</w:t>
            </w:r>
          </w:p>
        </w:tc>
        <w:tc>
          <w:tcPr>
            <w:tcW w:w="6543" w:type="dxa"/>
            <w:tcBorders>
              <w:top w:val="single" w:color="auto" w:sz="4" w:space="0"/>
              <w:left w:val="nil"/>
              <w:bottom w:val="single" w:color="auto" w:sz="4" w:space="0"/>
              <w:right w:val="single" w:color="auto" w:sz="4" w:space="0"/>
            </w:tcBorders>
            <w:vAlign w:val="center"/>
          </w:tcPr>
          <w:p>
            <w:pPr>
              <w:spacing w:line="360" w:lineRule="auto"/>
              <w:ind w:firstLine="376" w:firstLineChars="171"/>
              <w:rPr>
                <w:rFonts w:asciiTheme="majorEastAsia" w:hAnsiTheme="majorEastAsia" w:eastAsiaTheme="majorEastAsia"/>
                <w:sz w:val="22"/>
                <w:szCs w:val="22"/>
                <w:highlight w:val="none"/>
              </w:rPr>
            </w:pPr>
            <w:r>
              <w:rPr>
                <w:rFonts w:hint="eastAsia" w:asciiTheme="majorEastAsia" w:hAnsiTheme="majorEastAsia" w:eastAsiaTheme="majorEastAsia"/>
                <w:sz w:val="22"/>
                <w:szCs w:val="22"/>
                <w:highlight w:val="none"/>
              </w:rPr>
              <w:t xml:space="preserve">承包人在完成设计方案，经甲方确认后10日内支付设计费总额的50%，承包人在完成施工图纸，经甲方确认后10日内支付至设计费总额的85%，竣工验收合格后10日内支付设计费余款。 </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承包人每月25日前申报当月工程进度，发包人次月5号前按审核后进度款的</w:t>
            </w:r>
            <w:r>
              <w:rPr>
                <w:rFonts w:asciiTheme="majorEastAsia" w:hAnsiTheme="majorEastAsia" w:eastAsiaTheme="majorEastAsia"/>
                <w:sz w:val="22"/>
                <w:szCs w:val="22"/>
              </w:rPr>
              <w:t>7</w:t>
            </w:r>
            <w:r>
              <w:rPr>
                <w:rFonts w:hint="eastAsia" w:asciiTheme="majorEastAsia" w:hAnsiTheme="majorEastAsia" w:eastAsiaTheme="majorEastAsia"/>
                <w:sz w:val="22"/>
                <w:szCs w:val="22"/>
              </w:rPr>
              <w:t xml:space="preserve">0%支付工程进度款。 </w:t>
            </w:r>
          </w:p>
          <w:p>
            <w:pPr>
              <w:spacing w:line="360" w:lineRule="auto"/>
              <w:ind w:firstLine="440"/>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rPr>
              <w:t>竣工验收合格后支付至合同总额的</w:t>
            </w:r>
            <w:r>
              <w:rPr>
                <w:rFonts w:cs="宋体" w:asciiTheme="majorEastAsia" w:hAnsiTheme="majorEastAsia" w:eastAsiaTheme="majorEastAsia"/>
                <w:sz w:val="22"/>
                <w:szCs w:val="22"/>
              </w:rPr>
              <w:t>85</w:t>
            </w:r>
            <w:r>
              <w:rPr>
                <w:rFonts w:hint="eastAsia" w:cs="宋体" w:asciiTheme="majorEastAsia" w:hAnsiTheme="majorEastAsia" w:eastAsiaTheme="majorEastAsia"/>
                <w:sz w:val="22"/>
                <w:szCs w:val="22"/>
              </w:rPr>
              <w:t>%；审计结束后支付至审定金额的97%，剩余审定金额的3%作为质保金，待缺陷责任期</w:t>
            </w:r>
            <w:r>
              <w:rPr>
                <w:rFonts w:hint="eastAsia" w:cs="宋体" w:asciiTheme="majorEastAsia" w:hAnsiTheme="majorEastAsia" w:eastAsiaTheme="majorEastAsia"/>
                <w:b/>
                <w:sz w:val="22"/>
                <w:szCs w:val="22"/>
              </w:rPr>
              <w:t>（两年）</w:t>
            </w:r>
            <w:r>
              <w:rPr>
                <w:rFonts w:hint="eastAsia" w:cs="宋体" w:asciiTheme="majorEastAsia" w:hAnsiTheme="majorEastAsia" w:eastAsiaTheme="majorEastAsia"/>
                <w:sz w:val="22"/>
                <w:szCs w:val="22"/>
              </w:rPr>
              <w:t>满后不计息支付。</w:t>
            </w:r>
          </w:p>
        </w:tc>
      </w:tr>
    </w:tbl>
    <w:p>
      <w:pPr>
        <w:rPr>
          <w:rFonts w:asciiTheme="majorEastAsia" w:hAnsiTheme="majorEastAsia" w:eastAsiaTheme="majorEastAsia"/>
        </w:rPr>
      </w:pPr>
    </w:p>
    <w:p>
      <w:pPr>
        <w:spacing w:line="360" w:lineRule="auto"/>
        <w:jc w:val="left"/>
        <w:rPr>
          <w:rFonts w:asciiTheme="majorEastAsia" w:hAnsiTheme="majorEastAsia" w:eastAsiaTheme="majorEastAsia"/>
          <w:b/>
          <w:kern w:val="0"/>
        </w:rPr>
      </w:pPr>
      <w:bookmarkStart w:id="22" w:name="_Toc17345"/>
      <w:bookmarkStart w:id="23" w:name="_Toc200513126"/>
      <w:bookmarkStart w:id="24" w:name="_Toc5295"/>
      <w:r>
        <w:rPr>
          <w:rFonts w:hint="eastAsia" w:asciiTheme="majorEastAsia" w:hAnsiTheme="majorEastAsia" w:eastAsiaTheme="majorEastAsia"/>
          <w:b/>
          <w:kern w:val="0"/>
        </w:rPr>
        <w:t>注：比选申请人须知前附表与正文有不同的，以比选申请人须知前附表为准。</w:t>
      </w:r>
    </w:p>
    <w:p>
      <w:pPr>
        <w:spacing w:line="360" w:lineRule="auto"/>
        <w:jc w:val="left"/>
        <w:rPr>
          <w:rFonts w:asciiTheme="majorEastAsia" w:hAnsiTheme="majorEastAsia" w:eastAsiaTheme="majorEastAsia"/>
          <w:b/>
        </w:rPr>
      </w:pPr>
      <w:r>
        <w:rPr>
          <w:rFonts w:asciiTheme="majorEastAsia" w:hAnsiTheme="majorEastAsia" w:eastAsiaTheme="majorEastAsia"/>
          <w:b/>
        </w:rPr>
        <w:br w:type="page"/>
      </w:r>
    </w:p>
    <w:bookmarkEnd w:id="22"/>
    <w:bookmarkEnd w:id="23"/>
    <w:bookmarkEnd w:id="24"/>
    <w:p>
      <w:pPr>
        <w:pStyle w:val="4"/>
        <w:rPr>
          <w:rFonts w:asciiTheme="majorEastAsia" w:hAnsiTheme="majorEastAsia" w:eastAsiaTheme="majorEastAsia"/>
          <w:sz w:val="22"/>
          <w:szCs w:val="22"/>
        </w:rPr>
      </w:pPr>
      <w:bookmarkStart w:id="25" w:name="_Toc4151"/>
      <w:bookmarkStart w:id="26" w:name="_Toc44433298"/>
      <w:bookmarkStart w:id="27" w:name="_Toc44420101"/>
      <w:bookmarkStart w:id="28" w:name="_Toc14524559"/>
      <w:bookmarkStart w:id="29" w:name="_Toc12731756"/>
      <w:bookmarkStart w:id="30" w:name="_Toc12731219"/>
      <w:bookmarkStart w:id="31" w:name="_Toc12727412"/>
      <w:bookmarkStart w:id="32" w:name="_Toc2083213"/>
      <w:bookmarkStart w:id="33" w:name="_Toc200513198"/>
      <w:r>
        <w:rPr>
          <w:rFonts w:asciiTheme="majorEastAsia" w:hAnsiTheme="majorEastAsia" w:eastAsiaTheme="majorEastAsia"/>
          <w:sz w:val="22"/>
          <w:szCs w:val="22"/>
        </w:rPr>
        <w:t>1.</w:t>
      </w:r>
      <w:r>
        <w:rPr>
          <w:rFonts w:hint="eastAsia" w:cs="宋体" w:asciiTheme="majorEastAsia" w:hAnsiTheme="majorEastAsia" w:eastAsiaTheme="majorEastAsia"/>
          <w:sz w:val="22"/>
          <w:szCs w:val="22"/>
        </w:rPr>
        <w:t>总则</w:t>
      </w:r>
      <w:bookmarkEnd w:id="25"/>
      <w:bookmarkEnd w:id="26"/>
      <w:bookmarkEnd w:id="27"/>
      <w:bookmarkEnd w:id="28"/>
      <w:bookmarkEnd w:id="29"/>
      <w:bookmarkEnd w:id="30"/>
      <w:bookmarkEnd w:id="31"/>
      <w:bookmarkEnd w:id="32"/>
    </w:p>
    <w:p>
      <w:pPr>
        <w:pStyle w:val="5"/>
        <w:spacing w:before="0" w:line="360" w:lineRule="auto"/>
        <w:rPr>
          <w:rFonts w:asciiTheme="majorEastAsia" w:hAnsiTheme="majorEastAsia" w:eastAsiaTheme="majorEastAsia"/>
          <w:sz w:val="22"/>
          <w:szCs w:val="22"/>
        </w:rPr>
      </w:pPr>
      <w:bookmarkStart w:id="34" w:name="_Toc7207"/>
      <w:bookmarkStart w:id="35" w:name="_Toc44420102"/>
      <w:bookmarkStart w:id="36" w:name="_Toc44433299"/>
      <w:r>
        <w:rPr>
          <w:rFonts w:asciiTheme="majorEastAsia" w:hAnsiTheme="majorEastAsia" w:eastAsiaTheme="majorEastAsia"/>
          <w:sz w:val="22"/>
          <w:szCs w:val="22"/>
        </w:rPr>
        <w:t xml:space="preserve">1.1  </w:t>
      </w:r>
      <w:r>
        <w:rPr>
          <w:rFonts w:hint="eastAsia" w:cs="宋体" w:asciiTheme="majorEastAsia" w:hAnsiTheme="majorEastAsia" w:eastAsiaTheme="majorEastAsia"/>
          <w:sz w:val="22"/>
          <w:szCs w:val="22"/>
        </w:rPr>
        <w:t>项目概况</w:t>
      </w:r>
      <w:bookmarkEnd w:id="34"/>
      <w:bookmarkEnd w:id="35"/>
      <w:bookmarkEnd w:id="36"/>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1.1.1  </w:t>
      </w:r>
      <w:r>
        <w:rPr>
          <w:rFonts w:hint="eastAsia" w:asciiTheme="majorEastAsia" w:hAnsiTheme="majorEastAsia" w:eastAsiaTheme="majorEastAsia"/>
          <w:sz w:val="22"/>
          <w:szCs w:val="22"/>
        </w:rPr>
        <w:t>参照《中华人民共和国招标投标法》等有关法律、法规和规章的规定，本比选项目已具备比选条件，现对本项目进行比选。</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1.1.2  </w:t>
      </w:r>
      <w:r>
        <w:rPr>
          <w:rFonts w:hint="eastAsia" w:asciiTheme="majorEastAsia" w:hAnsiTheme="majorEastAsia" w:eastAsiaTheme="majorEastAsia"/>
          <w:sz w:val="22"/>
          <w:szCs w:val="22"/>
        </w:rPr>
        <w:t>本比选项目比选人：见比选申请人须知前附表。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1.1.3  </w:t>
      </w:r>
      <w:r>
        <w:rPr>
          <w:rFonts w:hint="eastAsia" w:asciiTheme="majorEastAsia" w:hAnsiTheme="majorEastAsia" w:eastAsiaTheme="majorEastAsia"/>
          <w:sz w:val="22"/>
          <w:szCs w:val="22"/>
        </w:rPr>
        <w:t>本比选项目招标代理机构：见比选申请人须知前附表。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1.1.4  </w:t>
      </w:r>
      <w:r>
        <w:rPr>
          <w:rFonts w:hint="eastAsia" w:asciiTheme="majorEastAsia" w:hAnsiTheme="majorEastAsia" w:eastAsiaTheme="majorEastAsia"/>
          <w:sz w:val="22"/>
          <w:szCs w:val="22"/>
        </w:rPr>
        <w:t>本比选项目名称：见比选申请人须知前附表。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1.1.5  </w:t>
      </w:r>
      <w:r>
        <w:rPr>
          <w:rFonts w:hint="eastAsia" w:asciiTheme="majorEastAsia" w:hAnsiTheme="majorEastAsia" w:eastAsiaTheme="majorEastAsia"/>
          <w:sz w:val="22"/>
          <w:szCs w:val="22"/>
        </w:rPr>
        <w:t>本比选项目建设地点：见比选申请人须知前附表。</w:t>
      </w:r>
    </w:p>
    <w:p>
      <w:pPr>
        <w:pStyle w:val="5"/>
        <w:spacing w:before="0" w:line="360" w:lineRule="auto"/>
        <w:rPr>
          <w:rFonts w:cs="Calibri" w:asciiTheme="majorEastAsia" w:hAnsiTheme="majorEastAsia" w:eastAsiaTheme="majorEastAsia"/>
          <w:sz w:val="22"/>
          <w:szCs w:val="22"/>
        </w:rPr>
      </w:pPr>
      <w:bookmarkStart w:id="37" w:name="_Toc21791"/>
      <w:bookmarkStart w:id="38" w:name="_Toc44433300"/>
      <w:bookmarkStart w:id="39" w:name="_Toc44420103"/>
      <w:r>
        <w:rPr>
          <w:rFonts w:asciiTheme="majorEastAsia" w:hAnsiTheme="majorEastAsia" w:eastAsiaTheme="majorEastAsia"/>
          <w:sz w:val="22"/>
          <w:szCs w:val="22"/>
        </w:rPr>
        <w:t xml:space="preserve">1.2  </w:t>
      </w:r>
      <w:r>
        <w:rPr>
          <w:rFonts w:hint="eastAsia" w:cs="宋体" w:asciiTheme="majorEastAsia" w:hAnsiTheme="majorEastAsia" w:eastAsiaTheme="majorEastAsia"/>
          <w:sz w:val="22"/>
          <w:szCs w:val="22"/>
        </w:rPr>
        <w:t>资金来源和落实情况</w:t>
      </w:r>
      <w:bookmarkEnd w:id="37"/>
      <w:bookmarkEnd w:id="38"/>
      <w:bookmarkEnd w:id="39"/>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1.2.1  </w:t>
      </w:r>
      <w:r>
        <w:rPr>
          <w:rFonts w:hint="eastAsia" w:asciiTheme="majorEastAsia" w:hAnsiTheme="majorEastAsia" w:eastAsiaTheme="majorEastAsia"/>
          <w:sz w:val="22"/>
          <w:szCs w:val="22"/>
        </w:rPr>
        <w:t>本比选项目的资金来源：见比选申请人须知前附表。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1.2.2  </w:t>
      </w:r>
      <w:r>
        <w:rPr>
          <w:rFonts w:hint="eastAsia" w:asciiTheme="majorEastAsia" w:hAnsiTheme="majorEastAsia" w:eastAsiaTheme="majorEastAsia"/>
          <w:sz w:val="22"/>
          <w:szCs w:val="22"/>
        </w:rPr>
        <w:t>本比选项目的出资比例：见比选申请人须知前附表。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1.2.3  </w:t>
      </w:r>
      <w:r>
        <w:rPr>
          <w:rFonts w:hint="eastAsia" w:asciiTheme="majorEastAsia" w:hAnsiTheme="majorEastAsia" w:eastAsiaTheme="majorEastAsia"/>
          <w:sz w:val="22"/>
          <w:szCs w:val="22"/>
        </w:rPr>
        <w:t>本比选项目的资金落实情况：见比选申请人须知前附表。</w:t>
      </w:r>
    </w:p>
    <w:p>
      <w:pPr>
        <w:pStyle w:val="5"/>
        <w:spacing w:before="0" w:line="360" w:lineRule="auto"/>
        <w:rPr>
          <w:rFonts w:asciiTheme="majorEastAsia" w:hAnsiTheme="majorEastAsia" w:eastAsiaTheme="majorEastAsia"/>
          <w:sz w:val="22"/>
          <w:szCs w:val="22"/>
        </w:rPr>
      </w:pPr>
      <w:bookmarkStart w:id="40" w:name="_Toc31313"/>
      <w:bookmarkStart w:id="41" w:name="_Toc44433301"/>
      <w:bookmarkStart w:id="42" w:name="_Toc44420104"/>
      <w:r>
        <w:rPr>
          <w:rFonts w:asciiTheme="majorEastAsia" w:hAnsiTheme="majorEastAsia" w:eastAsiaTheme="majorEastAsia"/>
          <w:sz w:val="22"/>
          <w:szCs w:val="22"/>
        </w:rPr>
        <w:t xml:space="preserve">1.3  </w:t>
      </w:r>
      <w:r>
        <w:rPr>
          <w:rFonts w:hint="eastAsia" w:cs="宋体" w:asciiTheme="majorEastAsia" w:hAnsiTheme="majorEastAsia" w:eastAsiaTheme="majorEastAsia"/>
          <w:sz w:val="22"/>
          <w:szCs w:val="22"/>
        </w:rPr>
        <w:t>比选范围、计划工期和质量要求</w:t>
      </w:r>
      <w:bookmarkEnd w:id="40"/>
      <w:bookmarkEnd w:id="41"/>
      <w:bookmarkEnd w:id="42"/>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1.3.1  </w:t>
      </w:r>
      <w:r>
        <w:rPr>
          <w:rFonts w:hint="eastAsia" w:asciiTheme="majorEastAsia" w:hAnsiTheme="majorEastAsia" w:eastAsiaTheme="majorEastAsia"/>
          <w:sz w:val="22"/>
          <w:szCs w:val="22"/>
        </w:rPr>
        <w:t>本次比选范围：见比选申请人须知前附表。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1.3.2  </w:t>
      </w:r>
      <w:r>
        <w:rPr>
          <w:rFonts w:hint="eastAsia" w:asciiTheme="majorEastAsia" w:hAnsiTheme="majorEastAsia" w:eastAsiaTheme="majorEastAsia"/>
          <w:sz w:val="22"/>
          <w:szCs w:val="22"/>
        </w:rPr>
        <w:t>本比选项目的计划工期：见比选申请人须知前附表。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1.3.3  </w:t>
      </w:r>
      <w:r>
        <w:rPr>
          <w:rFonts w:hint="eastAsia" w:asciiTheme="majorEastAsia" w:hAnsiTheme="majorEastAsia" w:eastAsiaTheme="majorEastAsia"/>
          <w:sz w:val="22"/>
          <w:szCs w:val="22"/>
        </w:rPr>
        <w:t>本比选项目的质量要求：见比选申请人须知前附表。</w:t>
      </w:r>
    </w:p>
    <w:p>
      <w:pPr>
        <w:pStyle w:val="5"/>
        <w:spacing w:before="0" w:line="360" w:lineRule="auto"/>
        <w:rPr>
          <w:rFonts w:asciiTheme="majorEastAsia" w:hAnsiTheme="majorEastAsia" w:eastAsiaTheme="majorEastAsia"/>
          <w:sz w:val="22"/>
          <w:szCs w:val="22"/>
        </w:rPr>
      </w:pPr>
      <w:bookmarkStart w:id="43" w:name="_Toc10010"/>
      <w:bookmarkStart w:id="44" w:name="_Toc44433302"/>
      <w:bookmarkStart w:id="45" w:name="_Toc44420105"/>
      <w:r>
        <w:rPr>
          <w:rFonts w:asciiTheme="majorEastAsia" w:hAnsiTheme="majorEastAsia" w:eastAsiaTheme="majorEastAsia"/>
          <w:sz w:val="22"/>
          <w:szCs w:val="22"/>
        </w:rPr>
        <w:t xml:space="preserve">1.4  </w:t>
      </w:r>
      <w:r>
        <w:rPr>
          <w:rFonts w:hint="eastAsia" w:cs="宋体" w:asciiTheme="majorEastAsia" w:hAnsiTheme="majorEastAsia" w:eastAsiaTheme="majorEastAsia"/>
          <w:sz w:val="22"/>
          <w:szCs w:val="22"/>
        </w:rPr>
        <w:t>比选申请人资格要求</w:t>
      </w:r>
      <w:bookmarkEnd w:id="43"/>
      <w:bookmarkEnd w:id="44"/>
      <w:bookmarkEnd w:id="45"/>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1.4.1 </w:t>
      </w:r>
      <w:r>
        <w:rPr>
          <w:rFonts w:hint="eastAsia" w:asciiTheme="majorEastAsia" w:hAnsiTheme="majorEastAsia" w:eastAsiaTheme="majorEastAsia"/>
          <w:sz w:val="22"/>
          <w:szCs w:val="22"/>
        </w:rPr>
        <w:t>比选申请人应具备承担本比选项目的资质条件、能力和信誉：见比选申请人须知前附表；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1.4.2  </w:t>
      </w:r>
      <w:r>
        <w:rPr>
          <w:rFonts w:hint="eastAsia" w:asciiTheme="majorEastAsia" w:hAnsiTheme="majorEastAsia" w:eastAsiaTheme="majorEastAsia"/>
          <w:sz w:val="22"/>
          <w:szCs w:val="22"/>
        </w:rPr>
        <w:t>比选申请人须知前附表规定接受联合体竞选的，除应符合本章第</w:t>
      </w:r>
      <w:r>
        <w:rPr>
          <w:rFonts w:asciiTheme="majorEastAsia" w:hAnsiTheme="majorEastAsia" w:eastAsiaTheme="majorEastAsia"/>
          <w:sz w:val="22"/>
          <w:szCs w:val="22"/>
        </w:rPr>
        <w:t>1.4.1</w:t>
      </w:r>
      <w:r>
        <w:rPr>
          <w:rFonts w:hint="eastAsia" w:asciiTheme="majorEastAsia" w:hAnsiTheme="majorEastAsia" w:eastAsiaTheme="majorEastAsia"/>
          <w:sz w:val="22"/>
          <w:szCs w:val="22"/>
        </w:rPr>
        <w:t>项和比选申请人须知前附表的要求外，还应遵守以下规定：</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）联合体各方应按比选文件提供的格式签订联合体协议书，明确联合体牵头人和各方权利义务；</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）由同一专业的单位组成的联合体，按照资质等级较低的单位确定资质等级；</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）联合体各方不得再以自己名义单独或参加其他联合体在同一标段中竞选。</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1.4.3  </w:t>
      </w:r>
      <w:r>
        <w:rPr>
          <w:rFonts w:hint="eastAsia" w:asciiTheme="majorEastAsia" w:hAnsiTheme="majorEastAsia" w:eastAsiaTheme="majorEastAsia"/>
          <w:sz w:val="22"/>
          <w:szCs w:val="22"/>
        </w:rPr>
        <w:t>比选申请人不得存在下列情形之一：</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）与比选人存在利害关系可能影响招标公正性的法人、其他组织或者个人；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）为本标段前期准备提供设计或咨询服务的，但设计施工总承包的除外；</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）为本标段的监理人；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）为本标段的代建人；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）为本标段提供招标代理服务的；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）与本标段的监理人或代建人或招标代理机构同为一个法定代表人的；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7</w:t>
      </w:r>
      <w:r>
        <w:rPr>
          <w:rFonts w:hint="eastAsia" w:asciiTheme="majorEastAsia" w:hAnsiTheme="majorEastAsia" w:eastAsiaTheme="majorEastAsia"/>
          <w:sz w:val="22"/>
          <w:szCs w:val="22"/>
        </w:rPr>
        <w:t>）与本标段的监理人或代建人或招标代理机构相互控股或参股的；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8</w:t>
      </w:r>
      <w:r>
        <w:rPr>
          <w:rFonts w:hint="eastAsia" w:asciiTheme="majorEastAsia" w:hAnsiTheme="majorEastAsia" w:eastAsiaTheme="majorEastAsia"/>
          <w:sz w:val="22"/>
          <w:szCs w:val="22"/>
        </w:rPr>
        <w:t>）与本标段的监理人或代建人或招标代理机构相互任职或工作的；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9</w:t>
      </w:r>
      <w:r>
        <w:rPr>
          <w:rFonts w:hint="eastAsia" w:asciiTheme="majorEastAsia" w:hAnsiTheme="majorEastAsia" w:eastAsiaTheme="majorEastAsia"/>
          <w:sz w:val="22"/>
          <w:szCs w:val="22"/>
        </w:rPr>
        <w:t>）被责令停业的；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10</w:t>
      </w:r>
      <w:r>
        <w:rPr>
          <w:rFonts w:hint="eastAsia" w:asciiTheme="majorEastAsia" w:hAnsiTheme="majorEastAsia" w:eastAsiaTheme="majorEastAsia"/>
          <w:sz w:val="22"/>
          <w:szCs w:val="22"/>
        </w:rPr>
        <w:t>）被暂停或取消投标资格的；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11</w:t>
      </w:r>
      <w:r>
        <w:rPr>
          <w:rFonts w:hint="eastAsia" w:asciiTheme="majorEastAsia" w:hAnsiTheme="majorEastAsia" w:eastAsiaTheme="majorEastAsia"/>
          <w:sz w:val="22"/>
          <w:szCs w:val="22"/>
        </w:rPr>
        <w:t>）财产被接管或冻结的；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12</w:t>
      </w:r>
      <w:r>
        <w:rPr>
          <w:rFonts w:hint="eastAsia" w:asciiTheme="majorEastAsia" w:hAnsiTheme="majorEastAsia" w:eastAsiaTheme="majorEastAsia"/>
          <w:sz w:val="22"/>
          <w:szCs w:val="22"/>
        </w:rPr>
        <w:t>）单位负责人为同一人或者存在控股、管理关系的不同单位，在同一标段中同时竞选。</w:t>
      </w:r>
    </w:p>
    <w:p>
      <w:pPr>
        <w:pStyle w:val="5"/>
        <w:spacing w:before="0" w:line="360" w:lineRule="auto"/>
        <w:rPr>
          <w:rFonts w:asciiTheme="majorEastAsia" w:hAnsiTheme="majorEastAsia" w:eastAsiaTheme="majorEastAsia"/>
          <w:sz w:val="22"/>
          <w:szCs w:val="22"/>
        </w:rPr>
      </w:pPr>
      <w:bookmarkStart w:id="46" w:name="_Toc44420106"/>
      <w:bookmarkStart w:id="47" w:name="_Toc26006"/>
      <w:bookmarkStart w:id="48" w:name="_Toc44433303"/>
      <w:r>
        <w:rPr>
          <w:rFonts w:asciiTheme="majorEastAsia" w:hAnsiTheme="majorEastAsia" w:eastAsiaTheme="majorEastAsia"/>
          <w:sz w:val="22"/>
          <w:szCs w:val="22"/>
        </w:rPr>
        <w:t xml:space="preserve">1.5  </w:t>
      </w:r>
      <w:r>
        <w:rPr>
          <w:rFonts w:hint="eastAsia" w:cs="宋体" w:asciiTheme="majorEastAsia" w:hAnsiTheme="majorEastAsia" w:eastAsiaTheme="majorEastAsia"/>
          <w:sz w:val="22"/>
          <w:szCs w:val="22"/>
        </w:rPr>
        <w:t>费用承担</w:t>
      </w:r>
      <w:bookmarkEnd w:id="46"/>
      <w:bookmarkEnd w:id="47"/>
      <w:bookmarkEnd w:id="48"/>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比选申请人准备和参加竞选活动发生的费用自理。</w:t>
      </w:r>
    </w:p>
    <w:p>
      <w:pPr>
        <w:pStyle w:val="5"/>
        <w:spacing w:before="0" w:line="360" w:lineRule="auto"/>
        <w:rPr>
          <w:rFonts w:asciiTheme="majorEastAsia" w:hAnsiTheme="majorEastAsia" w:eastAsiaTheme="majorEastAsia"/>
          <w:sz w:val="22"/>
          <w:szCs w:val="22"/>
        </w:rPr>
      </w:pPr>
      <w:bookmarkStart w:id="49" w:name="_Toc19917"/>
      <w:bookmarkStart w:id="50" w:name="_Toc44433304"/>
      <w:bookmarkStart w:id="51" w:name="_Toc44420107"/>
      <w:r>
        <w:rPr>
          <w:rFonts w:asciiTheme="majorEastAsia" w:hAnsiTheme="majorEastAsia" w:eastAsiaTheme="majorEastAsia"/>
          <w:sz w:val="22"/>
          <w:szCs w:val="22"/>
        </w:rPr>
        <w:t xml:space="preserve">1.6  </w:t>
      </w:r>
      <w:r>
        <w:rPr>
          <w:rFonts w:hint="eastAsia" w:cs="宋体" w:asciiTheme="majorEastAsia" w:hAnsiTheme="majorEastAsia" w:eastAsiaTheme="majorEastAsia"/>
          <w:sz w:val="22"/>
          <w:szCs w:val="22"/>
        </w:rPr>
        <w:t>保密</w:t>
      </w:r>
      <w:bookmarkEnd w:id="49"/>
      <w:bookmarkEnd w:id="50"/>
      <w:bookmarkEnd w:id="5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参与竞选活动的各方应对比选文件和比选申请文件中的商业和技术等秘密保密，违者应对由此造成的后果承担法律责任。</w:t>
      </w:r>
    </w:p>
    <w:p>
      <w:pPr>
        <w:pStyle w:val="5"/>
        <w:spacing w:before="0" w:line="360" w:lineRule="auto"/>
        <w:rPr>
          <w:rFonts w:asciiTheme="majorEastAsia" w:hAnsiTheme="majorEastAsia" w:eastAsiaTheme="majorEastAsia"/>
          <w:sz w:val="22"/>
          <w:szCs w:val="22"/>
        </w:rPr>
      </w:pPr>
      <w:bookmarkStart w:id="52" w:name="_Toc44420108"/>
      <w:bookmarkStart w:id="53" w:name="_Toc5014"/>
      <w:bookmarkStart w:id="54" w:name="_Toc44433305"/>
      <w:r>
        <w:rPr>
          <w:rFonts w:asciiTheme="majorEastAsia" w:hAnsiTheme="majorEastAsia" w:eastAsiaTheme="majorEastAsia"/>
          <w:sz w:val="22"/>
          <w:szCs w:val="22"/>
        </w:rPr>
        <w:t xml:space="preserve">1.7  </w:t>
      </w:r>
      <w:r>
        <w:rPr>
          <w:rFonts w:hint="eastAsia" w:cs="宋体" w:asciiTheme="majorEastAsia" w:hAnsiTheme="majorEastAsia" w:eastAsiaTheme="majorEastAsia"/>
          <w:sz w:val="22"/>
          <w:szCs w:val="22"/>
        </w:rPr>
        <w:t>语言文字</w:t>
      </w:r>
      <w:bookmarkEnd w:id="52"/>
      <w:bookmarkEnd w:id="53"/>
      <w:bookmarkEnd w:id="54"/>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除专用术语外，与招标投标有关的语言均使用中文。必要时专用术语应附有中文注释。</w:t>
      </w:r>
    </w:p>
    <w:p>
      <w:pPr>
        <w:pStyle w:val="5"/>
        <w:spacing w:before="0" w:line="360" w:lineRule="auto"/>
        <w:rPr>
          <w:rFonts w:asciiTheme="majorEastAsia" w:hAnsiTheme="majorEastAsia" w:eastAsiaTheme="majorEastAsia"/>
          <w:sz w:val="22"/>
          <w:szCs w:val="22"/>
        </w:rPr>
      </w:pPr>
      <w:bookmarkStart w:id="55" w:name="_Toc19106"/>
      <w:bookmarkStart w:id="56" w:name="_Toc44420109"/>
      <w:bookmarkStart w:id="57" w:name="_Toc44433306"/>
      <w:r>
        <w:rPr>
          <w:rFonts w:asciiTheme="majorEastAsia" w:hAnsiTheme="majorEastAsia" w:eastAsiaTheme="majorEastAsia"/>
          <w:sz w:val="22"/>
          <w:szCs w:val="22"/>
        </w:rPr>
        <w:t xml:space="preserve">1.8  </w:t>
      </w:r>
      <w:r>
        <w:rPr>
          <w:rFonts w:hint="eastAsia" w:cs="宋体" w:asciiTheme="majorEastAsia" w:hAnsiTheme="majorEastAsia" w:eastAsiaTheme="majorEastAsia"/>
          <w:sz w:val="22"/>
          <w:szCs w:val="22"/>
        </w:rPr>
        <w:t>计量单位</w:t>
      </w:r>
      <w:bookmarkEnd w:id="55"/>
      <w:bookmarkEnd w:id="56"/>
      <w:bookmarkEnd w:id="57"/>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所有计量均采用中华人民共和国法定计量单位。</w:t>
      </w:r>
    </w:p>
    <w:p>
      <w:pPr>
        <w:pStyle w:val="5"/>
        <w:spacing w:before="0" w:line="360" w:lineRule="auto"/>
        <w:rPr>
          <w:rFonts w:asciiTheme="majorEastAsia" w:hAnsiTheme="majorEastAsia" w:eastAsiaTheme="majorEastAsia"/>
          <w:sz w:val="22"/>
          <w:szCs w:val="22"/>
        </w:rPr>
      </w:pPr>
      <w:bookmarkStart w:id="58" w:name="_Toc44420110"/>
      <w:bookmarkStart w:id="59" w:name="_Toc16694"/>
      <w:bookmarkStart w:id="60" w:name="_Toc44433307"/>
      <w:r>
        <w:rPr>
          <w:rFonts w:asciiTheme="majorEastAsia" w:hAnsiTheme="majorEastAsia" w:eastAsiaTheme="majorEastAsia"/>
          <w:sz w:val="22"/>
          <w:szCs w:val="22"/>
        </w:rPr>
        <w:t xml:space="preserve">1.9  </w:t>
      </w:r>
      <w:r>
        <w:rPr>
          <w:rFonts w:hint="eastAsia" w:cs="宋体" w:asciiTheme="majorEastAsia" w:hAnsiTheme="majorEastAsia" w:eastAsiaTheme="majorEastAsia"/>
          <w:sz w:val="22"/>
          <w:szCs w:val="22"/>
        </w:rPr>
        <w:t>踏勘现场</w:t>
      </w:r>
      <w:bookmarkEnd w:id="58"/>
      <w:bookmarkEnd w:id="59"/>
      <w:bookmarkEnd w:id="60"/>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1.9.1  </w:t>
      </w:r>
      <w:r>
        <w:rPr>
          <w:rFonts w:hint="eastAsia" w:asciiTheme="majorEastAsia" w:hAnsiTheme="majorEastAsia" w:eastAsiaTheme="majorEastAsia"/>
          <w:sz w:val="22"/>
          <w:szCs w:val="22"/>
        </w:rPr>
        <w:t>比选申请人须知前附表规定组织踏勘现场的，比选人按比选申请人须知前附表规定的时间、</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地点组织比选申请人踏勘项目现场。</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1.9.2  </w:t>
      </w:r>
      <w:r>
        <w:rPr>
          <w:rFonts w:hint="eastAsia" w:asciiTheme="majorEastAsia" w:hAnsiTheme="majorEastAsia" w:eastAsiaTheme="majorEastAsia"/>
          <w:sz w:val="22"/>
          <w:szCs w:val="22"/>
        </w:rPr>
        <w:t>比选申请人踏勘现场发生的费用自理。</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1.9.3  </w:t>
      </w:r>
      <w:r>
        <w:rPr>
          <w:rFonts w:hint="eastAsia" w:asciiTheme="majorEastAsia" w:hAnsiTheme="majorEastAsia" w:eastAsiaTheme="majorEastAsia"/>
          <w:sz w:val="22"/>
          <w:szCs w:val="22"/>
        </w:rPr>
        <w:t>除比选人的原因外，比选申请人自行负责在踏勘现场中所发生的人员伤亡和财产损失。</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1.9.4  </w:t>
      </w:r>
      <w:r>
        <w:rPr>
          <w:rFonts w:hint="eastAsia" w:asciiTheme="majorEastAsia" w:hAnsiTheme="majorEastAsia" w:eastAsiaTheme="majorEastAsia"/>
          <w:sz w:val="22"/>
          <w:szCs w:val="22"/>
        </w:rPr>
        <w:t>比选人在踏勘现场中介绍的工程场地和相关的周边环境情况，供比选申请人在编制投</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标文件时参考，比选人不对比选申请人据此做出的判断和决策负责。</w:t>
      </w:r>
    </w:p>
    <w:p>
      <w:pPr>
        <w:pStyle w:val="5"/>
        <w:spacing w:before="0" w:line="360" w:lineRule="auto"/>
        <w:rPr>
          <w:rFonts w:asciiTheme="majorEastAsia" w:hAnsiTheme="majorEastAsia" w:eastAsiaTheme="majorEastAsia"/>
          <w:sz w:val="22"/>
          <w:szCs w:val="22"/>
        </w:rPr>
      </w:pPr>
      <w:bookmarkStart w:id="61" w:name="_Toc44420111"/>
      <w:bookmarkStart w:id="62" w:name="_Toc11142"/>
      <w:bookmarkStart w:id="63" w:name="_Toc44433308"/>
      <w:r>
        <w:rPr>
          <w:rFonts w:asciiTheme="majorEastAsia" w:hAnsiTheme="majorEastAsia" w:eastAsiaTheme="majorEastAsia"/>
          <w:sz w:val="22"/>
          <w:szCs w:val="22"/>
        </w:rPr>
        <w:t xml:space="preserve">1.10  </w:t>
      </w:r>
      <w:r>
        <w:rPr>
          <w:rFonts w:hint="eastAsia" w:cs="宋体" w:asciiTheme="majorEastAsia" w:hAnsiTheme="majorEastAsia" w:eastAsiaTheme="majorEastAsia"/>
          <w:sz w:val="22"/>
          <w:szCs w:val="22"/>
        </w:rPr>
        <w:t>比选申请预备会</w:t>
      </w:r>
      <w:bookmarkEnd w:id="61"/>
      <w:bookmarkEnd w:id="62"/>
      <w:bookmarkEnd w:id="63"/>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1.10.1  </w:t>
      </w:r>
      <w:r>
        <w:rPr>
          <w:rFonts w:hint="eastAsia" w:asciiTheme="majorEastAsia" w:hAnsiTheme="majorEastAsia" w:eastAsiaTheme="majorEastAsia"/>
          <w:sz w:val="22"/>
          <w:szCs w:val="22"/>
        </w:rPr>
        <w:t>比选申请人须知前附表规定召开比选申请预备会的，比选人按比选申请人须知前附表规定的时间和地点召开比选申请预备会，澄清比选申请人提出的问题。</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1.10.2  </w:t>
      </w:r>
      <w:r>
        <w:rPr>
          <w:rFonts w:hint="eastAsia" w:asciiTheme="majorEastAsia" w:hAnsiTheme="majorEastAsia" w:eastAsiaTheme="majorEastAsia"/>
          <w:sz w:val="22"/>
          <w:szCs w:val="22"/>
        </w:rPr>
        <w:t>比选申请人应在比选申请人须知前附表规定的时间前，以书面形式将提出的问题送达比选人，以便比选人在会议期间澄清。</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1.10.3  </w:t>
      </w:r>
      <w:r>
        <w:rPr>
          <w:rFonts w:hint="eastAsia" w:asciiTheme="majorEastAsia" w:hAnsiTheme="majorEastAsia" w:eastAsiaTheme="majorEastAsia"/>
          <w:sz w:val="22"/>
          <w:szCs w:val="22"/>
        </w:rPr>
        <w:t>比选申请预备会后，比选人在比选申请人须知前附表规定的时间内，将对比选申请人所提问题的澄清，以书面方式通知所有购买比选文件的比选申请人。该澄清内容为比选文件的组成部分。</w:t>
      </w:r>
    </w:p>
    <w:p>
      <w:pPr>
        <w:pStyle w:val="5"/>
        <w:spacing w:before="0" w:line="360" w:lineRule="auto"/>
        <w:rPr>
          <w:rFonts w:asciiTheme="majorEastAsia" w:hAnsiTheme="majorEastAsia" w:eastAsiaTheme="majorEastAsia"/>
          <w:sz w:val="22"/>
          <w:szCs w:val="22"/>
        </w:rPr>
      </w:pPr>
      <w:bookmarkStart w:id="64" w:name="_Toc24288"/>
      <w:bookmarkStart w:id="65" w:name="_Toc44433309"/>
      <w:bookmarkStart w:id="66" w:name="_Toc44420112"/>
      <w:r>
        <w:rPr>
          <w:rFonts w:asciiTheme="majorEastAsia" w:hAnsiTheme="majorEastAsia" w:eastAsiaTheme="majorEastAsia"/>
          <w:sz w:val="22"/>
          <w:szCs w:val="22"/>
        </w:rPr>
        <w:t xml:space="preserve">1.11  </w:t>
      </w:r>
      <w:r>
        <w:rPr>
          <w:rFonts w:hint="eastAsia" w:cs="宋体" w:asciiTheme="majorEastAsia" w:hAnsiTheme="majorEastAsia" w:eastAsiaTheme="majorEastAsia"/>
          <w:sz w:val="22"/>
          <w:szCs w:val="22"/>
        </w:rPr>
        <w:t>分包</w:t>
      </w:r>
      <w:bookmarkEnd w:id="64"/>
      <w:bookmarkEnd w:id="65"/>
      <w:bookmarkEnd w:id="66"/>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比选申请人拟在中选后将中选项目的部分非主体、非关键性工作进行分包的，应符合比选申请人须知前附表规定的分包内容、分包金额和接受分包的第三人资质要求等限制性条件。</w:t>
      </w:r>
    </w:p>
    <w:p>
      <w:pPr>
        <w:pStyle w:val="5"/>
        <w:spacing w:before="0" w:line="360" w:lineRule="auto"/>
        <w:rPr>
          <w:rFonts w:asciiTheme="majorEastAsia" w:hAnsiTheme="majorEastAsia" w:eastAsiaTheme="majorEastAsia"/>
          <w:sz w:val="22"/>
          <w:szCs w:val="22"/>
        </w:rPr>
      </w:pPr>
      <w:bookmarkStart w:id="67" w:name="_Toc6306"/>
      <w:bookmarkStart w:id="68" w:name="_Toc44433310"/>
      <w:bookmarkStart w:id="69" w:name="_Toc44420113"/>
      <w:r>
        <w:rPr>
          <w:rFonts w:asciiTheme="majorEastAsia" w:hAnsiTheme="majorEastAsia" w:eastAsiaTheme="majorEastAsia"/>
          <w:sz w:val="22"/>
          <w:szCs w:val="22"/>
        </w:rPr>
        <w:t xml:space="preserve">1.12  </w:t>
      </w:r>
      <w:r>
        <w:rPr>
          <w:rFonts w:hint="eastAsia" w:cs="宋体" w:asciiTheme="majorEastAsia" w:hAnsiTheme="majorEastAsia" w:eastAsiaTheme="majorEastAsia"/>
          <w:sz w:val="22"/>
          <w:szCs w:val="22"/>
        </w:rPr>
        <w:t>偏离</w:t>
      </w:r>
      <w:bookmarkEnd w:id="67"/>
      <w:bookmarkEnd w:id="68"/>
      <w:bookmarkEnd w:id="69"/>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比选申请人须知前附表允许比选申请文件偏离比选文件某些要求的，偏离应当符合比选文件规定</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的偏离范围和幅度。</w:t>
      </w:r>
    </w:p>
    <w:p>
      <w:pPr>
        <w:pStyle w:val="4"/>
        <w:rPr>
          <w:rFonts w:asciiTheme="majorEastAsia" w:hAnsiTheme="majorEastAsia" w:eastAsiaTheme="majorEastAsia"/>
          <w:sz w:val="22"/>
          <w:szCs w:val="22"/>
        </w:rPr>
      </w:pPr>
      <w:bookmarkStart w:id="70" w:name="_Toc13248"/>
      <w:bookmarkEnd w:id="70"/>
      <w:bookmarkStart w:id="71" w:name="_Toc12255"/>
      <w:bookmarkStart w:id="72" w:name="_Toc44433311"/>
      <w:bookmarkStart w:id="73" w:name="_Toc12731757"/>
      <w:bookmarkStart w:id="74" w:name="_Toc14524560"/>
      <w:bookmarkStart w:id="75" w:name="_Toc12731220"/>
      <w:bookmarkStart w:id="76" w:name="_Toc2083214"/>
      <w:bookmarkStart w:id="77" w:name="_Toc44420114"/>
      <w:bookmarkStart w:id="78" w:name="_Toc12727413"/>
      <w:r>
        <w:rPr>
          <w:rFonts w:asciiTheme="majorEastAsia" w:hAnsiTheme="majorEastAsia" w:eastAsiaTheme="majorEastAsia"/>
          <w:sz w:val="22"/>
          <w:szCs w:val="22"/>
        </w:rPr>
        <w:t xml:space="preserve">2.  </w:t>
      </w:r>
      <w:r>
        <w:rPr>
          <w:rFonts w:hint="eastAsia" w:cs="宋体" w:asciiTheme="majorEastAsia" w:hAnsiTheme="majorEastAsia" w:eastAsiaTheme="majorEastAsia"/>
          <w:sz w:val="22"/>
          <w:szCs w:val="22"/>
        </w:rPr>
        <w:t>比选文件</w:t>
      </w:r>
      <w:bookmarkEnd w:id="71"/>
      <w:bookmarkEnd w:id="72"/>
      <w:bookmarkEnd w:id="73"/>
      <w:bookmarkEnd w:id="74"/>
      <w:bookmarkEnd w:id="75"/>
      <w:bookmarkEnd w:id="76"/>
      <w:bookmarkEnd w:id="77"/>
      <w:bookmarkEnd w:id="78"/>
    </w:p>
    <w:p>
      <w:pPr>
        <w:pStyle w:val="5"/>
        <w:spacing w:before="0" w:line="360" w:lineRule="auto"/>
        <w:rPr>
          <w:rFonts w:asciiTheme="majorEastAsia" w:hAnsiTheme="majorEastAsia" w:eastAsiaTheme="majorEastAsia"/>
          <w:sz w:val="22"/>
          <w:szCs w:val="22"/>
        </w:rPr>
      </w:pPr>
      <w:bookmarkStart w:id="79" w:name="_Toc7377"/>
      <w:bookmarkStart w:id="80" w:name="_Toc44433312"/>
      <w:bookmarkStart w:id="81" w:name="_Toc44420115"/>
      <w:r>
        <w:rPr>
          <w:rFonts w:asciiTheme="majorEastAsia" w:hAnsiTheme="majorEastAsia" w:eastAsiaTheme="majorEastAsia"/>
          <w:sz w:val="22"/>
          <w:szCs w:val="22"/>
        </w:rPr>
        <w:t xml:space="preserve">2.1  </w:t>
      </w:r>
      <w:r>
        <w:rPr>
          <w:rFonts w:hint="eastAsia" w:cs="宋体" w:asciiTheme="majorEastAsia" w:hAnsiTheme="majorEastAsia" w:eastAsiaTheme="majorEastAsia"/>
          <w:sz w:val="22"/>
          <w:szCs w:val="22"/>
        </w:rPr>
        <w:t>比选文件的组成</w:t>
      </w:r>
      <w:bookmarkEnd w:id="79"/>
      <w:bookmarkEnd w:id="80"/>
      <w:bookmarkEnd w:id="8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本比选文件包括：</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）比选申请邀请函；</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）比选申请人须知；</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）评审办法；</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）合同条款及格式；</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）工程量清单</w:t>
      </w:r>
      <w:r>
        <w:rPr>
          <w:rFonts w:hint="eastAsia" w:asciiTheme="majorEastAsia" w:hAnsiTheme="majorEastAsia" w:eastAsiaTheme="majorEastAsia"/>
          <w:sz w:val="22"/>
          <w:szCs w:val="22"/>
          <w:lang w:eastAsia="zh-CN"/>
        </w:rPr>
        <w:t>（</w:t>
      </w:r>
      <w:r>
        <w:rPr>
          <w:rFonts w:hint="eastAsia" w:asciiTheme="majorEastAsia" w:hAnsiTheme="majorEastAsia" w:eastAsiaTheme="majorEastAsia"/>
          <w:sz w:val="22"/>
          <w:szCs w:val="22"/>
          <w:lang w:val="en-US" w:eastAsia="zh-CN"/>
        </w:rPr>
        <w:t>无</w:t>
      </w:r>
      <w:r>
        <w:rPr>
          <w:rFonts w:hint="eastAsia" w:asciiTheme="majorEastAsia" w:hAnsiTheme="majorEastAsia" w:eastAsiaTheme="majorEastAsia"/>
          <w:sz w:val="22"/>
          <w:szCs w:val="22"/>
          <w:lang w:eastAsia="zh-CN"/>
        </w:rPr>
        <w:t>）</w:t>
      </w:r>
      <w:r>
        <w:rPr>
          <w:rFonts w:hint="eastAsia" w:asciiTheme="majorEastAsia" w:hAnsiTheme="majorEastAsia" w:eastAsiaTheme="majorEastAsia"/>
          <w:sz w:val="22"/>
          <w:szCs w:val="22"/>
        </w:rPr>
        <w:t>；</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）图纸；</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7</w:t>
      </w:r>
      <w:r>
        <w:rPr>
          <w:rFonts w:hint="eastAsia" w:asciiTheme="majorEastAsia" w:hAnsiTheme="majorEastAsia" w:eastAsiaTheme="majorEastAsia"/>
          <w:sz w:val="22"/>
          <w:szCs w:val="22"/>
        </w:rPr>
        <w:t>）技术标准和要求；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8</w:t>
      </w:r>
      <w:r>
        <w:rPr>
          <w:rFonts w:hint="eastAsia" w:asciiTheme="majorEastAsia" w:hAnsiTheme="majorEastAsia" w:eastAsiaTheme="majorEastAsia"/>
          <w:sz w:val="22"/>
          <w:szCs w:val="22"/>
        </w:rPr>
        <w:t>）比选申请文件格式；</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9</w:t>
      </w:r>
      <w:r>
        <w:rPr>
          <w:rFonts w:hint="eastAsia" w:asciiTheme="majorEastAsia" w:hAnsiTheme="majorEastAsia" w:eastAsiaTheme="majorEastAsia"/>
          <w:sz w:val="22"/>
          <w:szCs w:val="22"/>
        </w:rPr>
        <w:t>）比选申请人须知前附表规定的其他材料。</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根据本章第</w:t>
      </w:r>
      <w:r>
        <w:rPr>
          <w:rFonts w:asciiTheme="majorEastAsia" w:hAnsiTheme="majorEastAsia" w:eastAsiaTheme="majorEastAsia"/>
          <w:sz w:val="22"/>
          <w:szCs w:val="22"/>
        </w:rPr>
        <w:t>1.10</w:t>
      </w:r>
      <w:r>
        <w:rPr>
          <w:rFonts w:hint="eastAsia" w:asciiTheme="majorEastAsia" w:hAnsiTheme="majorEastAsia" w:eastAsiaTheme="majorEastAsia"/>
          <w:sz w:val="22"/>
          <w:szCs w:val="22"/>
        </w:rPr>
        <w:t>款、第</w:t>
      </w:r>
      <w:r>
        <w:rPr>
          <w:rFonts w:asciiTheme="majorEastAsia" w:hAnsiTheme="majorEastAsia" w:eastAsiaTheme="majorEastAsia"/>
          <w:sz w:val="22"/>
          <w:szCs w:val="22"/>
        </w:rPr>
        <w:t>2.2</w:t>
      </w:r>
      <w:r>
        <w:rPr>
          <w:rFonts w:hint="eastAsia" w:asciiTheme="majorEastAsia" w:hAnsiTheme="majorEastAsia" w:eastAsiaTheme="majorEastAsia"/>
          <w:sz w:val="22"/>
          <w:szCs w:val="22"/>
        </w:rPr>
        <w:t>款和第</w:t>
      </w:r>
      <w:r>
        <w:rPr>
          <w:rFonts w:asciiTheme="majorEastAsia" w:hAnsiTheme="majorEastAsia" w:eastAsiaTheme="majorEastAsia"/>
          <w:sz w:val="22"/>
          <w:szCs w:val="22"/>
        </w:rPr>
        <w:t>2.3</w:t>
      </w:r>
      <w:r>
        <w:rPr>
          <w:rFonts w:hint="eastAsia" w:asciiTheme="majorEastAsia" w:hAnsiTheme="majorEastAsia" w:eastAsiaTheme="majorEastAsia"/>
          <w:sz w:val="22"/>
          <w:szCs w:val="22"/>
        </w:rPr>
        <w:t>款对比选文件所作的澄清、修改，构成比选文件的组成部分。</w:t>
      </w:r>
    </w:p>
    <w:p>
      <w:pPr>
        <w:pStyle w:val="5"/>
        <w:spacing w:before="0" w:line="360" w:lineRule="auto"/>
        <w:rPr>
          <w:rFonts w:asciiTheme="majorEastAsia" w:hAnsiTheme="majorEastAsia" w:eastAsiaTheme="majorEastAsia"/>
          <w:sz w:val="22"/>
          <w:szCs w:val="22"/>
        </w:rPr>
      </w:pPr>
      <w:bookmarkStart w:id="82" w:name="_Toc32111"/>
      <w:bookmarkStart w:id="83" w:name="_Toc44420116"/>
      <w:bookmarkStart w:id="84" w:name="_Toc44433313"/>
      <w:r>
        <w:rPr>
          <w:rFonts w:asciiTheme="majorEastAsia" w:hAnsiTheme="majorEastAsia" w:eastAsiaTheme="majorEastAsia"/>
          <w:sz w:val="22"/>
          <w:szCs w:val="22"/>
        </w:rPr>
        <w:t xml:space="preserve">2.2  </w:t>
      </w:r>
      <w:r>
        <w:rPr>
          <w:rFonts w:hint="eastAsia" w:cs="宋体" w:asciiTheme="majorEastAsia" w:hAnsiTheme="majorEastAsia" w:eastAsiaTheme="majorEastAsia"/>
          <w:sz w:val="22"/>
          <w:szCs w:val="22"/>
        </w:rPr>
        <w:t>比选文件的澄清</w:t>
      </w:r>
      <w:bookmarkEnd w:id="82"/>
      <w:bookmarkEnd w:id="83"/>
      <w:bookmarkEnd w:id="84"/>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2.2.1  </w:t>
      </w:r>
      <w:r>
        <w:rPr>
          <w:rFonts w:hint="eastAsia" w:asciiTheme="majorEastAsia" w:hAnsiTheme="majorEastAsia" w:eastAsiaTheme="majorEastAsia"/>
          <w:sz w:val="22"/>
          <w:szCs w:val="22"/>
        </w:rPr>
        <w:t>比选申请人应仔细阅读和检查比选文件的全部内容。如发现缺页或附件不全，应及时向比选人提出，以便补齐。如有疑问，应在比选申请人须知前附表规定的时间前以书面形式（包括信函、电报、传真等可以有形地表现所载内容的形式，下同），要求比选人对比选文件予以澄清。</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2.2.2  </w:t>
      </w:r>
      <w:r>
        <w:rPr>
          <w:rFonts w:hint="eastAsia" w:asciiTheme="majorEastAsia" w:hAnsiTheme="majorEastAsia" w:eastAsiaTheme="majorEastAsia"/>
          <w:sz w:val="22"/>
          <w:szCs w:val="22"/>
        </w:rPr>
        <w:t>比选文件的澄清将在比选申请人须知前附表规定的比选申请截止时间前以书面形式发给所有购买比选文件的比选申请人，但不指明澄清问题的来源。</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2.2.3  </w:t>
      </w:r>
      <w:r>
        <w:rPr>
          <w:rFonts w:hint="eastAsia" w:asciiTheme="majorEastAsia" w:hAnsiTheme="majorEastAsia" w:eastAsiaTheme="majorEastAsia"/>
          <w:sz w:val="22"/>
          <w:szCs w:val="22"/>
        </w:rPr>
        <w:t>比选申请人在收到澄清后，应在比选申请人须知前附表规定的时间内以书面形式通知比选人，确认已收到该澄清。</w:t>
      </w:r>
    </w:p>
    <w:p>
      <w:pPr>
        <w:pStyle w:val="5"/>
        <w:spacing w:before="0" w:line="360" w:lineRule="auto"/>
        <w:rPr>
          <w:rFonts w:asciiTheme="majorEastAsia" w:hAnsiTheme="majorEastAsia" w:eastAsiaTheme="majorEastAsia"/>
          <w:sz w:val="22"/>
          <w:szCs w:val="22"/>
        </w:rPr>
      </w:pPr>
      <w:bookmarkStart w:id="85" w:name="_Toc26342"/>
      <w:bookmarkStart w:id="86" w:name="_Toc44420117"/>
      <w:bookmarkStart w:id="87" w:name="_Toc44433314"/>
      <w:r>
        <w:rPr>
          <w:rFonts w:asciiTheme="majorEastAsia" w:hAnsiTheme="majorEastAsia" w:eastAsiaTheme="majorEastAsia"/>
          <w:sz w:val="22"/>
          <w:szCs w:val="22"/>
        </w:rPr>
        <w:t xml:space="preserve">2.3  </w:t>
      </w:r>
      <w:r>
        <w:rPr>
          <w:rFonts w:hint="eastAsia" w:cs="宋体" w:asciiTheme="majorEastAsia" w:hAnsiTheme="majorEastAsia" w:eastAsiaTheme="majorEastAsia"/>
          <w:sz w:val="22"/>
          <w:szCs w:val="22"/>
        </w:rPr>
        <w:t>比选文件的修改</w:t>
      </w:r>
      <w:bookmarkEnd w:id="85"/>
      <w:bookmarkEnd w:id="86"/>
      <w:bookmarkEnd w:id="87"/>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2.3.1  </w:t>
      </w:r>
      <w:r>
        <w:rPr>
          <w:rFonts w:hint="eastAsia" w:asciiTheme="majorEastAsia" w:hAnsiTheme="majorEastAsia" w:eastAsiaTheme="majorEastAsia"/>
          <w:sz w:val="22"/>
          <w:szCs w:val="22"/>
        </w:rPr>
        <w:t>在比选申请截止时间前，比选人可以书面形式修改比选文件，并通知所有已购买比选文件的比选申请人。</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2.3.2  </w:t>
      </w:r>
      <w:r>
        <w:rPr>
          <w:rFonts w:hint="eastAsia" w:asciiTheme="majorEastAsia" w:hAnsiTheme="majorEastAsia" w:eastAsiaTheme="majorEastAsia"/>
          <w:sz w:val="22"/>
          <w:szCs w:val="22"/>
        </w:rPr>
        <w:t>比选申请人收到修改内容后，应在比选申请人须知前附表规定的时间内以书面形式通知比选人，确认已收到该修改。</w:t>
      </w:r>
    </w:p>
    <w:p>
      <w:pPr>
        <w:pStyle w:val="4"/>
        <w:rPr>
          <w:rFonts w:asciiTheme="majorEastAsia" w:hAnsiTheme="majorEastAsia" w:eastAsiaTheme="majorEastAsia"/>
          <w:sz w:val="22"/>
          <w:szCs w:val="22"/>
        </w:rPr>
      </w:pPr>
      <w:bookmarkStart w:id="88" w:name="_Toc2452"/>
      <w:bookmarkEnd w:id="88"/>
      <w:bookmarkStart w:id="89" w:name="_Toc44433315"/>
      <w:bookmarkStart w:id="90" w:name="_Toc12731221"/>
      <w:bookmarkStart w:id="91" w:name="_Toc12727414"/>
      <w:bookmarkStart w:id="92" w:name="_Toc2083215"/>
      <w:bookmarkStart w:id="93" w:name="_Toc14524561"/>
      <w:bookmarkStart w:id="94" w:name="_Toc44420118"/>
      <w:bookmarkStart w:id="95" w:name="_Toc12731758"/>
      <w:bookmarkStart w:id="96" w:name="_Toc17275"/>
      <w:r>
        <w:rPr>
          <w:rFonts w:asciiTheme="majorEastAsia" w:hAnsiTheme="majorEastAsia" w:eastAsiaTheme="majorEastAsia"/>
          <w:sz w:val="22"/>
          <w:szCs w:val="22"/>
        </w:rPr>
        <w:t xml:space="preserve">3.  </w:t>
      </w:r>
      <w:r>
        <w:rPr>
          <w:rFonts w:hint="eastAsia" w:cs="宋体" w:asciiTheme="majorEastAsia" w:hAnsiTheme="majorEastAsia" w:eastAsiaTheme="majorEastAsia"/>
          <w:sz w:val="22"/>
          <w:szCs w:val="22"/>
        </w:rPr>
        <w:t>比选申请文件</w:t>
      </w:r>
      <w:bookmarkEnd w:id="89"/>
      <w:bookmarkEnd w:id="90"/>
      <w:bookmarkEnd w:id="91"/>
      <w:bookmarkEnd w:id="92"/>
      <w:bookmarkEnd w:id="93"/>
      <w:bookmarkEnd w:id="94"/>
      <w:bookmarkEnd w:id="95"/>
      <w:bookmarkEnd w:id="96"/>
    </w:p>
    <w:p>
      <w:pPr>
        <w:pStyle w:val="5"/>
        <w:spacing w:before="0" w:line="360" w:lineRule="auto"/>
        <w:rPr>
          <w:rFonts w:asciiTheme="majorEastAsia" w:hAnsiTheme="majorEastAsia" w:eastAsiaTheme="majorEastAsia"/>
          <w:sz w:val="22"/>
          <w:szCs w:val="22"/>
        </w:rPr>
      </w:pPr>
      <w:bookmarkStart w:id="97" w:name="_Toc44433316"/>
      <w:bookmarkStart w:id="98" w:name="_Toc44420119"/>
      <w:bookmarkStart w:id="99" w:name="_Toc29182"/>
      <w:r>
        <w:rPr>
          <w:rFonts w:asciiTheme="majorEastAsia" w:hAnsiTheme="majorEastAsia" w:eastAsiaTheme="majorEastAsia"/>
          <w:sz w:val="22"/>
          <w:szCs w:val="22"/>
        </w:rPr>
        <w:t xml:space="preserve">3.1  </w:t>
      </w:r>
      <w:r>
        <w:rPr>
          <w:rFonts w:hint="eastAsia" w:cs="宋体" w:asciiTheme="majorEastAsia" w:hAnsiTheme="majorEastAsia" w:eastAsiaTheme="majorEastAsia"/>
          <w:sz w:val="22"/>
          <w:szCs w:val="22"/>
        </w:rPr>
        <w:t>比选申请文件的组成</w:t>
      </w:r>
      <w:bookmarkEnd w:id="97"/>
      <w:bookmarkEnd w:id="98"/>
      <w:bookmarkEnd w:id="99"/>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3.1.1 </w:t>
      </w:r>
      <w:r>
        <w:rPr>
          <w:rFonts w:hint="eastAsia" w:asciiTheme="majorEastAsia" w:hAnsiTheme="majorEastAsia" w:eastAsiaTheme="majorEastAsia"/>
          <w:sz w:val="22"/>
          <w:szCs w:val="22"/>
        </w:rPr>
        <w:t>比选申请文件应包括下列内容：详见“比选申请文件格式”中的内容。</w:t>
      </w:r>
    </w:p>
    <w:p>
      <w:pPr>
        <w:pStyle w:val="5"/>
        <w:spacing w:before="0" w:line="360" w:lineRule="auto"/>
        <w:rPr>
          <w:rFonts w:asciiTheme="majorEastAsia" w:hAnsiTheme="majorEastAsia" w:eastAsiaTheme="majorEastAsia"/>
          <w:sz w:val="22"/>
          <w:szCs w:val="22"/>
        </w:rPr>
      </w:pPr>
      <w:bookmarkStart w:id="100" w:name="_Toc44433317"/>
      <w:bookmarkStart w:id="101" w:name="_Toc44420120"/>
      <w:bookmarkStart w:id="102" w:name="_Toc11296"/>
      <w:r>
        <w:rPr>
          <w:rFonts w:asciiTheme="majorEastAsia" w:hAnsiTheme="majorEastAsia" w:eastAsiaTheme="majorEastAsia"/>
          <w:sz w:val="22"/>
          <w:szCs w:val="22"/>
        </w:rPr>
        <w:t xml:space="preserve">3.2  </w:t>
      </w:r>
      <w:r>
        <w:rPr>
          <w:rFonts w:hint="eastAsia" w:cs="宋体" w:asciiTheme="majorEastAsia" w:hAnsiTheme="majorEastAsia" w:eastAsiaTheme="majorEastAsia"/>
          <w:sz w:val="22"/>
          <w:szCs w:val="22"/>
        </w:rPr>
        <w:t>比选申请报价</w:t>
      </w:r>
      <w:bookmarkEnd w:id="100"/>
      <w:bookmarkEnd w:id="101"/>
      <w:bookmarkEnd w:id="102"/>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3.2.</w:t>
      </w:r>
      <w:r>
        <w:rPr>
          <w:rFonts w:hint="eastAsia" w:asciiTheme="majorEastAsia" w:hAnsiTheme="majorEastAsia" w:eastAsiaTheme="majorEastAsia"/>
          <w:sz w:val="22"/>
          <w:szCs w:val="22"/>
          <w:lang w:val="en-US" w:eastAsia="zh-CN"/>
        </w:rPr>
        <w:t>1</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比选申请人在比选申请截止时间前修改比选申请函中的比选申请总报价。此修改须符合本章第</w:t>
      </w:r>
      <w:r>
        <w:rPr>
          <w:rFonts w:asciiTheme="majorEastAsia" w:hAnsiTheme="majorEastAsia" w:eastAsiaTheme="majorEastAsia"/>
          <w:sz w:val="22"/>
          <w:szCs w:val="22"/>
        </w:rPr>
        <w:t xml:space="preserve"> 4.3 </w:t>
      </w:r>
      <w:r>
        <w:rPr>
          <w:rFonts w:hint="eastAsia" w:asciiTheme="majorEastAsia" w:hAnsiTheme="majorEastAsia" w:eastAsiaTheme="majorEastAsia"/>
          <w:sz w:val="22"/>
          <w:szCs w:val="22"/>
        </w:rPr>
        <w:t>款的有关要求。</w:t>
      </w:r>
    </w:p>
    <w:p>
      <w:pPr>
        <w:pStyle w:val="5"/>
        <w:spacing w:before="0" w:line="360" w:lineRule="auto"/>
        <w:rPr>
          <w:rFonts w:asciiTheme="majorEastAsia" w:hAnsiTheme="majorEastAsia" w:eastAsiaTheme="majorEastAsia"/>
          <w:sz w:val="22"/>
          <w:szCs w:val="22"/>
        </w:rPr>
      </w:pPr>
      <w:bookmarkStart w:id="103" w:name="_Toc44420121"/>
      <w:bookmarkStart w:id="104" w:name="_Toc44433318"/>
      <w:bookmarkStart w:id="105" w:name="_Toc13674"/>
      <w:r>
        <w:rPr>
          <w:rFonts w:asciiTheme="majorEastAsia" w:hAnsiTheme="majorEastAsia" w:eastAsiaTheme="majorEastAsia"/>
          <w:sz w:val="22"/>
          <w:szCs w:val="22"/>
        </w:rPr>
        <w:t xml:space="preserve">3.3  </w:t>
      </w:r>
      <w:r>
        <w:rPr>
          <w:rFonts w:hint="eastAsia" w:cs="宋体" w:asciiTheme="majorEastAsia" w:hAnsiTheme="majorEastAsia" w:eastAsiaTheme="majorEastAsia"/>
          <w:sz w:val="22"/>
          <w:szCs w:val="22"/>
        </w:rPr>
        <w:t>比选申请有效期</w:t>
      </w:r>
      <w:bookmarkEnd w:id="103"/>
      <w:bookmarkEnd w:id="104"/>
      <w:bookmarkEnd w:id="105"/>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3.3.1  </w:t>
      </w:r>
      <w:r>
        <w:rPr>
          <w:rFonts w:hint="eastAsia" w:asciiTheme="majorEastAsia" w:hAnsiTheme="majorEastAsia" w:eastAsiaTheme="majorEastAsia"/>
          <w:sz w:val="22"/>
          <w:szCs w:val="22"/>
        </w:rPr>
        <w:t>在比选申请人须知前附表规定的比选申请有效期内，比选申请人不得要求撤销或修改其比选申请文件。</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3.3.2  </w:t>
      </w:r>
      <w:r>
        <w:rPr>
          <w:rFonts w:hint="eastAsia" w:asciiTheme="majorEastAsia" w:hAnsiTheme="majorEastAsia" w:eastAsiaTheme="majorEastAsia"/>
          <w:sz w:val="22"/>
          <w:szCs w:val="22"/>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投标失效，但比选申请人有权收回其比选申请保证金。</w:t>
      </w:r>
    </w:p>
    <w:p>
      <w:pPr>
        <w:pStyle w:val="5"/>
        <w:spacing w:before="0" w:line="360" w:lineRule="auto"/>
        <w:rPr>
          <w:rFonts w:asciiTheme="majorEastAsia" w:hAnsiTheme="majorEastAsia" w:eastAsiaTheme="majorEastAsia"/>
          <w:sz w:val="22"/>
          <w:szCs w:val="22"/>
        </w:rPr>
      </w:pPr>
      <w:bookmarkStart w:id="106" w:name="_Toc44433319"/>
      <w:bookmarkStart w:id="107" w:name="_Toc44420122"/>
      <w:bookmarkStart w:id="108" w:name="_Toc6251"/>
      <w:r>
        <w:rPr>
          <w:rFonts w:asciiTheme="majorEastAsia" w:hAnsiTheme="majorEastAsia" w:eastAsiaTheme="majorEastAsia"/>
          <w:sz w:val="22"/>
          <w:szCs w:val="22"/>
        </w:rPr>
        <w:t xml:space="preserve">3.4  </w:t>
      </w:r>
      <w:r>
        <w:rPr>
          <w:rFonts w:hint="eastAsia" w:cs="宋体" w:asciiTheme="majorEastAsia" w:hAnsiTheme="majorEastAsia" w:eastAsiaTheme="majorEastAsia"/>
          <w:sz w:val="22"/>
          <w:szCs w:val="22"/>
        </w:rPr>
        <w:t>比选申请保证金</w:t>
      </w:r>
      <w:bookmarkEnd w:id="106"/>
      <w:bookmarkEnd w:id="107"/>
      <w:bookmarkEnd w:id="108"/>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3.4.1  </w:t>
      </w:r>
      <w:r>
        <w:rPr>
          <w:rFonts w:hint="eastAsia" w:asciiTheme="majorEastAsia" w:hAnsiTheme="majorEastAsia" w:eastAsiaTheme="majorEastAsia"/>
          <w:sz w:val="22"/>
          <w:szCs w:val="22"/>
        </w:rPr>
        <w:t>比选申请人在递交比选申请文件的同时，应按比选申请人须知前附表规定的金额、担保形式和第八章“比选申请文件格式”的规定递交比选申请保证金，并作为其比选申请文件的组成部分。联合体竞选的，其比选申请保证金由牵头人递交，并应符合比选申请人须知前附表的规定。</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3.4.2  </w:t>
      </w:r>
      <w:r>
        <w:rPr>
          <w:rFonts w:hint="eastAsia" w:asciiTheme="majorEastAsia" w:hAnsiTheme="majorEastAsia" w:eastAsiaTheme="majorEastAsia"/>
          <w:sz w:val="22"/>
          <w:szCs w:val="22"/>
        </w:rPr>
        <w:t>比选申请人不按本章第3.4.1项要求提交比选申请保证金的，其比选申请文件作否决处理。</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3.4.3  </w:t>
      </w:r>
      <w:r>
        <w:rPr>
          <w:rFonts w:hint="eastAsia" w:asciiTheme="majorEastAsia" w:hAnsiTheme="majorEastAsia" w:eastAsiaTheme="majorEastAsia"/>
          <w:sz w:val="22"/>
          <w:szCs w:val="22"/>
        </w:rPr>
        <w:t>比选申请保证金退还：见比选申请人须知前附表。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3.4.4  </w:t>
      </w:r>
      <w:r>
        <w:rPr>
          <w:rFonts w:hint="eastAsia" w:asciiTheme="majorEastAsia" w:hAnsiTheme="majorEastAsia" w:eastAsiaTheme="majorEastAsia"/>
          <w:sz w:val="22"/>
          <w:szCs w:val="22"/>
        </w:rPr>
        <w:t>有下列情形之一的，比选申请保证金将不予退还：</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）比选申请人在规定的比选申请有效期内撤销或修改其比选申请文件；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）中选人在收到中选通知书后，无正当理由拒签合同协议书或未按比选文件规定提交履约担保。</w:t>
      </w:r>
    </w:p>
    <w:p>
      <w:pPr>
        <w:pStyle w:val="5"/>
        <w:spacing w:before="0" w:line="360" w:lineRule="auto"/>
        <w:rPr>
          <w:rFonts w:asciiTheme="majorEastAsia" w:hAnsiTheme="majorEastAsia" w:eastAsiaTheme="majorEastAsia"/>
          <w:sz w:val="22"/>
          <w:szCs w:val="22"/>
        </w:rPr>
      </w:pPr>
      <w:bookmarkStart w:id="109" w:name="_Toc44433320"/>
      <w:bookmarkStart w:id="110" w:name="_Toc44420123"/>
      <w:bookmarkStart w:id="111" w:name="_Toc16639"/>
      <w:r>
        <w:rPr>
          <w:rFonts w:asciiTheme="majorEastAsia" w:hAnsiTheme="majorEastAsia" w:eastAsiaTheme="majorEastAsia"/>
          <w:sz w:val="22"/>
          <w:szCs w:val="22"/>
        </w:rPr>
        <w:t xml:space="preserve">3.5  </w:t>
      </w:r>
      <w:r>
        <w:rPr>
          <w:rFonts w:hint="eastAsia" w:cs="宋体" w:asciiTheme="majorEastAsia" w:hAnsiTheme="majorEastAsia" w:eastAsiaTheme="majorEastAsia"/>
          <w:sz w:val="22"/>
          <w:szCs w:val="22"/>
        </w:rPr>
        <w:t>资格审查资料</w:t>
      </w:r>
      <w:bookmarkEnd w:id="109"/>
      <w:bookmarkEnd w:id="110"/>
      <w:bookmarkEnd w:id="11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见比选申请人须知前附表第1.4.1款。</w:t>
      </w:r>
    </w:p>
    <w:p>
      <w:pPr>
        <w:pStyle w:val="5"/>
        <w:spacing w:before="0" w:line="360" w:lineRule="auto"/>
        <w:rPr>
          <w:rFonts w:asciiTheme="majorEastAsia" w:hAnsiTheme="majorEastAsia" w:eastAsiaTheme="majorEastAsia"/>
          <w:sz w:val="22"/>
          <w:szCs w:val="22"/>
        </w:rPr>
      </w:pPr>
      <w:bookmarkStart w:id="112" w:name="_Toc44420124"/>
      <w:bookmarkStart w:id="113" w:name="_Toc44433321"/>
      <w:bookmarkStart w:id="114" w:name="_Toc10223"/>
      <w:r>
        <w:rPr>
          <w:rFonts w:asciiTheme="majorEastAsia" w:hAnsiTheme="majorEastAsia" w:eastAsiaTheme="majorEastAsia"/>
          <w:sz w:val="22"/>
          <w:szCs w:val="22"/>
        </w:rPr>
        <w:t xml:space="preserve">3.6  </w:t>
      </w:r>
      <w:r>
        <w:rPr>
          <w:rFonts w:hint="eastAsia" w:cs="宋体" w:asciiTheme="majorEastAsia" w:hAnsiTheme="majorEastAsia" w:eastAsiaTheme="majorEastAsia"/>
          <w:sz w:val="22"/>
          <w:szCs w:val="22"/>
        </w:rPr>
        <w:t>备选竞选方案</w:t>
      </w:r>
      <w:bookmarkEnd w:id="112"/>
      <w:bookmarkEnd w:id="113"/>
      <w:bookmarkEnd w:id="114"/>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除比选申请人须知前附表另有规定外，比选申请人不得递交备选竞选方案。允许比选申请人递交备选竞选方案的，只有中选人所递交的备选竞选方案方可予以考虑。评审委员会认为中选人的备选竞选方案优于其按照比选文件要求编制的竞选方案的，比选人可以接受该备选竞选方案。</w:t>
      </w:r>
    </w:p>
    <w:p>
      <w:pPr>
        <w:pStyle w:val="5"/>
        <w:spacing w:before="0" w:line="360" w:lineRule="auto"/>
        <w:rPr>
          <w:rFonts w:asciiTheme="majorEastAsia" w:hAnsiTheme="majorEastAsia" w:eastAsiaTheme="majorEastAsia"/>
          <w:sz w:val="22"/>
          <w:szCs w:val="22"/>
        </w:rPr>
      </w:pPr>
      <w:bookmarkStart w:id="115" w:name="_Toc44420125"/>
      <w:bookmarkStart w:id="116" w:name="_Toc44433322"/>
      <w:bookmarkStart w:id="117" w:name="_Toc4298"/>
      <w:r>
        <w:rPr>
          <w:rFonts w:asciiTheme="majorEastAsia" w:hAnsiTheme="majorEastAsia" w:eastAsiaTheme="majorEastAsia"/>
          <w:sz w:val="22"/>
          <w:szCs w:val="22"/>
        </w:rPr>
        <w:t xml:space="preserve">3.7  </w:t>
      </w:r>
      <w:r>
        <w:rPr>
          <w:rFonts w:hint="eastAsia" w:asciiTheme="majorEastAsia" w:hAnsiTheme="majorEastAsia" w:eastAsiaTheme="majorEastAsia"/>
          <w:sz w:val="22"/>
          <w:szCs w:val="22"/>
        </w:rPr>
        <w:t>比选申请文件的编制</w:t>
      </w:r>
      <w:bookmarkEnd w:id="115"/>
      <w:bookmarkEnd w:id="116"/>
      <w:bookmarkEnd w:id="117"/>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3.7.1  </w:t>
      </w:r>
      <w:r>
        <w:rPr>
          <w:rFonts w:hint="eastAsia" w:asciiTheme="majorEastAsia" w:hAnsiTheme="majorEastAsia" w:eastAsiaTheme="majorEastAsia"/>
          <w:sz w:val="22"/>
          <w:szCs w:val="22"/>
        </w:rPr>
        <w:t>比选申请文件应按第八章“比选申请文件格式”进行编写，如有必要，可以增加附页，作为比选申请文件的组成部分。其中，比选申请函附录在满足比选文件实质性要求的基础上，可以提出比比选文件要求更有利于比选人的承诺。</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3.7.2  </w:t>
      </w:r>
      <w:r>
        <w:rPr>
          <w:rFonts w:hint="eastAsia" w:asciiTheme="majorEastAsia" w:hAnsiTheme="majorEastAsia" w:eastAsiaTheme="majorEastAsia"/>
          <w:sz w:val="22"/>
          <w:szCs w:val="22"/>
        </w:rPr>
        <w:t>比选申请文件应当对比选文件有关工期、比选申请有效期、质量要求、技术标准和要求、</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比选范围等实质性内容做出响应。</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3.7.3  </w:t>
      </w:r>
      <w:r>
        <w:rPr>
          <w:rFonts w:hint="eastAsia" w:asciiTheme="majorEastAsia" w:hAnsiTheme="majorEastAsia" w:eastAsiaTheme="majorEastAsia"/>
          <w:sz w:val="22"/>
          <w:szCs w:val="22"/>
        </w:rPr>
        <w:t>比选申请文件应用不褪色的材料书写或打印，并由比选申请人的法定代表人或其委托代理人签字、盖单位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3.7.4  </w:t>
      </w:r>
      <w:r>
        <w:rPr>
          <w:rFonts w:hint="eastAsia" w:asciiTheme="majorEastAsia" w:hAnsiTheme="majorEastAsia" w:eastAsiaTheme="majorEastAsia"/>
          <w:sz w:val="22"/>
          <w:szCs w:val="22"/>
        </w:rPr>
        <w:t>比选申请文件正本一份，副本份数见比选申请人须知前附表。正本和副本的封面上应清楚地标记“正本”或“副本”的字样，正本和副本封面均须加盖单位公章（鲜章）。当副本和正本不一致时，以正本为准。</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3.7.5  </w:t>
      </w:r>
      <w:r>
        <w:rPr>
          <w:rFonts w:hint="eastAsia" w:asciiTheme="majorEastAsia" w:hAnsiTheme="majorEastAsia" w:eastAsiaTheme="majorEastAsia"/>
          <w:sz w:val="22"/>
          <w:szCs w:val="22"/>
        </w:rPr>
        <w:t>比选申请文件的正本与副本应分别装订成册，并编制目录，具体装订要求见比选申请人须知前附表规定。</w:t>
      </w:r>
    </w:p>
    <w:p>
      <w:pPr>
        <w:pStyle w:val="4"/>
        <w:rPr>
          <w:rFonts w:asciiTheme="majorEastAsia" w:hAnsiTheme="majorEastAsia" w:eastAsiaTheme="majorEastAsia"/>
          <w:sz w:val="22"/>
          <w:szCs w:val="22"/>
        </w:rPr>
      </w:pPr>
      <w:bookmarkStart w:id="118" w:name="_Toc26139"/>
      <w:bookmarkEnd w:id="118"/>
      <w:bookmarkStart w:id="119" w:name="_Toc44420126"/>
      <w:bookmarkStart w:id="120" w:name="_Toc2083216"/>
      <w:bookmarkStart w:id="121" w:name="_Toc12731759"/>
      <w:bookmarkStart w:id="122" w:name="_Toc44433323"/>
      <w:bookmarkStart w:id="123" w:name="_Toc12731222"/>
      <w:bookmarkStart w:id="124" w:name="_Toc12727415"/>
      <w:bookmarkStart w:id="125" w:name="_Toc14524562"/>
      <w:bookmarkStart w:id="126" w:name="_Toc32294"/>
      <w:r>
        <w:rPr>
          <w:rFonts w:asciiTheme="majorEastAsia" w:hAnsiTheme="majorEastAsia" w:eastAsiaTheme="majorEastAsia"/>
          <w:sz w:val="22"/>
          <w:szCs w:val="22"/>
        </w:rPr>
        <w:t xml:space="preserve">4.  </w:t>
      </w:r>
      <w:r>
        <w:rPr>
          <w:rFonts w:hint="eastAsia" w:cs="宋体" w:asciiTheme="majorEastAsia" w:hAnsiTheme="majorEastAsia" w:eastAsiaTheme="majorEastAsia"/>
          <w:sz w:val="22"/>
          <w:szCs w:val="22"/>
        </w:rPr>
        <w:t>比选申请</w:t>
      </w:r>
      <w:bookmarkEnd w:id="119"/>
      <w:bookmarkEnd w:id="120"/>
      <w:bookmarkEnd w:id="121"/>
      <w:bookmarkEnd w:id="122"/>
      <w:bookmarkEnd w:id="123"/>
      <w:bookmarkEnd w:id="124"/>
      <w:bookmarkEnd w:id="125"/>
      <w:bookmarkEnd w:id="126"/>
    </w:p>
    <w:p>
      <w:pPr>
        <w:pStyle w:val="5"/>
        <w:spacing w:before="0" w:line="360" w:lineRule="auto"/>
        <w:rPr>
          <w:rFonts w:asciiTheme="majorEastAsia" w:hAnsiTheme="majorEastAsia" w:eastAsiaTheme="majorEastAsia"/>
          <w:sz w:val="22"/>
          <w:szCs w:val="22"/>
        </w:rPr>
      </w:pPr>
      <w:bookmarkStart w:id="127" w:name="_Toc44433324"/>
      <w:bookmarkStart w:id="128" w:name="_Toc44420127"/>
      <w:bookmarkStart w:id="129" w:name="_Toc31609"/>
      <w:r>
        <w:rPr>
          <w:rFonts w:asciiTheme="majorEastAsia" w:hAnsiTheme="majorEastAsia" w:eastAsiaTheme="majorEastAsia"/>
          <w:sz w:val="22"/>
          <w:szCs w:val="22"/>
        </w:rPr>
        <w:t xml:space="preserve">4.1  </w:t>
      </w:r>
      <w:r>
        <w:rPr>
          <w:rFonts w:hint="eastAsia" w:cs="宋体" w:asciiTheme="majorEastAsia" w:hAnsiTheme="majorEastAsia" w:eastAsiaTheme="majorEastAsia"/>
          <w:sz w:val="22"/>
          <w:szCs w:val="22"/>
        </w:rPr>
        <w:t>比选申请文件的密封和标记</w:t>
      </w:r>
      <w:bookmarkEnd w:id="127"/>
      <w:bookmarkEnd w:id="128"/>
      <w:bookmarkEnd w:id="129"/>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4.1.1  </w:t>
      </w:r>
      <w:r>
        <w:rPr>
          <w:rFonts w:hint="eastAsia" w:asciiTheme="majorEastAsia" w:hAnsiTheme="majorEastAsia" w:eastAsiaTheme="majorEastAsia"/>
          <w:sz w:val="22"/>
          <w:szCs w:val="22"/>
        </w:rPr>
        <w:t>比选申请文件的正本与副本密封见比选申请人须知前附表。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4.1.2  </w:t>
      </w:r>
      <w:r>
        <w:rPr>
          <w:rFonts w:hint="eastAsia" w:asciiTheme="majorEastAsia" w:hAnsiTheme="majorEastAsia" w:eastAsiaTheme="majorEastAsia"/>
          <w:sz w:val="22"/>
          <w:szCs w:val="22"/>
        </w:rPr>
        <w:t>比选申请文件的封套上应写明的内容见比选申请人须知前附表。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4.1.3  </w:t>
      </w:r>
      <w:r>
        <w:rPr>
          <w:rFonts w:hint="eastAsia" w:asciiTheme="majorEastAsia" w:hAnsiTheme="majorEastAsia" w:eastAsiaTheme="majorEastAsia"/>
          <w:sz w:val="22"/>
          <w:szCs w:val="22"/>
        </w:rPr>
        <w:t>未按本章第</w:t>
      </w:r>
      <w:r>
        <w:rPr>
          <w:rFonts w:asciiTheme="majorEastAsia" w:hAnsiTheme="majorEastAsia" w:eastAsiaTheme="majorEastAsia"/>
          <w:sz w:val="22"/>
          <w:szCs w:val="22"/>
        </w:rPr>
        <w:t xml:space="preserve"> 4.1.1 </w:t>
      </w:r>
      <w:r>
        <w:rPr>
          <w:rFonts w:hint="eastAsia" w:asciiTheme="majorEastAsia" w:hAnsiTheme="majorEastAsia" w:eastAsiaTheme="majorEastAsia"/>
          <w:sz w:val="22"/>
          <w:szCs w:val="22"/>
        </w:rPr>
        <w:t>项或第</w:t>
      </w:r>
      <w:r>
        <w:rPr>
          <w:rFonts w:asciiTheme="majorEastAsia" w:hAnsiTheme="majorEastAsia" w:eastAsiaTheme="majorEastAsia"/>
          <w:sz w:val="22"/>
          <w:szCs w:val="22"/>
        </w:rPr>
        <w:t xml:space="preserve"> 4.1.2 </w:t>
      </w:r>
      <w:r>
        <w:rPr>
          <w:rFonts w:hint="eastAsia" w:asciiTheme="majorEastAsia" w:hAnsiTheme="majorEastAsia" w:eastAsiaTheme="majorEastAsia"/>
          <w:sz w:val="22"/>
          <w:szCs w:val="22"/>
        </w:rPr>
        <w:t>项要求密封和加写标记的比选申请文件，比选人不予受理。</w:t>
      </w:r>
    </w:p>
    <w:p>
      <w:pPr>
        <w:pStyle w:val="5"/>
        <w:spacing w:before="0" w:line="360" w:lineRule="auto"/>
        <w:rPr>
          <w:rFonts w:asciiTheme="majorEastAsia" w:hAnsiTheme="majorEastAsia" w:eastAsiaTheme="majorEastAsia"/>
          <w:sz w:val="22"/>
          <w:szCs w:val="22"/>
        </w:rPr>
      </w:pPr>
      <w:bookmarkStart w:id="130" w:name="_Toc44420128"/>
      <w:bookmarkStart w:id="131" w:name="_Toc44433325"/>
      <w:bookmarkStart w:id="132" w:name="_Toc15290"/>
      <w:r>
        <w:rPr>
          <w:rFonts w:asciiTheme="majorEastAsia" w:hAnsiTheme="majorEastAsia" w:eastAsiaTheme="majorEastAsia"/>
          <w:sz w:val="22"/>
          <w:szCs w:val="22"/>
        </w:rPr>
        <w:t xml:space="preserve">4.2  </w:t>
      </w:r>
      <w:r>
        <w:rPr>
          <w:rFonts w:hint="eastAsia" w:cs="宋体" w:asciiTheme="majorEastAsia" w:hAnsiTheme="majorEastAsia" w:eastAsiaTheme="majorEastAsia"/>
          <w:sz w:val="22"/>
          <w:szCs w:val="22"/>
        </w:rPr>
        <w:t>比选申请文件的递交</w:t>
      </w:r>
      <w:bookmarkEnd w:id="130"/>
      <w:bookmarkEnd w:id="131"/>
      <w:bookmarkEnd w:id="132"/>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4.2.1  </w:t>
      </w:r>
      <w:r>
        <w:rPr>
          <w:rFonts w:hint="eastAsia" w:asciiTheme="majorEastAsia" w:hAnsiTheme="majorEastAsia" w:eastAsiaTheme="majorEastAsia"/>
          <w:sz w:val="22"/>
          <w:szCs w:val="22"/>
        </w:rPr>
        <w:t>比选申请人应在比选申请人须知前附表规定的比选申请截止时间前递交比选申请文件。</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4.2.2  </w:t>
      </w:r>
      <w:r>
        <w:rPr>
          <w:rFonts w:hint="eastAsia" w:asciiTheme="majorEastAsia" w:hAnsiTheme="majorEastAsia" w:eastAsiaTheme="majorEastAsia"/>
          <w:sz w:val="22"/>
          <w:szCs w:val="22"/>
        </w:rPr>
        <w:t>比选申请人递交比选申请文件的地点：见比选申请人须知前附表。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4.2.3  </w:t>
      </w:r>
      <w:r>
        <w:rPr>
          <w:rFonts w:hint="eastAsia" w:asciiTheme="majorEastAsia" w:hAnsiTheme="majorEastAsia" w:eastAsiaTheme="majorEastAsia"/>
          <w:sz w:val="22"/>
          <w:szCs w:val="22"/>
        </w:rPr>
        <w:t>除比选申请人须知前附表另有规定外，比选申请人所递交的比选申请文件不予退还。</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4.2.4  </w:t>
      </w:r>
      <w:r>
        <w:rPr>
          <w:rFonts w:hint="eastAsia" w:asciiTheme="majorEastAsia" w:hAnsiTheme="majorEastAsia" w:eastAsiaTheme="majorEastAsia"/>
          <w:sz w:val="22"/>
          <w:szCs w:val="22"/>
        </w:rPr>
        <w:t>比选人收到比选申请文件后，向比选申请人出具签收凭证。</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4.2.5  </w:t>
      </w:r>
      <w:r>
        <w:rPr>
          <w:rFonts w:hint="eastAsia" w:asciiTheme="majorEastAsia" w:hAnsiTheme="majorEastAsia" w:eastAsiaTheme="majorEastAsia"/>
          <w:sz w:val="22"/>
          <w:szCs w:val="22"/>
        </w:rPr>
        <w:t>逾期送达的或者未送达指定地点的比选申请文件，比选人不予受理。</w:t>
      </w:r>
    </w:p>
    <w:p>
      <w:pPr>
        <w:pStyle w:val="5"/>
        <w:spacing w:before="0" w:line="360" w:lineRule="auto"/>
        <w:rPr>
          <w:rFonts w:asciiTheme="majorEastAsia" w:hAnsiTheme="majorEastAsia" w:eastAsiaTheme="majorEastAsia"/>
          <w:sz w:val="22"/>
          <w:szCs w:val="22"/>
        </w:rPr>
      </w:pPr>
      <w:bookmarkStart w:id="133" w:name="_Toc44420129"/>
      <w:bookmarkStart w:id="134" w:name="_Toc44433326"/>
      <w:bookmarkStart w:id="135" w:name="_Toc30970"/>
      <w:r>
        <w:rPr>
          <w:rFonts w:asciiTheme="majorEastAsia" w:hAnsiTheme="majorEastAsia" w:eastAsiaTheme="majorEastAsia"/>
          <w:sz w:val="22"/>
          <w:szCs w:val="22"/>
        </w:rPr>
        <w:t xml:space="preserve">4.3  </w:t>
      </w:r>
      <w:r>
        <w:rPr>
          <w:rFonts w:hint="eastAsia" w:cs="宋体" w:asciiTheme="majorEastAsia" w:hAnsiTheme="majorEastAsia" w:eastAsiaTheme="majorEastAsia"/>
          <w:sz w:val="22"/>
          <w:szCs w:val="22"/>
        </w:rPr>
        <w:t>比选申请文件的修改与撤回</w:t>
      </w:r>
      <w:bookmarkEnd w:id="133"/>
      <w:bookmarkEnd w:id="134"/>
      <w:bookmarkEnd w:id="135"/>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4.3.1  </w:t>
      </w:r>
      <w:r>
        <w:rPr>
          <w:rFonts w:hint="eastAsia" w:asciiTheme="majorEastAsia" w:hAnsiTheme="majorEastAsia" w:eastAsiaTheme="majorEastAsia"/>
          <w:sz w:val="22"/>
          <w:szCs w:val="22"/>
        </w:rPr>
        <w:t>在本章第4.</w:t>
      </w:r>
      <w:r>
        <w:rPr>
          <w:rFonts w:asciiTheme="majorEastAsia" w:hAnsiTheme="majorEastAsia" w:eastAsiaTheme="majorEastAsia"/>
          <w:sz w:val="22"/>
          <w:szCs w:val="22"/>
        </w:rPr>
        <w:t>2.</w:t>
      </w:r>
      <w:r>
        <w:rPr>
          <w:rFonts w:hint="eastAsia" w:asciiTheme="majorEastAsia" w:hAnsiTheme="majorEastAsia" w:eastAsiaTheme="majorEastAsia"/>
          <w:sz w:val="22"/>
          <w:szCs w:val="22"/>
        </w:rPr>
        <w:t>1项规定的比选申请截止时间前，比选申请人可以修改或撤回已递交的比选申请文件，但应以书面形式通知比选人。</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4.3.2  </w:t>
      </w:r>
      <w:r>
        <w:rPr>
          <w:rFonts w:hint="eastAsia" w:asciiTheme="majorEastAsia" w:hAnsiTheme="majorEastAsia" w:eastAsiaTheme="majorEastAsia"/>
          <w:sz w:val="22"/>
          <w:szCs w:val="22"/>
        </w:rPr>
        <w:t>比选申请人修改或撤回已递交比选申请文件的书面通知应按照本章第</w:t>
      </w:r>
      <w:r>
        <w:rPr>
          <w:rFonts w:asciiTheme="majorEastAsia" w:hAnsiTheme="majorEastAsia" w:eastAsiaTheme="majorEastAsia"/>
          <w:sz w:val="22"/>
          <w:szCs w:val="22"/>
        </w:rPr>
        <w:t>3.7.3</w:t>
      </w:r>
      <w:r>
        <w:rPr>
          <w:rFonts w:hint="eastAsia" w:asciiTheme="majorEastAsia" w:hAnsiTheme="majorEastAsia" w:eastAsiaTheme="majorEastAsia"/>
          <w:sz w:val="22"/>
          <w:szCs w:val="22"/>
        </w:rPr>
        <w:t>项的要求签字或盖章。比选人收到书面通知后，向比选申请人出具签收凭证。</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4.3.3  </w:t>
      </w:r>
      <w:r>
        <w:rPr>
          <w:rFonts w:hint="eastAsia" w:asciiTheme="majorEastAsia" w:hAnsiTheme="majorEastAsia" w:eastAsiaTheme="majorEastAsia"/>
          <w:sz w:val="22"/>
          <w:szCs w:val="22"/>
        </w:rPr>
        <w:t>修改的内容为比选申请文件的组成部分。修改的比选申请文件应按照本章第</w:t>
      </w:r>
      <w:r>
        <w:rPr>
          <w:rFonts w:asciiTheme="majorEastAsia" w:hAnsiTheme="majorEastAsia" w:eastAsiaTheme="majorEastAsia"/>
          <w:sz w:val="22"/>
          <w:szCs w:val="22"/>
        </w:rPr>
        <w:t>3</w:t>
      </w:r>
      <w:r>
        <w:rPr>
          <w:rFonts w:hint="eastAsia" w:asciiTheme="majorEastAsia" w:hAnsiTheme="majorEastAsia" w:eastAsiaTheme="majorEastAsia"/>
          <w:sz w:val="22"/>
          <w:szCs w:val="22"/>
        </w:rPr>
        <w:t>条、第</w:t>
      </w:r>
      <w:r>
        <w:rPr>
          <w:rFonts w:asciiTheme="majorEastAsia" w:hAnsiTheme="majorEastAsia" w:eastAsiaTheme="majorEastAsia"/>
          <w:sz w:val="22"/>
          <w:szCs w:val="22"/>
        </w:rPr>
        <w:t>4</w:t>
      </w:r>
      <w:r>
        <w:rPr>
          <w:rFonts w:hint="eastAsia" w:asciiTheme="majorEastAsia" w:hAnsiTheme="majorEastAsia" w:eastAsiaTheme="majorEastAsia"/>
          <w:sz w:val="22"/>
          <w:szCs w:val="22"/>
        </w:rPr>
        <w:t>条规定进行编制、密封、标记和递交，并标明“修改”字样。</w:t>
      </w:r>
    </w:p>
    <w:p>
      <w:pPr>
        <w:pStyle w:val="4"/>
        <w:rPr>
          <w:rFonts w:asciiTheme="majorEastAsia" w:hAnsiTheme="majorEastAsia" w:eastAsiaTheme="majorEastAsia"/>
          <w:sz w:val="22"/>
          <w:szCs w:val="22"/>
        </w:rPr>
      </w:pPr>
      <w:bookmarkStart w:id="136" w:name="_Toc5997"/>
      <w:bookmarkEnd w:id="136"/>
      <w:bookmarkStart w:id="137" w:name="_Toc44433327"/>
      <w:bookmarkStart w:id="138" w:name="_Toc44420130"/>
      <w:bookmarkStart w:id="139" w:name="_Toc14524563"/>
      <w:bookmarkStart w:id="140" w:name="_Toc12731760"/>
      <w:bookmarkStart w:id="141" w:name="_Toc12731223"/>
      <w:bookmarkStart w:id="142" w:name="_Toc2083217"/>
      <w:bookmarkStart w:id="143" w:name="_Toc12727416"/>
      <w:bookmarkStart w:id="144" w:name="_Toc4899"/>
      <w:r>
        <w:rPr>
          <w:rFonts w:asciiTheme="majorEastAsia" w:hAnsiTheme="majorEastAsia" w:eastAsiaTheme="majorEastAsia"/>
          <w:sz w:val="22"/>
          <w:szCs w:val="22"/>
        </w:rPr>
        <w:t xml:space="preserve">5.  </w:t>
      </w:r>
      <w:r>
        <w:rPr>
          <w:rFonts w:hint="eastAsia" w:cs="宋体" w:asciiTheme="majorEastAsia" w:hAnsiTheme="majorEastAsia" w:eastAsiaTheme="majorEastAsia"/>
          <w:sz w:val="22"/>
          <w:szCs w:val="22"/>
        </w:rPr>
        <w:t>竞选会议</w:t>
      </w:r>
      <w:bookmarkEnd w:id="137"/>
      <w:bookmarkEnd w:id="138"/>
      <w:bookmarkEnd w:id="139"/>
      <w:bookmarkEnd w:id="140"/>
      <w:bookmarkEnd w:id="141"/>
      <w:bookmarkEnd w:id="142"/>
      <w:bookmarkEnd w:id="143"/>
      <w:bookmarkEnd w:id="144"/>
    </w:p>
    <w:p>
      <w:pPr>
        <w:pStyle w:val="5"/>
        <w:spacing w:before="0" w:line="360" w:lineRule="auto"/>
        <w:rPr>
          <w:rFonts w:asciiTheme="majorEastAsia" w:hAnsiTheme="majorEastAsia" w:eastAsiaTheme="majorEastAsia"/>
          <w:sz w:val="22"/>
          <w:szCs w:val="22"/>
        </w:rPr>
      </w:pPr>
      <w:bookmarkStart w:id="145" w:name="_Toc44433328"/>
      <w:bookmarkStart w:id="146" w:name="_Toc44420131"/>
      <w:bookmarkStart w:id="147" w:name="_Toc11035"/>
      <w:r>
        <w:rPr>
          <w:rFonts w:asciiTheme="majorEastAsia" w:hAnsiTheme="majorEastAsia" w:eastAsiaTheme="majorEastAsia"/>
          <w:sz w:val="22"/>
          <w:szCs w:val="22"/>
        </w:rPr>
        <w:t xml:space="preserve">5.1  </w:t>
      </w:r>
      <w:r>
        <w:rPr>
          <w:rFonts w:hint="eastAsia" w:cs="宋体" w:asciiTheme="majorEastAsia" w:hAnsiTheme="majorEastAsia" w:eastAsiaTheme="majorEastAsia"/>
          <w:sz w:val="22"/>
          <w:szCs w:val="22"/>
        </w:rPr>
        <w:t>竞选会议时间和地点</w:t>
      </w:r>
      <w:bookmarkEnd w:id="145"/>
      <w:bookmarkEnd w:id="146"/>
      <w:bookmarkEnd w:id="147"/>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比选人在本章第</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4</w:t>
      </w:r>
      <w:r>
        <w:rPr>
          <w:rFonts w:asciiTheme="majorEastAsia" w:hAnsiTheme="majorEastAsia" w:eastAsiaTheme="majorEastAsia"/>
          <w:sz w:val="22"/>
          <w:szCs w:val="22"/>
        </w:rPr>
        <w:t>.2.</w:t>
      </w:r>
      <w:r>
        <w:rPr>
          <w:rFonts w:hint="eastAsia" w:asciiTheme="majorEastAsia" w:hAnsiTheme="majorEastAsia" w:eastAsiaTheme="majorEastAsia"/>
          <w:sz w:val="22"/>
          <w:szCs w:val="22"/>
        </w:rPr>
        <w:t>1项规定的比选申请截止时间和比选申请人须知前附表规定的地点公开组织竞选会议，并邀请所有比选申请人的法定代表人或其委托代理人准时参加。</w:t>
      </w:r>
    </w:p>
    <w:p>
      <w:pPr>
        <w:pStyle w:val="5"/>
        <w:spacing w:before="0" w:line="360" w:lineRule="auto"/>
        <w:ind w:firstLine="442" w:firstLineChars="200"/>
        <w:rPr>
          <w:rFonts w:asciiTheme="majorEastAsia" w:hAnsiTheme="majorEastAsia" w:eastAsiaTheme="majorEastAsia"/>
          <w:sz w:val="22"/>
          <w:szCs w:val="22"/>
        </w:rPr>
      </w:pPr>
      <w:bookmarkStart w:id="148" w:name="_Toc44420132"/>
      <w:bookmarkStart w:id="149" w:name="_Toc44433329"/>
      <w:bookmarkStart w:id="150" w:name="_Toc23368"/>
      <w:r>
        <w:rPr>
          <w:rFonts w:asciiTheme="majorEastAsia" w:hAnsiTheme="majorEastAsia" w:eastAsiaTheme="majorEastAsia"/>
          <w:sz w:val="22"/>
          <w:szCs w:val="22"/>
        </w:rPr>
        <w:t xml:space="preserve">5.2  </w:t>
      </w:r>
      <w:r>
        <w:rPr>
          <w:rFonts w:hint="eastAsia" w:cs="宋体" w:asciiTheme="majorEastAsia" w:hAnsiTheme="majorEastAsia" w:eastAsiaTheme="majorEastAsia"/>
          <w:sz w:val="22"/>
          <w:szCs w:val="22"/>
        </w:rPr>
        <w:t>竞选会议程序</w:t>
      </w:r>
      <w:bookmarkEnd w:id="148"/>
      <w:bookmarkEnd w:id="149"/>
      <w:bookmarkEnd w:id="150"/>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主持人按下列程序进行组织竞选会议：详见比选申请人须知前附表。</w:t>
      </w:r>
    </w:p>
    <w:p>
      <w:pPr>
        <w:pStyle w:val="4"/>
        <w:rPr>
          <w:rFonts w:asciiTheme="majorEastAsia" w:hAnsiTheme="majorEastAsia" w:eastAsiaTheme="majorEastAsia"/>
          <w:kern w:val="44"/>
          <w:sz w:val="22"/>
          <w:szCs w:val="22"/>
        </w:rPr>
      </w:pPr>
      <w:bookmarkStart w:id="151" w:name="_Toc19446"/>
      <w:bookmarkEnd w:id="151"/>
      <w:bookmarkStart w:id="152" w:name="_Toc12731761"/>
      <w:bookmarkStart w:id="153" w:name="_Toc44433330"/>
      <w:bookmarkStart w:id="154" w:name="_Toc44420133"/>
      <w:bookmarkStart w:id="155" w:name="_Toc12731224"/>
      <w:bookmarkStart w:id="156" w:name="_Toc14524564"/>
      <w:bookmarkStart w:id="157" w:name="_Toc12727417"/>
      <w:bookmarkStart w:id="158" w:name="_Toc2083218"/>
      <w:bookmarkStart w:id="159" w:name="_Toc8247"/>
      <w:r>
        <w:rPr>
          <w:rFonts w:asciiTheme="majorEastAsia" w:hAnsiTheme="majorEastAsia" w:eastAsiaTheme="majorEastAsia"/>
          <w:sz w:val="22"/>
          <w:szCs w:val="22"/>
        </w:rPr>
        <w:t xml:space="preserve">6.  </w:t>
      </w:r>
      <w:r>
        <w:rPr>
          <w:rFonts w:hint="eastAsia" w:cs="宋体" w:asciiTheme="majorEastAsia" w:hAnsiTheme="majorEastAsia" w:eastAsiaTheme="majorEastAsia"/>
          <w:sz w:val="22"/>
          <w:szCs w:val="22"/>
        </w:rPr>
        <w:t>评审</w:t>
      </w:r>
      <w:bookmarkEnd w:id="152"/>
      <w:bookmarkEnd w:id="153"/>
      <w:bookmarkEnd w:id="154"/>
      <w:bookmarkEnd w:id="155"/>
      <w:bookmarkEnd w:id="156"/>
      <w:bookmarkEnd w:id="157"/>
      <w:bookmarkEnd w:id="158"/>
      <w:bookmarkEnd w:id="159"/>
    </w:p>
    <w:p>
      <w:pPr>
        <w:pStyle w:val="5"/>
        <w:spacing w:before="0" w:line="360" w:lineRule="auto"/>
        <w:rPr>
          <w:rFonts w:asciiTheme="majorEastAsia" w:hAnsiTheme="majorEastAsia" w:eastAsiaTheme="majorEastAsia"/>
          <w:sz w:val="22"/>
          <w:szCs w:val="22"/>
        </w:rPr>
      </w:pPr>
      <w:bookmarkStart w:id="160" w:name="_Toc44433331"/>
      <w:bookmarkStart w:id="161" w:name="_Toc44420134"/>
      <w:bookmarkStart w:id="162" w:name="_Toc22522"/>
      <w:r>
        <w:rPr>
          <w:rFonts w:asciiTheme="majorEastAsia" w:hAnsiTheme="majorEastAsia" w:eastAsiaTheme="majorEastAsia"/>
          <w:sz w:val="22"/>
          <w:szCs w:val="22"/>
        </w:rPr>
        <w:t xml:space="preserve">6.1  </w:t>
      </w:r>
      <w:r>
        <w:rPr>
          <w:rFonts w:hint="eastAsia" w:cs="宋体" w:asciiTheme="majorEastAsia" w:hAnsiTheme="majorEastAsia" w:eastAsiaTheme="majorEastAsia"/>
          <w:sz w:val="22"/>
          <w:szCs w:val="22"/>
        </w:rPr>
        <w:t>评审委员会</w:t>
      </w:r>
      <w:bookmarkEnd w:id="160"/>
      <w:bookmarkEnd w:id="161"/>
      <w:bookmarkEnd w:id="162"/>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6.1.1  </w:t>
      </w:r>
      <w:r>
        <w:rPr>
          <w:rFonts w:hint="eastAsia" w:asciiTheme="majorEastAsia" w:hAnsiTheme="majorEastAsia" w:eastAsiaTheme="majorEastAsia"/>
          <w:sz w:val="22"/>
          <w:szCs w:val="22"/>
        </w:rPr>
        <w:t>评审由比选人依法组建的评审委员会负责。评审委员会由比选人或其委托的招标代理机构熟悉相关业务的代表，以及有关技术、经济等方面的专家组成。评审委员会成员人数以及技术、经济等方面专家的确定方式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6.1.2  </w:t>
      </w:r>
      <w:r>
        <w:rPr>
          <w:rFonts w:hint="eastAsia" w:asciiTheme="majorEastAsia" w:hAnsiTheme="majorEastAsia" w:eastAsiaTheme="majorEastAsia"/>
          <w:sz w:val="22"/>
          <w:szCs w:val="22"/>
        </w:rPr>
        <w:t>评审委员会成员有下列情形之一的，应当回避：</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）比选人或比选申请人的主要负责人的近亲属；</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）项目主管部门或者行政监督部门的人员；</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）与比选申请人有利害关系，可能影响对投标公正评审的；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）曾因在招标、评标以及其他与招标投标有关活动中从事违法行为而受过行政处罚或刑事处罚的。</w:t>
      </w:r>
    </w:p>
    <w:p>
      <w:pPr>
        <w:pStyle w:val="5"/>
        <w:spacing w:before="0" w:line="360" w:lineRule="auto"/>
        <w:rPr>
          <w:rFonts w:asciiTheme="majorEastAsia" w:hAnsiTheme="majorEastAsia" w:eastAsiaTheme="majorEastAsia"/>
          <w:sz w:val="22"/>
          <w:szCs w:val="22"/>
        </w:rPr>
      </w:pPr>
      <w:bookmarkStart w:id="163" w:name="_Toc44420135"/>
      <w:bookmarkStart w:id="164" w:name="_Toc44433332"/>
      <w:bookmarkStart w:id="165" w:name="_Toc18479"/>
      <w:r>
        <w:rPr>
          <w:rFonts w:asciiTheme="majorEastAsia" w:hAnsiTheme="majorEastAsia" w:eastAsiaTheme="majorEastAsia"/>
          <w:sz w:val="22"/>
          <w:szCs w:val="22"/>
        </w:rPr>
        <w:t xml:space="preserve">6.2  </w:t>
      </w:r>
      <w:r>
        <w:rPr>
          <w:rFonts w:hint="eastAsia" w:cs="宋体" w:asciiTheme="majorEastAsia" w:hAnsiTheme="majorEastAsia" w:eastAsiaTheme="majorEastAsia"/>
          <w:sz w:val="22"/>
          <w:szCs w:val="22"/>
        </w:rPr>
        <w:t>评审原则</w:t>
      </w:r>
      <w:bookmarkEnd w:id="163"/>
      <w:bookmarkEnd w:id="164"/>
      <w:bookmarkEnd w:id="165"/>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评审活动遵循公平、公正、科学和择优的原则。</w:t>
      </w:r>
    </w:p>
    <w:p>
      <w:pPr>
        <w:pStyle w:val="5"/>
        <w:spacing w:before="0" w:line="360" w:lineRule="auto"/>
        <w:rPr>
          <w:rFonts w:asciiTheme="majorEastAsia" w:hAnsiTheme="majorEastAsia" w:eastAsiaTheme="majorEastAsia"/>
          <w:sz w:val="22"/>
          <w:szCs w:val="22"/>
        </w:rPr>
      </w:pPr>
      <w:bookmarkStart w:id="166" w:name="_Toc44433333"/>
      <w:bookmarkStart w:id="167" w:name="_Toc44420136"/>
      <w:bookmarkStart w:id="168" w:name="_Toc28553"/>
      <w:r>
        <w:rPr>
          <w:rFonts w:asciiTheme="majorEastAsia" w:hAnsiTheme="majorEastAsia" w:eastAsiaTheme="majorEastAsia"/>
          <w:sz w:val="22"/>
          <w:szCs w:val="22"/>
        </w:rPr>
        <w:t xml:space="preserve">6.3  </w:t>
      </w:r>
      <w:r>
        <w:rPr>
          <w:rFonts w:hint="eastAsia" w:cs="宋体" w:asciiTheme="majorEastAsia" w:hAnsiTheme="majorEastAsia" w:eastAsiaTheme="majorEastAsia"/>
          <w:sz w:val="22"/>
          <w:szCs w:val="22"/>
        </w:rPr>
        <w:t>评审</w:t>
      </w:r>
      <w:bookmarkEnd w:id="166"/>
      <w:bookmarkEnd w:id="167"/>
      <w:bookmarkEnd w:id="168"/>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评审委员会按照第三章“评审办法”规定的方法、评审因素、标准和程序对比选申请文件进行评审。第三章“评审办法”没有规定的方法、评审因素和标准，不得作为评审依据。</w:t>
      </w:r>
    </w:p>
    <w:p>
      <w:pPr>
        <w:pStyle w:val="4"/>
        <w:rPr>
          <w:rFonts w:asciiTheme="majorEastAsia" w:hAnsiTheme="majorEastAsia" w:eastAsiaTheme="majorEastAsia"/>
          <w:sz w:val="22"/>
          <w:szCs w:val="22"/>
        </w:rPr>
      </w:pPr>
      <w:bookmarkStart w:id="169" w:name="_Toc15692"/>
      <w:bookmarkEnd w:id="169"/>
      <w:bookmarkStart w:id="170" w:name="_Toc44420137"/>
      <w:bookmarkStart w:id="171" w:name="_Toc44433334"/>
      <w:bookmarkStart w:id="172" w:name="_Toc12727418"/>
      <w:bookmarkStart w:id="173" w:name="_Toc12731225"/>
      <w:bookmarkStart w:id="174" w:name="_Toc14524565"/>
      <w:bookmarkStart w:id="175" w:name="_Toc2083219"/>
      <w:bookmarkStart w:id="176" w:name="_Toc12731762"/>
      <w:bookmarkStart w:id="177" w:name="_Toc5693"/>
      <w:r>
        <w:rPr>
          <w:rFonts w:asciiTheme="majorEastAsia" w:hAnsiTheme="majorEastAsia" w:eastAsiaTheme="majorEastAsia"/>
          <w:sz w:val="22"/>
          <w:szCs w:val="22"/>
        </w:rPr>
        <w:t xml:space="preserve">7.  </w:t>
      </w:r>
      <w:r>
        <w:rPr>
          <w:rFonts w:hint="eastAsia" w:cs="宋体" w:asciiTheme="majorEastAsia" w:hAnsiTheme="majorEastAsia" w:eastAsiaTheme="majorEastAsia"/>
          <w:sz w:val="22"/>
          <w:szCs w:val="22"/>
        </w:rPr>
        <w:t>合同授予</w:t>
      </w:r>
      <w:bookmarkEnd w:id="170"/>
      <w:bookmarkEnd w:id="171"/>
      <w:bookmarkEnd w:id="172"/>
      <w:bookmarkEnd w:id="173"/>
      <w:bookmarkEnd w:id="174"/>
      <w:bookmarkEnd w:id="175"/>
      <w:bookmarkEnd w:id="176"/>
      <w:bookmarkEnd w:id="177"/>
    </w:p>
    <w:p>
      <w:pPr>
        <w:pStyle w:val="5"/>
        <w:spacing w:before="0" w:line="360" w:lineRule="auto"/>
        <w:rPr>
          <w:rFonts w:asciiTheme="majorEastAsia" w:hAnsiTheme="majorEastAsia" w:eastAsiaTheme="majorEastAsia"/>
          <w:sz w:val="22"/>
          <w:szCs w:val="22"/>
        </w:rPr>
      </w:pPr>
      <w:bookmarkStart w:id="178" w:name="_Toc44420138"/>
      <w:bookmarkStart w:id="179" w:name="_Toc44433335"/>
      <w:bookmarkStart w:id="180" w:name="_Toc32198"/>
      <w:r>
        <w:rPr>
          <w:rFonts w:asciiTheme="majorEastAsia" w:hAnsiTheme="majorEastAsia" w:eastAsiaTheme="majorEastAsia"/>
          <w:sz w:val="22"/>
          <w:szCs w:val="22"/>
        </w:rPr>
        <w:t xml:space="preserve">7.1  </w:t>
      </w:r>
      <w:r>
        <w:rPr>
          <w:rFonts w:hint="eastAsia" w:cs="宋体" w:asciiTheme="majorEastAsia" w:hAnsiTheme="majorEastAsia" w:eastAsiaTheme="majorEastAsia"/>
          <w:sz w:val="22"/>
          <w:szCs w:val="22"/>
        </w:rPr>
        <w:t>定标方式</w:t>
      </w:r>
      <w:bookmarkEnd w:id="178"/>
      <w:bookmarkEnd w:id="179"/>
      <w:bookmarkEnd w:id="180"/>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除比选申请人须知前附表规定评审委员会直接确定中选人外，比选人依据评审委员会推荐的中选候选人确定中选人，评审委员会推荐中选候选人的人数见比选申请人须知前附表。</w:t>
      </w:r>
    </w:p>
    <w:p>
      <w:pPr>
        <w:pStyle w:val="5"/>
        <w:spacing w:before="0" w:line="360" w:lineRule="auto"/>
        <w:rPr>
          <w:rFonts w:asciiTheme="majorEastAsia" w:hAnsiTheme="majorEastAsia" w:eastAsiaTheme="majorEastAsia"/>
          <w:sz w:val="22"/>
          <w:szCs w:val="22"/>
        </w:rPr>
      </w:pPr>
      <w:bookmarkStart w:id="181" w:name="_Toc44433336"/>
      <w:bookmarkStart w:id="182" w:name="_Toc44420139"/>
      <w:bookmarkStart w:id="183" w:name="_Toc24174"/>
      <w:r>
        <w:rPr>
          <w:rFonts w:asciiTheme="majorEastAsia" w:hAnsiTheme="majorEastAsia" w:eastAsiaTheme="majorEastAsia"/>
          <w:sz w:val="22"/>
          <w:szCs w:val="22"/>
        </w:rPr>
        <w:t xml:space="preserve">7.2  </w:t>
      </w:r>
      <w:r>
        <w:rPr>
          <w:rFonts w:hint="eastAsia" w:cs="宋体" w:asciiTheme="majorEastAsia" w:hAnsiTheme="majorEastAsia" w:eastAsiaTheme="majorEastAsia"/>
          <w:sz w:val="22"/>
          <w:szCs w:val="22"/>
        </w:rPr>
        <w:t>中选通知</w:t>
      </w:r>
      <w:bookmarkEnd w:id="181"/>
      <w:bookmarkEnd w:id="182"/>
      <w:bookmarkEnd w:id="183"/>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在本章第</w:t>
      </w:r>
      <w:r>
        <w:rPr>
          <w:rFonts w:asciiTheme="majorEastAsia" w:hAnsiTheme="majorEastAsia" w:eastAsiaTheme="majorEastAsia"/>
          <w:sz w:val="22"/>
          <w:szCs w:val="22"/>
          <w:lang w:bidi="ar"/>
        </w:rPr>
        <w:t xml:space="preserve"> 3.3 </w:t>
      </w:r>
      <w:r>
        <w:rPr>
          <w:rFonts w:hint="eastAsia" w:cs="宋体" w:asciiTheme="majorEastAsia" w:hAnsiTheme="majorEastAsia" w:eastAsiaTheme="majorEastAsia"/>
          <w:sz w:val="22"/>
          <w:szCs w:val="22"/>
          <w:lang w:bidi="ar"/>
        </w:rPr>
        <w:t>款规定的比选申请有效期内，比选人以书面形式向中选人发出中选通知书，同</w:t>
      </w:r>
      <w:r>
        <w:rPr>
          <w:rFonts w:asciiTheme="majorEastAsia" w:hAnsiTheme="majorEastAsia" w:eastAsiaTheme="majorEastAsia"/>
          <w:sz w:val="22"/>
          <w:szCs w:val="22"/>
          <w:lang w:bidi="ar"/>
        </w:rPr>
        <w:t xml:space="preserve"> </w:t>
      </w:r>
      <w:r>
        <w:rPr>
          <w:rFonts w:hint="eastAsia" w:cs="宋体" w:asciiTheme="majorEastAsia" w:hAnsiTheme="majorEastAsia" w:eastAsiaTheme="majorEastAsia"/>
          <w:sz w:val="22"/>
          <w:szCs w:val="22"/>
          <w:lang w:bidi="ar"/>
        </w:rPr>
        <w:t>时将中选结果通知未中选的比选申请人。</w:t>
      </w:r>
    </w:p>
    <w:p>
      <w:pPr>
        <w:pStyle w:val="5"/>
        <w:spacing w:before="0" w:line="360" w:lineRule="auto"/>
        <w:rPr>
          <w:rFonts w:asciiTheme="majorEastAsia" w:hAnsiTheme="majorEastAsia" w:eastAsiaTheme="majorEastAsia"/>
          <w:sz w:val="22"/>
          <w:szCs w:val="22"/>
        </w:rPr>
      </w:pPr>
      <w:bookmarkStart w:id="184" w:name="_Toc44420140"/>
      <w:bookmarkStart w:id="185" w:name="_Toc44433337"/>
      <w:bookmarkStart w:id="186" w:name="_Toc14367"/>
      <w:r>
        <w:rPr>
          <w:rFonts w:asciiTheme="majorEastAsia" w:hAnsiTheme="majorEastAsia" w:eastAsiaTheme="majorEastAsia"/>
          <w:sz w:val="22"/>
          <w:szCs w:val="22"/>
        </w:rPr>
        <w:t xml:space="preserve">7.3  </w:t>
      </w:r>
      <w:r>
        <w:rPr>
          <w:rFonts w:hint="eastAsia" w:cs="宋体" w:asciiTheme="majorEastAsia" w:hAnsiTheme="majorEastAsia" w:eastAsiaTheme="majorEastAsia"/>
          <w:sz w:val="22"/>
          <w:szCs w:val="22"/>
        </w:rPr>
        <w:t>履约担保</w:t>
      </w:r>
      <w:bookmarkEnd w:id="184"/>
      <w:bookmarkEnd w:id="185"/>
      <w:bookmarkEnd w:id="186"/>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7.3.1  </w:t>
      </w:r>
      <w:r>
        <w:rPr>
          <w:rFonts w:hint="eastAsia" w:asciiTheme="majorEastAsia" w:hAnsiTheme="majorEastAsia" w:eastAsiaTheme="majorEastAsia"/>
          <w:sz w:val="22"/>
          <w:szCs w:val="22"/>
        </w:rPr>
        <w:t>在签订合同前，中选人应按比选申请人须知前附表规定的金额、担保形式和比选文件第四章“合同条款及格式”规定的履约担保格式向比选人提交履约担保。联合体中选的，其履约担保由牵头人递交，并应符合比选申请人须知前附表规定的金额、担保形式和比选文件第四章“合同条款及格式”规定的履约担保格式要求。</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7.3.2  </w:t>
      </w:r>
      <w:r>
        <w:rPr>
          <w:rFonts w:hint="eastAsia" w:asciiTheme="majorEastAsia" w:hAnsiTheme="majorEastAsia" w:eastAsiaTheme="majorEastAsia"/>
          <w:sz w:val="22"/>
          <w:szCs w:val="22"/>
        </w:rPr>
        <w:t>中选人不能按本章第</w:t>
      </w:r>
      <w:r>
        <w:rPr>
          <w:rFonts w:asciiTheme="majorEastAsia" w:hAnsiTheme="majorEastAsia" w:eastAsiaTheme="majorEastAsia"/>
          <w:sz w:val="22"/>
          <w:szCs w:val="22"/>
        </w:rPr>
        <w:t xml:space="preserve"> 7.3.1 </w:t>
      </w:r>
      <w:r>
        <w:rPr>
          <w:rFonts w:hint="eastAsia" w:asciiTheme="majorEastAsia" w:hAnsiTheme="majorEastAsia" w:eastAsiaTheme="majorEastAsia"/>
          <w:sz w:val="22"/>
          <w:szCs w:val="22"/>
        </w:rPr>
        <w:t>项要求提交履约担保的，视为放弃中选，其比选申请保证金不予退还，给比选人造成的损失超过比选申请保证金数额的，中选人还应当对超过部分予以赔偿。</w:t>
      </w:r>
    </w:p>
    <w:p>
      <w:pPr>
        <w:pStyle w:val="5"/>
        <w:spacing w:before="0" w:line="360" w:lineRule="auto"/>
        <w:rPr>
          <w:rFonts w:asciiTheme="majorEastAsia" w:hAnsiTheme="majorEastAsia" w:eastAsiaTheme="majorEastAsia"/>
          <w:sz w:val="22"/>
          <w:szCs w:val="22"/>
        </w:rPr>
      </w:pPr>
      <w:bookmarkStart w:id="187" w:name="_Toc44420141"/>
      <w:bookmarkStart w:id="188" w:name="_Toc44433338"/>
      <w:bookmarkStart w:id="189" w:name="_Toc13243"/>
      <w:r>
        <w:rPr>
          <w:rFonts w:asciiTheme="majorEastAsia" w:hAnsiTheme="majorEastAsia" w:eastAsiaTheme="majorEastAsia"/>
          <w:sz w:val="22"/>
          <w:szCs w:val="22"/>
        </w:rPr>
        <w:t xml:space="preserve">7.4  </w:t>
      </w:r>
      <w:r>
        <w:rPr>
          <w:rFonts w:hint="eastAsia" w:cs="宋体" w:asciiTheme="majorEastAsia" w:hAnsiTheme="majorEastAsia" w:eastAsiaTheme="majorEastAsia"/>
          <w:sz w:val="22"/>
          <w:szCs w:val="22"/>
        </w:rPr>
        <w:t>签订合同</w:t>
      </w:r>
      <w:bookmarkEnd w:id="187"/>
      <w:bookmarkEnd w:id="188"/>
      <w:bookmarkEnd w:id="189"/>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7.4.1 </w:t>
      </w:r>
      <w:r>
        <w:rPr>
          <w:rFonts w:hint="eastAsia" w:asciiTheme="majorEastAsia" w:hAnsiTheme="majorEastAsia" w:eastAsiaTheme="majorEastAsia"/>
          <w:sz w:val="22"/>
          <w:szCs w:val="22"/>
        </w:rPr>
        <w:t>比选人和中选人应当自中选通知书发出之日起30天内，根据比选文件和中选人的比选申请文件订立书面合同。中选人无正当理由拒签合同的，比选人取消其中选资格，其比选申请保证金不予退还；给比选人造成的损失超过比选申请保证金数额的，中选人还应当对超过部分予以赔偿。</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7.4.2 </w:t>
      </w:r>
      <w:r>
        <w:rPr>
          <w:rFonts w:hint="eastAsia" w:asciiTheme="majorEastAsia" w:hAnsiTheme="majorEastAsia" w:eastAsiaTheme="majorEastAsia"/>
          <w:sz w:val="22"/>
          <w:szCs w:val="22"/>
        </w:rPr>
        <w:t>发出中选通知书后，比选人无正当理由拒签合同的，比选人向中选人退还比选申请保证金；给中选人造成损失的，还应当赔偿损失。</w:t>
      </w:r>
    </w:p>
    <w:p>
      <w:pPr>
        <w:pStyle w:val="4"/>
        <w:rPr>
          <w:rFonts w:asciiTheme="majorEastAsia" w:hAnsiTheme="majorEastAsia" w:eastAsiaTheme="majorEastAsia"/>
          <w:sz w:val="22"/>
          <w:szCs w:val="22"/>
        </w:rPr>
      </w:pPr>
      <w:bookmarkStart w:id="190" w:name="_Toc17189"/>
      <w:bookmarkEnd w:id="190"/>
      <w:bookmarkStart w:id="191" w:name="_Toc14524566"/>
      <w:bookmarkStart w:id="192" w:name="_Toc44433339"/>
      <w:bookmarkStart w:id="193" w:name="_Toc12731226"/>
      <w:bookmarkStart w:id="194" w:name="_Toc12727419"/>
      <w:bookmarkStart w:id="195" w:name="_Toc44420142"/>
      <w:bookmarkStart w:id="196" w:name="_Toc2083220"/>
      <w:bookmarkStart w:id="197" w:name="_Toc29645"/>
      <w:bookmarkStart w:id="198" w:name="_Toc12731763"/>
      <w:r>
        <w:rPr>
          <w:rFonts w:asciiTheme="majorEastAsia" w:hAnsiTheme="majorEastAsia" w:eastAsiaTheme="majorEastAsia"/>
          <w:sz w:val="22"/>
          <w:szCs w:val="22"/>
        </w:rPr>
        <w:t xml:space="preserve">8.  </w:t>
      </w:r>
      <w:r>
        <w:rPr>
          <w:rFonts w:hint="eastAsia" w:cs="宋体" w:asciiTheme="majorEastAsia" w:hAnsiTheme="majorEastAsia" w:eastAsiaTheme="majorEastAsia"/>
          <w:sz w:val="22"/>
          <w:szCs w:val="22"/>
        </w:rPr>
        <w:t>重新竞选</w:t>
      </w:r>
      <w:bookmarkEnd w:id="191"/>
      <w:bookmarkEnd w:id="192"/>
      <w:bookmarkEnd w:id="193"/>
      <w:bookmarkEnd w:id="194"/>
      <w:bookmarkEnd w:id="195"/>
      <w:bookmarkEnd w:id="196"/>
      <w:bookmarkEnd w:id="197"/>
      <w:bookmarkEnd w:id="198"/>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有下列情形之一的，比选人将重新组织竞选：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）比选申请截止时间止，比选申请人少于</w:t>
      </w:r>
      <w:r>
        <w:rPr>
          <w:rFonts w:asciiTheme="majorEastAsia" w:hAnsiTheme="majorEastAsia" w:eastAsiaTheme="majorEastAsia"/>
          <w:sz w:val="22"/>
          <w:szCs w:val="22"/>
        </w:rPr>
        <w:t>3</w:t>
      </w:r>
      <w:r>
        <w:rPr>
          <w:rFonts w:hint="eastAsia" w:asciiTheme="majorEastAsia" w:hAnsiTheme="majorEastAsia" w:eastAsiaTheme="majorEastAsia"/>
          <w:sz w:val="22"/>
          <w:szCs w:val="22"/>
        </w:rPr>
        <w:t>个的；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）经评审委员会评审后否决所有竞选的。</w:t>
      </w:r>
    </w:p>
    <w:p>
      <w:pPr>
        <w:pStyle w:val="4"/>
        <w:rPr>
          <w:rFonts w:asciiTheme="majorEastAsia" w:hAnsiTheme="majorEastAsia" w:eastAsiaTheme="majorEastAsia"/>
          <w:sz w:val="22"/>
          <w:szCs w:val="22"/>
        </w:rPr>
      </w:pPr>
      <w:bookmarkStart w:id="199" w:name="_Toc20476"/>
      <w:bookmarkEnd w:id="199"/>
      <w:bookmarkStart w:id="200" w:name="_Toc12731764"/>
      <w:bookmarkStart w:id="201" w:name="_Toc12731227"/>
      <w:bookmarkStart w:id="202" w:name="_Toc44433340"/>
      <w:bookmarkStart w:id="203" w:name="_Toc14524567"/>
      <w:bookmarkStart w:id="204" w:name="_Toc12727420"/>
      <w:bookmarkStart w:id="205" w:name="_Toc44420143"/>
      <w:bookmarkStart w:id="206" w:name="_Toc2083221"/>
      <w:bookmarkStart w:id="207" w:name="_Toc29721"/>
      <w:r>
        <w:rPr>
          <w:rFonts w:asciiTheme="majorEastAsia" w:hAnsiTheme="majorEastAsia" w:eastAsiaTheme="majorEastAsia"/>
          <w:sz w:val="22"/>
          <w:szCs w:val="22"/>
        </w:rPr>
        <w:t xml:space="preserve">9.  </w:t>
      </w:r>
      <w:r>
        <w:rPr>
          <w:rFonts w:hint="eastAsia" w:cs="宋体" w:asciiTheme="majorEastAsia" w:hAnsiTheme="majorEastAsia" w:eastAsiaTheme="majorEastAsia"/>
          <w:sz w:val="22"/>
          <w:szCs w:val="22"/>
        </w:rPr>
        <w:t>纪律和监督</w:t>
      </w:r>
      <w:bookmarkEnd w:id="200"/>
      <w:bookmarkEnd w:id="201"/>
      <w:bookmarkEnd w:id="202"/>
      <w:bookmarkEnd w:id="203"/>
      <w:bookmarkEnd w:id="204"/>
      <w:bookmarkEnd w:id="205"/>
      <w:bookmarkEnd w:id="206"/>
      <w:bookmarkEnd w:id="207"/>
    </w:p>
    <w:p>
      <w:pPr>
        <w:pStyle w:val="5"/>
        <w:spacing w:before="0" w:line="360" w:lineRule="auto"/>
        <w:rPr>
          <w:rFonts w:asciiTheme="majorEastAsia" w:hAnsiTheme="majorEastAsia" w:eastAsiaTheme="majorEastAsia"/>
          <w:sz w:val="22"/>
          <w:szCs w:val="22"/>
        </w:rPr>
      </w:pPr>
      <w:bookmarkStart w:id="208" w:name="_Toc44433341"/>
      <w:bookmarkStart w:id="209" w:name="_Toc44420144"/>
      <w:bookmarkStart w:id="210" w:name="_Toc26142"/>
      <w:r>
        <w:rPr>
          <w:rFonts w:asciiTheme="majorEastAsia" w:hAnsiTheme="majorEastAsia" w:eastAsiaTheme="majorEastAsia"/>
          <w:sz w:val="22"/>
          <w:szCs w:val="22"/>
        </w:rPr>
        <w:t xml:space="preserve">9.1  </w:t>
      </w:r>
      <w:r>
        <w:rPr>
          <w:rFonts w:hint="eastAsia" w:cs="宋体" w:asciiTheme="majorEastAsia" w:hAnsiTheme="majorEastAsia" w:eastAsiaTheme="majorEastAsia"/>
          <w:sz w:val="22"/>
          <w:szCs w:val="22"/>
        </w:rPr>
        <w:t>对比选人的纪律要求</w:t>
      </w:r>
      <w:bookmarkEnd w:id="208"/>
      <w:bookmarkEnd w:id="209"/>
      <w:bookmarkEnd w:id="210"/>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比选人不得泄漏竞选活动中应当保密的情况和资料，不得与比选申请人串通损害国家利</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益、社会公共利益或者他人合法权益，禁止比选人与比选申请人串通竞选。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有下列情形之一的，属于比选人与比选申请人串通竞选：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）比选人在竞选前开启比选申请文件并将有关信息泄露给其他比选申请人；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）比选人直接或者间接向比选申请人泄露标底、评审委员会成员等信息；</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）比选人明示或者暗示比选申请人压低或者抬高比选申请报价；</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）比选人授意比选申请人撤换、修改比选申请文件；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）比选人明示或者暗示比选申请人为特定比选申请人中选提供方便；</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）比选人与比选申请人为谋求特定比选申请人中选而采取的其他串通行为。</w:t>
      </w:r>
    </w:p>
    <w:p>
      <w:pPr>
        <w:pStyle w:val="5"/>
        <w:spacing w:before="0" w:line="360" w:lineRule="auto"/>
        <w:rPr>
          <w:rFonts w:cs="Calibri" w:asciiTheme="majorEastAsia" w:hAnsiTheme="majorEastAsia" w:eastAsiaTheme="majorEastAsia"/>
          <w:sz w:val="22"/>
          <w:szCs w:val="22"/>
        </w:rPr>
      </w:pPr>
      <w:bookmarkStart w:id="211" w:name="_Toc44420145"/>
      <w:bookmarkStart w:id="212" w:name="_Toc44433342"/>
      <w:bookmarkStart w:id="213" w:name="_Toc23044"/>
      <w:r>
        <w:rPr>
          <w:rFonts w:asciiTheme="majorEastAsia" w:hAnsiTheme="majorEastAsia" w:eastAsiaTheme="majorEastAsia"/>
          <w:sz w:val="22"/>
          <w:szCs w:val="22"/>
        </w:rPr>
        <w:t xml:space="preserve">9.2  </w:t>
      </w:r>
      <w:r>
        <w:rPr>
          <w:rFonts w:hint="eastAsia" w:cs="宋体" w:asciiTheme="majorEastAsia" w:hAnsiTheme="majorEastAsia" w:eastAsiaTheme="majorEastAsia"/>
          <w:sz w:val="22"/>
          <w:szCs w:val="22"/>
        </w:rPr>
        <w:t>对比选申请人的纪律要求</w:t>
      </w:r>
      <w:bookmarkEnd w:id="211"/>
      <w:bookmarkEnd w:id="212"/>
      <w:bookmarkEnd w:id="213"/>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比选申请人不得相互串通竞选或者与比选人串通竞选，不得向比选人或者评审委员会成员行贿谋取中选，不得以他人名义竞选或者以其他方式弄虚作假骗取中选；比选申请人不得以任何方式干扰、影响评审工作。</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有下列情形之一的，属于比选申请人相互串通竞选：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）比选申请人之间协商比选申请报价等比选申请文件的实质性内容；</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）比选申请人之间约定中选人；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）比选申请人之间约定部分比选申请人放弃竞选或者中选；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）属于同一集团、协会、商会等组织成员的比选申请人按照该组织要求协同竞选；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）比选申请人之间为谋取中选或者排斥特定比选申请人而采取的其他联合行动。</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有下列情形之一的，视为比选申请人相互串通竞选：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）不同比选申请人的比选申请文件由同一单位或者个人编制；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）不同比选申请人委托同一单位或者个人办理竞选事宜；</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）不同比选申请人的比选申请文件载明的项目管理成员为同一人；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）不同比选申请人的比选申请文件异常一致或者比选申请报价呈规律性差异；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）不同比选申请人的比选申请文件相互混装；</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）不同比选申请人的比选申请保证金从同一单位或者个人的账户转出。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使用通过受让或者租借等方式获取的资格、资质证书竞选的，属于以他人名义竞选。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比选申请人有下列情形之一的，属于以其他方式弄虚作假的行为：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（一）使用伪造、变造的许可证件；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（二）提供虚假的财务状况或者业绩；</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（三）提供虚假的项目负责人或者主要技术人员简历、劳动关系证明；</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（四）提供虚假的信用状况；</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（五）其他弄虚作假的行为。</w:t>
      </w:r>
    </w:p>
    <w:p>
      <w:pPr>
        <w:pStyle w:val="5"/>
        <w:spacing w:before="0" w:line="360" w:lineRule="auto"/>
        <w:rPr>
          <w:rFonts w:cs="Calibri" w:asciiTheme="majorEastAsia" w:hAnsiTheme="majorEastAsia" w:eastAsiaTheme="majorEastAsia"/>
          <w:sz w:val="22"/>
          <w:szCs w:val="22"/>
        </w:rPr>
      </w:pPr>
      <w:bookmarkStart w:id="214" w:name="_Toc44420146"/>
      <w:bookmarkStart w:id="215" w:name="_Toc44433343"/>
      <w:bookmarkStart w:id="216" w:name="_Toc30819"/>
      <w:r>
        <w:rPr>
          <w:rFonts w:asciiTheme="majorEastAsia" w:hAnsiTheme="majorEastAsia" w:eastAsiaTheme="majorEastAsia"/>
          <w:sz w:val="22"/>
          <w:szCs w:val="22"/>
        </w:rPr>
        <w:t xml:space="preserve">9.3  </w:t>
      </w:r>
      <w:r>
        <w:rPr>
          <w:rFonts w:hint="eastAsia" w:cs="宋体" w:asciiTheme="majorEastAsia" w:hAnsiTheme="majorEastAsia" w:eastAsiaTheme="majorEastAsia"/>
          <w:sz w:val="22"/>
          <w:szCs w:val="22"/>
        </w:rPr>
        <w:t>对评审委员会成员的纪律要求</w:t>
      </w:r>
      <w:bookmarkEnd w:id="214"/>
      <w:bookmarkEnd w:id="215"/>
      <w:bookmarkEnd w:id="216"/>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评审委员会成员不得收受他人的财物或者其他好处，不得向他人透漏对比选申请文件的评审和比较、中选候选人的推荐情况以及评标有关的其他情况。在评审活动中，评审委员会成员不得擅离职守，影响评审程序正常进行，不得使用第三章“评审办法”没有规定的评审因素和标准进行评审。</w:t>
      </w:r>
    </w:p>
    <w:p>
      <w:pPr>
        <w:pStyle w:val="5"/>
        <w:spacing w:before="0" w:line="360" w:lineRule="auto"/>
        <w:rPr>
          <w:rFonts w:asciiTheme="majorEastAsia" w:hAnsiTheme="majorEastAsia" w:eastAsiaTheme="majorEastAsia"/>
          <w:sz w:val="22"/>
          <w:szCs w:val="22"/>
        </w:rPr>
      </w:pPr>
      <w:bookmarkStart w:id="217" w:name="_Toc26437"/>
      <w:bookmarkStart w:id="218" w:name="_Toc44433344"/>
      <w:bookmarkStart w:id="219" w:name="_Toc44420147"/>
      <w:r>
        <w:rPr>
          <w:rFonts w:asciiTheme="majorEastAsia" w:hAnsiTheme="majorEastAsia" w:eastAsiaTheme="majorEastAsia"/>
          <w:sz w:val="22"/>
          <w:szCs w:val="22"/>
        </w:rPr>
        <w:t xml:space="preserve">9.4  </w:t>
      </w:r>
      <w:r>
        <w:rPr>
          <w:rFonts w:hint="eastAsia" w:cs="宋体" w:asciiTheme="majorEastAsia" w:hAnsiTheme="majorEastAsia" w:eastAsiaTheme="majorEastAsia"/>
          <w:sz w:val="22"/>
          <w:szCs w:val="22"/>
        </w:rPr>
        <w:t>对与评审活动有关的工作人员的纪律要求</w:t>
      </w:r>
      <w:bookmarkEnd w:id="217"/>
      <w:bookmarkEnd w:id="218"/>
      <w:bookmarkEnd w:id="219"/>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与评审活动有关的工作人员不得收受他人的财物或者其他好处，不得向他人透漏对比选申请文件的评审和比较、中选候选人的推荐情况以及与评审有关的其他情况。在评审活动中，与评审活动有关的工作人员不得擅离职守，影响评审程序正常进行。</w:t>
      </w:r>
    </w:p>
    <w:p>
      <w:pPr>
        <w:pStyle w:val="5"/>
        <w:spacing w:before="0" w:line="360" w:lineRule="auto"/>
        <w:rPr>
          <w:rFonts w:cs="Calibri" w:asciiTheme="majorEastAsia" w:hAnsiTheme="majorEastAsia" w:eastAsiaTheme="majorEastAsia"/>
          <w:sz w:val="22"/>
          <w:szCs w:val="22"/>
        </w:rPr>
      </w:pPr>
      <w:bookmarkStart w:id="220" w:name="_Toc44420148"/>
      <w:bookmarkStart w:id="221" w:name="_Toc44433345"/>
      <w:bookmarkStart w:id="222" w:name="_Toc21520"/>
      <w:r>
        <w:rPr>
          <w:rFonts w:asciiTheme="majorEastAsia" w:hAnsiTheme="majorEastAsia" w:eastAsiaTheme="majorEastAsia"/>
          <w:sz w:val="22"/>
          <w:szCs w:val="22"/>
        </w:rPr>
        <w:t xml:space="preserve">9.5  </w:t>
      </w:r>
      <w:r>
        <w:rPr>
          <w:rFonts w:hint="eastAsia" w:cs="宋体" w:asciiTheme="majorEastAsia" w:hAnsiTheme="majorEastAsia" w:eastAsiaTheme="majorEastAsia"/>
          <w:sz w:val="22"/>
          <w:szCs w:val="22"/>
        </w:rPr>
        <w:t>投诉</w:t>
      </w:r>
      <w:bookmarkEnd w:id="220"/>
      <w:bookmarkEnd w:id="221"/>
      <w:bookmarkEnd w:id="222"/>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比选申请人和其他利害关系人认为本次竞选活动违反法律、法规和规章规定的，有权向比选人监督部门投诉。</w:t>
      </w:r>
    </w:p>
    <w:p>
      <w:pPr>
        <w:pStyle w:val="4"/>
        <w:rPr>
          <w:rFonts w:asciiTheme="majorEastAsia" w:hAnsiTheme="majorEastAsia" w:eastAsiaTheme="majorEastAsia"/>
          <w:sz w:val="22"/>
          <w:szCs w:val="22"/>
        </w:rPr>
      </w:pPr>
      <w:bookmarkStart w:id="223" w:name="_Toc2691"/>
      <w:bookmarkEnd w:id="223"/>
      <w:bookmarkStart w:id="224" w:name="_Toc12727421"/>
      <w:bookmarkStart w:id="225" w:name="_Toc12731228"/>
      <w:bookmarkStart w:id="226" w:name="_Toc12731765"/>
      <w:bookmarkStart w:id="227" w:name="_Toc44420149"/>
      <w:bookmarkStart w:id="228" w:name="_Toc2083222"/>
      <w:bookmarkStart w:id="229" w:name="_Toc14524568"/>
      <w:bookmarkStart w:id="230" w:name="_Toc44433346"/>
      <w:bookmarkStart w:id="231" w:name="_Toc23303"/>
      <w:r>
        <w:rPr>
          <w:rFonts w:asciiTheme="majorEastAsia" w:hAnsiTheme="majorEastAsia" w:eastAsiaTheme="majorEastAsia"/>
          <w:sz w:val="22"/>
          <w:szCs w:val="22"/>
        </w:rPr>
        <w:t xml:space="preserve">10. </w:t>
      </w:r>
      <w:r>
        <w:rPr>
          <w:rFonts w:hint="eastAsia" w:cs="宋体" w:asciiTheme="majorEastAsia" w:hAnsiTheme="majorEastAsia" w:eastAsiaTheme="majorEastAsia"/>
          <w:sz w:val="22"/>
          <w:szCs w:val="22"/>
        </w:rPr>
        <w:t>需要补充的其他内容</w:t>
      </w:r>
      <w:bookmarkEnd w:id="224"/>
      <w:bookmarkEnd w:id="225"/>
      <w:bookmarkEnd w:id="226"/>
      <w:bookmarkEnd w:id="227"/>
      <w:bookmarkEnd w:id="228"/>
      <w:bookmarkEnd w:id="229"/>
      <w:bookmarkEnd w:id="230"/>
      <w:bookmarkEnd w:id="231"/>
    </w:p>
    <w:p>
      <w:pPr>
        <w:spacing w:line="360" w:lineRule="auto"/>
        <w:ind w:firstLine="440"/>
        <w:rPr>
          <w:rFonts w:asciiTheme="majorEastAsia" w:hAnsiTheme="majorEastAsia" w:eastAsiaTheme="majorEastAsia"/>
          <w:sz w:val="22"/>
          <w:szCs w:val="22"/>
        </w:rPr>
      </w:pPr>
      <w:bookmarkStart w:id="232" w:name="_Toc44420150"/>
      <w:r>
        <w:rPr>
          <w:rFonts w:hint="eastAsia" w:asciiTheme="majorEastAsia" w:hAnsiTheme="majorEastAsia" w:eastAsiaTheme="majorEastAsia"/>
          <w:sz w:val="22"/>
          <w:szCs w:val="22"/>
        </w:rPr>
        <w:t>需要补充的其他内容：见比选申请人须知前附表。</w:t>
      </w:r>
      <w:bookmarkEnd w:id="232"/>
    </w:p>
    <w:p>
      <w:pPr>
        <w:spacing w:line="360" w:lineRule="auto"/>
        <w:ind w:firstLine="440"/>
        <w:rPr>
          <w:rFonts w:asciiTheme="majorEastAsia" w:hAnsiTheme="majorEastAsia" w:eastAsiaTheme="majorEastAsia"/>
          <w:sz w:val="22"/>
          <w:szCs w:val="22"/>
        </w:rPr>
      </w:pPr>
    </w:p>
    <w:p>
      <w:pPr>
        <w:autoSpaceDE w:val="0"/>
        <w:autoSpaceDN w:val="0"/>
        <w:adjustRightInd w:val="0"/>
        <w:snapToGrid w:val="0"/>
        <w:spacing w:line="360" w:lineRule="auto"/>
        <w:ind w:firstLine="420" w:firstLineChars="200"/>
        <w:jc w:val="left"/>
        <w:rPr>
          <w:rFonts w:asciiTheme="majorEastAsia" w:hAnsiTheme="majorEastAsia" w:eastAsiaTheme="majorEastAsia"/>
          <w:snapToGrid w:val="0"/>
          <w:kern w:val="0"/>
          <w:szCs w:val="21"/>
        </w:rPr>
      </w:pPr>
      <w:r>
        <w:rPr>
          <w:rFonts w:asciiTheme="majorEastAsia" w:hAnsiTheme="majorEastAsia" w:eastAsiaTheme="majorEastAsia"/>
          <w:snapToGrid w:val="0"/>
          <w:kern w:val="0"/>
          <w:szCs w:val="21"/>
        </w:rPr>
        <w:br w:type="page"/>
      </w:r>
    </w:p>
    <w:bookmarkEnd w:id="33"/>
    <w:p>
      <w:pPr>
        <w:pStyle w:val="3"/>
        <w:ind w:left="0" w:firstLine="0"/>
        <w:rPr>
          <w:rFonts w:asciiTheme="majorEastAsia" w:hAnsiTheme="majorEastAsia" w:eastAsiaTheme="majorEastAsia"/>
          <w:kern w:val="0"/>
          <w:sz w:val="36"/>
          <w:szCs w:val="36"/>
        </w:rPr>
      </w:pPr>
      <w:bookmarkStart w:id="233" w:name="_Toc28097766"/>
      <w:bookmarkStart w:id="234" w:name="_Toc12555"/>
      <w:r>
        <w:rPr>
          <w:rFonts w:hint="eastAsia" w:asciiTheme="majorEastAsia" w:hAnsiTheme="majorEastAsia" w:eastAsiaTheme="majorEastAsia"/>
          <w:b/>
          <w:kern w:val="0"/>
          <w:sz w:val="36"/>
          <w:szCs w:val="36"/>
        </w:rPr>
        <w:t>第三章</w:t>
      </w:r>
      <w:bookmarkStart w:id="235" w:name="_Toc27815"/>
      <w:bookmarkStart w:id="236" w:name="_Toc29175"/>
      <w:bookmarkStart w:id="237" w:name="_Toc260312556"/>
      <w:bookmarkStart w:id="238" w:name="_Toc262469204"/>
      <w:r>
        <w:rPr>
          <w:rFonts w:hint="eastAsia" w:asciiTheme="majorEastAsia" w:hAnsiTheme="majorEastAsia" w:eastAsiaTheme="majorEastAsia"/>
          <w:b/>
          <w:kern w:val="0"/>
          <w:sz w:val="36"/>
          <w:szCs w:val="36"/>
        </w:rPr>
        <w:t xml:space="preserve"> 评审</w:t>
      </w:r>
      <w:r>
        <w:rPr>
          <w:rFonts w:asciiTheme="majorEastAsia" w:hAnsiTheme="majorEastAsia" w:eastAsiaTheme="majorEastAsia"/>
          <w:b/>
          <w:kern w:val="0"/>
          <w:sz w:val="36"/>
          <w:szCs w:val="36"/>
        </w:rPr>
        <w:t>办法</w:t>
      </w:r>
      <w:bookmarkEnd w:id="233"/>
      <w:bookmarkEnd w:id="235"/>
      <w:bookmarkEnd w:id="236"/>
      <w:bookmarkEnd w:id="237"/>
      <w:bookmarkEnd w:id="238"/>
      <w:r>
        <w:rPr>
          <w:rFonts w:hint="eastAsia" w:asciiTheme="majorEastAsia" w:hAnsiTheme="majorEastAsia" w:eastAsiaTheme="majorEastAsia"/>
          <w:b/>
          <w:kern w:val="0"/>
          <w:sz w:val="36"/>
          <w:szCs w:val="36"/>
        </w:rPr>
        <w:t>（</w:t>
      </w:r>
      <w:r>
        <w:rPr>
          <w:rFonts w:asciiTheme="majorEastAsia" w:hAnsiTheme="majorEastAsia" w:eastAsiaTheme="majorEastAsia"/>
          <w:b/>
          <w:kern w:val="0"/>
          <w:sz w:val="36"/>
          <w:szCs w:val="36"/>
        </w:rPr>
        <w:t>综合评估法</w:t>
      </w:r>
      <w:r>
        <w:rPr>
          <w:rFonts w:hint="eastAsia" w:asciiTheme="majorEastAsia" w:hAnsiTheme="majorEastAsia" w:eastAsiaTheme="majorEastAsia"/>
          <w:b/>
          <w:kern w:val="0"/>
          <w:sz w:val="36"/>
          <w:szCs w:val="36"/>
        </w:rPr>
        <w:t>）</w:t>
      </w:r>
      <w:bookmarkEnd w:id="234"/>
    </w:p>
    <w:p>
      <w:pPr>
        <w:keepNext/>
        <w:keepLines/>
        <w:spacing w:line="360" w:lineRule="auto"/>
        <w:outlineLvl w:val="1"/>
        <w:rPr>
          <w:rFonts w:asciiTheme="majorEastAsia" w:hAnsiTheme="majorEastAsia" w:eastAsiaTheme="majorEastAsia"/>
          <w:b/>
          <w:bCs/>
          <w:sz w:val="24"/>
          <w:szCs w:val="28"/>
        </w:rPr>
      </w:pPr>
      <w:bookmarkStart w:id="239" w:name="_Toc432115588"/>
      <w:bookmarkStart w:id="240" w:name="_Toc507402417"/>
      <w:bookmarkStart w:id="241" w:name="_Toc447114685"/>
      <w:bookmarkStart w:id="242" w:name="_Toc260312558"/>
      <w:bookmarkStart w:id="243" w:name="_Toc9623"/>
      <w:bookmarkStart w:id="244" w:name="_Toc30110"/>
      <w:bookmarkStart w:id="245" w:name="_Toc13687"/>
      <w:r>
        <w:rPr>
          <w:rFonts w:hint="eastAsia" w:asciiTheme="majorEastAsia" w:hAnsiTheme="majorEastAsia" w:eastAsiaTheme="majorEastAsia"/>
          <w:b/>
          <w:bCs/>
          <w:sz w:val="24"/>
          <w:szCs w:val="28"/>
        </w:rPr>
        <w:t>评标办法前附表</w:t>
      </w:r>
      <w:bookmarkEnd w:id="239"/>
      <w:bookmarkEnd w:id="240"/>
      <w:bookmarkEnd w:id="241"/>
      <w:bookmarkEnd w:id="242"/>
      <w:bookmarkEnd w:id="243"/>
      <w:bookmarkEnd w:id="244"/>
      <w:bookmarkEnd w:id="245"/>
    </w:p>
    <w:tbl>
      <w:tblPr>
        <w:tblStyle w:val="57"/>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1"/>
        <w:gridCol w:w="1051"/>
        <w:gridCol w:w="1985"/>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blHeader/>
          <w:jc w:val="center"/>
        </w:trPr>
        <w:tc>
          <w:tcPr>
            <w:tcW w:w="1965" w:type="dxa"/>
            <w:gridSpan w:val="3"/>
            <w:vAlign w:val="center"/>
          </w:tcPr>
          <w:p>
            <w:pPr>
              <w:spacing w:line="360" w:lineRule="auto"/>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条款号</w:t>
            </w:r>
          </w:p>
        </w:tc>
        <w:tc>
          <w:tcPr>
            <w:tcW w:w="1985" w:type="dxa"/>
            <w:vAlign w:val="center"/>
          </w:tcPr>
          <w:p>
            <w:pPr>
              <w:spacing w:line="360" w:lineRule="auto"/>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评审因素</w:t>
            </w:r>
          </w:p>
        </w:tc>
        <w:tc>
          <w:tcPr>
            <w:tcW w:w="5650" w:type="dxa"/>
            <w:vAlign w:val="center"/>
          </w:tcPr>
          <w:p>
            <w:pPr>
              <w:spacing w:line="360" w:lineRule="auto"/>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restart"/>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1.1</w:t>
            </w:r>
          </w:p>
        </w:tc>
        <w:tc>
          <w:tcPr>
            <w:tcW w:w="1051" w:type="dxa"/>
            <w:vMerge w:val="restart"/>
            <w:textDirection w:val="tbRlV"/>
            <w:vAlign w:val="center"/>
          </w:tcPr>
          <w:p>
            <w:pPr>
              <w:spacing w:line="360" w:lineRule="auto"/>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形式评审标准</w:t>
            </w: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比选申请人名称</w:t>
            </w:r>
          </w:p>
        </w:tc>
        <w:tc>
          <w:tcPr>
            <w:tcW w:w="5650" w:type="dxa"/>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与营业执照、资质证书的名称一致。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b/>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比选申请函签字盖章</w:t>
            </w:r>
          </w:p>
        </w:tc>
        <w:tc>
          <w:tcPr>
            <w:tcW w:w="5650" w:type="dxa"/>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b/>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比选申请文件格式</w:t>
            </w:r>
          </w:p>
        </w:tc>
        <w:tc>
          <w:tcPr>
            <w:tcW w:w="5650" w:type="dxa"/>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符合第八章“比选申请文件格式”的要求，同时字迹清晰可辨。</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1.比选申请函应符合比选文件的规定；</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2.比选申请文件内容均按比选文件规定填写；</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3.比选申请文件正本、副本数量符合比选文件要求；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4.比选申请文件的编制符合第二章“比选申请人须知”3.7项的规定。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b/>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报价唯一</w:t>
            </w:r>
          </w:p>
        </w:tc>
        <w:tc>
          <w:tcPr>
            <w:tcW w:w="5650" w:type="dxa"/>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b/>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比选申请文件的签署</w:t>
            </w:r>
          </w:p>
        </w:tc>
        <w:tc>
          <w:tcPr>
            <w:tcW w:w="5650" w:type="dxa"/>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比选申请文件上法定代表人或其授权代理人的签字齐全。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3"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b/>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委托代理人</w:t>
            </w:r>
          </w:p>
        </w:tc>
        <w:tc>
          <w:tcPr>
            <w:tcW w:w="5650" w:type="dxa"/>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b/>
                <w:sz w:val="22"/>
                <w:szCs w:val="22"/>
              </w:rPr>
            </w:pPr>
          </w:p>
        </w:tc>
        <w:tc>
          <w:tcPr>
            <w:tcW w:w="1985" w:type="dxa"/>
            <w:vAlign w:val="center"/>
          </w:tcPr>
          <w:p>
            <w:pPr>
              <w:spacing w:line="400" w:lineRule="exact"/>
              <w:jc w:val="center"/>
              <w:rPr>
                <w:rFonts w:ascii="宋体" w:hAnsi="宋体"/>
                <w:kern w:val="0"/>
              </w:rPr>
            </w:pPr>
            <w:r>
              <w:rPr>
                <w:rFonts w:ascii="宋体" w:hAnsi="宋体"/>
                <w:kern w:val="0"/>
              </w:rPr>
              <w:t>联合体投标人</w:t>
            </w:r>
          </w:p>
        </w:tc>
        <w:tc>
          <w:tcPr>
            <w:tcW w:w="5650" w:type="dxa"/>
            <w:vAlign w:val="center"/>
          </w:tcPr>
          <w:p>
            <w:pPr>
              <w:spacing w:line="360" w:lineRule="auto"/>
              <w:ind w:firstLine="440"/>
              <w:rPr>
                <w:rFonts w:asciiTheme="majorEastAsia" w:hAnsiTheme="majorEastAsia" w:eastAsiaTheme="majorEastAsia"/>
                <w:sz w:val="22"/>
                <w:szCs w:val="22"/>
              </w:rPr>
            </w:pPr>
            <w:r>
              <w:rPr>
                <w:rFonts w:ascii="宋体" w:hAnsi="宋体"/>
                <w:kern w:val="0"/>
              </w:rPr>
              <w:t>提交联合体协议书，并明确联合体牵头人</w:t>
            </w:r>
            <w:r>
              <w:rPr>
                <w:rFonts w:hint="eastAsia" w:ascii="宋体" w:hAnsi="宋体"/>
                <w:kern w:val="0"/>
              </w:rPr>
              <w:t>。在联合体协议中须明确由联合体牵头人委派委托代理人。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gridSpan w:val="2"/>
            <w:vMerge w:val="restart"/>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1.2</w:t>
            </w:r>
          </w:p>
        </w:tc>
        <w:tc>
          <w:tcPr>
            <w:tcW w:w="1051" w:type="dxa"/>
            <w:vMerge w:val="restart"/>
            <w:textDirection w:val="tbRlV"/>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资格评审标准</w:t>
            </w: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营业执照</w:t>
            </w:r>
          </w:p>
        </w:tc>
        <w:tc>
          <w:tcPr>
            <w:tcW w:w="5650" w:type="dxa"/>
            <w:tcBorders>
              <w:left w:val="single" w:color="auto" w:sz="6"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gridSpan w:val="2"/>
            <w:vMerge w:val="continue"/>
            <w:vAlign w:val="center"/>
          </w:tcPr>
          <w:p>
            <w:pPr>
              <w:spacing w:line="360" w:lineRule="auto"/>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360" w:lineRule="auto"/>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资质要求</w:t>
            </w:r>
          </w:p>
        </w:tc>
        <w:tc>
          <w:tcPr>
            <w:tcW w:w="5650" w:type="dxa"/>
            <w:tcBorders>
              <w:left w:val="single" w:color="auto" w:sz="6"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gridSpan w:val="2"/>
            <w:vMerge w:val="continue"/>
            <w:vAlign w:val="center"/>
          </w:tcPr>
          <w:p>
            <w:pPr>
              <w:spacing w:line="360" w:lineRule="auto"/>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360" w:lineRule="auto"/>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安全生产条件</w:t>
            </w:r>
          </w:p>
        </w:tc>
        <w:tc>
          <w:tcPr>
            <w:tcW w:w="5650" w:type="dxa"/>
            <w:tcBorders>
              <w:left w:val="single" w:color="auto" w:sz="6"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914" w:type="dxa"/>
            <w:gridSpan w:val="2"/>
            <w:vMerge w:val="continue"/>
            <w:vAlign w:val="center"/>
          </w:tcPr>
          <w:p>
            <w:pPr>
              <w:spacing w:line="360" w:lineRule="auto"/>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360" w:lineRule="auto"/>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项目经理资格要求</w:t>
            </w:r>
          </w:p>
        </w:tc>
        <w:tc>
          <w:tcPr>
            <w:tcW w:w="5650" w:type="dxa"/>
            <w:tcBorders>
              <w:left w:val="single" w:color="auto" w:sz="6"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914" w:type="dxa"/>
            <w:gridSpan w:val="2"/>
            <w:vMerge w:val="continue"/>
            <w:vAlign w:val="center"/>
          </w:tcPr>
          <w:p>
            <w:pPr>
              <w:spacing w:line="360" w:lineRule="auto"/>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360" w:lineRule="auto"/>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设计负责人资格要求</w:t>
            </w:r>
          </w:p>
        </w:tc>
        <w:tc>
          <w:tcPr>
            <w:tcW w:w="5650" w:type="dxa"/>
            <w:tcBorders>
              <w:left w:val="single" w:color="auto" w:sz="6"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14" w:type="dxa"/>
            <w:gridSpan w:val="2"/>
            <w:vMerge w:val="continue"/>
            <w:vAlign w:val="center"/>
          </w:tcPr>
          <w:p>
            <w:pPr>
              <w:spacing w:line="360" w:lineRule="auto"/>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360" w:lineRule="auto"/>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主要管理人员要求</w:t>
            </w:r>
          </w:p>
        </w:tc>
        <w:tc>
          <w:tcPr>
            <w:tcW w:w="5650" w:type="dxa"/>
            <w:tcBorders>
              <w:left w:val="single" w:color="auto" w:sz="6"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14" w:type="dxa"/>
            <w:gridSpan w:val="2"/>
            <w:vMerge w:val="continue"/>
            <w:vAlign w:val="center"/>
          </w:tcPr>
          <w:p>
            <w:pPr>
              <w:spacing w:line="360" w:lineRule="auto"/>
              <w:ind w:firstLine="440"/>
              <w:rPr>
                <w:rFonts w:asciiTheme="majorEastAsia" w:hAnsiTheme="majorEastAsia" w:eastAsiaTheme="majorEastAsia"/>
                <w:sz w:val="22"/>
                <w:szCs w:val="22"/>
              </w:rPr>
            </w:pPr>
          </w:p>
        </w:tc>
        <w:tc>
          <w:tcPr>
            <w:tcW w:w="1051" w:type="dxa"/>
            <w:vMerge w:val="continue"/>
            <w:textDirection w:val="tbRlV"/>
            <w:vAlign w:val="center"/>
          </w:tcPr>
          <w:p>
            <w:pPr>
              <w:spacing w:line="360" w:lineRule="auto"/>
              <w:ind w:firstLine="440"/>
              <w:rPr>
                <w:rFonts w:asciiTheme="majorEastAsia" w:hAnsiTheme="majorEastAsia" w:eastAsiaTheme="majorEastAsia"/>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信誉要求</w:t>
            </w:r>
          </w:p>
        </w:tc>
        <w:tc>
          <w:tcPr>
            <w:tcW w:w="5650" w:type="dxa"/>
            <w:tcBorders>
              <w:left w:val="single" w:color="auto" w:sz="6" w:space="0"/>
            </w:tcBorders>
            <w:vAlign w:val="center"/>
          </w:tcPr>
          <w:p>
            <w:pPr>
              <w:spacing w:line="360" w:lineRule="auto"/>
              <w:ind w:firstLine="440"/>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14" w:type="dxa"/>
            <w:gridSpan w:val="2"/>
            <w:vMerge w:val="continue"/>
            <w:vAlign w:val="center"/>
          </w:tcPr>
          <w:p>
            <w:pPr>
              <w:spacing w:line="360" w:lineRule="auto"/>
              <w:ind w:firstLine="440"/>
              <w:rPr>
                <w:rFonts w:asciiTheme="majorEastAsia" w:hAnsiTheme="majorEastAsia" w:eastAsiaTheme="majorEastAsia"/>
                <w:sz w:val="22"/>
                <w:szCs w:val="22"/>
              </w:rPr>
            </w:pPr>
          </w:p>
        </w:tc>
        <w:tc>
          <w:tcPr>
            <w:tcW w:w="1051" w:type="dxa"/>
            <w:vMerge w:val="continue"/>
            <w:textDirection w:val="tbRlV"/>
            <w:vAlign w:val="center"/>
          </w:tcPr>
          <w:p>
            <w:pPr>
              <w:spacing w:line="360" w:lineRule="auto"/>
              <w:ind w:firstLine="440"/>
              <w:rPr>
                <w:rFonts w:asciiTheme="majorEastAsia" w:hAnsiTheme="majorEastAsia" w:eastAsiaTheme="majorEastAsia"/>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其他要求</w:t>
            </w:r>
          </w:p>
        </w:tc>
        <w:tc>
          <w:tcPr>
            <w:tcW w:w="5650" w:type="dxa"/>
            <w:tcBorders>
              <w:left w:val="single" w:color="auto" w:sz="6" w:space="0"/>
            </w:tcBorders>
            <w:vAlign w:val="center"/>
          </w:tcPr>
          <w:p>
            <w:pPr>
              <w:spacing w:line="360" w:lineRule="auto"/>
              <w:ind w:firstLine="440"/>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14" w:type="dxa"/>
            <w:gridSpan w:val="2"/>
            <w:vMerge w:val="continue"/>
            <w:vAlign w:val="center"/>
          </w:tcPr>
          <w:p>
            <w:pPr>
              <w:spacing w:line="360" w:lineRule="auto"/>
              <w:ind w:firstLine="440"/>
              <w:rPr>
                <w:rFonts w:asciiTheme="majorEastAsia" w:hAnsiTheme="majorEastAsia" w:eastAsiaTheme="majorEastAsia"/>
                <w:sz w:val="22"/>
                <w:szCs w:val="22"/>
              </w:rPr>
            </w:pPr>
          </w:p>
        </w:tc>
        <w:tc>
          <w:tcPr>
            <w:tcW w:w="1051" w:type="dxa"/>
            <w:vMerge w:val="continue"/>
            <w:textDirection w:val="tbRlV"/>
            <w:vAlign w:val="center"/>
          </w:tcPr>
          <w:p>
            <w:pPr>
              <w:spacing w:line="360" w:lineRule="auto"/>
              <w:ind w:firstLine="440"/>
              <w:rPr>
                <w:rFonts w:asciiTheme="majorEastAsia" w:hAnsiTheme="majorEastAsia" w:eastAsiaTheme="majorEastAsia"/>
                <w:sz w:val="22"/>
                <w:szCs w:val="22"/>
              </w:rPr>
            </w:pPr>
          </w:p>
        </w:tc>
        <w:tc>
          <w:tcPr>
            <w:tcW w:w="1985" w:type="dxa"/>
            <w:tcBorders>
              <w:right w:val="single" w:color="auto" w:sz="6" w:space="0"/>
            </w:tcBorders>
            <w:vAlign w:val="center"/>
          </w:tcPr>
          <w:p>
            <w:pPr>
              <w:spacing w:line="360" w:lineRule="auto"/>
              <w:jc w:val="center"/>
              <w:rPr>
                <w:rFonts w:cs="宋体" w:asciiTheme="majorEastAsia" w:hAnsiTheme="majorEastAsia" w:eastAsiaTheme="majorEastAsia"/>
                <w:kern w:val="0"/>
                <w:sz w:val="22"/>
                <w:szCs w:val="22"/>
              </w:rPr>
            </w:pPr>
            <w:r>
              <w:rPr>
                <w:rFonts w:ascii="宋体" w:hAnsi="宋体"/>
                <w:kern w:val="0"/>
              </w:rPr>
              <w:t>联合体投标人</w:t>
            </w:r>
          </w:p>
        </w:tc>
        <w:tc>
          <w:tcPr>
            <w:tcW w:w="5650" w:type="dxa"/>
            <w:tcBorders>
              <w:left w:val="single" w:color="auto" w:sz="6" w:space="0"/>
            </w:tcBorders>
            <w:vAlign w:val="center"/>
          </w:tcPr>
          <w:p>
            <w:pPr>
              <w:spacing w:line="360" w:lineRule="auto"/>
              <w:ind w:firstLine="440"/>
              <w:rPr>
                <w:rFonts w:cs="宋体" w:asciiTheme="majorEastAsia" w:hAnsiTheme="majorEastAsia" w:eastAsiaTheme="majorEastAsia"/>
                <w:kern w:val="0"/>
                <w:sz w:val="22"/>
                <w:szCs w:val="22"/>
              </w:rPr>
            </w:pPr>
            <w:r>
              <w:rPr>
                <w:rFonts w:ascii="宋体" w:hAnsi="宋体"/>
                <w:kern w:val="0"/>
              </w:rPr>
              <w:t>符合第二章“</w:t>
            </w:r>
            <w:r>
              <w:rPr>
                <w:rFonts w:hint="eastAsia" w:cs="宋体" w:asciiTheme="majorEastAsia" w:hAnsiTheme="majorEastAsia" w:eastAsiaTheme="majorEastAsia"/>
                <w:kern w:val="0"/>
                <w:sz w:val="22"/>
                <w:szCs w:val="22"/>
              </w:rPr>
              <w:t>比选申请人须知前附表</w:t>
            </w:r>
            <w:r>
              <w:rPr>
                <w:rFonts w:ascii="宋体" w:hAnsi="宋体"/>
                <w:kern w:val="0"/>
              </w:rPr>
              <w:t>”第1.4.2项规定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restart"/>
            <w:vAlign w:val="center"/>
          </w:tcPr>
          <w:p>
            <w:pPr>
              <w:spacing w:line="360" w:lineRule="auto"/>
              <w:jc w:val="center"/>
              <w:rPr>
                <w:rFonts w:cs="宋体" w:asciiTheme="majorEastAsia" w:hAnsiTheme="majorEastAsia" w:eastAsiaTheme="majorEastAsia"/>
                <w:sz w:val="22"/>
                <w:szCs w:val="22"/>
              </w:rPr>
            </w:pPr>
            <w:r>
              <w:rPr>
                <w:rFonts w:hint="eastAsia" w:cs="宋体" w:asciiTheme="majorEastAsia" w:hAnsiTheme="majorEastAsia" w:eastAsiaTheme="majorEastAsia"/>
                <w:kern w:val="0"/>
                <w:sz w:val="22"/>
                <w:szCs w:val="22"/>
              </w:rPr>
              <w:t>1.3</w:t>
            </w:r>
          </w:p>
        </w:tc>
        <w:tc>
          <w:tcPr>
            <w:tcW w:w="1051" w:type="dxa"/>
            <w:vMerge w:val="restart"/>
            <w:textDirection w:val="tbRlV"/>
            <w:vAlign w:val="center"/>
          </w:tcPr>
          <w:p>
            <w:pPr>
              <w:spacing w:line="360" w:lineRule="auto"/>
              <w:jc w:val="center"/>
              <w:rPr>
                <w:rFonts w:cs="宋体" w:asciiTheme="majorEastAsia" w:hAnsiTheme="majorEastAsia" w:eastAsiaTheme="majorEastAsia"/>
                <w:sz w:val="22"/>
                <w:szCs w:val="22"/>
              </w:rPr>
            </w:pPr>
            <w:r>
              <w:rPr>
                <w:rFonts w:hint="eastAsia" w:cs="宋体" w:asciiTheme="majorEastAsia" w:hAnsiTheme="majorEastAsia" w:eastAsiaTheme="majorEastAsia"/>
                <w:kern w:val="0"/>
                <w:sz w:val="22"/>
                <w:szCs w:val="22"/>
              </w:rPr>
              <w:t>响应性评审标准</w:t>
            </w: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比选申请总报价</w:t>
            </w:r>
          </w:p>
        </w:tc>
        <w:tc>
          <w:tcPr>
            <w:tcW w:w="5650" w:type="dxa"/>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比选申请总报价不得高于或等于比选人公布的最高限价。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比选申请内容</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1.3.1</w:t>
            </w:r>
            <w:r>
              <w:rPr>
                <w:rFonts w:hint="eastAsia" w:asciiTheme="majorEastAsia" w:hAnsiTheme="majorEastAsia" w:eastAsiaTheme="major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工期</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1.3.2</w:t>
            </w:r>
            <w:r>
              <w:rPr>
                <w:rFonts w:hint="eastAsia" w:asciiTheme="majorEastAsia" w:hAnsiTheme="majorEastAsia" w:eastAsiaTheme="major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工程质量</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1.3.3</w:t>
            </w:r>
            <w:r>
              <w:rPr>
                <w:rFonts w:hint="eastAsia" w:asciiTheme="majorEastAsia" w:hAnsiTheme="majorEastAsia" w:eastAsiaTheme="major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比选申请有效期</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3.3</w:t>
            </w:r>
            <w:r>
              <w:rPr>
                <w:rFonts w:hint="eastAsia" w:asciiTheme="majorEastAsia" w:hAnsiTheme="majorEastAsia" w:eastAsiaTheme="major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比选申请保证金</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权利义务</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符合第四章“合同条款及格式”规定，比选申请文件不应附有比选人不能接受的条件。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技术标准和要求</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符合第七章“技术标准和要求”规定，且比选申请文件中载明的主要施工技术和方法及质量检验标准符合国家规范、规程和强制性标准。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gridSpan w:val="2"/>
            <w:vMerge w:val="continue"/>
          </w:tcPr>
          <w:p>
            <w:pPr>
              <w:spacing w:line="360" w:lineRule="auto"/>
              <w:jc w:val="center"/>
              <w:rPr>
                <w:rFonts w:cs="宋体" w:asciiTheme="majorEastAsia" w:hAnsiTheme="majorEastAsia" w:eastAsiaTheme="majorEastAsia"/>
                <w:sz w:val="22"/>
                <w:szCs w:val="22"/>
              </w:rPr>
            </w:pPr>
          </w:p>
        </w:tc>
        <w:tc>
          <w:tcPr>
            <w:tcW w:w="1051" w:type="dxa"/>
            <w:vMerge w:val="continue"/>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ind w:firstLine="440"/>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实质性要求</w:t>
            </w:r>
          </w:p>
        </w:tc>
        <w:tc>
          <w:tcPr>
            <w:tcW w:w="5650" w:type="dxa"/>
            <w:vAlign w:val="center"/>
          </w:tcPr>
          <w:p>
            <w:pPr>
              <w:spacing w:line="360" w:lineRule="auto"/>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65" w:type="dxa"/>
            <w:gridSpan w:val="3"/>
            <w:vAlign w:val="center"/>
          </w:tcPr>
          <w:p>
            <w:pPr>
              <w:spacing w:line="360" w:lineRule="auto"/>
              <w:jc w:val="center"/>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2.2</w:t>
            </w:r>
            <w:r>
              <w:rPr>
                <w:rFonts w:cs="宋体" w:asciiTheme="majorEastAsia" w:hAnsiTheme="majorEastAsia" w:eastAsiaTheme="majorEastAsia"/>
                <w:sz w:val="22"/>
                <w:szCs w:val="22"/>
              </w:rPr>
              <w:t>.1</w:t>
            </w:r>
          </w:p>
        </w:tc>
        <w:tc>
          <w:tcPr>
            <w:tcW w:w="1985" w:type="dxa"/>
            <w:vAlign w:val="center"/>
          </w:tcPr>
          <w:p>
            <w:pPr>
              <w:spacing w:line="360" w:lineRule="auto"/>
              <w:jc w:val="center"/>
              <w:rPr>
                <w:rFonts w:asciiTheme="majorEastAsia" w:hAnsiTheme="majorEastAsia" w:eastAsiaTheme="majorEastAsia"/>
                <w:sz w:val="22"/>
                <w:szCs w:val="22"/>
              </w:rPr>
            </w:pPr>
            <w:r>
              <w:rPr>
                <w:rFonts w:ascii="宋体" w:hAnsi="宋体"/>
                <w:kern w:val="0"/>
              </w:rPr>
              <w:t>分值构成 （总分1</w:t>
            </w:r>
            <w:r>
              <w:rPr>
                <w:rFonts w:hint="eastAsia" w:ascii="宋体" w:hAnsi="宋体"/>
                <w:kern w:val="0"/>
              </w:rPr>
              <w:t>00</w:t>
            </w:r>
            <w:r>
              <w:rPr>
                <w:rFonts w:ascii="宋体" w:hAnsi="宋体"/>
                <w:kern w:val="0"/>
              </w:rPr>
              <w:t>分）</w:t>
            </w:r>
          </w:p>
        </w:tc>
        <w:tc>
          <w:tcPr>
            <w:tcW w:w="5650" w:type="dxa"/>
            <w:vAlign w:val="center"/>
          </w:tcPr>
          <w:p>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1.技术部分</w:t>
            </w:r>
            <w:r>
              <w:rPr>
                <w:rFonts w:hint="eastAsia" w:asciiTheme="minorEastAsia" w:hAnsiTheme="minorEastAsia" w:eastAsiaTheme="minorEastAsia" w:cstheme="minorEastAsia"/>
                <w:kern w:val="0"/>
                <w:u w:val="single"/>
              </w:rPr>
              <w:t>40</w:t>
            </w:r>
            <w:r>
              <w:rPr>
                <w:rFonts w:hint="eastAsia" w:asciiTheme="minorEastAsia" w:hAnsiTheme="minorEastAsia" w:eastAsiaTheme="minorEastAsia" w:cstheme="minorEastAsia"/>
                <w:kern w:val="0"/>
              </w:rPr>
              <w:t>分；[提示：不高于40分]</w:t>
            </w:r>
          </w:p>
          <w:p>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□（1）设计方案</w:t>
            </w:r>
            <w:r>
              <w:rPr>
                <w:rFonts w:hint="eastAsia" w:asciiTheme="minorEastAsia" w:hAnsiTheme="minorEastAsia" w:eastAsiaTheme="minorEastAsia" w:cstheme="minorEastAsia"/>
                <w:kern w:val="0"/>
                <w:u w:val="single"/>
              </w:rPr>
              <w:t>40</w:t>
            </w:r>
            <w:r>
              <w:rPr>
                <w:rFonts w:hint="eastAsia" w:asciiTheme="minorEastAsia" w:hAnsiTheme="minorEastAsia" w:eastAsiaTheme="minorEastAsia" w:cstheme="minorEastAsia"/>
                <w:kern w:val="0"/>
              </w:rPr>
              <w:t>分；</w:t>
            </w:r>
          </w:p>
          <w:p>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2.经济部分</w:t>
            </w:r>
            <w:r>
              <w:rPr>
                <w:rFonts w:hint="eastAsia" w:asciiTheme="minorEastAsia" w:hAnsiTheme="minorEastAsia" w:eastAsiaTheme="minorEastAsia" w:cstheme="minorEastAsia"/>
                <w:kern w:val="0"/>
                <w:u w:val="single"/>
              </w:rPr>
              <w:t>60</w:t>
            </w:r>
            <w:r>
              <w:rPr>
                <w:rFonts w:hint="eastAsia" w:asciiTheme="minorEastAsia" w:hAnsiTheme="minorEastAsia" w:eastAsiaTheme="minorEastAsia" w:cstheme="minorEastAsia"/>
                <w:kern w:val="0"/>
              </w:rPr>
              <w:t>分；[提示：不低于60分]</w:t>
            </w:r>
          </w:p>
          <w:p>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□（1）设计费投标报价</w:t>
            </w:r>
            <w:r>
              <w:rPr>
                <w:rFonts w:hint="eastAsia" w:asciiTheme="minorEastAsia" w:hAnsiTheme="minorEastAsia" w:eastAsiaTheme="minorEastAsia" w:cstheme="minorEastAsia"/>
                <w:kern w:val="0"/>
                <w:u w:val="single"/>
              </w:rPr>
              <w:t>20</w:t>
            </w:r>
            <w:r>
              <w:rPr>
                <w:rFonts w:hint="eastAsia" w:asciiTheme="minorEastAsia" w:hAnsiTheme="minorEastAsia" w:eastAsiaTheme="minorEastAsia" w:cstheme="minorEastAsia"/>
                <w:kern w:val="0"/>
              </w:rPr>
              <w:t>分；</w:t>
            </w:r>
          </w:p>
          <w:p>
            <w:pPr>
              <w:spacing w:line="360" w:lineRule="auto"/>
              <w:ind w:firstLine="440"/>
              <w:rPr>
                <w:rFonts w:asciiTheme="majorEastAsia" w:hAnsiTheme="majorEastAsia" w:eastAsiaTheme="majorEastAsia"/>
                <w:sz w:val="22"/>
                <w:szCs w:val="22"/>
              </w:rPr>
            </w:pPr>
            <w:r>
              <w:rPr>
                <w:rFonts w:hint="eastAsia" w:asciiTheme="minorEastAsia" w:hAnsiTheme="minorEastAsia" w:eastAsiaTheme="minorEastAsia" w:cstheme="minorEastAsia"/>
                <w:kern w:val="0"/>
              </w:rPr>
              <w:t>□（2）建筑安装工程费投标报价</w:t>
            </w:r>
            <w:r>
              <w:rPr>
                <w:rFonts w:hint="eastAsia" w:asciiTheme="minorEastAsia" w:hAnsiTheme="minorEastAsia" w:eastAsiaTheme="minorEastAsia" w:cstheme="minorEastAsia"/>
                <w:kern w:val="0"/>
                <w:u w:val="single"/>
              </w:rPr>
              <w:t>40</w:t>
            </w:r>
            <w:r>
              <w:rPr>
                <w:rFonts w:hint="eastAsia" w:asciiTheme="minorEastAsia" w:hAnsiTheme="minorEastAsia" w:eastAsiaTheme="minorEastAsia" w:cstheme="minorEastAsia"/>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65" w:type="dxa"/>
            <w:gridSpan w:val="3"/>
            <w:vAlign w:val="center"/>
          </w:tcPr>
          <w:p>
            <w:pPr>
              <w:spacing w:line="360" w:lineRule="auto"/>
              <w:jc w:val="center"/>
              <w:rPr>
                <w:rFonts w:cs="宋体" w:asciiTheme="majorEastAsia" w:hAnsiTheme="majorEastAsia" w:eastAsiaTheme="majorEastAsia"/>
                <w:sz w:val="22"/>
                <w:szCs w:val="22"/>
              </w:rPr>
            </w:pPr>
          </w:p>
        </w:tc>
        <w:tc>
          <w:tcPr>
            <w:tcW w:w="1985" w:type="dxa"/>
            <w:vAlign w:val="center"/>
          </w:tcPr>
          <w:p>
            <w:pPr>
              <w:spacing w:line="360" w:lineRule="auto"/>
              <w:jc w:val="center"/>
              <w:rPr>
                <w:rFonts w:asciiTheme="majorEastAsia" w:hAnsiTheme="majorEastAsia" w:eastAsiaTheme="majorEastAsia"/>
                <w:sz w:val="22"/>
                <w:szCs w:val="22"/>
              </w:rPr>
            </w:pPr>
          </w:p>
        </w:tc>
        <w:tc>
          <w:tcPr>
            <w:tcW w:w="5650" w:type="dxa"/>
            <w:vAlign w:val="center"/>
          </w:tcPr>
          <w:p>
            <w:pPr>
              <w:spacing w:line="360" w:lineRule="auto"/>
              <w:ind w:firstLine="440"/>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Merge w:val="restart"/>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2.2.2</w:t>
            </w:r>
          </w:p>
        </w:tc>
        <w:tc>
          <w:tcPr>
            <w:tcW w:w="1062" w:type="dxa"/>
            <w:gridSpan w:val="2"/>
            <w:vMerge w:val="restart"/>
            <w:textDirection w:val="tbRlV"/>
            <w:vAlign w:val="center"/>
          </w:tcPr>
          <w:p>
            <w:pPr>
              <w:spacing w:line="360" w:lineRule="auto"/>
              <w:jc w:val="center"/>
              <w:rPr>
                <w:rFonts w:cs="宋体" w:asciiTheme="majorEastAsia" w:hAnsiTheme="majorEastAsia" w:eastAsiaTheme="majorEastAsia"/>
                <w:kern w:val="0"/>
                <w:sz w:val="22"/>
                <w:szCs w:val="22"/>
              </w:rPr>
            </w:pPr>
            <w:r>
              <w:rPr>
                <w:rFonts w:ascii="宋体" w:hAnsi="宋体"/>
                <w:kern w:val="0"/>
              </w:rPr>
              <w:t>评标基准价计算方法</w:t>
            </w:r>
          </w:p>
        </w:tc>
        <w:tc>
          <w:tcPr>
            <w:tcW w:w="1985" w:type="dxa"/>
            <w:vAlign w:val="center"/>
          </w:tcPr>
          <w:p>
            <w:pPr>
              <w:spacing w:line="360" w:lineRule="auto"/>
              <w:ind w:firstLine="440"/>
              <w:rPr>
                <w:rFonts w:cs="宋体" w:asciiTheme="majorEastAsia" w:hAnsiTheme="majorEastAsia" w:eastAsiaTheme="majorEastAsia"/>
                <w:sz w:val="22"/>
                <w:szCs w:val="22"/>
              </w:rPr>
            </w:pPr>
            <w:r>
              <w:rPr>
                <w:rFonts w:hint="eastAsia" w:ascii="宋体" w:hAnsi="宋体" w:cs="宋体"/>
                <w:kern w:val="0"/>
              </w:rPr>
              <w:t>设计费报价</w:t>
            </w:r>
          </w:p>
        </w:tc>
        <w:tc>
          <w:tcPr>
            <w:tcW w:w="5650" w:type="dxa"/>
          </w:tcPr>
          <w:p>
            <w:pPr>
              <w:snapToGrid w:val="0"/>
              <w:spacing w:line="400" w:lineRule="exact"/>
              <w:ind w:firstLine="420" w:firstLineChars="200"/>
              <w:jc w:val="left"/>
              <w:rPr>
                <w:rFonts w:ascii="宋体" w:hAnsi="宋体"/>
                <w:kern w:val="0"/>
                <w:szCs w:val="21"/>
              </w:rPr>
            </w:pPr>
            <w:r>
              <w:rPr>
                <w:rFonts w:ascii="宋体" w:hAnsi="宋体"/>
                <w:kern w:val="0"/>
              </w:rPr>
              <w:t>1.</w:t>
            </w:r>
            <w:r>
              <w:rPr>
                <w:rFonts w:hint="eastAsia" w:ascii="宋体" w:hAnsi="宋体"/>
                <w:kern w:val="0"/>
              </w:rPr>
              <w:t xml:space="preserve"> </w:t>
            </w:r>
            <w:r>
              <w:rPr>
                <w:rFonts w:ascii="宋体" w:hAnsi="宋体"/>
                <w:kern w:val="0"/>
                <w:szCs w:val="21"/>
              </w:rPr>
              <w:t>所有通过初步评审</w:t>
            </w:r>
            <w:r>
              <w:rPr>
                <w:rFonts w:hint="eastAsia" w:ascii="宋体" w:hAnsi="宋体"/>
                <w:kern w:val="0"/>
                <w:szCs w:val="21"/>
              </w:rPr>
              <w:t>和本章第2.2.2（3）目评审</w:t>
            </w:r>
            <w:r>
              <w:rPr>
                <w:rFonts w:ascii="宋体" w:hAnsi="宋体"/>
                <w:kern w:val="0"/>
                <w:szCs w:val="21"/>
              </w:rPr>
              <w:t>合格的投标人</w:t>
            </w:r>
            <w:r>
              <w:rPr>
                <w:rFonts w:ascii="宋体" w:hAnsi="宋体"/>
                <w:szCs w:val="21"/>
              </w:rPr>
              <w:t>的</w:t>
            </w:r>
            <w:r>
              <w:rPr>
                <w:rFonts w:hint="eastAsia" w:ascii="宋体" w:hAnsi="宋体"/>
                <w:szCs w:val="21"/>
              </w:rPr>
              <w:t>暂定设计费</w:t>
            </w:r>
            <w:r>
              <w:rPr>
                <w:rFonts w:ascii="宋体" w:hAnsi="宋体"/>
                <w:szCs w:val="21"/>
              </w:rPr>
              <w:t>报</w:t>
            </w:r>
            <w:r>
              <w:rPr>
                <w:rFonts w:ascii="宋体" w:hAnsi="宋体"/>
                <w:kern w:val="0"/>
                <w:szCs w:val="21"/>
              </w:rPr>
              <w:t>价中去掉六分之一（不能整除的按小数点前整数取整，不足六家报价则不去掉）的最低价和相同家数的最高价后的算术平均值</w:t>
            </w:r>
            <w:r>
              <w:rPr>
                <w:rFonts w:hint="eastAsia" w:ascii="宋体" w:hAnsi="宋体" w:cs="宋体"/>
                <w:kern w:val="0"/>
                <w:szCs w:val="21"/>
              </w:rPr>
              <w:t>即为</w:t>
            </w:r>
            <w:r>
              <w:rPr>
                <w:rFonts w:ascii="宋体" w:hAnsi="宋体"/>
                <w:kern w:val="0"/>
                <w:szCs w:val="21"/>
              </w:rPr>
              <w:t>本项目的</w:t>
            </w:r>
            <w:r>
              <w:rPr>
                <w:rFonts w:hint="eastAsia" w:ascii="宋体" w:hAnsi="宋体"/>
                <w:kern w:val="0"/>
                <w:szCs w:val="21"/>
              </w:rPr>
              <w:t>暂定</w:t>
            </w:r>
            <w:r>
              <w:rPr>
                <w:rFonts w:hint="eastAsia" w:ascii="宋体" w:hAnsi="宋体" w:cs="宋体"/>
                <w:kern w:val="0"/>
                <w:szCs w:val="21"/>
              </w:rPr>
              <w:t>设计费评标基准价</w:t>
            </w:r>
            <w:r>
              <w:rPr>
                <w:rFonts w:ascii="宋体" w:hAnsi="宋体"/>
                <w:kern w:val="0"/>
                <w:szCs w:val="21"/>
              </w:rPr>
              <w:t>P1。</w:t>
            </w:r>
          </w:p>
          <w:p>
            <w:pPr>
              <w:snapToGrid w:val="0"/>
              <w:spacing w:line="400" w:lineRule="exact"/>
              <w:ind w:firstLine="420" w:firstLineChars="200"/>
              <w:rPr>
                <w:rFonts w:ascii="宋体" w:hAnsi="宋体"/>
                <w:kern w:val="0"/>
                <w:szCs w:val="21"/>
              </w:rPr>
            </w:pPr>
            <w:r>
              <w:rPr>
                <w:rFonts w:hint="eastAsia" w:ascii="宋体" w:hAnsi="宋体"/>
                <w:kern w:val="0"/>
                <w:szCs w:val="21"/>
              </w:rPr>
              <w:t>评标基准价</w:t>
            </w:r>
            <w:r>
              <w:rPr>
                <w:rFonts w:ascii="宋体" w:hAnsi="宋体"/>
                <w:kern w:val="0"/>
                <w:szCs w:val="21"/>
              </w:rPr>
              <w:t>计算</w:t>
            </w:r>
            <w:r>
              <w:rPr>
                <w:rFonts w:hint="eastAsia" w:ascii="宋体" w:hAnsi="宋体"/>
                <w:kern w:val="0"/>
                <w:szCs w:val="21"/>
              </w:rPr>
              <w:t>的最终结果</w:t>
            </w:r>
            <w:r>
              <w:rPr>
                <w:rFonts w:ascii="宋体" w:hAnsi="宋体"/>
                <w:kern w:val="0"/>
                <w:szCs w:val="21"/>
              </w:rPr>
              <w:t>取小数点后两位，第三位四舍五入。</w:t>
            </w:r>
          </w:p>
          <w:p>
            <w:pPr>
              <w:spacing w:line="360" w:lineRule="auto"/>
              <w:ind w:firstLine="440"/>
              <w:rPr>
                <w:rFonts w:cs="宋体" w:asciiTheme="majorEastAsia" w:hAnsiTheme="majorEastAsia" w:eastAsiaTheme="majorEastAsia"/>
                <w:sz w:val="22"/>
                <w:szCs w:val="22"/>
              </w:rPr>
            </w:pPr>
            <w:r>
              <w:rPr>
                <w:rFonts w:ascii="宋体" w:hAnsi="宋体"/>
                <w:kern w:val="0"/>
                <w:szCs w:val="21"/>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Merge w:val="continue"/>
            <w:vAlign w:val="center"/>
          </w:tcPr>
          <w:p>
            <w:pPr>
              <w:spacing w:line="360" w:lineRule="auto"/>
              <w:jc w:val="center"/>
              <w:rPr>
                <w:rFonts w:cs="宋体" w:asciiTheme="majorEastAsia" w:hAnsiTheme="majorEastAsia" w:eastAsiaTheme="majorEastAsia"/>
                <w:kern w:val="0"/>
                <w:sz w:val="22"/>
                <w:szCs w:val="22"/>
              </w:rPr>
            </w:pPr>
          </w:p>
        </w:tc>
        <w:tc>
          <w:tcPr>
            <w:tcW w:w="1062" w:type="dxa"/>
            <w:gridSpan w:val="2"/>
            <w:vMerge w:val="continue"/>
            <w:textDirection w:val="tbRlV"/>
            <w:vAlign w:val="center"/>
          </w:tcPr>
          <w:p>
            <w:pPr>
              <w:spacing w:line="360" w:lineRule="auto"/>
              <w:jc w:val="center"/>
              <w:rPr>
                <w:rFonts w:ascii="宋体" w:hAnsi="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建筑安装工程费报价</w:t>
            </w:r>
          </w:p>
        </w:tc>
        <w:tc>
          <w:tcPr>
            <w:tcW w:w="5650" w:type="dxa"/>
          </w:tcPr>
          <w:p>
            <w:pPr>
              <w:snapToGrid w:val="0"/>
              <w:spacing w:line="400" w:lineRule="exact"/>
              <w:ind w:firstLine="420" w:firstLineChars="200"/>
              <w:jc w:val="left"/>
              <w:rPr>
                <w:rFonts w:ascii="宋体" w:hAnsi="宋体"/>
                <w:kern w:val="0"/>
                <w:szCs w:val="21"/>
              </w:rPr>
            </w:pPr>
            <w:r>
              <w:rPr>
                <w:rFonts w:ascii="宋体" w:hAnsi="宋体"/>
                <w:kern w:val="0"/>
              </w:rPr>
              <w:t>1.</w:t>
            </w:r>
            <w:r>
              <w:rPr>
                <w:rFonts w:hint="eastAsia" w:ascii="宋体" w:hAnsi="宋体"/>
                <w:kern w:val="0"/>
              </w:rPr>
              <w:t xml:space="preserve"> </w:t>
            </w:r>
            <w:r>
              <w:rPr>
                <w:rFonts w:ascii="宋体" w:hAnsi="宋体"/>
                <w:kern w:val="0"/>
                <w:szCs w:val="21"/>
              </w:rPr>
              <w:t>所有通过初步评审</w:t>
            </w:r>
            <w:r>
              <w:rPr>
                <w:rFonts w:hint="eastAsia" w:ascii="宋体" w:hAnsi="宋体"/>
                <w:kern w:val="0"/>
                <w:szCs w:val="21"/>
              </w:rPr>
              <w:t>和本章第2.2.2（3）目评审</w:t>
            </w:r>
            <w:r>
              <w:rPr>
                <w:rFonts w:ascii="宋体" w:hAnsi="宋体"/>
                <w:kern w:val="0"/>
                <w:szCs w:val="21"/>
              </w:rPr>
              <w:t>合格的投标人</w:t>
            </w:r>
            <w:r>
              <w:rPr>
                <w:rFonts w:ascii="宋体" w:hAnsi="宋体"/>
                <w:szCs w:val="21"/>
              </w:rPr>
              <w:t>的</w:t>
            </w:r>
            <w:r>
              <w:rPr>
                <w:rFonts w:hint="eastAsia" w:ascii="宋体" w:hAnsi="宋体"/>
                <w:szCs w:val="21"/>
              </w:rPr>
              <w:t>暂定建筑安装工程费</w:t>
            </w:r>
            <w:r>
              <w:rPr>
                <w:rFonts w:ascii="宋体" w:hAnsi="宋体"/>
                <w:szCs w:val="21"/>
              </w:rPr>
              <w:t>报</w:t>
            </w:r>
            <w:r>
              <w:rPr>
                <w:rFonts w:ascii="宋体" w:hAnsi="宋体"/>
                <w:kern w:val="0"/>
                <w:szCs w:val="21"/>
              </w:rPr>
              <w:t>价中去掉六分之一（不能整除的按小数点前整数取整，不足六家报价则不去掉）的最低价和相同家数的最高价后的算术平均值</w:t>
            </w:r>
            <w:r>
              <w:rPr>
                <w:rFonts w:hint="eastAsia" w:ascii="宋体" w:hAnsi="宋体"/>
                <w:kern w:val="0"/>
                <w:szCs w:val="21"/>
              </w:rPr>
              <w:t>M</w:t>
            </w:r>
            <w:r>
              <w:rPr>
                <w:rFonts w:ascii="宋体" w:hAnsi="宋体"/>
                <w:kern w:val="0"/>
                <w:szCs w:val="21"/>
              </w:rPr>
              <w:t>1。</w:t>
            </w:r>
          </w:p>
          <w:p>
            <w:pPr>
              <w:snapToGrid w:val="0"/>
              <w:spacing w:line="400" w:lineRule="exact"/>
              <w:ind w:firstLine="420" w:firstLineChars="200"/>
              <w:rPr>
                <w:rFonts w:ascii="宋体" w:hAnsi="宋体"/>
                <w:kern w:val="0"/>
                <w:szCs w:val="21"/>
              </w:rPr>
            </w:pPr>
            <w:r>
              <w:rPr>
                <w:rFonts w:hint="eastAsia" w:ascii="宋体" w:hAnsi="宋体"/>
                <w:kern w:val="0"/>
              </w:rPr>
              <w:t>2</w:t>
            </w:r>
            <w:r>
              <w:rPr>
                <w:rFonts w:ascii="宋体" w:hAnsi="宋体"/>
                <w:kern w:val="0"/>
              </w:rPr>
              <w:t>.</w:t>
            </w:r>
            <w:r>
              <w:rPr>
                <w:rFonts w:hint="eastAsia" w:ascii="宋体" w:hAnsi="宋体"/>
                <w:kern w:val="0"/>
              </w:rPr>
              <w:t xml:space="preserve"> </w:t>
            </w:r>
            <w:r>
              <w:rPr>
                <w:rFonts w:ascii="宋体" w:hAnsi="宋体"/>
                <w:kern w:val="0"/>
                <w:szCs w:val="21"/>
              </w:rPr>
              <w:t>算术平均值</w:t>
            </w:r>
            <w:r>
              <w:rPr>
                <w:rFonts w:hint="eastAsia" w:ascii="宋体" w:hAnsi="宋体"/>
                <w:kern w:val="0"/>
                <w:szCs w:val="21"/>
              </w:rPr>
              <w:t>M</w:t>
            </w:r>
            <w:r>
              <w:rPr>
                <w:rFonts w:ascii="宋体" w:hAnsi="宋体"/>
                <w:kern w:val="0"/>
                <w:szCs w:val="21"/>
              </w:rPr>
              <w:t>1乘以本项目</w:t>
            </w:r>
            <w:r>
              <w:rPr>
                <w:rFonts w:hint="eastAsia" w:ascii="宋体" w:hAnsi="宋体"/>
                <w:kern w:val="0"/>
                <w:szCs w:val="21"/>
              </w:rPr>
              <w:t>暂定建筑安装工程费报价</w:t>
            </w:r>
            <w:r>
              <w:rPr>
                <w:rFonts w:ascii="宋体" w:hAnsi="宋体"/>
                <w:kern w:val="0"/>
                <w:szCs w:val="21"/>
              </w:rPr>
              <w:t>评标基准价浮动值</w:t>
            </w:r>
            <w:r>
              <w:rPr>
                <w:rFonts w:hint="eastAsia" w:ascii="宋体" w:hAnsi="宋体"/>
                <w:kern w:val="0"/>
                <w:szCs w:val="21"/>
              </w:rPr>
              <w:t>（</w:t>
            </w:r>
            <w:r>
              <w:rPr>
                <w:rFonts w:ascii="宋体" w:hAnsi="宋体"/>
                <w:kern w:val="0"/>
                <w:szCs w:val="21"/>
              </w:rPr>
              <w:t>1-N1</w:t>
            </w:r>
            <w:r>
              <w:rPr>
                <w:rFonts w:hint="eastAsia" w:ascii="宋体" w:hAnsi="宋体"/>
                <w:kern w:val="0"/>
                <w:szCs w:val="21"/>
              </w:rPr>
              <w:t>）</w:t>
            </w:r>
            <w:r>
              <w:rPr>
                <w:rFonts w:ascii="宋体" w:hAnsi="宋体"/>
                <w:kern w:val="0"/>
                <w:szCs w:val="21"/>
              </w:rPr>
              <w:t>，即为本项目的</w:t>
            </w:r>
            <w:r>
              <w:rPr>
                <w:rFonts w:hint="eastAsia" w:ascii="宋体" w:hAnsi="宋体"/>
                <w:kern w:val="0"/>
                <w:szCs w:val="21"/>
              </w:rPr>
              <w:t>暂定建筑安装工程费报价</w:t>
            </w:r>
            <w:r>
              <w:rPr>
                <w:rFonts w:ascii="宋体" w:hAnsi="宋体"/>
                <w:kern w:val="0"/>
                <w:szCs w:val="21"/>
              </w:rPr>
              <w:t>的评标基准价</w:t>
            </w:r>
            <w:r>
              <w:rPr>
                <w:rFonts w:hint="eastAsia" w:ascii="宋体" w:hAnsi="宋体"/>
                <w:kern w:val="0"/>
                <w:szCs w:val="21"/>
              </w:rPr>
              <w:t>M</w:t>
            </w:r>
            <w:r>
              <w:rPr>
                <w:rFonts w:ascii="宋体" w:hAnsi="宋体"/>
                <w:kern w:val="0"/>
                <w:szCs w:val="21"/>
              </w:rPr>
              <w:t>2。（</w:t>
            </w:r>
            <w:r>
              <w:rPr>
                <w:rFonts w:hint="eastAsia" w:ascii="宋体" w:hAnsi="宋体"/>
                <w:kern w:val="0"/>
                <w:szCs w:val="21"/>
              </w:rPr>
              <w:t>暂定建筑安装工程费报价</w:t>
            </w:r>
            <w:r>
              <w:rPr>
                <w:rFonts w:ascii="宋体" w:hAnsi="宋体"/>
                <w:kern w:val="0"/>
                <w:szCs w:val="21"/>
              </w:rPr>
              <w:t>评标基准价浮动值N1范围为</w:t>
            </w:r>
            <w:r>
              <w:rPr>
                <w:rFonts w:hint="eastAsia" w:ascii="宋体" w:hAnsi="宋体"/>
                <w:kern w:val="0"/>
              </w:rPr>
              <w:t>0</w:t>
            </w:r>
            <w:r>
              <w:rPr>
                <w:rFonts w:ascii="宋体" w:hAnsi="宋体"/>
                <w:kern w:val="0"/>
              </w:rPr>
              <w:t>%～</w:t>
            </w:r>
            <w:r>
              <w:rPr>
                <w:rFonts w:hint="eastAsia" w:ascii="宋体" w:hAnsi="宋体"/>
                <w:kern w:val="0"/>
              </w:rPr>
              <w:t>5%</w:t>
            </w:r>
            <w:r>
              <w:rPr>
                <w:rFonts w:ascii="宋体" w:hAnsi="宋体"/>
                <w:kern w:val="0"/>
              </w:rPr>
              <w:t>，浮动值</w:t>
            </w:r>
            <w:r>
              <w:rPr>
                <w:rFonts w:ascii="宋体" w:hAnsi="宋体"/>
                <w:kern w:val="0"/>
                <w:szCs w:val="21"/>
              </w:rPr>
              <w:t>N1在开标现场随机抽取决定</w:t>
            </w:r>
            <w:r>
              <w:rPr>
                <w:rFonts w:hint="eastAsia" w:ascii="宋体" w:hAnsi="宋体"/>
                <w:kern w:val="0"/>
                <w:szCs w:val="21"/>
              </w:rPr>
              <w:t>或由招标人直接确定</w:t>
            </w:r>
            <w:r>
              <w:rPr>
                <w:rFonts w:ascii="宋体" w:hAnsi="宋体"/>
                <w:kern w:val="0"/>
                <w:szCs w:val="21"/>
              </w:rPr>
              <w:t>）</w:t>
            </w:r>
          </w:p>
          <w:p>
            <w:pPr>
              <w:snapToGrid w:val="0"/>
              <w:spacing w:line="400" w:lineRule="exact"/>
              <w:ind w:firstLine="420" w:firstLineChars="200"/>
              <w:rPr>
                <w:rFonts w:ascii="宋体" w:hAnsi="宋体"/>
                <w:iCs/>
                <w:kern w:val="0"/>
                <w:szCs w:val="21"/>
              </w:rPr>
            </w:pPr>
            <w:r>
              <w:rPr>
                <w:rFonts w:hint="eastAsia" w:ascii="宋体" w:hAnsi="宋体"/>
                <w:bCs/>
                <w:iCs/>
                <w:szCs w:val="21"/>
              </w:rPr>
              <w:t>[提示：</w:t>
            </w:r>
            <w:r>
              <w:rPr>
                <w:rFonts w:hint="eastAsia" w:ascii="宋体" w:hAnsi="宋体"/>
                <w:iCs/>
                <w:kern w:val="0"/>
                <w:szCs w:val="21"/>
              </w:rPr>
              <w:t>可以以M1作为暂定建筑安装工程费报价的评标基准价，若采用M1时，浮动值N1填“0”</w:t>
            </w:r>
            <w:r>
              <w:rPr>
                <w:rFonts w:hint="eastAsia" w:ascii="宋体" w:hAnsi="宋体"/>
                <w:iCs/>
                <w:kern w:val="0"/>
              </w:rPr>
              <w:t>]</w:t>
            </w:r>
            <w:r>
              <w:rPr>
                <w:rFonts w:hint="eastAsia" w:ascii="宋体" w:hAnsi="宋体"/>
                <w:iCs/>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评标基准价</w:t>
            </w:r>
            <w:r>
              <w:rPr>
                <w:rFonts w:ascii="宋体" w:hAnsi="宋体"/>
                <w:kern w:val="0"/>
                <w:szCs w:val="21"/>
              </w:rPr>
              <w:t>计算</w:t>
            </w:r>
            <w:r>
              <w:rPr>
                <w:rFonts w:hint="eastAsia" w:ascii="宋体" w:hAnsi="宋体"/>
                <w:kern w:val="0"/>
                <w:szCs w:val="21"/>
              </w:rPr>
              <w:t>的最终结果</w:t>
            </w:r>
            <w:r>
              <w:rPr>
                <w:rFonts w:ascii="宋体" w:hAnsi="宋体"/>
                <w:kern w:val="0"/>
                <w:szCs w:val="21"/>
              </w:rPr>
              <w:t>取小数点后两位，第三位四舍五入。</w:t>
            </w:r>
          </w:p>
          <w:p>
            <w:pPr>
              <w:snapToGrid w:val="0"/>
              <w:spacing w:line="400" w:lineRule="exact"/>
              <w:ind w:firstLine="420" w:firstLineChars="200"/>
              <w:rPr>
                <w:rFonts w:ascii="宋体" w:hAnsi="宋体"/>
                <w:kern w:val="0"/>
                <w:szCs w:val="21"/>
              </w:rPr>
            </w:pPr>
            <w:r>
              <w:rPr>
                <w:rFonts w:ascii="宋体" w:hAnsi="宋体"/>
                <w:kern w:val="0"/>
                <w:szCs w:val="21"/>
              </w:rPr>
              <w:t>在评标基准价计算完成后（除计算错误外），在后续的评审中不得再对其做出调整。</w:t>
            </w:r>
          </w:p>
          <w:p>
            <w:pPr>
              <w:spacing w:line="360" w:lineRule="auto"/>
              <w:ind w:firstLine="440"/>
              <w:rPr>
                <w:rFonts w:cs="宋体" w:asciiTheme="majorEastAsia" w:hAnsiTheme="majorEastAsia" w:eastAsiaTheme="majorEastAsia"/>
                <w:sz w:val="22"/>
                <w:szCs w:val="22"/>
              </w:rPr>
            </w:pPr>
            <w:r>
              <w:rPr>
                <w:rFonts w:ascii="宋体" w:hAnsi="宋体"/>
                <w:kern w:val="0"/>
                <w:szCs w:val="21"/>
              </w:rPr>
              <w:t>浮动值N1的范围百分数取整。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Align w:val="center"/>
          </w:tcPr>
          <w:p>
            <w:pPr>
              <w:spacing w:line="360" w:lineRule="auto"/>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2.2.3</w:t>
            </w:r>
          </w:p>
        </w:tc>
        <w:tc>
          <w:tcPr>
            <w:tcW w:w="3047" w:type="dxa"/>
            <w:gridSpan w:val="3"/>
            <w:vAlign w:val="center"/>
          </w:tcPr>
          <w:p>
            <w:pPr>
              <w:snapToGrid w:val="0"/>
              <w:spacing w:line="400" w:lineRule="exact"/>
              <w:jc w:val="center"/>
              <w:rPr>
                <w:rFonts w:ascii="宋体" w:hAnsi="宋体" w:cs="宋体"/>
                <w:kern w:val="0"/>
              </w:rPr>
            </w:pPr>
            <w:r>
              <w:rPr>
                <w:rFonts w:hint="eastAsia" w:ascii="宋体" w:hAnsi="宋体"/>
                <w:kern w:val="0"/>
              </w:rPr>
              <w:t>偏差率计算</w:t>
            </w:r>
          </w:p>
        </w:tc>
        <w:tc>
          <w:tcPr>
            <w:tcW w:w="5650" w:type="dxa"/>
          </w:tcPr>
          <w:p>
            <w:pPr>
              <w:spacing w:line="400" w:lineRule="exact"/>
              <w:ind w:firstLine="420" w:firstLineChars="200"/>
              <w:jc w:val="left"/>
              <w:rPr>
                <w:rFonts w:ascii="宋体" w:hAnsi="宋体"/>
                <w:kern w:val="0"/>
              </w:rPr>
            </w:pPr>
            <w:r>
              <w:rPr>
                <w:rFonts w:ascii="宋体" w:hAnsi="宋体"/>
                <w:kern w:val="0"/>
              </w:rPr>
              <w:t>投标报价的偏差率计算公式</w:t>
            </w:r>
          </w:p>
          <w:p>
            <w:pPr>
              <w:spacing w:line="400" w:lineRule="exact"/>
              <w:ind w:firstLine="420" w:firstLineChars="200"/>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100％×（投标报价一评标基准价P</w:t>
            </w:r>
            <w:r>
              <w:rPr>
                <w:rFonts w:hint="eastAsia" w:ascii="宋体" w:hAnsi="宋体"/>
                <w:kern w:val="0"/>
              </w:rPr>
              <w:t>1</w:t>
            </w:r>
            <w:r>
              <w:rPr>
                <w:rFonts w:ascii="宋体" w:hAnsi="宋体"/>
                <w:kern w:val="0"/>
              </w:rPr>
              <w:t>（或P</w:t>
            </w:r>
            <w:r>
              <w:rPr>
                <w:rFonts w:hint="eastAsia" w:ascii="宋体" w:hAnsi="宋体"/>
                <w:kern w:val="0"/>
              </w:rPr>
              <w:t>2</w:t>
            </w:r>
            <w:r>
              <w:rPr>
                <w:rFonts w:ascii="宋体" w:hAnsi="宋体"/>
                <w:kern w:val="0"/>
              </w:rPr>
              <w:t>或</w:t>
            </w:r>
            <w:r>
              <w:rPr>
                <w:rFonts w:hint="eastAsia" w:ascii="宋体" w:hAnsi="宋体"/>
                <w:kern w:val="0"/>
              </w:rPr>
              <w:t>Q1或M1或M2</w:t>
            </w:r>
            <w:r>
              <w:rPr>
                <w:rFonts w:ascii="宋体" w:hAnsi="宋体"/>
                <w:kern w:val="0"/>
              </w:rPr>
              <w:t>））／评标基准价P</w:t>
            </w:r>
            <w:r>
              <w:rPr>
                <w:rFonts w:hint="eastAsia" w:ascii="宋体" w:hAnsi="宋体"/>
                <w:kern w:val="0"/>
              </w:rPr>
              <w:t>1</w:t>
            </w:r>
            <w:r>
              <w:rPr>
                <w:rFonts w:ascii="宋体" w:hAnsi="宋体"/>
                <w:kern w:val="0"/>
              </w:rPr>
              <w:t>（或P</w:t>
            </w:r>
            <w:r>
              <w:rPr>
                <w:rFonts w:hint="eastAsia" w:ascii="宋体" w:hAnsi="宋体"/>
                <w:kern w:val="0"/>
              </w:rPr>
              <w:t>2</w:t>
            </w:r>
            <w:r>
              <w:rPr>
                <w:rFonts w:ascii="宋体" w:hAnsi="宋体"/>
                <w:kern w:val="0"/>
              </w:rPr>
              <w:t>或</w:t>
            </w:r>
            <w:r>
              <w:rPr>
                <w:rFonts w:hint="eastAsia" w:ascii="宋体" w:hAnsi="宋体"/>
                <w:kern w:val="0"/>
              </w:rPr>
              <w:t>Q1或M1或M2</w:t>
            </w:r>
            <w:r>
              <w:rPr>
                <w:rFonts w:ascii="宋体" w:hAnsi="宋体"/>
                <w:kern w:val="0"/>
              </w:rPr>
              <w:t>）</w:t>
            </w:r>
          </w:p>
          <w:p>
            <w:pPr>
              <w:snapToGrid w:val="0"/>
              <w:spacing w:line="400" w:lineRule="exact"/>
              <w:ind w:firstLine="420" w:firstLineChars="200"/>
              <w:jc w:val="left"/>
              <w:rPr>
                <w:rFonts w:ascii="宋体" w:hAnsi="宋体"/>
                <w:kern w:val="0"/>
                <w:highlight w:val="yellow"/>
              </w:rPr>
            </w:pPr>
            <w:r>
              <w:rPr>
                <w:rFonts w:ascii="宋体" w:hAnsi="宋体"/>
                <w:kern w:val="0"/>
              </w:rPr>
              <w:t>偏差率</w:t>
            </w:r>
            <w:r>
              <w:rPr>
                <w:rFonts w:ascii="宋体" w:hAnsi="宋体"/>
                <w:kern w:val="0"/>
                <w:szCs w:val="21"/>
              </w:rPr>
              <w:t>计算</w:t>
            </w:r>
            <w:r>
              <w:rPr>
                <w:rFonts w:hint="eastAsia" w:ascii="宋体" w:hAnsi="宋体"/>
                <w:kern w:val="0"/>
                <w:szCs w:val="21"/>
              </w:rPr>
              <w:t>的最终结果</w:t>
            </w:r>
            <w:r>
              <w:rPr>
                <w:rFonts w:ascii="宋体" w:hAnsi="宋体"/>
                <w:kern w:val="0"/>
                <w:szCs w:val="21"/>
              </w:rPr>
              <w:t>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Align w:val="center"/>
          </w:tcPr>
          <w:p>
            <w:pPr>
              <w:spacing w:line="360" w:lineRule="auto"/>
              <w:jc w:val="center"/>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3</w:t>
            </w:r>
          </w:p>
        </w:tc>
        <w:tc>
          <w:tcPr>
            <w:tcW w:w="1062" w:type="dxa"/>
            <w:gridSpan w:val="2"/>
            <w:textDirection w:val="tbRlV"/>
            <w:vAlign w:val="center"/>
          </w:tcPr>
          <w:p>
            <w:pPr>
              <w:spacing w:line="360" w:lineRule="auto"/>
              <w:jc w:val="center"/>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评审程序</w:t>
            </w:r>
          </w:p>
        </w:tc>
        <w:tc>
          <w:tcPr>
            <w:tcW w:w="7635" w:type="dxa"/>
            <w:gridSpan w:val="2"/>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1.评审委员会按照本章3.1款对所有比选申请人进行初步评审（形式评审、资格审查、响应性评审），初步评审不合格，不进入后续评审；</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2.对初步评审合格的比选申请人，按本章评审办法第3.2款至3.4款规定的程序进行评审，确定中选候选人。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如经过对所有比选申请人的比选申请文件进行评审，有效比选申请不足三个使得比选申请明显缺乏竞争的，评审委员会可以否决全部比选申请。如果评委会裁定仍具有竞争性，则按照规定程序进行评审，推荐一名或二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Align w:val="center"/>
          </w:tcPr>
          <w:p>
            <w:pPr>
              <w:spacing w:line="400" w:lineRule="exact"/>
              <w:jc w:val="center"/>
              <w:rPr>
                <w:rFonts w:ascii="宋体" w:hAnsi="宋体"/>
              </w:rPr>
            </w:pPr>
            <w:r>
              <w:rPr>
                <w:rFonts w:hint="eastAsia" w:ascii="宋体" w:hAnsi="宋体"/>
              </w:rPr>
              <w:t>3.2.1</w:t>
            </w:r>
          </w:p>
          <w:p>
            <w:pPr>
              <w:spacing w:line="400" w:lineRule="exact"/>
              <w:jc w:val="center"/>
              <w:rPr>
                <w:rFonts w:ascii="宋体" w:hAnsi="宋体"/>
              </w:rPr>
            </w:pPr>
            <w:r>
              <w:rPr>
                <w:rFonts w:ascii="宋体" w:hAnsi="宋体"/>
              </w:rPr>
              <w:t>(1)</w:t>
            </w:r>
          </w:p>
        </w:tc>
        <w:tc>
          <w:tcPr>
            <w:tcW w:w="1062" w:type="dxa"/>
            <w:gridSpan w:val="2"/>
            <w:vAlign w:val="center"/>
          </w:tcPr>
          <w:p>
            <w:pPr>
              <w:spacing w:line="400" w:lineRule="exact"/>
              <w:jc w:val="center"/>
              <w:rPr>
                <w:rFonts w:ascii="宋体" w:hAnsi="宋体"/>
              </w:rPr>
            </w:pPr>
            <w:r>
              <w:rPr>
                <w:rFonts w:hint="eastAsia" w:ascii="宋体" w:hAnsi="宋体"/>
              </w:rPr>
              <w:t>设计方案得分</w:t>
            </w:r>
          </w:p>
          <w:p>
            <w:pPr>
              <w:pStyle w:val="2"/>
              <w:jc w:val="center"/>
            </w:pPr>
            <w:r>
              <w:rPr>
                <w:rFonts w:hint="eastAsia"/>
              </w:rPr>
              <w:t>（</w:t>
            </w:r>
            <w:r>
              <w:rPr>
                <w:rFonts w:hint="eastAsia" w:asciiTheme="minorEastAsia" w:hAnsiTheme="minorEastAsia" w:eastAsiaTheme="minorEastAsia" w:cstheme="minorEastAsia"/>
              </w:rPr>
              <w:t>A</w:t>
            </w:r>
            <w:r>
              <w:rPr>
                <w:rFonts w:hint="eastAsia"/>
              </w:rPr>
              <w:t>）</w:t>
            </w:r>
          </w:p>
        </w:tc>
        <w:tc>
          <w:tcPr>
            <w:tcW w:w="1985" w:type="dxa"/>
            <w:vAlign w:val="center"/>
          </w:tcPr>
          <w:p>
            <w:pPr>
              <w:spacing w:line="400" w:lineRule="exact"/>
              <w:jc w:val="center"/>
              <w:rPr>
                <w:rFonts w:ascii="宋体" w:hAnsi="宋体"/>
              </w:rPr>
            </w:pPr>
            <w:r>
              <w:rPr>
                <w:rFonts w:hint="eastAsia" w:ascii="宋体" w:hAnsi="宋体"/>
              </w:rPr>
              <w:t>设计方案得分</w:t>
            </w:r>
          </w:p>
          <w:p>
            <w:pPr>
              <w:spacing w:line="400" w:lineRule="exact"/>
              <w:jc w:val="center"/>
              <w:rPr>
                <w:rFonts w:ascii="宋体" w:hAnsi="宋体"/>
                <w:bCs/>
                <w:kern w:val="0"/>
              </w:rPr>
            </w:pPr>
            <w:r>
              <w:rPr>
                <w:rFonts w:hint="eastAsia" w:ascii="宋体" w:hAnsi="宋体"/>
              </w:rPr>
              <w:t>（</w:t>
            </w:r>
            <w:r>
              <w:rPr>
                <w:rFonts w:hint="eastAsia" w:ascii="宋体" w:hAnsi="宋体"/>
                <w:bCs/>
                <w:kern w:val="0"/>
              </w:rPr>
              <w:t>40分</w:t>
            </w:r>
            <w:r>
              <w:rPr>
                <w:rFonts w:hint="eastAsia" w:ascii="宋体" w:hAnsi="宋体"/>
              </w:rPr>
              <w:t>）</w:t>
            </w:r>
          </w:p>
        </w:tc>
        <w:tc>
          <w:tcPr>
            <w:tcW w:w="5650" w:type="dxa"/>
            <w:vAlign w:val="center"/>
          </w:tcPr>
          <w:p>
            <w:pPr>
              <w:spacing w:line="400" w:lineRule="exact"/>
              <w:ind w:firstLine="420" w:firstLineChars="200"/>
              <w:rPr>
                <w:rFonts w:ascii="宋体" w:hAnsi="宋体"/>
                <w:szCs w:val="21"/>
              </w:rPr>
            </w:pPr>
            <w:r>
              <w:rPr>
                <w:rFonts w:hint="eastAsia" w:ascii="宋体" w:hAnsi="宋体"/>
                <w:szCs w:val="21"/>
              </w:rPr>
              <w:t>⑴、平面布局（5分）：从建筑条件出发，科学规划、功能分区明确，流线清晰，交通组织高效，同时满足消防等要求。</w:t>
            </w:r>
          </w:p>
          <w:p>
            <w:pPr>
              <w:spacing w:line="400" w:lineRule="exact"/>
              <w:ind w:firstLine="420" w:firstLineChars="200"/>
              <w:rPr>
                <w:rFonts w:ascii="宋体" w:hAnsi="宋体"/>
                <w:szCs w:val="21"/>
              </w:rPr>
            </w:pPr>
            <w:r>
              <w:rPr>
                <w:rFonts w:hint="eastAsia" w:ascii="宋体" w:hAnsi="宋体"/>
                <w:szCs w:val="21"/>
              </w:rPr>
              <w:t>⑵、空间布置（5分）：整体设计既有利于保障服务区</w:t>
            </w:r>
            <w:r>
              <w:rPr>
                <w:rFonts w:ascii="宋体" w:hAnsi="宋体"/>
                <w:szCs w:val="21"/>
              </w:rPr>
              <w:t>人群</w:t>
            </w:r>
            <w:r>
              <w:rPr>
                <w:rFonts w:hint="eastAsia" w:ascii="宋体" w:hAnsi="宋体"/>
                <w:szCs w:val="21"/>
              </w:rPr>
              <w:t>活动高效便捷安全，又能体现人文性的人性化考虑。</w:t>
            </w:r>
          </w:p>
          <w:p>
            <w:pPr>
              <w:spacing w:line="400" w:lineRule="exact"/>
              <w:ind w:firstLine="420" w:firstLineChars="200"/>
              <w:rPr>
                <w:rFonts w:ascii="宋体" w:hAnsi="宋体"/>
                <w:szCs w:val="21"/>
              </w:rPr>
            </w:pPr>
            <w:r>
              <w:rPr>
                <w:rFonts w:hint="eastAsia" w:ascii="宋体" w:hAnsi="宋体"/>
                <w:szCs w:val="21"/>
              </w:rPr>
              <w:t>⑶、物理环境（5分）：通风、隔热、采光及照明合理，为服务区</w:t>
            </w:r>
            <w:r>
              <w:rPr>
                <w:rFonts w:ascii="宋体" w:hAnsi="宋体"/>
                <w:szCs w:val="21"/>
              </w:rPr>
              <w:t>人群</w:t>
            </w:r>
            <w:r>
              <w:rPr>
                <w:rFonts w:hint="eastAsia" w:ascii="宋体" w:hAnsi="宋体"/>
                <w:szCs w:val="21"/>
              </w:rPr>
              <w:t>活动提供舒适环境。</w:t>
            </w:r>
          </w:p>
          <w:p>
            <w:pPr>
              <w:spacing w:line="400" w:lineRule="exact"/>
              <w:ind w:firstLine="420" w:firstLineChars="200"/>
              <w:rPr>
                <w:rFonts w:ascii="宋体" w:hAnsi="宋体"/>
                <w:szCs w:val="21"/>
              </w:rPr>
            </w:pPr>
            <w:r>
              <w:rPr>
                <w:rFonts w:hint="eastAsia" w:ascii="宋体" w:hAnsi="宋体"/>
                <w:szCs w:val="21"/>
              </w:rPr>
              <w:t>⑷、设计特色（5分）：遵循美观大方的原则，融入本项目地域特色和文化内涵的同时，注重空间的实用性及体验感。</w:t>
            </w:r>
          </w:p>
          <w:p>
            <w:pPr>
              <w:spacing w:line="400" w:lineRule="exact"/>
              <w:ind w:firstLine="420" w:firstLineChars="200"/>
              <w:rPr>
                <w:rFonts w:ascii="宋体" w:hAnsi="宋体"/>
                <w:szCs w:val="21"/>
              </w:rPr>
            </w:pPr>
            <w:r>
              <w:rPr>
                <w:rFonts w:hint="eastAsia" w:ascii="宋体" w:hAnsi="宋体"/>
                <w:szCs w:val="21"/>
              </w:rPr>
              <w:t>⑸、造型效果（5分）：立意新颖、独特，能够有较强的实用性。材料使用符合现实要求，搭配合理，节点处理流畅。</w:t>
            </w:r>
          </w:p>
          <w:p>
            <w:pPr>
              <w:spacing w:line="400" w:lineRule="exact"/>
              <w:ind w:firstLine="420" w:firstLineChars="200"/>
              <w:rPr>
                <w:rFonts w:ascii="宋体" w:hAnsi="宋体"/>
                <w:szCs w:val="21"/>
              </w:rPr>
            </w:pPr>
            <w:r>
              <w:rPr>
                <w:rFonts w:hint="eastAsia" w:ascii="宋体" w:hAnsi="宋体"/>
                <w:szCs w:val="21"/>
              </w:rPr>
              <w:t>⑹、色彩搭配（5分）：色彩搭配协调，材料运用合理。质感、色彩结合得当，工艺流畅。</w:t>
            </w:r>
          </w:p>
          <w:p>
            <w:pPr>
              <w:spacing w:line="400" w:lineRule="exact"/>
              <w:ind w:firstLine="420" w:firstLineChars="200"/>
              <w:rPr>
                <w:rFonts w:ascii="宋体" w:hAnsi="宋体"/>
                <w:szCs w:val="21"/>
              </w:rPr>
            </w:pPr>
            <w:r>
              <w:rPr>
                <w:rFonts w:hint="eastAsia" w:ascii="宋体" w:hAnsi="宋体"/>
                <w:szCs w:val="21"/>
              </w:rPr>
              <w:t>⑺、技术与安全（5分）：特色设计具有技术上的可实施性，施工、使用安全。</w:t>
            </w:r>
          </w:p>
          <w:p>
            <w:pPr>
              <w:spacing w:line="400" w:lineRule="exact"/>
              <w:ind w:firstLine="420" w:firstLineChars="200"/>
              <w:rPr>
                <w:rFonts w:ascii="宋体" w:hAnsi="宋体"/>
                <w:szCs w:val="21"/>
              </w:rPr>
            </w:pPr>
            <w:r>
              <w:rPr>
                <w:rFonts w:hint="eastAsia" w:ascii="宋体" w:hAnsi="宋体"/>
                <w:szCs w:val="21"/>
              </w:rPr>
              <w:t>⑻、经济性要求（5分）：设计预算在确定的预算范围内。</w:t>
            </w:r>
          </w:p>
          <w:p>
            <w:pPr>
              <w:spacing w:line="400" w:lineRule="exact"/>
              <w:ind w:firstLine="420" w:firstLineChars="200"/>
            </w:pPr>
            <w:r>
              <w:rPr>
                <w:rFonts w:hint="eastAsia" w:ascii="宋体" w:hAnsi="宋体"/>
                <w:szCs w:val="21"/>
              </w:rPr>
              <w:t>以上评分标准分为优、良、中、差四个等级评分，优得5分，良得3分，中得1分，差得0分。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Merge w:val="restart"/>
            <w:vAlign w:val="center"/>
          </w:tcPr>
          <w:p>
            <w:pPr>
              <w:spacing w:line="400" w:lineRule="exact"/>
              <w:jc w:val="center"/>
              <w:rPr>
                <w:rFonts w:ascii="宋体" w:hAnsi="宋体"/>
              </w:rPr>
            </w:pPr>
            <w:r>
              <w:rPr>
                <w:rFonts w:hint="eastAsia" w:ascii="宋体" w:hAnsi="宋体"/>
              </w:rPr>
              <w:t>3.2.1</w:t>
            </w:r>
          </w:p>
          <w:p>
            <w:pPr>
              <w:spacing w:line="400" w:lineRule="exact"/>
              <w:jc w:val="center"/>
              <w:rPr>
                <w:rFonts w:ascii="宋体" w:hAnsi="宋体"/>
              </w:rPr>
            </w:pPr>
            <w:r>
              <w:rPr>
                <w:rFonts w:ascii="宋体" w:hAnsi="宋体"/>
              </w:rPr>
              <w:t>(2)</w:t>
            </w:r>
          </w:p>
        </w:tc>
        <w:tc>
          <w:tcPr>
            <w:tcW w:w="1062" w:type="dxa"/>
            <w:gridSpan w:val="2"/>
            <w:vMerge w:val="restart"/>
            <w:vAlign w:val="center"/>
          </w:tcPr>
          <w:p>
            <w:pPr>
              <w:spacing w:line="400" w:lineRule="exact"/>
              <w:jc w:val="center"/>
              <w:rPr>
                <w:rFonts w:ascii="宋体" w:hAnsi="宋体"/>
                <w:kern w:val="0"/>
              </w:rPr>
            </w:pPr>
            <w:r>
              <w:rPr>
                <w:rFonts w:hint="eastAsia" w:ascii="宋体" w:hAnsi="宋体"/>
              </w:rPr>
              <w:t>经济部分</w:t>
            </w:r>
            <w:r>
              <w:rPr>
                <w:rFonts w:ascii="宋体" w:hAnsi="宋体"/>
                <w:kern w:val="0"/>
              </w:rPr>
              <w:t>得分</w:t>
            </w:r>
          </w:p>
          <w:p>
            <w:pPr>
              <w:spacing w:line="400" w:lineRule="exact"/>
              <w:jc w:val="center"/>
              <w:rPr>
                <w:rFonts w:ascii="宋体" w:hAnsi="宋体"/>
              </w:rPr>
            </w:pPr>
            <w:r>
              <w:rPr>
                <w:rFonts w:ascii="宋体" w:hAnsi="宋体"/>
                <w:spacing w:val="-8"/>
              </w:rPr>
              <w:t>（</w:t>
            </w:r>
            <w:r>
              <w:rPr>
                <w:rFonts w:hint="eastAsia" w:ascii="宋体" w:hAnsi="宋体"/>
                <w:spacing w:val="-8"/>
              </w:rPr>
              <w:t>B</w:t>
            </w:r>
            <w:r>
              <w:rPr>
                <w:rFonts w:ascii="宋体" w:hAnsi="宋体"/>
                <w:spacing w:val="-8"/>
              </w:rPr>
              <w:t>）</w:t>
            </w:r>
          </w:p>
        </w:tc>
        <w:tc>
          <w:tcPr>
            <w:tcW w:w="1985" w:type="dxa"/>
            <w:vAlign w:val="center"/>
          </w:tcPr>
          <w:p>
            <w:pPr>
              <w:spacing w:line="400" w:lineRule="exact"/>
              <w:jc w:val="center"/>
              <w:rPr>
                <w:rFonts w:ascii="宋体" w:hAnsi="宋体"/>
              </w:rPr>
            </w:pPr>
            <w:r>
              <w:rPr>
                <w:rFonts w:hint="eastAsia" w:ascii="宋体" w:hAnsi="宋体"/>
              </w:rPr>
              <w:t>设计费</w:t>
            </w:r>
            <w:r>
              <w:rPr>
                <w:rFonts w:ascii="宋体" w:hAnsi="宋体"/>
              </w:rPr>
              <w:t>报价</w:t>
            </w:r>
          </w:p>
          <w:p>
            <w:pPr>
              <w:spacing w:line="400" w:lineRule="exact"/>
              <w:jc w:val="center"/>
              <w:rPr>
                <w:rFonts w:ascii="宋体" w:hAnsi="宋体"/>
                <w:bCs/>
                <w:color w:val="FF0000"/>
                <w:kern w:val="0"/>
              </w:rPr>
            </w:pPr>
            <w:r>
              <w:rPr>
                <w:rFonts w:hint="eastAsia" w:ascii="宋体" w:hAnsi="宋体"/>
              </w:rPr>
              <w:t>（20分）</w:t>
            </w:r>
          </w:p>
        </w:tc>
        <w:tc>
          <w:tcPr>
            <w:tcW w:w="5650" w:type="dxa"/>
            <w:vAlign w:val="center"/>
          </w:tcPr>
          <w:p>
            <w:pPr>
              <w:spacing w:line="400" w:lineRule="exact"/>
              <w:ind w:firstLine="420" w:firstLineChars="200"/>
              <w:rPr>
                <w:rFonts w:ascii="宋体" w:hAnsi="宋体"/>
                <w:szCs w:val="21"/>
              </w:rPr>
            </w:pPr>
            <w:r>
              <w:rPr>
                <w:rFonts w:ascii="宋体" w:hAnsi="宋体"/>
                <w:kern w:val="0"/>
                <w:szCs w:val="21"/>
              </w:rPr>
              <w:t>所有通过初步评审</w:t>
            </w:r>
            <w:r>
              <w:rPr>
                <w:rFonts w:hint="eastAsia" w:ascii="宋体" w:hAnsi="宋体"/>
                <w:kern w:val="0"/>
                <w:szCs w:val="21"/>
              </w:rPr>
              <w:t>和本章第2.2.2（3）目评审</w:t>
            </w:r>
            <w:r>
              <w:rPr>
                <w:rFonts w:ascii="宋体" w:hAnsi="宋体"/>
                <w:kern w:val="0"/>
                <w:szCs w:val="21"/>
              </w:rPr>
              <w:t>合格的投标人</w:t>
            </w:r>
            <w:r>
              <w:rPr>
                <w:rFonts w:ascii="宋体" w:hAnsi="宋体"/>
                <w:szCs w:val="21"/>
              </w:rPr>
              <w:t>的</w:t>
            </w:r>
            <w:r>
              <w:rPr>
                <w:rFonts w:hint="eastAsia" w:ascii="宋体" w:hAnsi="宋体"/>
                <w:szCs w:val="21"/>
              </w:rPr>
              <w:t>暂定设计费</w:t>
            </w:r>
            <w:r>
              <w:rPr>
                <w:rFonts w:ascii="宋体" w:hAnsi="宋体"/>
                <w:szCs w:val="21"/>
              </w:rPr>
              <w:t>报</w:t>
            </w:r>
            <w:r>
              <w:rPr>
                <w:rFonts w:ascii="宋体" w:hAnsi="宋体"/>
                <w:kern w:val="0"/>
                <w:szCs w:val="21"/>
              </w:rPr>
              <w:t>价</w:t>
            </w:r>
            <w:r>
              <w:rPr>
                <w:rFonts w:ascii="宋体" w:hAnsi="宋体"/>
                <w:szCs w:val="21"/>
              </w:rPr>
              <w:t>，得</w:t>
            </w:r>
            <w:r>
              <w:rPr>
                <w:rFonts w:ascii="宋体" w:hAnsi="宋体"/>
                <w:bCs/>
                <w:szCs w:val="28"/>
              </w:rPr>
              <w:t>本附表第2.2.1项规定分值的满分</w:t>
            </w:r>
            <w:r>
              <w:rPr>
                <w:rFonts w:ascii="宋体" w:hAnsi="宋体"/>
                <w:bCs/>
                <w:szCs w:val="28"/>
                <w:u w:val="single"/>
              </w:rPr>
              <w:t xml:space="preserve"> 20 </w:t>
            </w:r>
            <w:r>
              <w:rPr>
                <w:rFonts w:ascii="宋体" w:hAnsi="宋体"/>
                <w:szCs w:val="21"/>
              </w:rPr>
              <w:t>分。在此基础上，</w:t>
            </w:r>
            <w:r>
              <w:rPr>
                <w:rFonts w:hint="eastAsia" w:ascii="宋体" w:hAnsi="宋体"/>
                <w:szCs w:val="21"/>
              </w:rPr>
              <w:t>暂定设计费</w:t>
            </w:r>
            <w:r>
              <w:rPr>
                <w:rFonts w:ascii="宋体" w:hAnsi="宋体"/>
                <w:szCs w:val="21"/>
              </w:rPr>
              <w:t>报价与评标基准价相比，每增加1%扣</w:t>
            </w:r>
            <w:r>
              <w:rPr>
                <w:rFonts w:ascii="宋体" w:hAnsi="宋体"/>
                <w:szCs w:val="21"/>
                <w:u w:val="single"/>
              </w:rPr>
              <w:t>　0.2</w:t>
            </w:r>
            <w:r>
              <w:rPr>
                <w:rFonts w:ascii="宋体" w:hAnsi="宋体"/>
                <w:szCs w:val="21"/>
              </w:rPr>
              <w:t>分，每减少1%</w:t>
            </w:r>
            <w:r>
              <w:rPr>
                <w:rFonts w:hint="eastAsia" w:ascii="宋体" w:hAnsi="宋体"/>
                <w:szCs w:val="21"/>
              </w:rPr>
              <w:t>扣</w:t>
            </w:r>
            <w:r>
              <w:rPr>
                <w:rFonts w:hint="eastAsia" w:ascii="宋体" w:hAnsi="宋体"/>
                <w:szCs w:val="21"/>
                <w:u w:val="single"/>
              </w:rPr>
              <w:t>0</w:t>
            </w:r>
            <w:r>
              <w:rPr>
                <w:rFonts w:ascii="宋体" w:hAnsi="宋体"/>
                <w:szCs w:val="21"/>
                <w:u w:val="single"/>
              </w:rPr>
              <w:t>.1</w:t>
            </w:r>
            <w:r>
              <w:rPr>
                <w:rFonts w:ascii="宋体" w:hAnsi="宋体"/>
                <w:szCs w:val="21"/>
              </w:rPr>
              <w:t>，扣完为止。</w:t>
            </w:r>
          </w:p>
          <w:p>
            <w:pPr>
              <w:spacing w:line="400" w:lineRule="exact"/>
              <w:ind w:firstLine="420" w:firstLineChars="200"/>
              <w:rPr>
                <w:rFonts w:ascii="宋体" w:hAnsi="宋体"/>
                <w:szCs w:val="21"/>
              </w:rPr>
            </w:pPr>
            <w:r>
              <w:rPr>
                <w:rFonts w:ascii="宋体" w:hAnsi="宋体"/>
                <w:szCs w:val="21"/>
              </w:rPr>
              <w:t>按插入法计算得分。</w:t>
            </w:r>
          </w:p>
          <w:p>
            <w:pPr>
              <w:spacing w:line="400" w:lineRule="exact"/>
              <w:ind w:firstLine="420" w:firstLineChars="200"/>
              <w:rPr>
                <w:rFonts w:ascii="宋体" w:hAnsi="宋体"/>
                <w:szCs w:val="21"/>
              </w:rPr>
            </w:pPr>
            <w:r>
              <w:rPr>
                <w:rFonts w:ascii="宋体" w:hAnsi="宋体"/>
                <w:szCs w:val="21"/>
              </w:rPr>
              <w:t>未参与评标基准价计算的</w:t>
            </w:r>
            <w:r>
              <w:rPr>
                <w:rFonts w:hint="eastAsia" w:ascii="宋体" w:hAnsi="宋体"/>
                <w:szCs w:val="21"/>
              </w:rPr>
              <w:t>暂定设计费</w:t>
            </w:r>
            <w:r>
              <w:rPr>
                <w:rFonts w:ascii="宋体" w:hAnsi="宋体"/>
                <w:szCs w:val="21"/>
              </w:rPr>
              <w:t>投标报价，仍应参加计算相应分值。</w:t>
            </w:r>
          </w:p>
          <w:p>
            <w:pPr>
              <w:spacing w:line="400" w:lineRule="exact"/>
              <w:ind w:firstLine="420" w:firstLineChars="200"/>
              <w:rPr>
                <w:rFonts w:ascii="宋体" w:hAnsi="宋体"/>
                <w:color w:val="FF0000"/>
                <w:kern w:val="0"/>
                <w:szCs w:val="21"/>
                <w:highlight w:val="yellow"/>
              </w:rPr>
            </w:pPr>
            <w:r>
              <w:rPr>
                <w:rFonts w:hint="eastAsia" w:ascii="宋体" w:hAnsi="宋体"/>
                <w:kern w:val="0"/>
                <w:szCs w:val="21"/>
              </w:rPr>
              <w:t>设计费</w:t>
            </w:r>
            <w:r>
              <w:rPr>
                <w:rFonts w:ascii="宋体" w:hAnsi="宋体"/>
                <w:kern w:val="0"/>
                <w:szCs w:val="21"/>
              </w:rPr>
              <w:t>报价评</w:t>
            </w:r>
            <w:r>
              <w:rPr>
                <w:rFonts w:hint="eastAsia" w:ascii="宋体" w:hAnsi="宋体"/>
                <w:kern w:val="0"/>
                <w:szCs w:val="21"/>
              </w:rPr>
              <w:t>分的最终结果</w:t>
            </w:r>
            <w:r>
              <w:rPr>
                <w:rFonts w:ascii="宋体" w:hAnsi="宋体"/>
                <w:kern w:val="0"/>
                <w:szCs w:val="21"/>
              </w:rPr>
              <w:t>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Merge w:val="continue"/>
            <w:vAlign w:val="center"/>
          </w:tcPr>
          <w:p>
            <w:pPr>
              <w:spacing w:line="400" w:lineRule="exact"/>
              <w:rPr>
                <w:rFonts w:ascii="宋体" w:hAnsi="宋体"/>
                <w:color w:val="FF0000"/>
              </w:rPr>
            </w:pPr>
          </w:p>
        </w:tc>
        <w:tc>
          <w:tcPr>
            <w:tcW w:w="1062" w:type="dxa"/>
            <w:gridSpan w:val="2"/>
            <w:vMerge w:val="continue"/>
            <w:vAlign w:val="center"/>
          </w:tcPr>
          <w:p>
            <w:pPr>
              <w:spacing w:line="400" w:lineRule="exact"/>
              <w:jc w:val="center"/>
              <w:rPr>
                <w:rFonts w:ascii="宋体" w:hAnsi="宋体"/>
                <w:color w:val="FF0000"/>
              </w:rPr>
            </w:pPr>
          </w:p>
        </w:tc>
        <w:tc>
          <w:tcPr>
            <w:tcW w:w="1985" w:type="dxa"/>
            <w:vAlign w:val="center"/>
          </w:tcPr>
          <w:p>
            <w:pPr>
              <w:spacing w:line="400" w:lineRule="exact"/>
              <w:jc w:val="center"/>
              <w:rPr>
                <w:rFonts w:ascii="宋体" w:hAnsi="宋体"/>
                <w:bCs/>
                <w:color w:val="FF0000"/>
                <w:kern w:val="0"/>
              </w:rPr>
            </w:pPr>
            <w:r>
              <w:rPr>
                <w:rFonts w:hint="eastAsia" w:ascii="宋体" w:hAnsi="宋体"/>
              </w:rPr>
              <w:t>建筑安装工程费报价（40分）</w:t>
            </w:r>
          </w:p>
        </w:tc>
        <w:tc>
          <w:tcPr>
            <w:tcW w:w="5650" w:type="dxa"/>
            <w:vAlign w:val="center"/>
          </w:tcPr>
          <w:p>
            <w:pPr>
              <w:spacing w:line="400" w:lineRule="exact"/>
              <w:ind w:firstLine="420" w:firstLineChars="200"/>
              <w:rPr>
                <w:rFonts w:ascii="宋体" w:hAnsi="宋体"/>
                <w:szCs w:val="21"/>
              </w:rPr>
            </w:pPr>
            <w:r>
              <w:rPr>
                <w:rFonts w:ascii="宋体" w:hAnsi="宋体"/>
                <w:kern w:val="0"/>
                <w:szCs w:val="21"/>
              </w:rPr>
              <w:t>所有通过初步评审</w:t>
            </w:r>
            <w:r>
              <w:rPr>
                <w:rFonts w:hint="eastAsia" w:ascii="宋体" w:hAnsi="宋体"/>
                <w:kern w:val="0"/>
                <w:szCs w:val="21"/>
              </w:rPr>
              <w:t>和本章第2.2.2（3）目评审</w:t>
            </w:r>
            <w:r>
              <w:rPr>
                <w:rFonts w:ascii="宋体" w:hAnsi="宋体"/>
                <w:kern w:val="0"/>
                <w:szCs w:val="21"/>
              </w:rPr>
              <w:t>合格的投标人</w:t>
            </w:r>
            <w:r>
              <w:rPr>
                <w:rFonts w:ascii="宋体" w:hAnsi="宋体"/>
                <w:szCs w:val="21"/>
              </w:rPr>
              <w:t>的</w:t>
            </w:r>
            <w:r>
              <w:rPr>
                <w:rFonts w:hint="eastAsia" w:ascii="宋体" w:hAnsi="宋体"/>
                <w:kern w:val="0"/>
              </w:rPr>
              <w:t>暂定建筑安装工程费报价</w:t>
            </w:r>
            <w:r>
              <w:rPr>
                <w:rFonts w:ascii="宋体" w:hAnsi="宋体"/>
                <w:szCs w:val="21"/>
              </w:rPr>
              <w:t>，得</w:t>
            </w:r>
            <w:r>
              <w:rPr>
                <w:rFonts w:ascii="宋体" w:hAnsi="宋体"/>
                <w:bCs/>
                <w:szCs w:val="28"/>
              </w:rPr>
              <w:t>本附表第2.2.1项规定分值的满分</w:t>
            </w:r>
            <w:r>
              <w:rPr>
                <w:rFonts w:ascii="宋体" w:hAnsi="宋体"/>
                <w:bCs/>
                <w:szCs w:val="28"/>
                <w:u w:val="single"/>
              </w:rPr>
              <w:t xml:space="preserve"> 40 </w:t>
            </w:r>
            <w:r>
              <w:rPr>
                <w:rFonts w:ascii="宋体" w:hAnsi="宋体"/>
                <w:szCs w:val="21"/>
              </w:rPr>
              <w:t>分。在此基础上，</w:t>
            </w:r>
            <w:r>
              <w:rPr>
                <w:rFonts w:hint="eastAsia" w:ascii="宋体" w:hAnsi="宋体"/>
                <w:szCs w:val="21"/>
              </w:rPr>
              <w:t>暂定建筑安装工程费</w:t>
            </w:r>
            <w:r>
              <w:rPr>
                <w:rFonts w:ascii="宋体" w:hAnsi="宋体"/>
                <w:szCs w:val="21"/>
              </w:rPr>
              <w:t>报价与评标基准价相比，每增加1%扣</w:t>
            </w:r>
            <w:r>
              <w:rPr>
                <w:rFonts w:hint="eastAsia" w:ascii="宋体" w:hAnsi="宋体"/>
                <w:szCs w:val="21"/>
                <w:u w:val="single"/>
              </w:rPr>
              <w:t>0.2</w:t>
            </w:r>
            <w:r>
              <w:rPr>
                <w:rFonts w:ascii="宋体" w:hAnsi="宋体"/>
                <w:szCs w:val="21"/>
              </w:rPr>
              <w:t>分，每减少1%扣</w:t>
            </w:r>
            <w:r>
              <w:rPr>
                <w:rFonts w:hint="eastAsia" w:ascii="宋体" w:hAnsi="宋体"/>
                <w:szCs w:val="21"/>
                <w:u w:val="single"/>
              </w:rPr>
              <w:t>0.1</w:t>
            </w:r>
            <w:r>
              <w:rPr>
                <w:rFonts w:ascii="宋体" w:hAnsi="宋体"/>
                <w:szCs w:val="21"/>
              </w:rPr>
              <w:t>分，扣完为止。</w:t>
            </w:r>
          </w:p>
          <w:p>
            <w:pPr>
              <w:spacing w:line="400" w:lineRule="exact"/>
              <w:ind w:firstLine="420" w:firstLineChars="200"/>
              <w:rPr>
                <w:rFonts w:ascii="宋体" w:hAnsi="宋体"/>
                <w:szCs w:val="21"/>
              </w:rPr>
            </w:pPr>
            <w:r>
              <w:rPr>
                <w:rFonts w:ascii="宋体" w:hAnsi="宋体"/>
                <w:szCs w:val="21"/>
              </w:rPr>
              <w:t>按插入法计算得分。</w:t>
            </w:r>
          </w:p>
          <w:p>
            <w:pPr>
              <w:spacing w:line="400" w:lineRule="exact"/>
              <w:ind w:firstLine="420" w:firstLineChars="200"/>
              <w:rPr>
                <w:rFonts w:ascii="宋体" w:hAnsi="宋体"/>
                <w:szCs w:val="21"/>
              </w:rPr>
            </w:pPr>
            <w:r>
              <w:rPr>
                <w:rFonts w:ascii="宋体" w:hAnsi="宋体"/>
                <w:szCs w:val="21"/>
              </w:rPr>
              <w:t>未参与评标基准价计算的</w:t>
            </w:r>
            <w:r>
              <w:rPr>
                <w:rFonts w:hint="eastAsia" w:ascii="宋体" w:hAnsi="宋体"/>
                <w:szCs w:val="21"/>
              </w:rPr>
              <w:t>暂定建筑安装工程费</w:t>
            </w:r>
            <w:r>
              <w:rPr>
                <w:rFonts w:ascii="宋体" w:hAnsi="宋体"/>
                <w:szCs w:val="21"/>
              </w:rPr>
              <w:t>投标报价，仍应参加计算相应分值。</w:t>
            </w:r>
          </w:p>
          <w:p>
            <w:pPr>
              <w:spacing w:line="400" w:lineRule="exact"/>
              <w:ind w:firstLine="420" w:firstLineChars="200"/>
              <w:rPr>
                <w:rFonts w:ascii="宋体" w:hAnsi="宋体"/>
                <w:color w:val="FF0000"/>
                <w:kern w:val="0"/>
                <w:szCs w:val="21"/>
                <w:highlight w:val="yellow"/>
              </w:rPr>
            </w:pPr>
            <w:r>
              <w:rPr>
                <w:rFonts w:hint="eastAsia" w:ascii="宋体" w:hAnsi="宋体"/>
                <w:kern w:val="0"/>
                <w:szCs w:val="21"/>
              </w:rPr>
              <w:t>建筑安装工程费</w:t>
            </w:r>
            <w:r>
              <w:rPr>
                <w:rFonts w:ascii="宋体" w:hAnsi="宋体"/>
                <w:kern w:val="0"/>
                <w:szCs w:val="21"/>
              </w:rPr>
              <w:t>报价评</w:t>
            </w:r>
            <w:r>
              <w:rPr>
                <w:rFonts w:hint="eastAsia" w:ascii="宋体" w:hAnsi="宋体"/>
                <w:kern w:val="0"/>
                <w:szCs w:val="21"/>
              </w:rPr>
              <w:t>分的最终结果</w:t>
            </w:r>
            <w:r>
              <w:rPr>
                <w:rFonts w:ascii="宋体" w:hAnsi="宋体"/>
                <w:kern w:val="0"/>
                <w:szCs w:val="21"/>
              </w:rPr>
              <w:t>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3" w:type="dxa"/>
            <w:vAlign w:val="center"/>
          </w:tcPr>
          <w:p>
            <w:pPr>
              <w:spacing w:line="400" w:lineRule="exact"/>
              <w:jc w:val="center"/>
              <w:rPr>
                <w:rFonts w:ascii="宋体" w:hAnsi="宋体"/>
                <w:color w:val="FF0000"/>
              </w:rPr>
            </w:pPr>
            <w:r>
              <w:rPr>
                <w:rFonts w:ascii="宋体" w:hAnsi="宋体"/>
                <w:szCs w:val="21"/>
              </w:rPr>
              <w:t>3.2.3</w:t>
            </w:r>
          </w:p>
        </w:tc>
        <w:tc>
          <w:tcPr>
            <w:tcW w:w="3047" w:type="dxa"/>
            <w:gridSpan w:val="3"/>
            <w:vAlign w:val="center"/>
          </w:tcPr>
          <w:p>
            <w:pPr>
              <w:spacing w:line="400" w:lineRule="exact"/>
              <w:ind w:firstLine="19" w:firstLineChars="9"/>
              <w:jc w:val="center"/>
              <w:rPr>
                <w:rFonts w:ascii="宋体" w:hAnsi="宋体"/>
                <w:szCs w:val="21"/>
              </w:rPr>
            </w:pPr>
            <w:r>
              <w:rPr>
                <w:rFonts w:ascii="宋体" w:hAnsi="宋体"/>
                <w:szCs w:val="21"/>
              </w:rPr>
              <w:t>投标人得分</w:t>
            </w:r>
          </w:p>
        </w:tc>
        <w:tc>
          <w:tcPr>
            <w:tcW w:w="5650" w:type="dxa"/>
            <w:vAlign w:val="center"/>
          </w:tcPr>
          <w:p>
            <w:pPr>
              <w:spacing w:line="400" w:lineRule="exact"/>
              <w:jc w:val="center"/>
              <w:rPr>
                <w:rFonts w:ascii="宋体" w:hAnsi="宋体"/>
                <w:szCs w:val="21"/>
                <w:u w:val="single"/>
              </w:rPr>
            </w:pPr>
            <w:r>
              <w:rPr>
                <w:rFonts w:ascii="宋体" w:hAnsi="宋体"/>
                <w:szCs w:val="21"/>
              </w:rPr>
              <w:t>投标人得分=A+B</w:t>
            </w:r>
          </w:p>
        </w:tc>
      </w:tr>
    </w:tbl>
    <w:p>
      <w:pPr>
        <w:pStyle w:val="4"/>
        <w:rPr>
          <w:rFonts w:cs="MingLiU" w:asciiTheme="majorEastAsia" w:hAnsiTheme="majorEastAsia" w:eastAsiaTheme="majorEastAsia"/>
          <w:szCs w:val="21"/>
        </w:rPr>
      </w:pPr>
      <w:r>
        <w:rPr>
          <w:rFonts w:cs="MingLiU" w:asciiTheme="majorEastAsia" w:hAnsiTheme="majorEastAsia" w:eastAsiaTheme="majorEastAsia"/>
          <w:szCs w:val="21"/>
        </w:rPr>
        <w:br w:type="page"/>
      </w:r>
    </w:p>
    <w:p>
      <w:pPr>
        <w:pStyle w:val="4"/>
        <w:widowControl/>
        <w:rPr>
          <w:rFonts w:cs="宋体" w:asciiTheme="majorEastAsia" w:hAnsiTheme="majorEastAsia" w:eastAsiaTheme="majorEastAsia"/>
          <w:sz w:val="22"/>
          <w:szCs w:val="22"/>
        </w:rPr>
      </w:pPr>
      <w:bookmarkStart w:id="246" w:name="_Toc32573"/>
      <w:bookmarkStart w:id="247" w:name="_Toc20854"/>
      <w:bookmarkStart w:id="248" w:name="_Toc27543"/>
      <w:bookmarkStart w:id="249" w:name="_Toc14530358"/>
      <w:bookmarkStart w:id="250" w:name="_Toc14524571"/>
      <w:r>
        <w:rPr>
          <w:rFonts w:hint="eastAsia" w:cs="宋体" w:asciiTheme="majorEastAsia" w:hAnsiTheme="majorEastAsia" w:eastAsiaTheme="majorEastAsia"/>
          <w:sz w:val="22"/>
          <w:szCs w:val="22"/>
        </w:rPr>
        <w:t>1. 评审方法</w:t>
      </w:r>
      <w:bookmarkEnd w:id="246"/>
      <w:bookmarkEnd w:id="247"/>
      <w:bookmarkEnd w:id="248"/>
      <w:bookmarkEnd w:id="249"/>
      <w:bookmarkEnd w:id="250"/>
    </w:p>
    <w:p>
      <w:pPr>
        <w:spacing w:line="360" w:lineRule="auto"/>
        <w:ind w:firstLine="440"/>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本次评标采用综合评估法。评标委员会按照本章第 2.2 款规定的评分标准进行打分，按得分由高到低顺序推荐中标候选人，或根据招标人授权直接确定中标人。综合评分相等时，以投标报价低的优先；投标报价相等的，以“投标人在红名单中优先”的原则排序（联合体投标的，须联合体牵头人在红名单中）；投标人均在红名单中或均不在红名单中的，由评标委员会按照 设计方案得分高的优先原则排序。</w:t>
      </w:r>
    </w:p>
    <w:p>
      <w:pPr>
        <w:pStyle w:val="4"/>
        <w:widowControl/>
        <w:rPr>
          <w:rFonts w:cs="宋体" w:asciiTheme="majorEastAsia" w:hAnsiTheme="majorEastAsia" w:eastAsiaTheme="majorEastAsia"/>
          <w:sz w:val="22"/>
          <w:szCs w:val="22"/>
        </w:rPr>
      </w:pPr>
      <w:bookmarkStart w:id="251" w:name="_Toc7553"/>
      <w:bookmarkStart w:id="252" w:name="_Toc31535"/>
      <w:bookmarkStart w:id="253" w:name="_Toc200513199"/>
      <w:bookmarkStart w:id="254" w:name="_Toc376891016"/>
      <w:bookmarkStart w:id="255" w:name="_Toc224103385"/>
      <w:bookmarkStart w:id="256" w:name="_Toc14530359"/>
      <w:bookmarkStart w:id="257" w:name="_Toc27970"/>
      <w:bookmarkStart w:id="258" w:name="_Toc14524572"/>
      <w:r>
        <w:rPr>
          <w:rFonts w:hint="eastAsia" w:cs="宋体" w:asciiTheme="majorEastAsia" w:hAnsiTheme="majorEastAsia" w:eastAsiaTheme="majorEastAsia"/>
          <w:sz w:val="22"/>
          <w:szCs w:val="22"/>
        </w:rPr>
        <w:t>2. 评审标准</w:t>
      </w:r>
      <w:bookmarkEnd w:id="251"/>
      <w:bookmarkEnd w:id="252"/>
      <w:bookmarkEnd w:id="253"/>
      <w:bookmarkEnd w:id="254"/>
      <w:bookmarkEnd w:id="255"/>
      <w:bookmarkEnd w:id="256"/>
      <w:bookmarkEnd w:id="257"/>
      <w:bookmarkEnd w:id="258"/>
    </w:p>
    <w:p>
      <w:pPr>
        <w:pStyle w:val="5"/>
        <w:widowControl/>
        <w:snapToGrid w:val="0"/>
        <w:spacing w:before="0" w:line="360" w:lineRule="auto"/>
        <w:rPr>
          <w:rFonts w:cs="宋体" w:asciiTheme="majorEastAsia" w:hAnsiTheme="majorEastAsia" w:eastAsiaTheme="majorEastAsia"/>
          <w:snapToGrid w:val="0"/>
          <w:sz w:val="22"/>
          <w:szCs w:val="22"/>
        </w:rPr>
      </w:pPr>
      <w:bookmarkStart w:id="259" w:name="_Toc3552"/>
      <w:bookmarkStart w:id="260" w:name="_Toc224103386"/>
      <w:bookmarkStart w:id="261" w:name="_Toc376891017"/>
      <w:bookmarkStart w:id="262" w:name="_Toc200513200"/>
      <w:bookmarkStart w:id="263" w:name="_Toc44433351"/>
      <w:r>
        <w:rPr>
          <w:rFonts w:hint="eastAsia" w:cs="宋体" w:asciiTheme="majorEastAsia" w:hAnsiTheme="majorEastAsia" w:eastAsiaTheme="majorEastAsia"/>
          <w:snapToGrid w:val="0"/>
          <w:sz w:val="22"/>
          <w:szCs w:val="22"/>
        </w:rPr>
        <w:t>2.1  初步评审标准</w:t>
      </w:r>
      <w:bookmarkEnd w:id="259"/>
      <w:bookmarkEnd w:id="260"/>
      <w:bookmarkEnd w:id="261"/>
      <w:bookmarkEnd w:id="262"/>
      <w:bookmarkEnd w:id="263"/>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2.1.1  形式评审标准：见评审办法前附表。</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2.1.2  资格评审标准：见评审办法前附表。</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2.1.3  响应性评审标准：见评审办法前附表。</w:t>
      </w:r>
    </w:p>
    <w:p>
      <w:pPr>
        <w:pStyle w:val="5"/>
        <w:widowControl/>
        <w:snapToGrid w:val="0"/>
        <w:spacing w:before="0" w:line="360" w:lineRule="auto"/>
        <w:rPr>
          <w:rFonts w:cs="宋体" w:asciiTheme="majorEastAsia" w:hAnsiTheme="majorEastAsia" w:eastAsiaTheme="majorEastAsia"/>
          <w:snapToGrid w:val="0"/>
          <w:sz w:val="22"/>
          <w:szCs w:val="22"/>
        </w:rPr>
      </w:pPr>
      <w:bookmarkStart w:id="264" w:name="_Toc200513201"/>
      <w:bookmarkStart w:id="265" w:name="_Toc376891018"/>
      <w:bookmarkStart w:id="266" w:name="_Toc224103387"/>
      <w:bookmarkStart w:id="267" w:name="_Toc24944"/>
      <w:bookmarkStart w:id="268" w:name="_Toc44433352"/>
      <w:r>
        <w:rPr>
          <w:rFonts w:hint="eastAsia" w:cs="宋体" w:asciiTheme="majorEastAsia" w:hAnsiTheme="majorEastAsia" w:eastAsiaTheme="majorEastAsia"/>
          <w:snapToGrid w:val="0"/>
          <w:sz w:val="22"/>
          <w:szCs w:val="22"/>
        </w:rPr>
        <w:t xml:space="preserve">2.2  </w:t>
      </w:r>
      <w:bookmarkEnd w:id="264"/>
      <w:bookmarkEnd w:id="265"/>
      <w:bookmarkEnd w:id="266"/>
      <w:r>
        <w:rPr>
          <w:rFonts w:hint="eastAsia" w:cs="宋体" w:asciiTheme="majorEastAsia" w:hAnsiTheme="majorEastAsia" w:eastAsiaTheme="majorEastAsia"/>
          <w:snapToGrid w:val="0"/>
          <w:sz w:val="22"/>
          <w:szCs w:val="22"/>
        </w:rPr>
        <w:t>详细评审标准</w:t>
      </w:r>
      <w:bookmarkEnd w:id="267"/>
      <w:bookmarkEnd w:id="268"/>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详细评审标准：见评审办法前附表。</w:t>
      </w:r>
    </w:p>
    <w:p>
      <w:pPr>
        <w:pStyle w:val="4"/>
        <w:widowControl/>
        <w:rPr>
          <w:rFonts w:cs="宋体" w:asciiTheme="majorEastAsia" w:hAnsiTheme="majorEastAsia" w:eastAsiaTheme="majorEastAsia"/>
          <w:sz w:val="22"/>
          <w:szCs w:val="22"/>
        </w:rPr>
      </w:pPr>
      <w:bookmarkStart w:id="269" w:name="_Toc9769"/>
      <w:bookmarkStart w:id="270" w:name="_Toc14530360"/>
      <w:bookmarkStart w:id="271" w:name="_Toc224103388"/>
      <w:bookmarkStart w:id="272" w:name="_Toc18530"/>
      <w:bookmarkStart w:id="273" w:name="_Toc23628"/>
      <w:bookmarkStart w:id="274" w:name="_Toc14524573"/>
      <w:bookmarkStart w:id="275" w:name="_Toc200513202"/>
      <w:bookmarkStart w:id="276" w:name="_Toc376891019"/>
      <w:r>
        <w:rPr>
          <w:rFonts w:hint="eastAsia" w:cs="宋体" w:asciiTheme="majorEastAsia" w:hAnsiTheme="majorEastAsia" w:eastAsiaTheme="majorEastAsia"/>
          <w:sz w:val="22"/>
          <w:szCs w:val="22"/>
        </w:rPr>
        <w:t>3. 评审程序</w:t>
      </w:r>
      <w:bookmarkEnd w:id="269"/>
      <w:bookmarkEnd w:id="270"/>
      <w:bookmarkEnd w:id="271"/>
      <w:bookmarkEnd w:id="272"/>
      <w:bookmarkEnd w:id="273"/>
      <w:bookmarkEnd w:id="274"/>
      <w:bookmarkEnd w:id="275"/>
      <w:bookmarkEnd w:id="276"/>
    </w:p>
    <w:p>
      <w:pPr>
        <w:pStyle w:val="5"/>
        <w:widowControl/>
        <w:snapToGrid w:val="0"/>
        <w:spacing w:before="0" w:line="360" w:lineRule="auto"/>
        <w:rPr>
          <w:rFonts w:cs="宋体" w:asciiTheme="majorEastAsia" w:hAnsiTheme="majorEastAsia" w:eastAsiaTheme="majorEastAsia"/>
          <w:snapToGrid w:val="0"/>
          <w:sz w:val="22"/>
          <w:szCs w:val="22"/>
        </w:rPr>
      </w:pPr>
      <w:bookmarkStart w:id="277" w:name="_Toc20849"/>
      <w:bookmarkStart w:id="278" w:name="_Toc376891020"/>
      <w:bookmarkStart w:id="279" w:name="_Toc224103389"/>
      <w:bookmarkStart w:id="280" w:name="_Toc200513203"/>
      <w:bookmarkStart w:id="281" w:name="_Toc44433354"/>
      <w:r>
        <w:rPr>
          <w:rFonts w:hint="eastAsia" w:cs="宋体" w:asciiTheme="majorEastAsia" w:hAnsiTheme="majorEastAsia" w:eastAsiaTheme="majorEastAsia"/>
          <w:snapToGrid w:val="0"/>
          <w:sz w:val="22"/>
          <w:szCs w:val="22"/>
        </w:rPr>
        <w:t>3.1  初步评审</w:t>
      </w:r>
      <w:bookmarkEnd w:id="277"/>
      <w:bookmarkEnd w:id="278"/>
      <w:bookmarkEnd w:id="279"/>
      <w:bookmarkEnd w:id="280"/>
      <w:bookmarkEnd w:id="28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3.1.1  评审委员会可以要求比选申请人提交第二章“比选申请人须知”规定的有关证明和证件的原件，以便核验。评审委员会依据本章第 2.1 款规定的标准对比选申请文件进行初步评审。有一项不符合评审标准的，其竞选被否决。</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3.1.2  比选申请人有以下情形之一的，其竞选被否决：</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（1）第二章“比选申请人须知”第 1.4.3 项规定的任何一种情形的；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（2）串通竞选或弄虚作假或有其他违法行为的；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（3）不按评审委员会要求澄清、说明或补正的。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3.1.3  比选申请报价有算术错误的，评审委员会按以下原则对比选申请报价进行修正，修正的价格经比选申请人书面确认后具有约束力。比选申请人不接受修正价格的，其竞选被否决。</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（1）比选申请文件中的大写金额与小写金额不一致的，以大写金额为准；</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（2）总价金额与依据单价计算出的结果不一致的，以单价金额为准修正总价，但单价金额小数点有明显错误的除外。</w:t>
      </w:r>
    </w:p>
    <w:p>
      <w:pPr>
        <w:pStyle w:val="5"/>
        <w:widowControl/>
        <w:snapToGrid w:val="0"/>
        <w:spacing w:before="0" w:line="360" w:lineRule="auto"/>
        <w:rPr>
          <w:rFonts w:cs="宋体" w:asciiTheme="majorEastAsia" w:hAnsiTheme="majorEastAsia" w:eastAsiaTheme="majorEastAsia"/>
          <w:snapToGrid w:val="0"/>
          <w:sz w:val="22"/>
          <w:szCs w:val="22"/>
        </w:rPr>
      </w:pPr>
      <w:bookmarkStart w:id="282" w:name="_Toc31795"/>
      <w:bookmarkStart w:id="283" w:name="_Toc224103390"/>
      <w:bookmarkStart w:id="284" w:name="_Toc376891021"/>
      <w:bookmarkStart w:id="285" w:name="_Toc200513204"/>
      <w:bookmarkStart w:id="286" w:name="_Toc44433355"/>
      <w:r>
        <w:rPr>
          <w:rFonts w:hint="eastAsia" w:cs="宋体" w:asciiTheme="majorEastAsia" w:hAnsiTheme="majorEastAsia" w:eastAsiaTheme="majorEastAsia"/>
          <w:snapToGrid w:val="0"/>
          <w:sz w:val="22"/>
          <w:szCs w:val="22"/>
        </w:rPr>
        <w:t>3.2 详细评审</w:t>
      </w:r>
      <w:bookmarkEnd w:id="282"/>
      <w:bookmarkEnd w:id="283"/>
      <w:bookmarkEnd w:id="284"/>
      <w:bookmarkEnd w:id="285"/>
      <w:bookmarkEnd w:id="286"/>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3.2.1  评审委员会按本章第2.2款规定的量化因素和标准进行评审。</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w:t>
      </w:r>
      <w:r>
        <w:rPr>
          <w:rFonts w:hint="eastAsia" w:ascii="宋体" w:hAnsi="宋体"/>
          <w:kern w:val="0"/>
          <w:szCs w:val="21"/>
        </w:rPr>
        <w:t>部分</w:t>
      </w:r>
      <w:r>
        <w:rPr>
          <w:rFonts w:ascii="宋体" w:hAnsi="宋体"/>
          <w:kern w:val="0"/>
          <w:szCs w:val="21"/>
        </w:rPr>
        <w:t>计算出得分</w:t>
      </w:r>
      <w:r>
        <w:rPr>
          <w:rFonts w:hint="eastAsia" w:ascii="宋体" w:hAnsi="宋体"/>
          <w:kern w:val="0"/>
          <w:szCs w:val="21"/>
        </w:rPr>
        <w:t>A（</w:t>
      </w:r>
      <w:r>
        <w:rPr>
          <w:rFonts w:ascii="宋体" w:hAnsi="宋体"/>
          <w:snapToGrid w:val="0"/>
          <w:kern w:val="0"/>
          <w:szCs w:val="21"/>
        </w:rPr>
        <w:t>所有评委打分中去掉一个最高和一个最低分，余下评委打分取算术平均值为该投标人</w:t>
      </w:r>
      <w:r>
        <w:rPr>
          <w:rFonts w:hint="eastAsia" w:ascii="宋体" w:hAnsi="宋体"/>
          <w:snapToGrid w:val="0"/>
          <w:kern w:val="0"/>
          <w:szCs w:val="21"/>
        </w:rPr>
        <w:t>技术部分</w:t>
      </w:r>
      <w:r>
        <w:rPr>
          <w:rFonts w:ascii="宋体" w:hAnsi="宋体"/>
          <w:snapToGrid w:val="0"/>
          <w:kern w:val="0"/>
          <w:szCs w:val="21"/>
        </w:rPr>
        <w:t>得分。</w:t>
      </w:r>
      <w:r>
        <w:rPr>
          <w:rFonts w:ascii="宋体" w:hAnsi="宋体"/>
          <w:kern w:val="0"/>
          <w:szCs w:val="21"/>
        </w:rPr>
        <w:t>）</w:t>
      </w:r>
    </w:p>
    <w:p>
      <w:pPr>
        <w:spacing w:line="360" w:lineRule="auto"/>
        <w:ind w:firstLine="440"/>
        <w:rPr>
          <w:rFonts w:asciiTheme="majorEastAsia" w:hAnsiTheme="majorEastAsia" w:eastAsiaTheme="majorEastAsia"/>
          <w:sz w:val="22"/>
          <w:szCs w:val="22"/>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w:t>
      </w:r>
      <w:r>
        <w:rPr>
          <w:rFonts w:hint="eastAsia" w:ascii="宋体" w:hAnsi="宋体"/>
          <w:kern w:val="0"/>
          <w:szCs w:val="21"/>
        </w:rPr>
        <w:t>商务部分</w:t>
      </w:r>
      <w:r>
        <w:rPr>
          <w:rFonts w:ascii="宋体" w:hAnsi="宋体"/>
          <w:kern w:val="0"/>
          <w:szCs w:val="21"/>
        </w:rPr>
        <w:t>计算出得分</w:t>
      </w:r>
      <w:r>
        <w:rPr>
          <w:rFonts w:hint="eastAsia" w:ascii="宋体" w:hAnsi="宋体"/>
          <w:kern w:val="0"/>
          <w:szCs w:val="21"/>
        </w:rPr>
        <w:t>B。</w:t>
      </w:r>
    </w:p>
    <w:p>
      <w:pPr>
        <w:spacing w:line="360" w:lineRule="auto"/>
        <w:ind w:firstLine="440"/>
        <w:rPr>
          <w:rFonts w:ascii="宋体" w:hAnsi="宋体"/>
          <w:kern w:val="0"/>
          <w:szCs w:val="21"/>
        </w:rPr>
      </w:pPr>
      <w:r>
        <w:rPr>
          <w:rFonts w:ascii="宋体" w:hAnsi="宋体"/>
          <w:kern w:val="0"/>
          <w:szCs w:val="21"/>
        </w:rPr>
        <w:t>3.2.2  评分分值计算保留小数点后两位，小数点后第三位“四舍五入”。</w:t>
      </w:r>
    </w:p>
    <w:p>
      <w:pPr>
        <w:tabs>
          <w:tab w:val="left" w:pos="387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3.2.3  投标人得分=A+B</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3.2.4  投标报价有算术错误的，评标委员会按以下原则对投标报价进行修正，修正的价格经投标人书面确认后具有约束力。投标人不接受修正价格的，其投标作否决投标处理。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（1）投标文件中的大写金额与小写金额不一致的，以大写金额为准；</w:t>
      </w:r>
    </w:p>
    <w:p>
      <w:pPr>
        <w:autoSpaceDE w:val="0"/>
        <w:autoSpaceDN w:val="0"/>
        <w:adjustRightInd w:val="0"/>
        <w:snapToGrid w:val="0"/>
        <w:spacing w:line="360" w:lineRule="auto"/>
        <w:ind w:firstLine="420" w:firstLineChars="200"/>
        <w:rPr>
          <w:rFonts w:asciiTheme="majorEastAsia" w:hAnsiTheme="majorEastAsia" w:eastAsiaTheme="majorEastAsia"/>
          <w:sz w:val="22"/>
          <w:szCs w:val="22"/>
        </w:rPr>
      </w:pPr>
      <w:r>
        <w:rPr>
          <w:rFonts w:ascii="宋体" w:hAnsi="宋体"/>
          <w:kern w:val="0"/>
          <w:szCs w:val="21"/>
        </w:rPr>
        <w:t>（2）</w:t>
      </w:r>
      <w:r>
        <w:rPr>
          <w:rFonts w:hint="eastAsia" w:ascii="宋体" w:hAnsi="宋体" w:cs="宋体"/>
          <w:szCs w:val="21"/>
        </w:rPr>
        <w:t>总报价与依据分项报价、单价/费率报价计算出的结果不一致的，由评标委员会作否决投标处理。</w:t>
      </w:r>
    </w:p>
    <w:p>
      <w:pPr>
        <w:pStyle w:val="5"/>
        <w:widowControl/>
        <w:snapToGrid w:val="0"/>
        <w:spacing w:before="0" w:line="360" w:lineRule="auto"/>
        <w:rPr>
          <w:rFonts w:cs="宋体" w:asciiTheme="majorEastAsia" w:hAnsiTheme="majorEastAsia" w:eastAsiaTheme="majorEastAsia"/>
          <w:snapToGrid w:val="0"/>
          <w:sz w:val="22"/>
          <w:szCs w:val="22"/>
        </w:rPr>
      </w:pPr>
      <w:bookmarkStart w:id="287" w:name="_Toc44433356"/>
      <w:bookmarkStart w:id="288" w:name="_Toc224103391"/>
      <w:bookmarkStart w:id="289" w:name="_Toc376891022"/>
      <w:bookmarkStart w:id="290" w:name="_Toc200513205"/>
      <w:bookmarkStart w:id="291" w:name="_Toc27466"/>
      <w:r>
        <w:rPr>
          <w:rFonts w:hint="eastAsia" w:cs="宋体" w:asciiTheme="majorEastAsia" w:hAnsiTheme="majorEastAsia" w:eastAsiaTheme="majorEastAsia"/>
          <w:snapToGrid w:val="0"/>
          <w:sz w:val="22"/>
          <w:szCs w:val="22"/>
        </w:rPr>
        <w:t>3.3 比选申请文件的澄清和补正</w:t>
      </w:r>
      <w:bookmarkEnd w:id="287"/>
      <w:bookmarkEnd w:id="288"/>
      <w:bookmarkEnd w:id="289"/>
      <w:bookmarkEnd w:id="290"/>
      <w:bookmarkEnd w:id="29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3.3.1  在评审过程中，评审委员会可以书面形式要求比选申请人对所提交比选申请文件中不明确的内容进行书面澄清或说明，或者对细微偏差进行补正。评审委员会不接受比选申请人主动提出的澄清、说明或补正。</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3.3.2  澄清、说明和补正不得改变比选申请文件的实质性内容（算术性错误修正的除外）。比选申请人的书面澄清、说明和补正属于比选申请文件的组成部分。</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3.3.3  评审委员会对比选申请人提交的澄清、说明或补正有疑问的，可以要求比选申请人进一步澄清、说明或补正，直至满足评审委员会的要求。</w:t>
      </w:r>
    </w:p>
    <w:p>
      <w:pPr>
        <w:pStyle w:val="5"/>
        <w:widowControl/>
        <w:snapToGrid w:val="0"/>
        <w:spacing w:before="0" w:line="360" w:lineRule="auto"/>
        <w:rPr>
          <w:rFonts w:cs="宋体" w:asciiTheme="majorEastAsia" w:hAnsiTheme="majorEastAsia" w:eastAsiaTheme="majorEastAsia"/>
          <w:snapToGrid w:val="0"/>
          <w:sz w:val="22"/>
          <w:szCs w:val="22"/>
        </w:rPr>
      </w:pPr>
      <w:bookmarkStart w:id="292" w:name="_Toc224103392"/>
      <w:bookmarkStart w:id="293" w:name="_Toc44433357"/>
      <w:bookmarkStart w:id="294" w:name="_Toc12381"/>
      <w:bookmarkStart w:id="295" w:name="_Toc376891023"/>
      <w:bookmarkStart w:id="296" w:name="_Toc200513206"/>
      <w:r>
        <w:rPr>
          <w:rFonts w:hint="eastAsia" w:asciiTheme="majorEastAsia" w:hAnsiTheme="majorEastAsia" w:eastAsiaTheme="majorEastAsia"/>
          <w:sz w:val="22"/>
          <w:szCs w:val="22"/>
        </w:rPr>
        <w:t>3.4 评审结果</w:t>
      </w:r>
      <w:bookmarkEnd w:id="292"/>
      <w:bookmarkEnd w:id="293"/>
      <w:bookmarkEnd w:id="294"/>
      <w:bookmarkEnd w:id="295"/>
      <w:bookmarkEnd w:id="296"/>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3.4.1  除第二章比选申请人须知前附表授权直接确定中选人外，</w:t>
      </w:r>
      <w:r>
        <w:rPr>
          <w:rFonts w:ascii="宋体" w:hAnsi="宋体"/>
          <w:kern w:val="0"/>
          <w:szCs w:val="21"/>
        </w:rPr>
        <w:t>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3.4.2  评审委员会完成评审后，应当向比选人提交书面评审报告。</w:t>
      </w:r>
    </w:p>
    <w:p>
      <w:pPr>
        <w:spacing w:line="360" w:lineRule="auto"/>
        <w:ind w:firstLine="440"/>
        <w:rPr>
          <w:rFonts w:asciiTheme="majorEastAsia" w:hAnsiTheme="majorEastAsia" w:eastAsiaTheme="majorEastAsia"/>
          <w:sz w:val="22"/>
          <w:szCs w:val="22"/>
        </w:rPr>
      </w:pPr>
    </w:p>
    <w:p>
      <w:pPr>
        <w:pStyle w:val="3"/>
        <w:ind w:left="0" w:firstLine="0"/>
        <w:rPr>
          <w:rFonts w:asciiTheme="majorEastAsia" w:hAnsiTheme="majorEastAsia" w:eastAsiaTheme="majorEastAsia"/>
          <w:kern w:val="1"/>
        </w:rPr>
      </w:pPr>
      <w:r>
        <w:rPr>
          <w:rFonts w:asciiTheme="majorEastAsia" w:hAnsiTheme="majorEastAsia" w:eastAsiaTheme="majorEastAsia"/>
        </w:rPr>
        <w:br w:type="page"/>
      </w:r>
      <w:bookmarkStart w:id="297" w:name="_Toc18637"/>
      <w:bookmarkStart w:id="298" w:name="_Toc451292158"/>
      <w:bookmarkStart w:id="299" w:name="_Toc424824382"/>
      <w:bookmarkStart w:id="300" w:name="_Toc28097767"/>
      <w:r>
        <w:rPr>
          <w:rFonts w:asciiTheme="majorEastAsia" w:hAnsiTheme="majorEastAsia" w:eastAsiaTheme="majorEastAsia"/>
          <w:b/>
          <w:kern w:val="0"/>
          <w:sz w:val="36"/>
          <w:szCs w:val="36"/>
        </w:rPr>
        <w:t>第四章 合同条款及格式</w:t>
      </w:r>
      <w:bookmarkEnd w:id="297"/>
      <w:bookmarkEnd w:id="298"/>
      <w:bookmarkEnd w:id="299"/>
      <w:bookmarkEnd w:id="300"/>
      <w:bookmarkStart w:id="301" w:name="招标文件04章合同条款及格式01"/>
      <w:bookmarkEnd w:id="301"/>
    </w:p>
    <w:p>
      <w:pPr>
        <w:jc w:val="center"/>
        <w:rPr>
          <w:rFonts w:asciiTheme="majorEastAsia" w:hAnsiTheme="majorEastAsia" w:eastAsiaTheme="majorEastAsia"/>
          <w:kern w:val="1"/>
          <w:szCs w:val="22"/>
        </w:rPr>
      </w:pPr>
    </w:p>
    <w:p>
      <w:pPr>
        <w:rPr>
          <w:rFonts w:asciiTheme="majorEastAsia" w:hAnsiTheme="majorEastAsia" w:eastAsiaTheme="majorEastAsia"/>
          <w:b/>
          <w:bCs/>
          <w:kern w:val="44"/>
          <w:sz w:val="44"/>
          <w:szCs w:val="44"/>
          <w:shd w:val="clear" w:color="auto" w:fill="FFFFFF"/>
        </w:rPr>
      </w:pPr>
      <w:r>
        <w:rPr>
          <w:rFonts w:asciiTheme="majorEastAsia" w:hAnsiTheme="majorEastAsia" w:eastAsiaTheme="majorEastAsia"/>
          <w:szCs w:val="21"/>
        </w:rPr>
        <w:br w:type="page"/>
      </w:r>
    </w:p>
    <w:p>
      <w:pPr>
        <w:pStyle w:val="4"/>
        <w:numPr>
          <w:ilvl w:val="0"/>
          <w:numId w:val="2"/>
        </w:numPr>
        <w:spacing w:before="240" w:beforeLines="100" w:after="120" w:afterLines="50" w:line="500" w:lineRule="exact"/>
        <w:jc w:val="center"/>
        <w:rPr>
          <w:rFonts w:asciiTheme="majorEastAsia" w:hAnsiTheme="majorEastAsia" w:eastAsiaTheme="majorEastAsia"/>
          <w:szCs w:val="28"/>
        </w:rPr>
      </w:pPr>
      <w:bookmarkStart w:id="302" w:name="_Toc11382"/>
      <w:bookmarkStart w:id="303" w:name="_Toc13260"/>
      <w:bookmarkStart w:id="304" w:name="_Toc26173"/>
      <w:r>
        <w:rPr>
          <w:rFonts w:hint="eastAsia" w:asciiTheme="majorEastAsia" w:hAnsiTheme="majorEastAsia" w:eastAsiaTheme="majorEastAsia"/>
          <w:szCs w:val="28"/>
        </w:rPr>
        <w:t>合同协议书</w:t>
      </w:r>
      <w:bookmarkEnd w:id="302"/>
    </w:p>
    <w:p>
      <w:pPr>
        <w:rPr>
          <w:rFonts w:asciiTheme="majorEastAsia" w:hAnsiTheme="majorEastAsia" w:eastAsiaTheme="majorEastAsia"/>
        </w:rPr>
      </w:pPr>
    </w:p>
    <w:p>
      <w:pPr>
        <w:spacing w:line="360" w:lineRule="auto"/>
        <w:ind w:firstLine="361" w:firstLineChars="150"/>
        <w:rPr>
          <w:rFonts w:asciiTheme="majorEastAsia" w:hAnsiTheme="majorEastAsia" w:eastAsiaTheme="majorEastAsia"/>
          <w:b/>
          <w:sz w:val="24"/>
          <w:szCs w:val="22"/>
          <w:u w:val="single"/>
        </w:rPr>
      </w:pPr>
      <w:r>
        <w:rPr>
          <w:rFonts w:hint="eastAsia" w:asciiTheme="majorEastAsia" w:hAnsiTheme="majorEastAsia" w:eastAsiaTheme="majorEastAsia"/>
          <w:b/>
          <w:sz w:val="24"/>
          <w:szCs w:val="22"/>
        </w:rPr>
        <w:t>发包人（全称）：</w:t>
      </w:r>
      <w:r>
        <w:rPr>
          <w:rFonts w:hint="eastAsia" w:asciiTheme="majorEastAsia" w:hAnsiTheme="majorEastAsia" w:eastAsiaTheme="majorEastAsia"/>
          <w:b/>
          <w:sz w:val="24"/>
          <w:szCs w:val="22"/>
          <w:u w:val="single"/>
        </w:rPr>
        <w:t>高速管家（重庆）实业有限公司</w:t>
      </w:r>
    </w:p>
    <w:p>
      <w:pPr>
        <w:spacing w:line="360" w:lineRule="auto"/>
        <w:ind w:firstLine="361" w:firstLineChars="150"/>
        <w:rPr>
          <w:rFonts w:asciiTheme="majorEastAsia" w:hAnsiTheme="majorEastAsia" w:eastAsiaTheme="majorEastAsia"/>
          <w:b/>
          <w:sz w:val="24"/>
          <w:szCs w:val="22"/>
          <w:u w:val="single"/>
        </w:rPr>
      </w:pPr>
      <w:r>
        <w:rPr>
          <w:rFonts w:hint="eastAsia" w:asciiTheme="majorEastAsia" w:hAnsiTheme="majorEastAsia" w:eastAsiaTheme="majorEastAsia"/>
          <w:b/>
          <w:sz w:val="24"/>
          <w:szCs w:val="22"/>
        </w:rPr>
        <w:t>承包人（全称）：</w:t>
      </w:r>
      <w:r>
        <w:rPr>
          <w:rFonts w:hint="eastAsia" w:asciiTheme="majorEastAsia" w:hAnsiTheme="majorEastAsia" w:eastAsiaTheme="majorEastAsia"/>
          <w:b/>
          <w:sz w:val="24"/>
          <w:szCs w:val="22"/>
          <w:u w:val="single"/>
        </w:rPr>
        <w:t xml:space="preserve">                             </w:t>
      </w:r>
    </w:p>
    <w:p>
      <w:pPr>
        <w:spacing w:line="360" w:lineRule="auto"/>
        <w:ind w:firstLine="330" w:firstLineChars="150"/>
        <w:rPr>
          <w:rFonts w:cs="MingLiU" w:asciiTheme="majorEastAsia" w:hAnsiTheme="majorEastAsia" w:eastAsiaTheme="majorEastAsia"/>
          <w:snapToGrid w:val="0"/>
          <w:kern w:val="0"/>
          <w:sz w:val="22"/>
          <w:szCs w:val="22"/>
          <w:u w:val="single"/>
        </w:rPr>
      </w:pP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依照《中华人民共和国合同法》、《中华人民共和国建筑法》及其他有关法律、行政法规，遵循平等、自愿、公平和诚实信用的原则，双方就</w:t>
      </w:r>
      <w:r>
        <w:rPr>
          <w:rFonts w:hint="eastAsia" w:asciiTheme="majorEastAsia" w:hAnsiTheme="majorEastAsia" w:eastAsiaTheme="majorEastAsia"/>
          <w:b/>
          <w:sz w:val="22"/>
          <w:szCs w:val="22"/>
          <w:u w:val="single"/>
        </w:rPr>
        <w:t>长合高速公路石船服务区空间营造EPC工程</w:t>
      </w:r>
      <w:r>
        <w:rPr>
          <w:rFonts w:hint="eastAsia" w:asciiTheme="majorEastAsia" w:hAnsiTheme="majorEastAsia" w:eastAsiaTheme="majorEastAsia"/>
          <w:sz w:val="22"/>
          <w:szCs w:val="22"/>
        </w:rPr>
        <w:t>施工事项协商一致，订立本合同。</w:t>
      </w:r>
    </w:p>
    <w:p>
      <w:pPr>
        <w:spacing w:line="360" w:lineRule="auto"/>
        <w:ind w:firstLine="442"/>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一、工程概况</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工程名称：</w:t>
      </w:r>
      <w:r>
        <w:rPr>
          <w:rFonts w:hint="eastAsia" w:asciiTheme="majorEastAsia" w:hAnsiTheme="majorEastAsia" w:eastAsiaTheme="majorEastAsia"/>
          <w:sz w:val="22"/>
          <w:szCs w:val="22"/>
          <w:u w:val="single"/>
        </w:rPr>
        <w:t>长合高速公路石船服务区空间营造EPC工程</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工程地点：</w:t>
      </w: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firstLine="440"/>
        <w:rPr>
          <w:rFonts w:asciiTheme="majorEastAsia" w:hAnsiTheme="majorEastAsia" w:eastAsiaTheme="majorEastAsia"/>
          <w:b/>
          <w:sz w:val="22"/>
          <w:szCs w:val="22"/>
        </w:rPr>
      </w:pPr>
      <w:r>
        <w:rPr>
          <w:rFonts w:hint="eastAsia" w:asciiTheme="majorEastAsia" w:hAnsiTheme="majorEastAsia" w:eastAsiaTheme="majorEastAsia"/>
          <w:sz w:val="22"/>
          <w:szCs w:val="22"/>
        </w:rPr>
        <w:t>工程内容：</w:t>
      </w: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firstLine="442"/>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二、工程承包范围</w:t>
      </w:r>
    </w:p>
    <w:p>
      <w:pPr>
        <w:spacing w:line="360" w:lineRule="auto"/>
        <w:ind w:left="424" w:leftChars="202" w:firstLine="13" w:firstLineChars="6"/>
        <w:rPr>
          <w:rFonts w:asciiTheme="majorEastAsia" w:hAnsiTheme="majorEastAsia" w:eastAsiaTheme="majorEastAsia"/>
          <w:sz w:val="22"/>
          <w:szCs w:val="22"/>
          <w:u w:val="single"/>
        </w:rPr>
      </w:pP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left="424" w:leftChars="202" w:firstLine="13" w:firstLineChars="6"/>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三、合同工期</w:t>
      </w:r>
    </w:p>
    <w:p>
      <w:pPr>
        <w:spacing w:line="360" w:lineRule="auto"/>
        <w:ind w:firstLine="440"/>
        <w:rPr>
          <w:rFonts w:asciiTheme="majorEastAsia" w:hAnsiTheme="majorEastAsia" w:eastAsiaTheme="majorEastAsia"/>
          <w:bCs/>
          <w:sz w:val="22"/>
          <w:szCs w:val="22"/>
        </w:rPr>
      </w:pPr>
      <w:r>
        <w:rPr>
          <w:rFonts w:hint="eastAsia" w:asciiTheme="majorEastAsia" w:hAnsiTheme="majorEastAsia" w:eastAsiaTheme="majorEastAsia"/>
          <w:sz w:val="22"/>
          <w:szCs w:val="22"/>
        </w:rPr>
        <w:t>开工日期：</w:t>
      </w:r>
      <w:r>
        <w:rPr>
          <w:rFonts w:hint="eastAsia" w:asciiTheme="majorEastAsia" w:hAnsiTheme="majorEastAsia" w:eastAsiaTheme="majorEastAsia"/>
          <w:bCs/>
          <w:sz w:val="22"/>
          <w:szCs w:val="22"/>
          <w:u w:val="single"/>
        </w:rPr>
        <w:t xml:space="preserve">     年   月   日；</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竣工日期：</w:t>
      </w:r>
      <w:r>
        <w:rPr>
          <w:rFonts w:hint="eastAsia" w:asciiTheme="majorEastAsia" w:hAnsiTheme="majorEastAsia" w:eastAsiaTheme="majorEastAsia"/>
          <w:bCs/>
          <w:sz w:val="22"/>
          <w:szCs w:val="22"/>
          <w:u w:val="single"/>
        </w:rPr>
        <w:t xml:space="preserve">     年   月   日。</w:t>
      </w:r>
    </w:p>
    <w:p>
      <w:pPr>
        <w:spacing w:line="360" w:lineRule="auto"/>
        <w:ind w:firstLine="440"/>
        <w:rPr>
          <w:rFonts w:asciiTheme="majorEastAsia" w:hAnsiTheme="majorEastAsia" w:eastAsiaTheme="majorEastAsia"/>
          <w:bCs/>
          <w:sz w:val="22"/>
          <w:szCs w:val="22"/>
        </w:rPr>
      </w:pPr>
      <w:r>
        <w:rPr>
          <w:rFonts w:hint="eastAsia" w:asciiTheme="majorEastAsia" w:hAnsiTheme="majorEastAsia" w:eastAsiaTheme="majorEastAsia"/>
          <w:sz w:val="22"/>
          <w:szCs w:val="22"/>
        </w:rPr>
        <w:t>工期总数：</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w:t>
      </w:r>
    </w:p>
    <w:p>
      <w:pPr>
        <w:spacing w:line="360" w:lineRule="auto"/>
        <w:ind w:firstLine="442"/>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四、质量标准</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工程质量标准：</w:t>
      </w:r>
      <w:r>
        <w:rPr>
          <w:rFonts w:hint="eastAsia" w:asciiTheme="majorEastAsia" w:hAnsiTheme="majorEastAsia" w:eastAsiaTheme="majorEastAsia"/>
          <w:bCs/>
          <w:sz w:val="22"/>
          <w:szCs w:val="22"/>
          <w:u w:val="single"/>
        </w:rPr>
        <w:t xml:space="preserve"> </w:t>
      </w:r>
      <w:r>
        <w:rPr>
          <w:rFonts w:asciiTheme="majorEastAsia" w:hAnsiTheme="majorEastAsia" w:eastAsiaTheme="majorEastAsia"/>
          <w:bCs/>
          <w:sz w:val="22"/>
          <w:szCs w:val="22"/>
          <w:u w:val="single"/>
        </w:rPr>
        <w:t xml:space="preserve">                                           </w:t>
      </w:r>
      <w:r>
        <w:rPr>
          <w:rFonts w:hint="eastAsia" w:asciiTheme="majorEastAsia" w:hAnsiTheme="majorEastAsia" w:eastAsiaTheme="majorEastAsia"/>
          <w:bCs/>
          <w:sz w:val="22"/>
          <w:szCs w:val="22"/>
          <w:u w:val="single"/>
        </w:rPr>
        <w:t>。</w:t>
      </w:r>
    </w:p>
    <w:p>
      <w:pPr>
        <w:spacing w:line="360" w:lineRule="auto"/>
        <w:ind w:firstLine="442"/>
        <w:rPr>
          <w:rFonts w:asciiTheme="majorEastAsia" w:hAnsiTheme="majorEastAsia" w:eastAsiaTheme="majorEastAsia"/>
          <w:b/>
          <w:bCs/>
          <w:kern w:val="0"/>
          <w:sz w:val="22"/>
          <w:szCs w:val="22"/>
        </w:rPr>
      </w:pPr>
      <w:r>
        <w:rPr>
          <w:rFonts w:hint="eastAsia" w:asciiTheme="majorEastAsia" w:hAnsiTheme="majorEastAsia" w:eastAsiaTheme="majorEastAsia"/>
          <w:b/>
          <w:bCs/>
          <w:kern w:val="0"/>
          <w:sz w:val="22"/>
          <w:szCs w:val="22"/>
        </w:rPr>
        <w:t>五、合同价款（人民币）</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1.合同价暂定为：人民币（大写）</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u w:val="single"/>
        </w:rPr>
        <w:t xml:space="preserve"> (¥          元)</w:t>
      </w:r>
      <w:r>
        <w:rPr>
          <w:rFonts w:hint="eastAsia" w:asciiTheme="majorEastAsia" w:hAnsiTheme="majorEastAsia" w:eastAsiaTheme="majorEastAsia"/>
          <w:bCs/>
          <w:kern w:val="0"/>
          <w:sz w:val="22"/>
          <w:szCs w:val="22"/>
        </w:rPr>
        <w:t>；</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其中：设计费：人民币（大写）</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u w:val="single"/>
        </w:rPr>
        <w:t xml:space="preserve">  (¥          元)</w:t>
      </w:r>
      <w:r>
        <w:rPr>
          <w:rFonts w:hint="eastAsia" w:asciiTheme="majorEastAsia" w:hAnsiTheme="majorEastAsia" w:eastAsiaTheme="majorEastAsia"/>
          <w:bCs/>
          <w:kern w:val="0"/>
          <w:sz w:val="22"/>
          <w:szCs w:val="22"/>
        </w:rPr>
        <w:t>；</w:t>
      </w:r>
    </w:p>
    <w:p>
      <w:pPr>
        <w:spacing w:line="360" w:lineRule="auto"/>
        <w:ind w:firstLine="1100" w:firstLineChars="5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建筑安装费</w:t>
      </w:r>
      <w:r>
        <w:rPr>
          <w:rFonts w:asciiTheme="majorEastAsia" w:hAnsiTheme="majorEastAsia" w:eastAsiaTheme="majorEastAsia"/>
          <w:bCs/>
          <w:kern w:val="0"/>
          <w:sz w:val="22"/>
          <w:szCs w:val="22"/>
        </w:rPr>
        <w:t>：</w:t>
      </w:r>
      <w:r>
        <w:rPr>
          <w:rFonts w:hint="eastAsia" w:asciiTheme="majorEastAsia" w:hAnsiTheme="majorEastAsia" w:eastAsiaTheme="majorEastAsia"/>
          <w:bCs/>
          <w:kern w:val="0"/>
          <w:sz w:val="22"/>
          <w:szCs w:val="22"/>
        </w:rPr>
        <w:t>人民币（大写）</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u w:val="single"/>
        </w:rPr>
        <w:t>(¥          元)</w:t>
      </w:r>
      <w:r>
        <w:rPr>
          <w:rFonts w:hint="eastAsia" w:asciiTheme="majorEastAsia" w:hAnsiTheme="majorEastAsia" w:eastAsiaTheme="majorEastAsia"/>
          <w:bCs/>
          <w:kern w:val="0"/>
          <w:sz w:val="22"/>
          <w:szCs w:val="22"/>
        </w:rPr>
        <w:t>。</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2.合同价格形式：</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w:t>
      </w:r>
    </w:p>
    <w:p>
      <w:pPr>
        <w:spacing w:line="360" w:lineRule="auto"/>
        <w:ind w:firstLine="442"/>
        <w:rPr>
          <w:rFonts w:cs="MingLiU" w:asciiTheme="majorEastAsia" w:hAnsiTheme="majorEastAsia" w:eastAsiaTheme="majorEastAsia"/>
          <w:bCs/>
          <w:snapToGrid w:val="0"/>
          <w:kern w:val="0"/>
          <w:sz w:val="22"/>
          <w:szCs w:val="22"/>
        </w:rPr>
      </w:pPr>
      <w:r>
        <w:rPr>
          <w:rFonts w:hint="eastAsia" w:asciiTheme="majorEastAsia" w:hAnsiTheme="majorEastAsia" w:eastAsiaTheme="majorEastAsia"/>
          <w:b/>
          <w:bCs/>
          <w:kern w:val="0"/>
          <w:sz w:val="22"/>
          <w:szCs w:val="22"/>
        </w:rPr>
        <w:t>六、</w:t>
      </w:r>
      <w:r>
        <w:rPr>
          <w:rFonts w:hint="eastAsia" w:cs="MingLiU" w:asciiTheme="majorEastAsia" w:hAnsiTheme="majorEastAsia" w:eastAsiaTheme="majorEastAsia"/>
          <w:b/>
          <w:bCs/>
          <w:snapToGrid w:val="0"/>
          <w:kern w:val="0"/>
          <w:sz w:val="22"/>
          <w:szCs w:val="22"/>
        </w:rPr>
        <w:t>承包人项目经理：</w:t>
      </w:r>
      <w:r>
        <w:rPr>
          <w:rFonts w:hint="eastAsia" w:cs="MingLiU" w:asciiTheme="majorEastAsia" w:hAnsiTheme="majorEastAsia" w:eastAsiaTheme="majorEastAsia"/>
          <w:bCs/>
          <w:snapToGrid w:val="0"/>
          <w:kern w:val="0"/>
          <w:sz w:val="22"/>
          <w:szCs w:val="22"/>
          <w:u w:val="single"/>
        </w:rPr>
        <w:t xml:space="preserve">             </w:t>
      </w:r>
      <w:r>
        <w:rPr>
          <w:rFonts w:hint="eastAsia" w:cs="MingLiU" w:asciiTheme="majorEastAsia" w:hAnsiTheme="majorEastAsia" w:eastAsiaTheme="majorEastAsia"/>
          <w:bCs/>
          <w:snapToGrid w:val="0"/>
          <w:kern w:val="0"/>
          <w:sz w:val="22"/>
          <w:szCs w:val="22"/>
        </w:rPr>
        <w:t>；</w:t>
      </w:r>
      <w:r>
        <w:rPr>
          <w:rFonts w:cs="MingLiU" w:asciiTheme="majorEastAsia" w:hAnsiTheme="majorEastAsia" w:eastAsiaTheme="majorEastAsia"/>
          <w:b/>
          <w:bCs/>
          <w:snapToGrid w:val="0"/>
          <w:kern w:val="0"/>
          <w:sz w:val="22"/>
          <w:szCs w:val="22"/>
        </w:rPr>
        <w:t>设计负责人</w:t>
      </w:r>
      <w:r>
        <w:rPr>
          <w:rFonts w:hint="eastAsia" w:cs="MingLiU" w:asciiTheme="majorEastAsia" w:hAnsiTheme="majorEastAsia" w:eastAsiaTheme="majorEastAsia"/>
          <w:b/>
          <w:bCs/>
          <w:snapToGrid w:val="0"/>
          <w:kern w:val="0"/>
          <w:sz w:val="22"/>
          <w:szCs w:val="22"/>
        </w:rPr>
        <w:t>：</w:t>
      </w:r>
      <w:r>
        <w:rPr>
          <w:rFonts w:hint="eastAsia" w:cs="MingLiU" w:asciiTheme="majorEastAsia" w:hAnsiTheme="majorEastAsia" w:eastAsiaTheme="majorEastAsia"/>
          <w:bCs/>
          <w:snapToGrid w:val="0"/>
          <w:kern w:val="0"/>
          <w:sz w:val="22"/>
          <w:szCs w:val="22"/>
          <w:u w:val="single"/>
        </w:rPr>
        <w:t xml:space="preserve">              </w:t>
      </w:r>
      <w:r>
        <w:rPr>
          <w:rFonts w:hint="eastAsia" w:cs="MingLiU" w:asciiTheme="majorEastAsia" w:hAnsiTheme="majorEastAsia" w:eastAsiaTheme="majorEastAsia"/>
          <w:bCs/>
          <w:snapToGrid w:val="0"/>
          <w:kern w:val="0"/>
          <w:sz w:val="22"/>
          <w:szCs w:val="22"/>
        </w:rPr>
        <w:t>。</w:t>
      </w:r>
    </w:p>
    <w:p>
      <w:pPr>
        <w:spacing w:line="360" w:lineRule="auto"/>
        <w:ind w:firstLine="442"/>
        <w:rPr>
          <w:rFonts w:cs="MingLiU" w:asciiTheme="majorEastAsia" w:hAnsiTheme="majorEastAsia" w:eastAsiaTheme="majorEastAsia"/>
          <w:b/>
          <w:bCs/>
          <w:snapToGrid w:val="0"/>
          <w:kern w:val="0"/>
          <w:sz w:val="22"/>
          <w:szCs w:val="22"/>
        </w:rPr>
      </w:pPr>
      <w:bookmarkStart w:id="305" w:name="_Toc351203486"/>
      <w:r>
        <w:rPr>
          <w:rFonts w:hint="eastAsia" w:cs="MingLiU" w:asciiTheme="majorEastAsia" w:hAnsiTheme="majorEastAsia" w:eastAsiaTheme="majorEastAsia"/>
          <w:b/>
          <w:bCs/>
          <w:snapToGrid w:val="0"/>
          <w:kern w:val="0"/>
          <w:sz w:val="22"/>
          <w:szCs w:val="22"/>
        </w:rPr>
        <w:t>七</w:t>
      </w:r>
      <w:r>
        <w:rPr>
          <w:rFonts w:cs="MingLiU" w:asciiTheme="majorEastAsia" w:hAnsiTheme="majorEastAsia" w:eastAsiaTheme="majorEastAsia"/>
          <w:b/>
          <w:bCs/>
          <w:snapToGrid w:val="0"/>
          <w:kern w:val="0"/>
          <w:sz w:val="22"/>
          <w:szCs w:val="22"/>
        </w:rPr>
        <w:t>、合同文件构成</w:t>
      </w:r>
      <w:bookmarkEnd w:id="305"/>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本协议书与下列文件一起构成合同文件：</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（1）中选通知书；</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（2）</w:t>
      </w:r>
      <w:r>
        <w:rPr>
          <w:rFonts w:hint="eastAsia" w:asciiTheme="majorEastAsia" w:hAnsiTheme="majorEastAsia" w:eastAsiaTheme="majorEastAsia"/>
          <w:bCs/>
          <w:kern w:val="0"/>
          <w:sz w:val="22"/>
          <w:szCs w:val="22"/>
        </w:rPr>
        <w:t>比选申请</w:t>
      </w:r>
      <w:r>
        <w:rPr>
          <w:rFonts w:asciiTheme="majorEastAsia" w:hAnsiTheme="majorEastAsia" w:eastAsiaTheme="majorEastAsia"/>
          <w:bCs/>
          <w:kern w:val="0"/>
          <w:sz w:val="22"/>
          <w:szCs w:val="22"/>
        </w:rPr>
        <w:t xml:space="preserve">函及其附录； </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（3）专用合同条款及其附件；</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（4）通用合同条款；</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（5）技术标准和要求；</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（6）图纸；</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（7）已标价工程量清单或预算书；</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（8）其他合同文件。</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在合同订立及履行过程中形成的与合同有关的文件均构成合同文件组成部分。</w:t>
      </w:r>
    </w:p>
    <w:p>
      <w:pPr>
        <w:spacing w:line="360" w:lineRule="auto"/>
        <w:ind w:firstLine="44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上述各项合同文件包括合同当事人就该项合同文件所作出的补充和修改，属于同一类内容的文件，应以最新签署的为准。</w:t>
      </w:r>
      <w:r>
        <w:rPr>
          <w:rFonts w:hint="eastAsia" w:asciiTheme="majorEastAsia" w:hAnsiTheme="majorEastAsia" w:eastAsiaTheme="majorEastAsia"/>
          <w:bCs/>
          <w:kern w:val="0"/>
          <w:sz w:val="22"/>
          <w:szCs w:val="22"/>
        </w:rPr>
        <w:t>专用合同条款及其附件须经合同当事人签字或盖章。</w:t>
      </w:r>
    </w:p>
    <w:p>
      <w:pPr>
        <w:autoSpaceDE w:val="0"/>
        <w:autoSpaceDN w:val="0"/>
        <w:adjustRightInd w:val="0"/>
        <w:snapToGrid w:val="0"/>
        <w:spacing w:line="360" w:lineRule="auto"/>
        <w:ind w:right="-20" w:firstLine="283" w:firstLineChars="128"/>
        <w:rPr>
          <w:rFonts w:cs="MingLiU"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八、</w:t>
      </w:r>
      <w:r>
        <w:rPr>
          <w:rFonts w:hint="eastAsia" w:cs="MingLiU" w:asciiTheme="majorEastAsia" w:hAnsiTheme="majorEastAsia" w:eastAsiaTheme="majorEastAsia"/>
          <w:b/>
          <w:bCs/>
          <w:snapToGrid w:val="0"/>
          <w:kern w:val="0"/>
          <w:sz w:val="22"/>
          <w:szCs w:val="22"/>
        </w:rPr>
        <w:t>承包人承诺按合同约定承担工程的实施、完成及缺陷修复。</w:t>
      </w:r>
    </w:p>
    <w:p>
      <w:pPr>
        <w:autoSpaceDE w:val="0"/>
        <w:autoSpaceDN w:val="0"/>
        <w:adjustRightInd w:val="0"/>
        <w:snapToGrid w:val="0"/>
        <w:spacing w:line="360" w:lineRule="auto"/>
        <w:ind w:right="-20" w:firstLine="283" w:firstLineChars="128"/>
        <w:rPr>
          <w:rFonts w:cs="MingLiU"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九、</w:t>
      </w:r>
      <w:r>
        <w:rPr>
          <w:rFonts w:hint="eastAsia" w:cs="MingLiU" w:asciiTheme="majorEastAsia" w:hAnsiTheme="majorEastAsia" w:eastAsiaTheme="majorEastAsia"/>
          <w:b/>
          <w:bCs/>
          <w:snapToGrid w:val="0"/>
          <w:kern w:val="0"/>
          <w:sz w:val="22"/>
          <w:szCs w:val="22"/>
        </w:rPr>
        <w:t>本协议书一式</w:t>
      </w:r>
      <w:r>
        <w:rPr>
          <w:rFonts w:hint="eastAsia" w:cs="MingLiU" w:asciiTheme="majorEastAsia" w:hAnsiTheme="majorEastAsia" w:eastAsiaTheme="majorEastAsia"/>
          <w:b/>
          <w:bCs/>
          <w:snapToGrid w:val="0"/>
          <w:kern w:val="0"/>
          <w:sz w:val="22"/>
          <w:szCs w:val="22"/>
          <w:u w:val="single"/>
        </w:rPr>
        <w:t xml:space="preserve">   </w:t>
      </w:r>
      <w:r>
        <w:rPr>
          <w:rFonts w:hint="eastAsia" w:cs="MingLiU" w:asciiTheme="majorEastAsia" w:hAnsiTheme="majorEastAsia" w:eastAsiaTheme="majorEastAsia"/>
          <w:b/>
          <w:bCs/>
          <w:snapToGrid w:val="0"/>
          <w:kern w:val="0"/>
          <w:sz w:val="22"/>
          <w:szCs w:val="22"/>
        </w:rPr>
        <w:t>份，合同双方各执</w:t>
      </w:r>
      <w:r>
        <w:rPr>
          <w:rFonts w:hint="eastAsia" w:cs="MingLiU" w:asciiTheme="majorEastAsia" w:hAnsiTheme="majorEastAsia" w:eastAsiaTheme="majorEastAsia"/>
          <w:b/>
          <w:bCs/>
          <w:snapToGrid w:val="0"/>
          <w:kern w:val="0"/>
          <w:sz w:val="22"/>
          <w:szCs w:val="22"/>
          <w:u w:val="single"/>
        </w:rPr>
        <w:t xml:space="preserve">   </w:t>
      </w:r>
      <w:r>
        <w:rPr>
          <w:rFonts w:hint="eastAsia" w:cs="MingLiU" w:asciiTheme="majorEastAsia" w:hAnsiTheme="majorEastAsia" w:eastAsiaTheme="majorEastAsia"/>
          <w:b/>
          <w:bCs/>
          <w:snapToGrid w:val="0"/>
          <w:kern w:val="0"/>
          <w:sz w:val="22"/>
          <w:szCs w:val="22"/>
        </w:rPr>
        <w:t>份。</w:t>
      </w:r>
    </w:p>
    <w:p>
      <w:pPr>
        <w:autoSpaceDE w:val="0"/>
        <w:autoSpaceDN w:val="0"/>
        <w:adjustRightInd w:val="0"/>
        <w:snapToGrid w:val="0"/>
        <w:spacing w:line="360" w:lineRule="auto"/>
        <w:ind w:right="-20" w:firstLine="283" w:firstLineChars="128"/>
        <w:rPr>
          <w:rFonts w:cs="MingLiU"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十、</w:t>
      </w:r>
      <w:r>
        <w:rPr>
          <w:rFonts w:hint="eastAsia" w:cs="MingLiU" w:asciiTheme="majorEastAsia" w:hAnsiTheme="majorEastAsia" w:eastAsiaTheme="majorEastAsia"/>
          <w:b/>
          <w:bCs/>
          <w:snapToGrid w:val="0"/>
          <w:kern w:val="0"/>
          <w:sz w:val="22"/>
          <w:szCs w:val="22"/>
        </w:rPr>
        <w:t>合同未尽事宜，双方另行签订补充协议。补充协议是合同的组成部分。</w:t>
      </w:r>
    </w:p>
    <w:p>
      <w:pPr>
        <w:autoSpaceDE w:val="0"/>
        <w:autoSpaceDN w:val="0"/>
        <w:adjustRightInd w:val="0"/>
        <w:snapToGrid w:val="0"/>
        <w:spacing w:line="360" w:lineRule="auto"/>
        <w:ind w:right="-20" w:firstLine="283" w:firstLineChars="128"/>
        <w:rPr>
          <w:rFonts w:cs="MingLiU" w:asciiTheme="majorEastAsia" w:hAnsiTheme="majorEastAsia" w:eastAsiaTheme="majorEastAsia"/>
          <w:b/>
          <w:bCs/>
          <w:snapToGrid w:val="0"/>
          <w:kern w:val="0"/>
          <w:sz w:val="22"/>
          <w:szCs w:val="22"/>
        </w:rPr>
      </w:pPr>
      <w:r>
        <w:rPr>
          <w:rFonts w:hint="eastAsia" w:cs="MingLiU" w:asciiTheme="majorEastAsia" w:hAnsiTheme="majorEastAsia" w:eastAsiaTheme="majorEastAsia"/>
          <w:b/>
          <w:bCs/>
          <w:snapToGrid w:val="0"/>
          <w:kern w:val="0"/>
          <w:sz w:val="22"/>
          <w:szCs w:val="22"/>
        </w:rPr>
        <w:t>十一、合同生效</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本合同自</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生效。</w:t>
      </w:r>
    </w:p>
    <w:p>
      <w:pPr>
        <w:spacing w:line="360" w:lineRule="auto"/>
        <w:ind w:firstLine="440"/>
        <w:rPr>
          <w:rFonts w:asciiTheme="majorEastAsia" w:hAnsiTheme="majorEastAsia" w:eastAsiaTheme="majorEastAsia"/>
          <w:bCs/>
          <w:kern w:val="0"/>
          <w:sz w:val="22"/>
          <w:szCs w:val="22"/>
        </w:rPr>
      </w:pP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合同订立时间：</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年</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月</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日</w:t>
      </w:r>
    </w:p>
    <w:p>
      <w:pPr>
        <w:spacing w:line="360" w:lineRule="auto"/>
        <w:ind w:firstLine="440"/>
        <w:rPr>
          <w:rFonts w:asciiTheme="majorEastAsia" w:hAnsiTheme="majorEastAsia" w:eastAsiaTheme="majorEastAsia"/>
          <w:bCs/>
          <w:kern w:val="0"/>
          <w:sz w:val="22"/>
          <w:szCs w:val="22"/>
          <w:u w:val="single"/>
        </w:rPr>
      </w:pPr>
      <w:r>
        <w:rPr>
          <w:rFonts w:hint="eastAsia" w:asciiTheme="majorEastAsia" w:hAnsiTheme="majorEastAsia" w:eastAsiaTheme="majorEastAsia"/>
          <w:bCs/>
          <w:kern w:val="0"/>
          <w:sz w:val="22"/>
          <w:szCs w:val="22"/>
        </w:rPr>
        <w:t>合同订立地点：</w:t>
      </w:r>
      <w:r>
        <w:rPr>
          <w:rFonts w:hint="eastAsia" w:asciiTheme="majorEastAsia" w:hAnsiTheme="majorEastAsia" w:eastAsiaTheme="majorEastAsia"/>
          <w:bCs/>
          <w:kern w:val="0"/>
          <w:sz w:val="22"/>
          <w:szCs w:val="22"/>
          <w:u w:val="single"/>
        </w:rPr>
        <w:t xml:space="preserve"> </w:t>
      </w:r>
    </w:p>
    <w:p>
      <w:pPr>
        <w:spacing w:line="360" w:lineRule="auto"/>
        <w:ind w:firstLine="440"/>
        <w:rPr>
          <w:rFonts w:asciiTheme="majorEastAsia" w:hAnsiTheme="majorEastAsia" w:eastAsiaTheme="majorEastAsia"/>
          <w:bCs/>
          <w:kern w:val="0"/>
          <w:sz w:val="22"/>
          <w:szCs w:val="22"/>
          <w:u w:val="single"/>
        </w:rPr>
      </w:pP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发包人：（公章）                   承包人：（公章）</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地  址：                           地  址：</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法定代表人：                       法定代表人：</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委托代理人：                       委托代理人：</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电     话：                        电     话：</w:t>
      </w:r>
    </w:p>
    <w:p>
      <w:pPr>
        <w:spacing w:line="360" w:lineRule="auto"/>
        <w:ind w:firstLine="418" w:firstLineChars="19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 xml:space="preserve">开户银行：                         开户银行： </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bCs/>
          <w:kern w:val="0"/>
          <w:sz w:val="22"/>
          <w:szCs w:val="22"/>
        </w:rPr>
        <w:t>帐     号：                        帐    号：</w:t>
      </w:r>
    </w:p>
    <w:p>
      <w:pPr>
        <w:spacing w:line="360" w:lineRule="auto"/>
        <w:rPr>
          <w:rFonts w:asciiTheme="majorEastAsia" w:hAnsiTheme="majorEastAsia" w:eastAsiaTheme="majorEastAsia"/>
          <w:bCs/>
          <w:kern w:val="0"/>
          <w:sz w:val="28"/>
          <w:szCs w:val="28"/>
        </w:rPr>
      </w:pPr>
      <w:bookmarkStart w:id="306" w:name="_Toc263925446"/>
      <w:bookmarkStart w:id="307" w:name="_Toc297280241"/>
      <w:bookmarkStart w:id="308" w:name="_Toc31044"/>
      <w:bookmarkStart w:id="309" w:name="_Toc10135"/>
      <w:bookmarkStart w:id="310" w:name="_Toc233044199"/>
      <w:bookmarkStart w:id="311" w:name="_Toc351203494"/>
    </w:p>
    <w:p>
      <w:pPr>
        <w:spacing w:line="360" w:lineRule="auto"/>
        <w:rPr>
          <w:rFonts w:asciiTheme="majorEastAsia" w:hAnsiTheme="majorEastAsia" w:eastAsiaTheme="majorEastAsia"/>
          <w:bCs/>
          <w:kern w:val="0"/>
          <w:sz w:val="28"/>
          <w:szCs w:val="28"/>
        </w:rPr>
      </w:pPr>
      <w:r>
        <w:rPr>
          <w:rFonts w:asciiTheme="majorEastAsia" w:hAnsiTheme="majorEastAsia" w:eastAsiaTheme="majorEastAsia"/>
          <w:bCs/>
          <w:kern w:val="0"/>
          <w:sz w:val="28"/>
          <w:szCs w:val="28"/>
        </w:rPr>
        <w:br w:type="page"/>
      </w:r>
    </w:p>
    <w:p>
      <w:pPr>
        <w:pStyle w:val="4"/>
        <w:numPr>
          <w:ilvl w:val="0"/>
          <w:numId w:val="2"/>
        </w:numPr>
        <w:spacing w:before="240" w:beforeLines="100" w:after="120" w:afterLines="50" w:line="500" w:lineRule="exact"/>
        <w:jc w:val="center"/>
        <w:rPr>
          <w:rFonts w:asciiTheme="majorEastAsia" w:hAnsiTheme="majorEastAsia" w:eastAsiaTheme="majorEastAsia"/>
          <w:szCs w:val="28"/>
        </w:rPr>
      </w:pPr>
      <w:bookmarkStart w:id="312" w:name="_Toc14524575"/>
      <w:bookmarkStart w:id="313" w:name="_Toc29839"/>
      <w:bookmarkStart w:id="314" w:name="_Toc11413"/>
      <w:bookmarkStart w:id="315" w:name="_Toc3780"/>
      <w:r>
        <w:rPr>
          <w:rFonts w:hint="eastAsia" w:asciiTheme="majorEastAsia" w:hAnsiTheme="majorEastAsia" w:eastAsiaTheme="majorEastAsia"/>
          <w:szCs w:val="28"/>
        </w:rPr>
        <w:t>通用合同条款</w:t>
      </w:r>
      <w:bookmarkEnd w:id="312"/>
      <w:bookmarkEnd w:id="313"/>
      <w:bookmarkEnd w:id="314"/>
      <w:bookmarkEnd w:id="315"/>
    </w:p>
    <w:p>
      <w:pPr>
        <w:spacing w:before="312" w:after="156" w:line="360" w:lineRule="auto"/>
        <w:ind w:firstLine="482" w:firstLineChars="201"/>
        <w:rPr>
          <w:rFonts w:asciiTheme="majorEastAsia" w:hAnsiTheme="majorEastAsia" w:eastAsiaTheme="majorEastAsia"/>
          <w:sz w:val="24"/>
          <w:szCs w:val="28"/>
        </w:rPr>
      </w:pPr>
      <w:r>
        <w:rPr>
          <w:rFonts w:hint="eastAsia" w:asciiTheme="majorEastAsia" w:hAnsiTheme="majorEastAsia" w:eastAsiaTheme="majorEastAsia"/>
          <w:sz w:val="24"/>
          <w:szCs w:val="28"/>
        </w:rPr>
        <w:t>采用中华人民共和国《标准施工招标文件（20</w:t>
      </w:r>
      <w:r>
        <w:rPr>
          <w:rFonts w:asciiTheme="majorEastAsia" w:hAnsiTheme="majorEastAsia" w:eastAsiaTheme="majorEastAsia"/>
          <w:sz w:val="24"/>
          <w:szCs w:val="28"/>
        </w:rPr>
        <w:t>1</w:t>
      </w:r>
      <w:r>
        <w:rPr>
          <w:rFonts w:hint="eastAsia" w:asciiTheme="majorEastAsia" w:hAnsiTheme="majorEastAsia" w:eastAsiaTheme="majorEastAsia"/>
          <w:sz w:val="24"/>
          <w:szCs w:val="28"/>
        </w:rPr>
        <w:t>7年版）》（中国计划出版社）第四章第一节的《通用合同条款》。</w:t>
      </w:r>
    </w:p>
    <w:p>
      <w:pPr>
        <w:spacing w:before="312" w:after="156"/>
        <w:ind w:firstLine="565" w:firstLineChars="201"/>
        <w:rPr>
          <w:rFonts w:asciiTheme="majorEastAsia" w:hAnsiTheme="majorEastAsia" w:eastAsiaTheme="majorEastAsia"/>
          <w:b/>
          <w:sz w:val="28"/>
          <w:szCs w:val="28"/>
        </w:rPr>
      </w:pPr>
    </w:p>
    <w:p>
      <w:pPr>
        <w:spacing w:before="312" w:after="156"/>
        <w:ind w:firstLine="565" w:firstLineChars="201"/>
        <w:rPr>
          <w:rFonts w:cs="宋体" w:asciiTheme="majorEastAsia" w:hAnsiTheme="majorEastAsia" w:eastAsiaTheme="majorEastAsia"/>
          <w:sz w:val="28"/>
          <w:szCs w:val="28"/>
        </w:rPr>
      </w:pPr>
      <w:r>
        <w:rPr>
          <w:rFonts w:asciiTheme="majorEastAsia" w:hAnsiTheme="majorEastAsia" w:eastAsiaTheme="majorEastAsia"/>
          <w:b/>
          <w:sz w:val="28"/>
          <w:szCs w:val="28"/>
        </w:rPr>
        <w:br w:type="page"/>
      </w:r>
    </w:p>
    <w:p>
      <w:pPr>
        <w:pStyle w:val="4"/>
        <w:numPr>
          <w:ilvl w:val="0"/>
          <w:numId w:val="2"/>
        </w:numPr>
        <w:spacing w:before="240" w:beforeLines="100" w:after="120" w:afterLines="50" w:line="500" w:lineRule="exact"/>
        <w:jc w:val="center"/>
        <w:rPr>
          <w:rFonts w:cs="宋体" w:asciiTheme="majorEastAsia" w:hAnsiTheme="majorEastAsia" w:eastAsiaTheme="majorEastAsia"/>
          <w:szCs w:val="28"/>
        </w:rPr>
      </w:pPr>
      <w:bookmarkStart w:id="316" w:name="_Toc14524576"/>
      <w:bookmarkStart w:id="317" w:name="_Toc17258"/>
      <w:r>
        <w:rPr>
          <w:rFonts w:hint="eastAsia" w:asciiTheme="majorEastAsia" w:hAnsiTheme="majorEastAsia" w:eastAsiaTheme="majorEastAsia"/>
          <w:szCs w:val="28"/>
        </w:rPr>
        <w:t>专用合同条款</w:t>
      </w:r>
      <w:bookmarkEnd w:id="306"/>
      <w:bookmarkEnd w:id="307"/>
      <w:bookmarkEnd w:id="308"/>
      <w:bookmarkEnd w:id="309"/>
      <w:bookmarkEnd w:id="310"/>
      <w:bookmarkEnd w:id="316"/>
      <w:bookmarkEnd w:id="317"/>
    </w:p>
    <w:p>
      <w:pPr>
        <w:widowControl/>
        <w:spacing w:line="360" w:lineRule="auto"/>
        <w:ind w:firstLine="199" w:firstLineChars="90"/>
        <w:rPr>
          <w:rFonts w:asciiTheme="majorEastAsia" w:hAnsiTheme="majorEastAsia" w:eastAsiaTheme="majorEastAsia"/>
          <w:b/>
          <w:sz w:val="22"/>
          <w:szCs w:val="22"/>
        </w:rPr>
      </w:pPr>
      <w:bookmarkStart w:id="318" w:name="_Toc18640"/>
      <w:bookmarkStart w:id="319" w:name="_Toc24168"/>
      <w:bookmarkStart w:id="320" w:name="_Toc293076726"/>
      <w:bookmarkStart w:id="321" w:name="_Toc279650470"/>
      <w:r>
        <w:rPr>
          <w:rFonts w:asciiTheme="majorEastAsia" w:hAnsiTheme="majorEastAsia" w:eastAsiaTheme="majorEastAsia"/>
          <w:b/>
          <w:sz w:val="22"/>
          <w:szCs w:val="22"/>
        </w:rPr>
        <w:t xml:space="preserve">1. </w:t>
      </w:r>
      <w:r>
        <w:rPr>
          <w:rFonts w:hint="eastAsia" w:asciiTheme="majorEastAsia" w:hAnsiTheme="majorEastAsia" w:eastAsiaTheme="majorEastAsia"/>
          <w:b/>
          <w:sz w:val="22"/>
          <w:szCs w:val="22"/>
        </w:rPr>
        <w:t>一般约定</w:t>
      </w:r>
      <w:bookmarkEnd w:id="318"/>
      <w:bookmarkEnd w:id="319"/>
      <w:bookmarkEnd w:id="320"/>
      <w:bookmarkEnd w:id="321"/>
    </w:p>
    <w:p>
      <w:pPr>
        <w:widowControl/>
        <w:spacing w:line="360" w:lineRule="auto"/>
        <w:ind w:firstLine="220" w:firstLineChars="100"/>
        <w:rPr>
          <w:rFonts w:asciiTheme="majorEastAsia" w:hAnsiTheme="majorEastAsia" w:eastAsiaTheme="majorEastAsia"/>
          <w:sz w:val="22"/>
          <w:szCs w:val="22"/>
        </w:rPr>
      </w:pPr>
      <w:r>
        <w:rPr>
          <w:rFonts w:hint="eastAsia" w:asciiTheme="majorEastAsia" w:hAnsiTheme="majorEastAsia" w:eastAsiaTheme="majorEastAsia"/>
          <w:sz w:val="22"/>
          <w:szCs w:val="22"/>
        </w:rPr>
        <w:t>1.1 合同当事人</w:t>
      </w:r>
    </w:p>
    <w:p>
      <w:pPr>
        <w:widowControl/>
        <w:spacing w:line="360" w:lineRule="auto"/>
        <w:ind w:firstLine="198" w:firstLineChars="9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1.1.1 发包人：</w:t>
      </w:r>
      <w:r>
        <w:rPr>
          <w:rFonts w:hint="eastAsia" w:asciiTheme="majorEastAsia" w:hAnsiTheme="majorEastAsia" w:eastAsiaTheme="majorEastAsia"/>
          <w:sz w:val="22"/>
          <w:szCs w:val="22"/>
          <w:u w:val="single"/>
        </w:rPr>
        <w:t xml:space="preserve">                     </w:t>
      </w:r>
    </w:p>
    <w:p>
      <w:pPr>
        <w:widowControl/>
        <w:spacing w:line="360" w:lineRule="auto"/>
        <w:ind w:firstLine="198" w:firstLineChars="90"/>
        <w:rPr>
          <w:rFonts w:asciiTheme="majorEastAsia" w:hAnsiTheme="majorEastAsia" w:eastAsiaTheme="majorEastAsia"/>
          <w:sz w:val="22"/>
          <w:szCs w:val="22"/>
        </w:rPr>
      </w:pPr>
      <w:r>
        <w:rPr>
          <w:rFonts w:hint="eastAsia" w:asciiTheme="majorEastAsia" w:hAnsiTheme="majorEastAsia" w:eastAsiaTheme="majorEastAsia"/>
          <w:sz w:val="22"/>
          <w:szCs w:val="22"/>
        </w:rPr>
        <w:t>1.1.2 承包人：</w:t>
      </w:r>
      <w:r>
        <w:rPr>
          <w:rFonts w:hint="eastAsia" w:asciiTheme="majorEastAsia" w:hAnsiTheme="majorEastAsia" w:eastAsiaTheme="majorEastAsia"/>
          <w:sz w:val="22"/>
          <w:szCs w:val="22"/>
          <w:u w:val="single"/>
        </w:rPr>
        <w:t xml:space="preserve">                     </w:t>
      </w:r>
    </w:p>
    <w:p>
      <w:pPr>
        <w:widowControl/>
        <w:spacing w:line="360" w:lineRule="auto"/>
        <w:ind w:firstLine="220" w:firstLineChars="100"/>
        <w:rPr>
          <w:rFonts w:asciiTheme="majorEastAsia" w:hAnsiTheme="majorEastAsia" w:eastAsiaTheme="majorEastAsia"/>
          <w:sz w:val="22"/>
          <w:szCs w:val="22"/>
        </w:rPr>
      </w:pPr>
      <w:r>
        <w:rPr>
          <w:rFonts w:hint="eastAsia" w:asciiTheme="majorEastAsia" w:hAnsiTheme="majorEastAsia" w:eastAsiaTheme="majorEastAsia"/>
          <w:sz w:val="22"/>
          <w:szCs w:val="22"/>
        </w:rPr>
        <w:t>1.2 缺陷责任期：</w:t>
      </w:r>
      <w:r>
        <w:rPr>
          <w:rFonts w:hint="eastAsia" w:asciiTheme="majorEastAsia" w:hAnsiTheme="majorEastAsia" w:eastAsiaTheme="majorEastAsia"/>
          <w:sz w:val="22"/>
          <w:szCs w:val="22"/>
          <w:u w:val="single"/>
        </w:rPr>
        <w:t>2年。</w:t>
      </w:r>
    </w:p>
    <w:p>
      <w:pPr>
        <w:widowControl/>
        <w:snapToGrid w:val="0"/>
        <w:spacing w:line="360" w:lineRule="auto"/>
        <w:ind w:firstLine="220" w:firstLineChars="100"/>
        <w:rPr>
          <w:rFonts w:asciiTheme="majorEastAsia" w:hAnsiTheme="majorEastAsia" w:eastAsiaTheme="majorEastAsia"/>
          <w:snapToGrid w:val="0"/>
          <w:sz w:val="22"/>
          <w:szCs w:val="22"/>
        </w:rPr>
      </w:pPr>
      <w:bookmarkStart w:id="322" w:name="_Toc293076728"/>
      <w:bookmarkStart w:id="323" w:name="_Toc279650472"/>
      <w:r>
        <w:rPr>
          <w:rFonts w:hint="eastAsia" w:asciiTheme="majorEastAsia" w:hAnsiTheme="majorEastAsia" w:eastAsiaTheme="majorEastAsia"/>
          <w:snapToGrid w:val="0"/>
          <w:sz w:val="22"/>
          <w:szCs w:val="22"/>
        </w:rPr>
        <w:t>1.3 合同文件的优先顺序</w:t>
      </w:r>
      <w:bookmarkEnd w:id="322"/>
      <w:bookmarkEnd w:id="323"/>
      <w:r>
        <w:rPr>
          <w:rFonts w:hint="eastAsia" w:asciiTheme="majorEastAsia" w:hAnsiTheme="majorEastAsia" w:eastAsiaTheme="majorEastAsia"/>
          <w:snapToGrid w:val="0"/>
          <w:sz w:val="22"/>
          <w:szCs w:val="22"/>
        </w:rPr>
        <w:t xml:space="preserve">   </w:t>
      </w:r>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r>
        <w:rPr>
          <w:rFonts w:hint="eastAsia" w:cs="MingLiU" w:asciiTheme="majorEastAsia" w:hAnsiTheme="majorEastAsia" w:eastAsiaTheme="majorEastAsia"/>
          <w:snapToGrid w:val="0"/>
          <w:kern w:val="0"/>
          <w:sz w:val="22"/>
          <w:szCs w:val="22"/>
        </w:rPr>
        <w:t>合同文件的优先顺序</w:t>
      </w:r>
      <w:r>
        <w:rPr>
          <w:rFonts w:hint="eastAsia" w:asciiTheme="majorEastAsia" w:hAnsiTheme="majorEastAsia" w:eastAsiaTheme="majorEastAsia"/>
          <w:snapToGrid w:val="0"/>
          <w:sz w:val="22"/>
          <w:szCs w:val="22"/>
        </w:rPr>
        <w:t>：</w:t>
      </w:r>
      <w:r>
        <w:rPr>
          <w:rFonts w:hint="eastAsia" w:asciiTheme="majorEastAsia" w:hAnsiTheme="majorEastAsia" w:eastAsiaTheme="majorEastAsia"/>
          <w:sz w:val="22"/>
          <w:szCs w:val="22"/>
          <w:u w:val="single"/>
        </w:rPr>
        <w:t>按照合同的中的通用条款执行。</w:t>
      </w:r>
    </w:p>
    <w:p>
      <w:pPr>
        <w:widowControl/>
        <w:snapToGrid w:val="0"/>
        <w:spacing w:line="360" w:lineRule="auto"/>
        <w:ind w:firstLine="220" w:firstLineChars="100"/>
        <w:rPr>
          <w:rFonts w:asciiTheme="majorEastAsia" w:hAnsiTheme="majorEastAsia" w:eastAsiaTheme="majorEastAsia"/>
          <w:snapToGrid w:val="0"/>
          <w:sz w:val="22"/>
          <w:szCs w:val="22"/>
        </w:rPr>
      </w:pPr>
      <w:bookmarkStart w:id="324" w:name="_Toc293076729"/>
      <w:bookmarkStart w:id="325" w:name="_Toc279650473"/>
      <w:r>
        <w:rPr>
          <w:rFonts w:hint="eastAsia" w:asciiTheme="majorEastAsia" w:hAnsiTheme="majorEastAsia" w:eastAsiaTheme="majorEastAsia"/>
          <w:snapToGrid w:val="0"/>
          <w:sz w:val="22"/>
          <w:szCs w:val="22"/>
        </w:rPr>
        <w:t>1.4 合同生效的条件</w:t>
      </w:r>
      <w:bookmarkEnd w:id="324"/>
      <w:bookmarkEnd w:id="325"/>
    </w:p>
    <w:p>
      <w:pPr>
        <w:widowControl/>
        <w:spacing w:line="360" w:lineRule="auto"/>
        <w:ind w:firstLine="638" w:firstLineChars="290"/>
        <w:rPr>
          <w:rFonts w:asciiTheme="majorEastAsia" w:hAnsiTheme="majorEastAsia" w:eastAsiaTheme="majorEastAsia"/>
          <w:sz w:val="22"/>
          <w:szCs w:val="22"/>
        </w:rPr>
      </w:pPr>
      <w:r>
        <w:rPr>
          <w:rFonts w:hint="eastAsia" w:asciiTheme="majorEastAsia" w:hAnsiTheme="majorEastAsia" w:eastAsiaTheme="majorEastAsia"/>
          <w:snapToGrid w:val="0"/>
          <w:sz w:val="22"/>
          <w:szCs w:val="22"/>
        </w:rPr>
        <w:t>合同生效的条件：</w:t>
      </w:r>
      <w:r>
        <w:rPr>
          <w:rFonts w:hint="eastAsia" w:asciiTheme="majorEastAsia" w:hAnsiTheme="majorEastAsia" w:eastAsiaTheme="majorEastAsia"/>
          <w:sz w:val="22"/>
          <w:szCs w:val="22"/>
          <w:u w:val="single"/>
        </w:rPr>
        <w:t>签字、盖章后生效。</w:t>
      </w:r>
    </w:p>
    <w:p>
      <w:pPr>
        <w:widowControl/>
        <w:snapToGrid w:val="0"/>
        <w:spacing w:line="360" w:lineRule="auto"/>
        <w:ind w:firstLine="220" w:firstLineChars="100"/>
        <w:rPr>
          <w:rFonts w:asciiTheme="majorEastAsia" w:hAnsiTheme="majorEastAsia" w:eastAsiaTheme="majorEastAsia"/>
          <w:snapToGrid w:val="0"/>
          <w:sz w:val="22"/>
          <w:szCs w:val="22"/>
        </w:rPr>
      </w:pPr>
      <w:bookmarkStart w:id="326" w:name="_Toc293076730"/>
      <w:bookmarkStart w:id="327" w:name="_Toc279650474"/>
      <w:r>
        <w:rPr>
          <w:rFonts w:hint="eastAsia" w:asciiTheme="majorEastAsia" w:hAnsiTheme="majorEastAsia" w:eastAsiaTheme="majorEastAsia"/>
          <w:snapToGrid w:val="0"/>
          <w:sz w:val="22"/>
          <w:szCs w:val="22"/>
        </w:rPr>
        <w:t>1.5 图纸和承包人文件</w:t>
      </w:r>
      <w:bookmarkEnd w:id="326"/>
      <w:bookmarkEnd w:id="327"/>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发包人提供图纸的期限、数量：</w:t>
      </w:r>
      <w:r>
        <w:rPr>
          <w:rFonts w:hint="eastAsia" w:asciiTheme="majorEastAsia" w:hAnsiTheme="majorEastAsia" w:eastAsiaTheme="majorEastAsia"/>
          <w:sz w:val="22"/>
          <w:szCs w:val="22"/>
          <w:u w:val="single"/>
        </w:rPr>
        <w:t xml:space="preserve"> 1份电子版图纸.</w:t>
      </w:r>
    </w:p>
    <w:p>
      <w:pPr>
        <w:widowControl/>
        <w:spacing w:line="360" w:lineRule="auto"/>
        <w:ind w:firstLine="199" w:firstLineChars="90"/>
        <w:rPr>
          <w:rFonts w:asciiTheme="majorEastAsia" w:hAnsiTheme="majorEastAsia" w:eastAsiaTheme="majorEastAsia"/>
          <w:b/>
          <w:sz w:val="22"/>
          <w:szCs w:val="22"/>
        </w:rPr>
      </w:pPr>
      <w:bookmarkStart w:id="328" w:name="_Toc32606"/>
      <w:bookmarkStart w:id="329" w:name="_Toc293076731"/>
      <w:bookmarkStart w:id="330" w:name="_Toc13906"/>
      <w:bookmarkStart w:id="331" w:name="_Toc279650475"/>
      <w:r>
        <w:rPr>
          <w:rFonts w:asciiTheme="majorEastAsia" w:hAnsiTheme="majorEastAsia" w:eastAsiaTheme="majorEastAsia"/>
          <w:b/>
          <w:sz w:val="22"/>
          <w:szCs w:val="22"/>
        </w:rPr>
        <w:t xml:space="preserve">2. </w:t>
      </w:r>
      <w:r>
        <w:rPr>
          <w:rFonts w:hint="eastAsia" w:asciiTheme="majorEastAsia" w:hAnsiTheme="majorEastAsia" w:eastAsiaTheme="majorEastAsia"/>
          <w:b/>
          <w:sz w:val="22"/>
          <w:szCs w:val="22"/>
        </w:rPr>
        <w:t>发包人义务</w:t>
      </w:r>
      <w:bookmarkEnd w:id="328"/>
      <w:bookmarkEnd w:id="329"/>
      <w:bookmarkEnd w:id="330"/>
      <w:bookmarkEnd w:id="331"/>
    </w:p>
    <w:p>
      <w:pPr>
        <w:widowControl/>
        <w:snapToGrid w:val="0"/>
        <w:spacing w:line="360" w:lineRule="auto"/>
        <w:ind w:firstLine="220" w:firstLineChars="100"/>
        <w:rPr>
          <w:rFonts w:asciiTheme="majorEastAsia" w:hAnsiTheme="majorEastAsia" w:eastAsiaTheme="majorEastAsia"/>
          <w:snapToGrid w:val="0"/>
          <w:sz w:val="22"/>
          <w:szCs w:val="22"/>
        </w:rPr>
      </w:pPr>
      <w:bookmarkStart w:id="332" w:name="_Toc293076732"/>
      <w:bookmarkStart w:id="333" w:name="_Toc279650476"/>
      <w:r>
        <w:rPr>
          <w:rFonts w:hint="eastAsia" w:asciiTheme="majorEastAsia" w:hAnsiTheme="majorEastAsia" w:eastAsiaTheme="majorEastAsia"/>
          <w:snapToGrid w:val="0"/>
          <w:sz w:val="22"/>
          <w:szCs w:val="22"/>
        </w:rPr>
        <w:t>2.1 提供施工场地</w:t>
      </w:r>
      <w:bookmarkEnd w:id="332"/>
      <w:bookmarkEnd w:id="333"/>
    </w:p>
    <w:p>
      <w:pPr>
        <w:widowControl/>
        <w:spacing w:line="360" w:lineRule="auto"/>
        <w:ind w:firstLine="220" w:firstLineChars="100"/>
        <w:rPr>
          <w:rFonts w:asciiTheme="majorEastAsia" w:hAnsiTheme="majorEastAsia" w:eastAsiaTheme="majorEastAsia"/>
          <w:sz w:val="22"/>
          <w:szCs w:val="22"/>
        </w:rPr>
      </w:pPr>
      <w:r>
        <w:rPr>
          <w:rFonts w:hint="eastAsia" w:asciiTheme="majorEastAsia" w:hAnsiTheme="majorEastAsia" w:eastAsiaTheme="majorEastAsia"/>
          <w:sz w:val="22"/>
          <w:szCs w:val="22"/>
        </w:rPr>
        <w:t>2.2 发包人派驻的现场代表</w:t>
      </w:r>
    </w:p>
    <w:p>
      <w:pPr>
        <w:widowControl/>
        <w:spacing w:line="360" w:lineRule="auto"/>
        <w:ind w:firstLine="418" w:firstLineChars="19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姓名：</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，职务：</w:t>
      </w:r>
      <w:r>
        <w:rPr>
          <w:rFonts w:hint="eastAsia" w:asciiTheme="majorEastAsia" w:hAnsiTheme="majorEastAsia" w:eastAsiaTheme="majorEastAsia"/>
          <w:sz w:val="22"/>
          <w:szCs w:val="22"/>
          <w:u w:val="single"/>
        </w:rPr>
        <w:t>现场代表</w:t>
      </w:r>
    </w:p>
    <w:p>
      <w:pPr>
        <w:spacing w:line="360" w:lineRule="auto"/>
        <w:ind w:firstLine="440"/>
        <w:rPr>
          <w:rFonts w:asciiTheme="majorEastAsia" w:hAnsiTheme="majorEastAsia" w:eastAsiaTheme="majorEastAsia"/>
          <w:bCs/>
          <w:sz w:val="22"/>
          <w:szCs w:val="22"/>
          <w:u w:val="single"/>
        </w:rPr>
      </w:pPr>
      <w:r>
        <w:rPr>
          <w:rFonts w:hint="eastAsia" w:asciiTheme="majorEastAsia" w:hAnsiTheme="majorEastAsia" w:eastAsiaTheme="majorEastAsia"/>
          <w:bCs/>
          <w:sz w:val="22"/>
          <w:szCs w:val="22"/>
        </w:rPr>
        <w:t>职权：</w:t>
      </w:r>
      <w:r>
        <w:rPr>
          <w:rFonts w:hint="eastAsia" w:asciiTheme="majorEastAsia" w:hAnsiTheme="majorEastAsia" w:eastAsiaTheme="majorEastAsia"/>
          <w:bCs/>
          <w:sz w:val="22"/>
          <w:szCs w:val="22"/>
          <w:u w:val="single"/>
        </w:rPr>
        <w:t>对工程质量、进度、</w:t>
      </w:r>
      <w:r>
        <w:rPr>
          <w:rFonts w:hint="eastAsia" w:asciiTheme="majorEastAsia" w:hAnsiTheme="majorEastAsia" w:eastAsiaTheme="majorEastAsia"/>
          <w:sz w:val="22"/>
          <w:szCs w:val="22"/>
          <w:u w:val="single"/>
        </w:rPr>
        <w:t>技术、安全、</w:t>
      </w:r>
      <w:r>
        <w:rPr>
          <w:rFonts w:hint="eastAsia" w:asciiTheme="majorEastAsia" w:hAnsiTheme="majorEastAsia" w:eastAsiaTheme="majorEastAsia"/>
          <w:bCs/>
          <w:sz w:val="22"/>
          <w:szCs w:val="22"/>
          <w:u w:val="single"/>
        </w:rPr>
        <w:t>投资及现场进行监控管理；负责</w:t>
      </w:r>
      <w:r>
        <w:rPr>
          <w:rFonts w:hint="eastAsia" w:asciiTheme="majorEastAsia" w:hAnsiTheme="majorEastAsia" w:eastAsiaTheme="majorEastAsia"/>
          <w:sz w:val="22"/>
          <w:szCs w:val="22"/>
          <w:u w:val="single"/>
        </w:rPr>
        <w:t>隐蔽工程的签证；</w:t>
      </w:r>
      <w:r>
        <w:rPr>
          <w:rFonts w:hint="eastAsia" w:asciiTheme="majorEastAsia" w:hAnsiTheme="majorEastAsia" w:eastAsiaTheme="majorEastAsia"/>
          <w:bCs/>
          <w:sz w:val="22"/>
          <w:szCs w:val="22"/>
          <w:u w:val="single"/>
        </w:rPr>
        <w:t>参与工程验收及签字确认；负责工程量的</w:t>
      </w:r>
      <w:r>
        <w:rPr>
          <w:rFonts w:hint="eastAsia" w:asciiTheme="majorEastAsia" w:hAnsiTheme="majorEastAsia" w:eastAsiaTheme="majorEastAsia"/>
          <w:sz w:val="22"/>
          <w:szCs w:val="22"/>
          <w:u w:val="single"/>
        </w:rPr>
        <w:t>收方计量、</w:t>
      </w:r>
      <w:r>
        <w:rPr>
          <w:rFonts w:hint="eastAsia" w:asciiTheme="majorEastAsia" w:hAnsiTheme="majorEastAsia" w:eastAsiaTheme="majorEastAsia"/>
          <w:bCs/>
          <w:sz w:val="22"/>
          <w:szCs w:val="22"/>
          <w:u w:val="single"/>
        </w:rPr>
        <w:t>复核和签字确认，参与工程设计变更的核对签字；负责施工过程中的内部协调工作</w:t>
      </w:r>
      <w:r>
        <w:rPr>
          <w:rFonts w:hint="eastAsia" w:asciiTheme="majorEastAsia" w:hAnsiTheme="majorEastAsia" w:eastAsiaTheme="majorEastAsia"/>
          <w:sz w:val="22"/>
          <w:szCs w:val="22"/>
          <w:u w:val="single"/>
        </w:rPr>
        <w:t>等。</w:t>
      </w:r>
    </w:p>
    <w:p>
      <w:pPr>
        <w:widowControl/>
        <w:spacing w:line="360" w:lineRule="auto"/>
        <w:ind w:firstLine="220" w:firstLineChars="1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2.3 发包人提供施工场地和有关资料的时间：</w:t>
      </w:r>
      <w:r>
        <w:rPr>
          <w:rFonts w:hint="eastAsia" w:asciiTheme="majorEastAsia" w:hAnsiTheme="majorEastAsia" w:eastAsiaTheme="majorEastAsia"/>
          <w:sz w:val="22"/>
          <w:szCs w:val="22"/>
          <w:u w:val="single"/>
        </w:rPr>
        <w:t xml:space="preserve">按照施工进度及现行国家规范执行。 </w:t>
      </w:r>
    </w:p>
    <w:p>
      <w:pPr>
        <w:widowControl/>
        <w:spacing w:line="360" w:lineRule="auto"/>
        <w:ind w:firstLine="220" w:firstLineChars="1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2.4施工场地如有遗留问题：</w:t>
      </w:r>
      <w:r>
        <w:rPr>
          <w:rFonts w:hint="eastAsia" w:asciiTheme="majorEastAsia" w:hAnsiTheme="majorEastAsia" w:eastAsiaTheme="majorEastAsia"/>
          <w:sz w:val="22"/>
          <w:szCs w:val="22"/>
          <w:u w:val="single"/>
        </w:rPr>
        <w:t>发包人协助解决，但不向承包人支付因遗留问题引起的任何费用，此费用由承包人承担已包含在合同价格中。</w:t>
      </w:r>
    </w:p>
    <w:p>
      <w:pPr>
        <w:widowControl/>
        <w:spacing w:line="360" w:lineRule="auto"/>
        <w:ind w:firstLine="199" w:firstLineChars="90"/>
        <w:rPr>
          <w:rFonts w:asciiTheme="majorEastAsia" w:hAnsiTheme="majorEastAsia" w:eastAsiaTheme="majorEastAsia"/>
          <w:sz w:val="22"/>
          <w:szCs w:val="22"/>
        </w:rPr>
      </w:pPr>
      <w:bookmarkStart w:id="334" w:name="_Toc279650480"/>
      <w:bookmarkStart w:id="335" w:name="_Toc293076736"/>
      <w:bookmarkStart w:id="336" w:name="_Toc1908"/>
      <w:bookmarkStart w:id="337" w:name="_Toc12118"/>
      <w:r>
        <w:rPr>
          <w:rFonts w:asciiTheme="majorEastAsia" w:hAnsiTheme="majorEastAsia" w:eastAsiaTheme="majorEastAsia"/>
          <w:b/>
          <w:kern w:val="0"/>
          <w:sz w:val="22"/>
          <w:szCs w:val="22"/>
        </w:rPr>
        <w:t xml:space="preserve">4.  </w:t>
      </w:r>
      <w:r>
        <w:rPr>
          <w:rFonts w:hint="eastAsia" w:asciiTheme="majorEastAsia" w:hAnsiTheme="majorEastAsia" w:eastAsiaTheme="majorEastAsia"/>
          <w:b/>
          <w:kern w:val="0"/>
          <w:sz w:val="22"/>
          <w:szCs w:val="22"/>
        </w:rPr>
        <w:t>承包人</w:t>
      </w:r>
      <w:bookmarkEnd w:id="334"/>
      <w:bookmarkEnd w:id="335"/>
      <w:bookmarkEnd w:id="336"/>
      <w:bookmarkEnd w:id="337"/>
    </w:p>
    <w:p>
      <w:pPr>
        <w:widowControl/>
        <w:spacing w:line="360" w:lineRule="auto"/>
        <w:ind w:firstLine="220" w:firstLineChars="100"/>
        <w:rPr>
          <w:rFonts w:asciiTheme="majorEastAsia" w:hAnsiTheme="majorEastAsia" w:eastAsiaTheme="majorEastAsia"/>
          <w:sz w:val="22"/>
          <w:szCs w:val="22"/>
        </w:rPr>
      </w:pPr>
      <w:r>
        <w:rPr>
          <w:rFonts w:hint="eastAsia" w:asciiTheme="majorEastAsia" w:hAnsiTheme="majorEastAsia" w:eastAsiaTheme="majorEastAsia"/>
          <w:sz w:val="22"/>
          <w:szCs w:val="22"/>
        </w:rPr>
        <w:t>4.1承包人项目经理、设计负责人及技术负责人：</w:t>
      </w:r>
    </w:p>
    <w:p>
      <w:pPr>
        <w:widowControl/>
        <w:spacing w:line="360" w:lineRule="auto"/>
        <w:ind w:firstLine="44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姓名：</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职务：</w:t>
      </w:r>
      <w:r>
        <w:rPr>
          <w:rFonts w:hint="eastAsia" w:asciiTheme="majorEastAsia" w:hAnsiTheme="majorEastAsia" w:eastAsiaTheme="majorEastAsia"/>
          <w:sz w:val="22"/>
          <w:szCs w:val="22"/>
          <w:u w:val="single"/>
        </w:rPr>
        <w:t>设计负责人</w:t>
      </w:r>
    </w:p>
    <w:p>
      <w:pPr>
        <w:widowControl/>
        <w:spacing w:line="360" w:lineRule="auto"/>
        <w:ind w:firstLine="44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姓名：</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职务：</w:t>
      </w:r>
      <w:r>
        <w:rPr>
          <w:rFonts w:hint="eastAsia" w:asciiTheme="majorEastAsia" w:hAnsiTheme="majorEastAsia" w:eastAsiaTheme="majorEastAsia"/>
          <w:sz w:val="22"/>
          <w:szCs w:val="22"/>
          <w:u w:val="single"/>
        </w:rPr>
        <w:t>项目经理</w:t>
      </w:r>
    </w:p>
    <w:p>
      <w:pPr>
        <w:pStyle w:val="2"/>
        <w:spacing w:line="360" w:lineRule="auto"/>
        <w:ind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承包人对项目经理的授权范围如下：</w:t>
      </w:r>
      <w:r>
        <w:rPr>
          <w:rFonts w:hint="eastAsia" w:asciiTheme="majorEastAsia" w:hAnsiTheme="majorEastAsia" w:eastAsiaTheme="majorEastAsia"/>
          <w:sz w:val="22"/>
          <w:szCs w:val="22"/>
          <w:u w:val="single"/>
        </w:rPr>
        <w:t>严格按设计图纸、现行国家施工规范及验收规范组织施工，保证工程质量、进度、安全；及时向监理人、发包人报告现场情况（以承包人书面授权范围为准）。</w:t>
      </w:r>
    </w:p>
    <w:p>
      <w:pPr>
        <w:pStyle w:val="2"/>
        <w:spacing w:line="360" w:lineRule="auto"/>
        <w:ind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关于项目经理每月在施工现场的时间要求：</w:t>
      </w:r>
      <w:r>
        <w:rPr>
          <w:rFonts w:hint="eastAsia" w:asciiTheme="majorEastAsia" w:hAnsiTheme="majorEastAsia" w:eastAsiaTheme="majorEastAsia"/>
          <w:sz w:val="22"/>
          <w:szCs w:val="22"/>
          <w:u w:val="single"/>
        </w:rPr>
        <w:t>不少于22天，由监理人负责项目经理的考勤。</w:t>
      </w:r>
    </w:p>
    <w:p>
      <w:pPr>
        <w:pStyle w:val="2"/>
        <w:spacing w:line="360" w:lineRule="auto"/>
        <w:ind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承包人应在合同签订后7天内提交与项目经理签订的劳动合同及为项目经理</w:t>
      </w:r>
      <w:r>
        <w:rPr>
          <w:rFonts w:hint="eastAsia" w:asciiTheme="majorEastAsia" w:hAnsiTheme="majorEastAsia" w:eastAsiaTheme="majorEastAsia"/>
          <w:sz w:val="22"/>
          <w:szCs w:val="22"/>
          <w:lang w:val="en-US" w:eastAsia="zh-CN"/>
        </w:rPr>
        <w:t>和</w:t>
      </w:r>
      <w:r>
        <w:rPr>
          <w:rFonts w:hint="eastAsia" w:asciiTheme="majorEastAsia" w:hAnsiTheme="majorEastAsia" w:eastAsiaTheme="majorEastAsia"/>
          <w:sz w:val="22"/>
          <w:szCs w:val="22"/>
        </w:rPr>
        <w:t>缴纳的社会保险的证明，承包人未在期限内提交的，项目经理无权履行职责，发包人有权要求更换项目经理。</w:t>
      </w:r>
    </w:p>
    <w:p>
      <w:pPr>
        <w:widowControl/>
        <w:spacing w:line="360" w:lineRule="auto"/>
        <w:ind w:firstLine="44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姓名：</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职务：</w:t>
      </w:r>
      <w:r>
        <w:rPr>
          <w:rFonts w:hint="eastAsia" w:asciiTheme="majorEastAsia" w:hAnsiTheme="majorEastAsia" w:eastAsiaTheme="majorEastAsia"/>
          <w:sz w:val="22"/>
          <w:szCs w:val="22"/>
          <w:u w:val="single"/>
        </w:rPr>
        <w:t>技术负责人</w:t>
      </w:r>
    </w:p>
    <w:p>
      <w:pPr>
        <w:pStyle w:val="2"/>
        <w:spacing w:line="360" w:lineRule="auto"/>
        <w:ind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关于技术负责人每月在施工现场的时间要求：</w:t>
      </w:r>
      <w:r>
        <w:rPr>
          <w:rFonts w:hint="eastAsia" w:asciiTheme="majorEastAsia" w:hAnsiTheme="majorEastAsia" w:eastAsiaTheme="majorEastAsia"/>
          <w:sz w:val="22"/>
          <w:szCs w:val="22"/>
          <w:u w:val="single"/>
        </w:rPr>
        <w:t>不少于22天，由监理人负责技术负责人的考勤。</w:t>
      </w:r>
    </w:p>
    <w:p>
      <w:pPr>
        <w:pStyle w:val="2"/>
        <w:spacing w:line="360" w:lineRule="auto"/>
        <w:ind w:firstLine="440" w:firstLineChars="200"/>
        <w:rPr>
          <w:rFonts w:asciiTheme="majorEastAsia" w:hAnsiTheme="majorEastAsia" w:eastAsiaTheme="majorEastAsia"/>
          <w:sz w:val="22"/>
          <w:szCs w:val="22"/>
          <w:u w:val="single"/>
        </w:rPr>
      </w:pPr>
      <w:bookmarkStart w:id="338" w:name="_Toc293076737"/>
      <w:bookmarkStart w:id="339" w:name="_Toc279650481"/>
      <w:r>
        <w:rPr>
          <w:rFonts w:hint="eastAsia" w:asciiTheme="majorEastAsia" w:hAnsiTheme="majorEastAsia" w:eastAsiaTheme="majorEastAsia"/>
          <w:sz w:val="22"/>
          <w:szCs w:val="22"/>
        </w:rPr>
        <w:t>承包人应在合同签订后7天内提交与技术负责人签订的劳动合同及为技术负责人缴纳的社会保险的证明，承包人未在期限内提交的，技术负责人无权履行职责，发包人有权要求更换技术负责人。</w:t>
      </w:r>
    </w:p>
    <w:p>
      <w:pPr>
        <w:widowControl/>
        <w:snapToGrid w:val="0"/>
        <w:spacing w:line="360" w:lineRule="auto"/>
        <w:ind w:firstLine="220" w:firstLineChars="100"/>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4.2  承包人的一般义务</w:t>
      </w:r>
      <w:bookmarkEnd w:id="338"/>
      <w:bookmarkEnd w:id="339"/>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（1）自行解决施工用水、电接口；</w:t>
      </w:r>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（2）施工场地周边建（构）筑物的保护，施工场地内及周边地上、地下管线的临时保护，并承担发生的一切费用；</w:t>
      </w:r>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（3）必须办理施工场地交通、环卫、环境保护、施工噪音、安全生产等手续，并承担发生的一切费用。</w:t>
      </w:r>
    </w:p>
    <w:p>
      <w:pPr>
        <w:widowControl/>
        <w:snapToGrid w:val="0"/>
        <w:spacing w:line="360" w:lineRule="auto"/>
        <w:ind w:firstLine="220" w:firstLineChars="100"/>
        <w:rPr>
          <w:rFonts w:asciiTheme="majorEastAsia" w:hAnsiTheme="majorEastAsia" w:eastAsiaTheme="majorEastAsia"/>
          <w:sz w:val="22"/>
          <w:szCs w:val="22"/>
          <w:u w:val="single"/>
        </w:rPr>
      </w:pPr>
      <w:bookmarkStart w:id="340" w:name="_Toc293076739"/>
      <w:bookmarkStart w:id="341" w:name="_Toc279650483"/>
      <w:r>
        <w:rPr>
          <w:rFonts w:hint="eastAsia" w:asciiTheme="majorEastAsia" w:hAnsiTheme="majorEastAsia" w:eastAsiaTheme="majorEastAsia"/>
          <w:snapToGrid w:val="0"/>
          <w:sz w:val="22"/>
          <w:szCs w:val="22"/>
        </w:rPr>
        <w:t>4.3 工程分包</w:t>
      </w:r>
      <w:bookmarkEnd w:id="340"/>
      <w:bookmarkEnd w:id="341"/>
      <w:r>
        <w:rPr>
          <w:rFonts w:hint="eastAsia" w:asciiTheme="majorEastAsia" w:hAnsiTheme="majorEastAsia" w:eastAsiaTheme="majorEastAsia"/>
          <w:snapToGrid w:val="0"/>
          <w:sz w:val="22"/>
          <w:szCs w:val="22"/>
        </w:rPr>
        <w:t>：</w:t>
      </w:r>
      <w:r>
        <w:rPr>
          <w:rFonts w:hint="eastAsia" w:asciiTheme="majorEastAsia" w:hAnsiTheme="majorEastAsia" w:eastAsiaTheme="majorEastAsia"/>
          <w:sz w:val="22"/>
          <w:szCs w:val="22"/>
          <w:u w:val="single"/>
        </w:rPr>
        <w:t>不分包。</w:t>
      </w:r>
      <w:bookmarkStart w:id="342" w:name="_Toc17893"/>
      <w:bookmarkStart w:id="343" w:name="_Toc5171"/>
      <w:bookmarkStart w:id="344" w:name="_Toc293076741"/>
      <w:bookmarkStart w:id="345" w:name="_Toc279650485"/>
    </w:p>
    <w:p>
      <w:pPr>
        <w:widowControl/>
        <w:snapToGrid w:val="0"/>
        <w:spacing w:line="360" w:lineRule="auto"/>
        <w:ind w:firstLine="220" w:firstLineChars="100"/>
        <w:rPr>
          <w:rFonts w:asciiTheme="majorEastAsia" w:hAnsiTheme="majorEastAsia" w:eastAsiaTheme="majorEastAsia"/>
          <w:sz w:val="22"/>
          <w:szCs w:val="22"/>
          <w:u w:val="single"/>
        </w:rPr>
      </w:pPr>
      <w:r>
        <w:rPr>
          <w:rFonts w:hint="eastAsia" w:asciiTheme="majorEastAsia" w:hAnsiTheme="majorEastAsia" w:eastAsiaTheme="majorEastAsia"/>
          <w:sz w:val="22"/>
          <w:szCs w:val="22"/>
          <w:u w:val="single"/>
        </w:rPr>
        <w:t>4.4 办理施工许可证</w:t>
      </w:r>
    </w:p>
    <w:p>
      <w:pPr>
        <w:widowControl/>
        <w:snapToGrid w:val="0"/>
        <w:spacing w:line="360" w:lineRule="auto"/>
        <w:ind w:firstLine="199" w:firstLineChars="90"/>
        <w:rPr>
          <w:rFonts w:asciiTheme="majorEastAsia" w:hAnsiTheme="majorEastAsia" w:eastAsiaTheme="majorEastAsia"/>
          <w:b/>
          <w:snapToGrid w:val="0"/>
          <w:sz w:val="22"/>
          <w:szCs w:val="22"/>
        </w:rPr>
      </w:pPr>
      <w:r>
        <w:rPr>
          <w:rFonts w:asciiTheme="majorEastAsia" w:hAnsiTheme="majorEastAsia" w:eastAsiaTheme="majorEastAsia"/>
          <w:b/>
          <w:sz w:val="22"/>
          <w:szCs w:val="22"/>
        </w:rPr>
        <w:t xml:space="preserve">5.  </w:t>
      </w:r>
      <w:r>
        <w:rPr>
          <w:rFonts w:hint="eastAsia" w:asciiTheme="majorEastAsia" w:hAnsiTheme="majorEastAsia" w:eastAsiaTheme="majorEastAsia"/>
          <w:b/>
          <w:sz w:val="22"/>
          <w:szCs w:val="22"/>
        </w:rPr>
        <w:t>材料和工程设备</w:t>
      </w:r>
      <w:bookmarkEnd w:id="342"/>
      <w:bookmarkEnd w:id="343"/>
      <w:bookmarkEnd w:id="344"/>
      <w:bookmarkEnd w:id="345"/>
    </w:p>
    <w:p>
      <w:pPr>
        <w:widowControl/>
        <w:spacing w:line="360" w:lineRule="auto"/>
        <w:ind w:firstLine="198" w:firstLineChars="9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5.1 承包人负责采购、运输和保管的材料、工程设备。</w:t>
      </w:r>
    </w:p>
    <w:p>
      <w:pPr>
        <w:widowControl/>
        <w:spacing w:line="360" w:lineRule="auto"/>
        <w:ind w:firstLine="220" w:firstLineChars="1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5.2</w:t>
      </w:r>
      <w:r>
        <w:rPr>
          <w:rFonts w:hint="eastAsia" w:asciiTheme="majorEastAsia" w:hAnsiTheme="majorEastAsia" w:eastAsiaTheme="majorEastAsia"/>
          <w:sz w:val="22"/>
          <w:szCs w:val="22"/>
          <w:u w:val="single"/>
        </w:rPr>
        <w:t>承包人采购的材料必须符合设计要求（施工图说内容等要求）和符合现行国家标准。并提供产品合格证明和产品合格证书，经发包人确认后，方可用于施工。其中涉及到观感，影响外观形象的材料必须经发包人认样确认后，方可用于施工。若有特殊原因需修改，承包人必须事先书面征得发包人的同意明确是否重新核价等。</w:t>
      </w:r>
    </w:p>
    <w:p>
      <w:pPr>
        <w:widowControl/>
        <w:spacing w:line="360" w:lineRule="auto"/>
        <w:ind w:firstLine="220" w:firstLineChars="1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5.3</w:t>
      </w:r>
      <w:r>
        <w:rPr>
          <w:rFonts w:hint="eastAsia" w:asciiTheme="majorEastAsia" w:hAnsiTheme="majorEastAsia" w:eastAsiaTheme="majorEastAsia"/>
          <w:sz w:val="22"/>
          <w:szCs w:val="22"/>
          <w:u w:val="single"/>
        </w:rPr>
        <w:t>承包人采购的材料与设计或标准要求不符时，承包人应按发包人要求的期限将不合格材料运出施工场地，重新采购符合要求的产品，并承担由此发生的费用，由此延误的工期不予顺延。</w:t>
      </w:r>
    </w:p>
    <w:p>
      <w:pPr>
        <w:widowControl/>
        <w:spacing w:line="360" w:lineRule="auto"/>
        <w:ind w:firstLine="199" w:firstLineChars="90"/>
        <w:rPr>
          <w:rFonts w:asciiTheme="majorEastAsia" w:hAnsiTheme="majorEastAsia" w:eastAsiaTheme="majorEastAsia"/>
          <w:b/>
          <w:sz w:val="22"/>
          <w:szCs w:val="22"/>
        </w:rPr>
      </w:pPr>
      <w:bookmarkStart w:id="346" w:name="_Toc19313"/>
      <w:bookmarkStart w:id="347" w:name="_Toc279650497"/>
      <w:bookmarkStart w:id="348" w:name="_Toc293076753"/>
      <w:bookmarkStart w:id="349" w:name="_Toc21792"/>
      <w:r>
        <w:rPr>
          <w:rFonts w:hint="eastAsia" w:asciiTheme="majorEastAsia" w:hAnsiTheme="majorEastAsia" w:eastAsiaTheme="majorEastAsia"/>
          <w:b/>
          <w:sz w:val="22"/>
          <w:szCs w:val="22"/>
        </w:rPr>
        <w:t>6.施工安全、治安保卫和环境保护</w:t>
      </w:r>
      <w:bookmarkEnd w:id="346"/>
      <w:bookmarkEnd w:id="347"/>
      <w:bookmarkEnd w:id="348"/>
      <w:bookmarkEnd w:id="349"/>
    </w:p>
    <w:p>
      <w:pPr>
        <w:widowControl/>
        <w:snapToGrid w:val="0"/>
        <w:spacing w:line="360" w:lineRule="auto"/>
        <w:ind w:firstLine="198" w:firstLineChars="90"/>
        <w:rPr>
          <w:rFonts w:asciiTheme="majorEastAsia" w:hAnsiTheme="majorEastAsia" w:eastAsiaTheme="majorEastAsia"/>
          <w:snapToGrid w:val="0"/>
          <w:sz w:val="22"/>
          <w:szCs w:val="22"/>
        </w:rPr>
      </w:pPr>
      <w:bookmarkStart w:id="350" w:name="_Toc279650498"/>
      <w:bookmarkStart w:id="351" w:name="_Toc293076754"/>
      <w:r>
        <w:rPr>
          <w:rFonts w:hint="eastAsia" w:asciiTheme="majorEastAsia" w:hAnsiTheme="majorEastAsia" w:eastAsiaTheme="majorEastAsia"/>
          <w:snapToGrid w:val="0"/>
          <w:sz w:val="22"/>
          <w:szCs w:val="22"/>
        </w:rPr>
        <w:t>6.1 发包人的施工安全责任</w:t>
      </w:r>
      <w:bookmarkEnd w:id="350"/>
      <w:bookmarkEnd w:id="351"/>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发包人应按照《重庆市建设工程安全生产监督管理办法》（渝建发〔2008〕177号）、《重庆市房屋建筑和市政基础设施工程现场文明施工标准》（渝建发〔2008〕169号）等相关规定履行好发包人的施工安全责任。</w:t>
      </w:r>
    </w:p>
    <w:p>
      <w:pPr>
        <w:widowControl/>
        <w:snapToGrid w:val="0"/>
        <w:spacing w:line="360" w:lineRule="auto"/>
        <w:ind w:firstLine="198" w:firstLineChars="90"/>
        <w:rPr>
          <w:rFonts w:asciiTheme="majorEastAsia" w:hAnsiTheme="majorEastAsia" w:eastAsiaTheme="majorEastAsia"/>
          <w:snapToGrid w:val="0"/>
          <w:sz w:val="22"/>
          <w:szCs w:val="22"/>
        </w:rPr>
      </w:pPr>
      <w:bookmarkStart w:id="352" w:name="_Toc279650499"/>
      <w:bookmarkStart w:id="353" w:name="_Toc293076755"/>
      <w:r>
        <w:rPr>
          <w:rFonts w:hint="eastAsia" w:asciiTheme="majorEastAsia" w:hAnsiTheme="majorEastAsia" w:eastAsiaTheme="majorEastAsia"/>
          <w:snapToGrid w:val="0"/>
          <w:sz w:val="22"/>
          <w:szCs w:val="22"/>
        </w:rPr>
        <w:t>6.2 承包人的施工安全责任</w:t>
      </w:r>
      <w:bookmarkEnd w:id="352"/>
      <w:bookmarkEnd w:id="353"/>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承包人应按照《重庆市建设工程安全生产监督管理办法》（渝建发〔2008〕177号）等相关规定履行好承包人的施工安全责任。</w:t>
      </w:r>
    </w:p>
    <w:p>
      <w:pPr>
        <w:widowControl/>
        <w:spacing w:line="360" w:lineRule="auto"/>
        <w:ind w:firstLine="198" w:firstLineChars="90"/>
        <w:rPr>
          <w:rFonts w:asciiTheme="majorEastAsia" w:hAnsiTheme="majorEastAsia" w:eastAsiaTheme="majorEastAsia"/>
          <w:sz w:val="22"/>
          <w:szCs w:val="22"/>
        </w:rPr>
      </w:pPr>
      <w:r>
        <w:rPr>
          <w:rFonts w:hint="eastAsia" w:asciiTheme="majorEastAsia" w:hAnsiTheme="majorEastAsia" w:eastAsiaTheme="majorEastAsia"/>
          <w:sz w:val="22"/>
          <w:szCs w:val="22"/>
        </w:rPr>
        <w:t>6.3 现场治安管理机构或联防组织的组建：</w:t>
      </w:r>
      <w:r>
        <w:rPr>
          <w:rFonts w:hint="eastAsia" w:asciiTheme="majorEastAsia" w:hAnsiTheme="majorEastAsia" w:eastAsiaTheme="majorEastAsia"/>
          <w:sz w:val="22"/>
          <w:szCs w:val="22"/>
          <w:u w:val="single"/>
        </w:rPr>
        <w:t>承包人。</w:t>
      </w:r>
    </w:p>
    <w:p>
      <w:pPr>
        <w:widowControl/>
        <w:spacing w:line="360" w:lineRule="auto"/>
        <w:ind w:firstLine="198" w:firstLineChars="9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6.4 施工场地治安管理计划和突发治安事件紧急预案的编制：</w:t>
      </w:r>
      <w:r>
        <w:rPr>
          <w:rFonts w:hint="eastAsia" w:asciiTheme="majorEastAsia" w:hAnsiTheme="majorEastAsia" w:eastAsiaTheme="majorEastAsia"/>
          <w:sz w:val="22"/>
          <w:szCs w:val="22"/>
          <w:u w:val="single"/>
        </w:rPr>
        <w:t>承包人。</w:t>
      </w:r>
    </w:p>
    <w:p>
      <w:pPr>
        <w:widowControl/>
        <w:spacing w:line="360" w:lineRule="auto"/>
        <w:ind w:firstLine="220" w:firstLineChars="100"/>
        <w:rPr>
          <w:rFonts w:asciiTheme="majorEastAsia" w:hAnsiTheme="majorEastAsia" w:eastAsiaTheme="majorEastAsia"/>
          <w:sz w:val="22"/>
          <w:szCs w:val="22"/>
        </w:rPr>
      </w:pPr>
      <w:r>
        <w:rPr>
          <w:rFonts w:hint="eastAsia" w:asciiTheme="majorEastAsia" w:hAnsiTheme="majorEastAsia" w:eastAsiaTheme="majorEastAsia"/>
          <w:sz w:val="22"/>
          <w:szCs w:val="22"/>
        </w:rPr>
        <w:t>6.5承包人应确保现场施工安全，费用已包含在安全文明措施专项费中。施工中，若发生安全事故，由承包人承担全部责任，赔偿全部损失。</w:t>
      </w:r>
    </w:p>
    <w:p>
      <w:pPr>
        <w:widowControl/>
        <w:snapToGrid w:val="0"/>
        <w:spacing w:line="360" w:lineRule="auto"/>
        <w:ind w:firstLine="220" w:firstLineChars="100"/>
        <w:rPr>
          <w:rFonts w:asciiTheme="majorEastAsia" w:hAnsiTheme="majorEastAsia" w:eastAsiaTheme="majorEastAsia"/>
          <w:snapToGrid w:val="0"/>
          <w:sz w:val="22"/>
          <w:szCs w:val="22"/>
        </w:rPr>
      </w:pPr>
      <w:bookmarkStart w:id="354" w:name="_Toc279650501"/>
      <w:bookmarkStart w:id="355" w:name="_Toc293076757"/>
      <w:r>
        <w:rPr>
          <w:rFonts w:hint="eastAsia" w:asciiTheme="majorEastAsia" w:hAnsiTheme="majorEastAsia" w:eastAsiaTheme="majorEastAsia"/>
          <w:snapToGrid w:val="0"/>
          <w:sz w:val="22"/>
          <w:szCs w:val="22"/>
        </w:rPr>
        <w:t>6.6 环境保护</w:t>
      </w:r>
      <w:bookmarkEnd w:id="354"/>
      <w:bookmarkEnd w:id="355"/>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承包人应按照《房屋建筑和市政基础设施工程施工扬尘控制工作方案》（渝建发〔2009〕13号）、《重庆市房屋建筑和市政基础设施工程现场文明施工标准》（渝建发〔2008〕169号）等相关规定履行好施工扬尘控制、文明施工等责任。</w:t>
      </w:r>
    </w:p>
    <w:p>
      <w:pPr>
        <w:widowControl/>
        <w:snapToGrid w:val="0"/>
        <w:spacing w:line="360" w:lineRule="auto"/>
        <w:ind w:firstLine="199" w:firstLineChars="90"/>
        <w:rPr>
          <w:rFonts w:asciiTheme="majorEastAsia" w:hAnsiTheme="majorEastAsia" w:eastAsiaTheme="majorEastAsia"/>
          <w:bCs/>
          <w:sz w:val="22"/>
          <w:szCs w:val="22"/>
          <w:u w:val="single"/>
        </w:rPr>
      </w:pPr>
      <w:bookmarkStart w:id="356" w:name="_Toc293076762"/>
      <w:bookmarkStart w:id="357" w:name="_Toc279650506"/>
      <w:r>
        <w:rPr>
          <w:rFonts w:hint="eastAsia" w:asciiTheme="majorEastAsia" w:hAnsiTheme="majorEastAsia" w:eastAsiaTheme="majorEastAsia"/>
          <w:b/>
          <w:snapToGrid w:val="0"/>
          <w:sz w:val="22"/>
          <w:szCs w:val="22"/>
        </w:rPr>
        <w:t>7. 承包人的工期延误</w:t>
      </w:r>
      <w:bookmarkEnd w:id="356"/>
      <w:bookmarkEnd w:id="357"/>
      <w:bookmarkStart w:id="358" w:name="_Toc279650507"/>
      <w:bookmarkStart w:id="359" w:name="_Toc293076763"/>
      <w:r>
        <w:rPr>
          <w:rFonts w:hint="eastAsia" w:asciiTheme="majorEastAsia" w:hAnsiTheme="majorEastAsia" w:eastAsiaTheme="majorEastAsia"/>
          <w:snapToGrid w:val="0"/>
          <w:sz w:val="22"/>
          <w:szCs w:val="22"/>
        </w:rPr>
        <w:t>：</w:t>
      </w:r>
      <w:r>
        <w:rPr>
          <w:rFonts w:hint="eastAsia" w:asciiTheme="majorEastAsia" w:hAnsiTheme="majorEastAsia" w:eastAsiaTheme="majorEastAsia"/>
          <w:sz w:val="22"/>
          <w:szCs w:val="22"/>
          <w:u w:val="single"/>
        </w:rPr>
        <w:t>无不可抗力因素不得顺延。</w:t>
      </w:r>
      <w:r>
        <w:rPr>
          <w:rFonts w:hint="eastAsia" w:asciiTheme="majorEastAsia" w:hAnsiTheme="majorEastAsia" w:eastAsiaTheme="majorEastAsia"/>
          <w:bCs/>
          <w:sz w:val="22"/>
          <w:szCs w:val="22"/>
          <w:u w:val="single"/>
        </w:rPr>
        <w:t xml:space="preserve"> </w:t>
      </w:r>
      <w:bookmarkEnd w:id="358"/>
      <w:bookmarkEnd w:id="359"/>
      <w:bookmarkStart w:id="360" w:name="_Toc24900"/>
      <w:bookmarkStart w:id="361" w:name="_Toc29065"/>
    </w:p>
    <w:p>
      <w:pPr>
        <w:widowControl/>
        <w:snapToGrid w:val="0"/>
        <w:spacing w:line="360" w:lineRule="auto"/>
        <w:ind w:firstLine="199" w:firstLineChars="90"/>
        <w:rPr>
          <w:rFonts w:asciiTheme="majorEastAsia" w:hAnsiTheme="majorEastAsia" w:eastAsiaTheme="majorEastAsia"/>
          <w:b/>
          <w:snapToGrid w:val="0"/>
          <w:sz w:val="22"/>
          <w:szCs w:val="22"/>
        </w:rPr>
      </w:pPr>
      <w:r>
        <w:rPr>
          <w:rFonts w:hint="eastAsia" w:asciiTheme="majorEastAsia" w:hAnsiTheme="majorEastAsia" w:eastAsiaTheme="majorEastAsia"/>
          <w:b/>
          <w:sz w:val="22"/>
          <w:szCs w:val="22"/>
        </w:rPr>
        <w:t>8. 工程质量</w:t>
      </w:r>
      <w:bookmarkEnd w:id="360"/>
      <w:bookmarkEnd w:id="361"/>
      <w:bookmarkStart w:id="362" w:name="_Toc279650509"/>
      <w:bookmarkStart w:id="363" w:name="_Toc293076765"/>
    </w:p>
    <w:p>
      <w:pPr>
        <w:widowControl/>
        <w:snapToGrid w:val="0"/>
        <w:spacing w:line="360" w:lineRule="auto"/>
        <w:ind w:firstLine="323" w:firstLineChars="147"/>
        <w:rPr>
          <w:rFonts w:asciiTheme="majorEastAsia" w:hAnsiTheme="majorEastAsia" w:eastAsiaTheme="majorEastAsia"/>
          <w:b/>
          <w:snapToGrid w:val="0"/>
          <w:sz w:val="22"/>
          <w:szCs w:val="22"/>
        </w:rPr>
      </w:pPr>
      <w:r>
        <w:rPr>
          <w:rFonts w:hint="eastAsia" w:asciiTheme="majorEastAsia" w:hAnsiTheme="majorEastAsia" w:eastAsiaTheme="majorEastAsia"/>
          <w:snapToGrid w:val="0"/>
          <w:sz w:val="22"/>
          <w:szCs w:val="22"/>
        </w:rPr>
        <w:t>工程质量要求</w:t>
      </w:r>
      <w:bookmarkEnd w:id="362"/>
      <w:bookmarkEnd w:id="363"/>
      <w:r>
        <w:rPr>
          <w:rFonts w:hint="eastAsia" w:asciiTheme="majorEastAsia" w:hAnsiTheme="majorEastAsia" w:eastAsiaTheme="majorEastAsia"/>
          <w:b/>
          <w:snapToGrid w:val="0"/>
          <w:sz w:val="22"/>
          <w:szCs w:val="22"/>
        </w:rPr>
        <w:t>：</w:t>
      </w:r>
    </w:p>
    <w:p>
      <w:pPr>
        <w:widowControl/>
        <w:snapToGrid w:val="0"/>
        <w:spacing w:line="360" w:lineRule="auto"/>
        <w:ind w:firstLine="198" w:firstLineChars="90"/>
        <w:rPr>
          <w:rFonts w:asciiTheme="majorEastAsia" w:hAnsiTheme="majorEastAsia" w:eastAsiaTheme="majorEastAsia"/>
          <w:snapToGrid w:val="0"/>
          <w:sz w:val="22"/>
          <w:szCs w:val="22"/>
          <w:u w:val="single"/>
        </w:rPr>
      </w:pPr>
      <w:r>
        <w:rPr>
          <w:rFonts w:hint="eastAsia" w:asciiTheme="majorEastAsia" w:hAnsiTheme="majorEastAsia" w:eastAsiaTheme="majorEastAsia"/>
          <w:snapToGrid w:val="0"/>
          <w:sz w:val="22"/>
          <w:szCs w:val="22"/>
        </w:rPr>
        <w:t>8.1</w:t>
      </w:r>
      <w:r>
        <w:rPr>
          <w:rFonts w:hint="eastAsia" w:asciiTheme="majorEastAsia" w:hAnsiTheme="majorEastAsia" w:eastAsiaTheme="majorEastAsia"/>
          <w:snapToGrid w:val="0"/>
          <w:sz w:val="22"/>
          <w:szCs w:val="22"/>
          <w:u w:val="single"/>
        </w:rPr>
        <w:t>必须保证工程质量达到国家相关规范和重庆市政建设相关规范质量的合格标准。</w:t>
      </w:r>
    </w:p>
    <w:p>
      <w:pPr>
        <w:widowControl/>
        <w:snapToGrid w:val="0"/>
        <w:spacing w:line="360" w:lineRule="auto"/>
        <w:ind w:firstLine="198" w:firstLineChars="90"/>
        <w:rPr>
          <w:rFonts w:asciiTheme="majorEastAsia" w:hAnsiTheme="majorEastAsia" w:eastAsiaTheme="majorEastAsia"/>
          <w:snapToGrid w:val="0"/>
          <w:sz w:val="22"/>
          <w:szCs w:val="22"/>
          <w:u w:val="single"/>
        </w:rPr>
      </w:pPr>
      <w:r>
        <w:rPr>
          <w:rFonts w:hint="eastAsia" w:asciiTheme="majorEastAsia" w:hAnsiTheme="majorEastAsia" w:eastAsiaTheme="majorEastAsia"/>
          <w:snapToGrid w:val="0"/>
          <w:sz w:val="22"/>
          <w:szCs w:val="22"/>
        </w:rPr>
        <w:t>8.2</w:t>
      </w:r>
      <w:r>
        <w:rPr>
          <w:rFonts w:hint="eastAsia" w:asciiTheme="majorEastAsia" w:hAnsiTheme="majorEastAsia" w:eastAsiaTheme="majorEastAsia"/>
          <w:snapToGrid w:val="0"/>
          <w:sz w:val="22"/>
          <w:szCs w:val="22"/>
          <w:u w:val="single"/>
        </w:rPr>
        <w:t>必须保证工程质量达到“施工图说”要求的质量标准。</w:t>
      </w:r>
    </w:p>
    <w:p>
      <w:pPr>
        <w:widowControl/>
        <w:snapToGrid w:val="0"/>
        <w:spacing w:line="360" w:lineRule="auto"/>
        <w:ind w:firstLine="199" w:firstLineChars="90"/>
        <w:rPr>
          <w:rFonts w:asciiTheme="majorEastAsia" w:hAnsiTheme="majorEastAsia" w:eastAsiaTheme="majorEastAsia"/>
          <w:b/>
          <w:snapToGrid w:val="0"/>
          <w:sz w:val="22"/>
          <w:szCs w:val="22"/>
        </w:rPr>
      </w:pPr>
      <w:bookmarkStart w:id="364" w:name="_Toc224103440"/>
      <w:bookmarkStart w:id="365" w:name="_Toc234117808"/>
      <w:bookmarkStart w:id="366" w:name="_Toc13930"/>
      <w:bookmarkStart w:id="367" w:name="_Toc288809714"/>
      <w:bookmarkStart w:id="368" w:name="_Toc1478"/>
      <w:bookmarkStart w:id="369" w:name="_Toc293076769"/>
      <w:r>
        <w:rPr>
          <w:rFonts w:hint="eastAsia" w:asciiTheme="majorEastAsia" w:hAnsiTheme="majorEastAsia" w:eastAsiaTheme="majorEastAsia"/>
          <w:b/>
          <w:snapToGrid w:val="0"/>
          <w:sz w:val="22"/>
          <w:szCs w:val="22"/>
        </w:rPr>
        <w:t>9. 结算计价</w:t>
      </w:r>
      <w:bookmarkEnd w:id="364"/>
      <w:bookmarkEnd w:id="365"/>
      <w:r>
        <w:rPr>
          <w:rFonts w:hint="eastAsia" w:asciiTheme="majorEastAsia" w:hAnsiTheme="majorEastAsia" w:eastAsiaTheme="majorEastAsia"/>
          <w:b/>
          <w:snapToGrid w:val="0"/>
          <w:sz w:val="22"/>
          <w:szCs w:val="22"/>
        </w:rPr>
        <w:t>计量原则</w:t>
      </w:r>
      <w:bookmarkEnd w:id="366"/>
      <w:bookmarkEnd w:id="367"/>
      <w:bookmarkEnd w:id="368"/>
      <w:bookmarkEnd w:id="369"/>
      <w:bookmarkStart w:id="370" w:name="_Toc279650514"/>
      <w:bookmarkStart w:id="371" w:name="_Toc293076770"/>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9.1 结算原则：按《建设工程工程量清单计价规范》（GB50500-2013）、《房屋建筑与装饰工程工程量计算规范》（CQJZZSDE-2018）、《重庆市建设工程工程量清单计价规则》（CQJJGZ-2013）、《重庆市建设工程工程量计算规则》（CQJLGZ－2013）、《重庆市建筑工程计价定额》（CQJZDE-2018）、《重庆市通用安装工程计价定额》（CQAZDE-2018）、《重庆市绿色建筑工程计价定额》（CQLSJZDE-2018）、《重庆市房屋修缮工程计价定额》（CQXSDE-2018）、《重庆市装饰工程计价定额》（CQZSDE-2018）、《重庆市建设工程费用定额》CQFYDE-2018）、《混凝土及砂浆配合比表、施工机械台班定额》（CQPHBB3-2018）、《重庆市城乡建设委员会关于适用增值税新税率调整建设工程计价依据的通知》（渝建（2018）195号文）的规定及比选文件的具体要求执行。</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9.2 结算公式：结算总价＝经审核</w:t>
      </w:r>
      <w:r>
        <w:rPr>
          <w:rFonts w:asciiTheme="majorEastAsia" w:hAnsiTheme="majorEastAsia" w:eastAsiaTheme="majorEastAsia"/>
          <w:snapToGrid w:val="0"/>
          <w:sz w:val="22"/>
          <w:szCs w:val="22"/>
        </w:rPr>
        <w:t>的</w:t>
      </w:r>
      <w:r>
        <w:rPr>
          <w:rFonts w:hint="eastAsia" w:asciiTheme="majorEastAsia" w:hAnsiTheme="majorEastAsia" w:eastAsiaTheme="majorEastAsia"/>
          <w:snapToGrid w:val="0"/>
          <w:sz w:val="22"/>
          <w:szCs w:val="22"/>
        </w:rPr>
        <w:t>各项工程量清单综合单价*各项实际工程量+工程设计变更费（如有）＋措施项目费+规费+税金+合同约定其它费用。</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工程量的确认：竣工测量+签证收方单（由发包人、承包人、监理人签字共同确认。）</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1.具体结算办法如下：</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工程量清单结算价：</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（1）经审核</w:t>
      </w:r>
      <w:r>
        <w:rPr>
          <w:rFonts w:asciiTheme="majorEastAsia" w:hAnsiTheme="majorEastAsia" w:eastAsiaTheme="majorEastAsia"/>
          <w:snapToGrid w:val="0"/>
          <w:sz w:val="22"/>
          <w:szCs w:val="22"/>
        </w:rPr>
        <w:t>的</w:t>
      </w:r>
      <w:r>
        <w:rPr>
          <w:rFonts w:hint="eastAsia" w:asciiTheme="majorEastAsia" w:hAnsiTheme="majorEastAsia" w:eastAsiaTheme="majorEastAsia"/>
          <w:snapToGrid w:val="0"/>
          <w:sz w:val="22"/>
          <w:szCs w:val="22"/>
        </w:rPr>
        <w:t>分部分项工程量清单项目实行综合单价包干，工程结算时，以承包人提供的</w:t>
      </w:r>
      <w:r>
        <w:rPr>
          <w:rFonts w:asciiTheme="majorEastAsia" w:hAnsiTheme="majorEastAsia" w:eastAsiaTheme="majorEastAsia"/>
          <w:snapToGrid w:val="0"/>
          <w:sz w:val="22"/>
          <w:szCs w:val="22"/>
        </w:rPr>
        <w:t>经审核的</w:t>
      </w:r>
      <w:r>
        <w:rPr>
          <w:rFonts w:hint="eastAsia" w:asciiTheme="majorEastAsia" w:hAnsiTheme="majorEastAsia" w:eastAsiaTheme="majorEastAsia"/>
          <w:snapToGrid w:val="0"/>
          <w:sz w:val="22"/>
          <w:szCs w:val="22"/>
        </w:rPr>
        <w:t>分部分项工程量清单综合单价为结算单价，乘以经监理、业主、中选单位共同核定的实际完成工程量，作为该子项的结算合价。各分部分项工程量清单子项合价累计相加，得分部分项工程量清单结算价。</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（2）无论因设计变更或施工工艺或施工及验收规范发生变化等所有因素，措施项目费中组织措施费和技术措施费项目清单中以项为单位的所列项均采用按比选申请报价并结合清单规范进行计算。</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2.经发包人认定的工程设计变更结算办法：设计变更及调整、经</w:t>
      </w:r>
      <w:r>
        <w:rPr>
          <w:rFonts w:asciiTheme="majorEastAsia" w:hAnsiTheme="majorEastAsia" w:eastAsiaTheme="majorEastAsia"/>
          <w:snapToGrid w:val="0"/>
          <w:sz w:val="22"/>
          <w:szCs w:val="22"/>
        </w:rPr>
        <w:t>审核的</w:t>
      </w:r>
      <w:r>
        <w:rPr>
          <w:rFonts w:hint="eastAsia" w:asciiTheme="majorEastAsia" w:hAnsiTheme="majorEastAsia" w:eastAsiaTheme="majorEastAsia"/>
          <w:snapToGrid w:val="0"/>
          <w:sz w:val="22"/>
          <w:szCs w:val="22"/>
        </w:rPr>
        <w:t>清单漏项、施工过程中出现新增项目、合同范围外的零星项目等均属工程变更。涉及工程价款调整时，由承包人提出并按合同约定提交相关资料，经监理工程师审核出具咨询意见，报发包人按相关程序批准同意后，可增减结算价款。变更涉及调整价格调整方法如下：</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（1）当经</w:t>
      </w:r>
      <w:r>
        <w:rPr>
          <w:rFonts w:asciiTheme="majorEastAsia" w:hAnsiTheme="majorEastAsia" w:eastAsiaTheme="majorEastAsia"/>
          <w:snapToGrid w:val="0"/>
          <w:sz w:val="22"/>
          <w:szCs w:val="22"/>
        </w:rPr>
        <w:t>审核的</w:t>
      </w:r>
      <w:r>
        <w:rPr>
          <w:rFonts w:hint="eastAsia" w:asciiTheme="majorEastAsia" w:hAnsiTheme="majorEastAsia" w:eastAsiaTheme="majorEastAsia"/>
          <w:snapToGrid w:val="0"/>
          <w:sz w:val="22"/>
          <w:szCs w:val="22"/>
        </w:rPr>
        <w:t>工程量清单报价中有适应于变更工程项目的工程量清单综合单价，则按该项目的工程量清单综合单价确定；</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（2）当经</w:t>
      </w:r>
      <w:r>
        <w:rPr>
          <w:rFonts w:asciiTheme="majorEastAsia" w:hAnsiTheme="majorEastAsia" w:eastAsiaTheme="majorEastAsia"/>
          <w:snapToGrid w:val="0"/>
          <w:sz w:val="22"/>
          <w:szCs w:val="22"/>
        </w:rPr>
        <w:t>审核的</w:t>
      </w:r>
      <w:r>
        <w:rPr>
          <w:rFonts w:hint="eastAsia" w:asciiTheme="majorEastAsia" w:hAnsiTheme="majorEastAsia" w:eastAsiaTheme="majorEastAsia"/>
          <w:snapToGrid w:val="0"/>
          <w:sz w:val="22"/>
          <w:szCs w:val="22"/>
        </w:rPr>
        <w:t>工程量清单报价中有类似变更工程项目的工程量清单综合单价，则参照类似项目的工程量清单综合单价确定；</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（3）当经</w:t>
      </w:r>
      <w:r>
        <w:rPr>
          <w:rFonts w:asciiTheme="majorEastAsia" w:hAnsiTheme="majorEastAsia" w:eastAsiaTheme="majorEastAsia"/>
          <w:snapToGrid w:val="0"/>
          <w:sz w:val="22"/>
          <w:szCs w:val="22"/>
        </w:rPr>
        <w:t>审核的</w:t>
      </w:r>
      <w:r>
        <w:rPr>
          <w:rFonts w:hint="eastAsia" w:asciiTheme="majorEastAsia" w:hAnsiTheme="majorEastAsia" w:eastAsiaTheme="majorEastAsia"/>
          <w:snapToGrid w:val="0"/>
          <w:sz w:val="22"/>
          <w:szCs w:val="22"/>
        </w:rPr>
        <w:t>工程量清单报价中无对应项目和类似项目的综合单价：</w:t>
      </w:r>
    </w:p>
    <w:p>
      <w:pPr>
        <w:widowControl/>
        <w:snapToGrid w:val="0"/>
        <w:spacing w:line="360" w:lineRule="auto"/>
        <w:ind w:firstLine="440"/>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按《建设工程工程量清单计价规范》（GB50500-2013）、《房屋建筑与装饰工程工程量计算规范》（GB50854-2013）、《重庆市建设工程工程量清单计价规则》（CQJJGZ-2013）、《重庆市建设工程工程量计算规则》（CQJLGZ－2013）、《重庆市建筑工程计价定额》（CQJZDE-2018）、《重庆市通用安装工程计价定额》（CQAZDE-2018）、《重庆市装饰工程计价定额》（CQJZZSDE-2018）、《重庆市建设工程费用定额》CQFYDE-2018）、《混凝土及砂浆配合比表、施工机械台班定额》（CQPHPP-2018）、《重庆市城乡建设委员会关于适用增值税新税率调整建设工程计价依据的通知》（渝建（2018）195号文）及相关配套文件组价，材料价格按</w:t>
      </w:r>
      <w:r>
        <w:rPr>
          <w:rFonts w:hint="eastAsia" w:asciiTheme="majorEastAsia" w:hAnsiTheme="majorEastAsia" w:eastAsiaTheme="majorEastAsia"/>
          <w:sz w:val="22"/>
          <w:szCs w:val="22"/>
        </w:rPr>
        <w:t>重庆市建设工程造价管理总站主办的</w:t>
      </w:r>
      <w:r>
        <w:rPr>
          <w:rFonts w:hint="eastAsia" w:asciiTheme="majorEastAsia" w:hAnsiTheme="majorEastAsia" w:eastAsiaTheme="majorEastAsia"/>
          <w:b/>
          <w:sz w:val="22"/>
          <w:szCs w:val="22"/>
        </w:rPr>
        <w:t>202</w:t>
      </w:r>
      <w:r>
        <w:rPr>
          <w:rFonts w:asciiTheme="majorEastAsia" w:hAnsiTheme="majorEastAsia" w:eastAsiaTheme="majorEastAsia"/>
          <w:b/>
          <w:sz w:val="22"/>
          <w:szCs w:val="22"/>
        </w:rPr>
        <w:t>1</w:t>
      </w:r>
      <w:r>
        <w:rPr>
          <w:rFonts w:hint="eastAsia" w:asciiTheme="majorEastAsia" w:hAnsiTheme="majorEastAsia" w:eastAsiaTheme="majorEastAsia"/>
          <w:b/>
          <w:sz w:val="22"/>
          <w:szCs w:val="22"/>
        </w:rPr>
        <w:t>年第</w:t>
      </w:r>
      <w:r>
        <w:rPr>
          <w:rFonts w:asciiTheme="majorEastAsia" w:hAnsiTheme="majorEastAsia" w:eastAsiaTheme="majorEastAsia"/>
          <w:b/>
          <w:sz w:val="22"/>
          <w:szCs w:val="22"/>
        </w:rPr>
        <w:t xml:space="preserve"> 5 </w:t>
      </w:r>
      <w:r>
        <w:rPr>
          <w:rFonts w:hint="eastAsia" w:asciiTheme="majorEastAsia" w:hAnsiTheme="majorEastAsia" w:eastAsiaTheme="majorEastAsia"/>
          <w:b/>
          <w:sz w:val="22"/>
          <w:szCs w:val="22"/>
        </w:rPr>
        <w:t>期</w:t>
      </w:r>
      <w:r>
        <w:rPr>
          <w:rFonts w:hint="eastAsia" w:asciiTheme="majorEastAsia" w:hAnsiTheme="majorEastAsia" w:eastAsiaTheme="majorEastAsia"/>
          <w:snapToGrid w:val="0"/>
          <w:sz w:val="22"/>
          <w:szCs w:val="22"/>
        </w:rPr>
        <w:t>《重庆工程造价信息》最低价税前下浮</w:t>
      </w:r>
      <w:r>
        <w:rPr>
          <w:rFonts w:asciiTheme="majorEastAsia" w:hAnsiTheme="majorEastAsia" w:eastAsiaTheme="majorEastAsia"/>
          <w:snapToGrid w:val="0"/>
          <w:sz w:val="22"/>
          <w:szCs w:val="22"/>
        </w:rPr>
        <w:t>5</w:t>
      </w:r>
      <w:r>
        <w:rPr>
          <w:rFonts w:hint="eastAsia" w:asciiTheme="majorEastAsia" w:hAnsiTheme="majorEastAsia" w:eastAsiaTheme="majorEastAsia"/>
          <w:snapToGrid w:val="0"/>
          <w:sz w:val="22"/>
          <w:szCs w:val="22"/>
        </w:rPr>
        <w:t>%执行，如造价信息中不包含的材料以发包人、监理工程师认质核定的价格为准，核定的材料价格不参与下浮。</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3.安全文明施工费：按渝建发【2014】25号文的规定标准进行结算。</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4.规费：按审核后的费率结算。</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5.税金：按规定费率结算。</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6.措施费（除安全文明施工费和建设工程档案编制费外）：按审核后的费用计取，结算不作调整。</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7.暂列金额：施工中发生的一些协调费，由中选人、监理、比选人共同核定，按实计算。</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 xml:space="preserve">8.工程结算审计时，若审减金额超过送审金额的5%，由承包人承担超过部分的工程审计费。 </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9.工程竣工结算以合同约定工期为准，实际施工工期比合同约定工期延后，承包人按延后工期每日20000元向发包人支付工期违约金。工程竣工验收后30日内递交工程结算，每延迟一天的处罚2000元，结算中审计时进行扣减。</w:t>
      </w:r>
    </w:p>
    <w:p>
      <w:pPr>
        <w:widowControl/>
        <w:snapToGrid w:val="0"/>
        <w:spacing w:line="360" w:lineRule="auto"/>
        <w:ind w:firstLine="422" w:firstLineChars="192"/>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10.承包人应严格做好本工程的现场安全文明施工，对施工现场进行全封闭，且保证围档设施的整洁、完好，现场外无渣土、建筑材料等现象，如发包人、监理人到施工现场检查时发现围挡设施有损坏或清洁不到位等不安全文明施工的行为，发现第一次处罚2000元，第二次处罚4000元，以此类推。</w:t>
      </w:r>
    </w:p>
    <w:p>
      <w:pPr>
        <w:widowControl/>
        <w:snapToGrid w:val="0"/>
        <w:spacing w:line="360" w:lineRule="auto"/>
        <w:rPr>
          <w:rFonts w:asciiTheme="majorEastAsia" w:hAnsiTheme="majorEastAsia" w:eastAsiaTheme="majorEastAsia"/>
          <w:b/>
          <w:snapToGrid w:val="0"/>
          <w:sz w:val="22"/>
          <w:szCs w:val="22"/>
        </w:rPr>
      </w:pPr>
      <w:r>
        <w:rPr>
          <w:rFonts w:hint="eastAsia" w:asciiTheme="majorEastAsia" w:hAnsiTheme="majorEastAsia" w:eastAsiaTheme="majorEastAsia"/>
          <w:b/>
          <w:sz w:val="22"/>
          <w:szCs w:val="22"/>
        </w:rPr>
        <w:t>10.</w:t>
      </w:r>
      <w:bookmarkStart w:id="372" w:name="_Toc279650516"/>
      <w:bookmarkStart w:id="373" w:name="_Toc1939"/>
      <w:bookmarkStart w:id="374" w:name="_Toc25494"/>
      <w:bookmarkEnd w:id="370"/>
      <w:bookmarkEnd w:id="371"/>
      <w:r>
        <w:rPr>
          <w:rFonts w:hint="eastAsia" w:asciiTheme="majorEastAsia" w:hAnsiTheme="majorEastAsia" w:eastAsiaTheme="majorEastAsia"/>
          <w:b/>
          <w:sz w:val="22"/>
          <w:szCs w:val="22"/>
        </w:rPr>
        <w:t>价格调整</w:t>
      </w:r>
      <w:bookmarkEnd w:id="372"/>
      <w:bookmarkEnd w:id="373"/>
      <w:bookmarkEnd w:id="374"/>
    </w:p>
    <w:p>
      <w:pPr>
        <w:widowControl/>
        <w:spacing w:line="360" w:lineRule="auto"/>
        <w:ind w:firstLine="198" w:firstLineChars="90"/>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物价波动引起的价格调整方法：</w:t>
      </w:r>
      <w:r>
        <w:rPr>
          <w:rFonts w:hint="eastAsia" w:asciiTheme="majorEastAsia" w:hAnsiTheme="majorEastAsia" w:eastAsiaTheme="majorEastAsia"/>
          <w:sz w:val="22"/>
          <w:szCs w:val="22"/>
          <w:u w:val="single"/>
        </w:rPr>
        <w:t xml:space="preserve">不调整。 </w:t>
      </w:r>
    </w:p>
    <w:p>
      <w:pPr>
        <w:widowControl/>
        <w:snapToGrid w:val="0"/>
        <w:spacing w:line="360" w:lineRule="auto"/>
        <w:rPr>
          <w:rFonts w:asciiTheme="majorEastAsia" w:hAnsiTheme="majorEastAsia" w:eastAsiaTheme="majorEastAsia"/>
          <w:b/>
          <w:snapToGrid w:val="0"/>
          <w:sz w:val="22"/>
          <w:szCs w:val="22"/>
        </w:rPr>
      </w:pPr>
      <w:bookmarkStart w:id="375" w:name="_Toc279650520"/>
      <w:bookmarkStart w:id="376" w:name="_Toc293076774"/>
      <w:r>
        <w:rPr>
          <w:rFonts w:hint="eastAsia" w:asciiTheme="majorEastAsia" w:hAnsiTheme="majorEastAsia" w:eastAsiaTheme="majorEastAsia"/>
          <w:b/>
          <w:snapToGrid w:val="0"/>
          <w:sz w:val="22"/>
          <w:szCs w:val="22"/>
        </w:rPr>
        <w:t>11. 预付款</w:t>
      </w:r>
      <w:bookmarkEnd w:id="375"/>
      <w:bookmarkEnd w:id="376"/>
    </w:p>
    <w:p>
      <w:pPr>
        <w:widowControl/>
        <w:spacing w:line="360" w:lineRule="auto"/>
        <w:ind w:firstLine="110" w:firstLineChars="50"/>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预付款额度和预付方法：</w:t>
      </w:r>
      <w:r>
        <w:rPr>
          <w:rFonts w:hint="eastAsia" w:asciiTheme="majorEastAsia" w:hAnsiTheme="majorEastAsia" w:eastAsiaTheme="majorEastAsia"/>
          <w:sz w:val="22"/>
          <w:szCs w:val="22"/>
          <w:u w:val="single"/>
        </w:rPr>
        <w:t>不支付。</w:t>
      </w:r>
    </w:p>
    <w:p>
      <w:pPr>
        <w:widowControl/>
        <w:snapToGrid w:val="0"/>
        <w:spacing w:line="360" w:lineRule="auto"/>
        <w:rPr>
          <w:rFonts w:asciiTheme="majorEastAsia" w:hAnsiTheme="majorEastAsia" w:eastAsiaTheme="majorEastAsia"/>
          <w:b/>
          <w:snapToGrid w:val="0"/>
          <w:sz w:val="22"/>
          <w:szCs w:val="22"/>
        </w:rPr>
      </w:pPr>
      <w:bookmarkStart w:id="377" w:name="_Toc293076775"/>
      <w:bookmarkStart w:id="378" w:name="_Toc279650521"/>
      <w:r>
        <w:rPr>
          <w:rFonts w:hint="eastAsia" w:asciiTheme="majorEastAsia" w:hAnsiTheme="majorEastAsia" w:eastAsiaTheme="majorEastAsia"/>
          <w:b/>
          <w:snapToGrid w:val="0"/>
          <w:sz w:val="22"/>
          <w:szCs w:val="22"/>
        </w:rPr>
        <w:t>12. 进度款</w:t>
      </w:r>
      <w:bookmarkEnd w:id="377"/>
      <w:bookmarkEnd w:id="378"/>
    </w:p>
    <w:p>
      <w:pPr>
        <w:spacing w:line="360" w:lineRule="auto"/>
        <w:ind w:firstLine="376" w:firstLineChars="171"/>
        <w:rPr>
          <w:rFonts w:asciiTheme="majorEastAsia" w:hAnsiTheme="majorEastAsia" w:eastAsiaTheme="majorEastAsia"/>
          <w:sz w:val="22"/>
          <w:szCs w:val="22"/>
          <w:u w:val="single"/>
        </w:rPr>
      </w:pPr>
      <w:r>
        <w:rPr>
          <w:rFonts w:hint="eastAsia" w:asciiTheme="majorEastAsia" w:hAnsiTheme="majorEastAsia" w:eastAsiaTheme="majorEastAsia"/>
          <w:sz w:val="22"/>
          <w:szCs w:val="22"/>
        </w:rPr>
        <w:t>设计进度款额度和预付方法：</w:t>
      </w:r>
      <w:r>
        <w:rPr>
          <w:rFonts w:hint="eastAsia" w:asciiTheme="majorEastAsia" w:hAnsiTheme="majorEastAsia" w:eastAsiaTheme="majorEastAsia"/>
          <w:sz w:val="22"/>
          <w:szCs w:val="22"/>
          <w:u w:val="single"/>
        </w:rPr>
        <w:t xml:space="preserve">承包人在完成设计方案，经甲方确认后10日内支付设计费总额的50%，承包人在完成施工图纸，经甲方确认后10日内支付至设计费总额的85%，竣工验收合格后10日内支付设计费余款。 </w:t>
      </w:r>
    </w:p>
    <w:p>
      <w:pPr>
        <w:spacing w:line="360" w:lineRule="auto"/>
        <w:ind w:firstLine="376" w:firstLineChars="171"/>
        <w:rPr>
          <w:rFonts w:asciiTheme="majorEastAsia" w:hAnsiTheme="majorEastAsia" w:eastAsiaTheme="majorEastAsia"/>
          <w:sz w:val="22"/>
          <w:szCs w:val="22"/>
        </w:rPr>
      </w:pPr>
      <w:r>
        <w:rPr>
          <w:rFonts w:hint="eastAsia" w:asciiTheme="majorEastAsia" w:hAnsiTheme="majorEastAsia" w:eastAsiaTheme="majorEastAsia"/>
          <w:sz w:val="22"/>
          <w:szCs w:val="22"/>
        </w:rPr>
        <w:t>工程进度款额度和预付方法：</w:t>
      </w:r>
      <w:r>
        <w:rPr>
          <w:rFonts w:hint="eastAsia" w:asciiTheme="majorEastAsia" w:hAnsiTheme="majorEastAsia" w:eastAsiaTheme="majorEastAsia"/>
          <w:sz w:val="22"/>
          <w:szCs w:val="22"/>
          <w:u w:val="single"/>
        </w:rPr>
        <w:t xml:space="preserve">承包人每月25日前申报当月工程进度，发包人次月5号前按审核后进度款的70%支付工程进度款。 </w:t>
      </w:r>
    </w:p>
    <w:p>
      <w:pPr>
        <w:spacing w:line="360" w:lineRule="auto"/>
        <w:rPr>
          <w:rFonts w:asciiTheme="majorEastAsia" w:hAnsiTheme="majorEastAsia" w:eastAsiaTheme="majorEastAsia"/>
          <w:b/>
          <w:spacing w:val="-10"/>
          <w:sz w:val="22"/>
          <w:szCs w:val="22"/>
        </w:rPr>
      </w:pPr>
      <w:r>
        <w:rPr>
          <w:rFonts w:hint="eastAsia" w:asciiTheme="majorEastAsia" w:hAnsiTheme="majorEastAsia" w:eastAsiaTheme="majorEastAsia"/>
          <w:b/>
          <w:spacing w:val="-10"/>
          <w:sz w:val="22"/>
          <w:szCs w:val="22"/>
        </w:rPr>
        <w:t>13. 有效签证</w:t>
      </w:r>
    </w:p>
    <w:p>
      <w:pPr>
        <w:spacing w:line="360" w:lineRule="auto"/>
        <w:ind w:firstLine="442" w:firstLineChars="221"/>
        <w:rPr>
          <w:rFonts w:asciiTheme="majorEastAsia" w:hAnsiTheme="majorEastAsia" w:eastAsiaTheme="majorEastAsia"/>
          <w:sz w:val="22"/>
          <w:szCs w:val="22"/>
          <w:u w:val="single"/>
        </w:rPr>
      </w:pPr>
      <w:r>
        <w:rPr>
          <w:rFonts w:hint="eastAsia" w:asciiTheme="majorEastAsia" w:hAnsiTheme="majorEastAsia" w:eastAsiaTheme="majorEastAsia"/>
          <w:spacing w:val="-10"/>
          <w:sz w:val="22"/>
          <w:szCs w:val="22"/>
        </w:rPr>
        <w:t>有效签证的条件：</w:t>
      </w:r>
      <w:r>
        <w:rPr>
          <w:rFonts w:hint="eastAsia" w:asciiTheme="majorEastAsia" w:hAnsiTheme="majorEastAsia" w:eastAsiaTheme="majorEastAsia"/>
          <w:sz w:val="22"/>
          <w:szCs w:val="22"/>
          <w:u w:val="single"/>
        </w:rPr>
        <w:t>所有发生费用的资料签证，必须由发包人、承包人及监理三方签字盖章认可。收方由发包人承包人和监理共同完成。</w:t>
      </w:r>
    </w:p>
    <w:p>
      <w:pPr>
        <w:spacing w:line="360" w:lineRule="auto"/>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14.工程款的支付</w:t>
      </w:r>
    </w:p>
    <w:p>
      <w:pPr>
        <w:widowControl/>
        <w:snapToGrid w:val="0"/>
        <w:spacing w:line="360" w:lineRule="auto"/>
        <w:ind w:firstLine="440"/>
        <w:rPr>
          <w:rFonts w:asciiTheme="majorEastAsia" w:hAnsiTheme="majorEastAsia" w:eastAsiaTheme="majorEastAsia"/>
          <w:bCs/>
          <w:sz w:val="22"/>
          <w:szCs w:val="22"/>
          <w:u w:val="single"/>
        </w:rPr>
      </w:pPr>
      <w:bookmarkStart w:id="379" w:name="_Toc279650522"/>
      <w:bookmarkStart w:id="380" w:name="_Toc293076776"/>
      <w:r>
        <w:rPr>
          <w:rFonts w:hint="eastAsia" w:asciiTheme="majorEastAsia" w:hAnsiTheme="majorEastAsia" w:eastAsiaTheme="majorEastAsia"/>
          <w:bCs/>
          <w:sz w:val="22"/>
          <w:szCs w:val="22"/>
          <w:u w:val="single"/>
        </w:rPr>
        <w:t>竣工验收合格后支付至合同总额的85%；审计结束后支付至审定金额的97%，剩余审定金额的3%作为质保金，待缺陷责任期（两年）满后不计息支付。</w:t>
      </w:r>
    </w:p>
    <w:p>
      <w:pPr>
        <w:widowControl/>
        <w:snapToGrid w:val="0"/>
        <w:spacing w:line="360" w:lineRule="auto"/>
        <w:rPr>
          <w:rFonts w:asciiTheme="majorEastAsia" w:hAnsiTheme="majorEastAsia" w:eastAsiaTheme="majorEastAsia"/>
          <w:b/>
          <w:snapToGrid w:val="0"/>
          <w:sz w:val="22"/>
          <w:szCs w:val="22"/>
        </w:rPr>
      </w:pPr>
      <w:r>
        <w:rPr>
          <w:rFonts w:hint="eastAsia" w:asciiTheme="majorEastAsia" w:hAnsiTheme="majorEastAsia" w:eastAsiaTheme="majorEastAsia"/>
          <w:b/>
          <w:snapToGrid w:val="0"/>
          <w:sz w:val="22"/>
          <w:szCs w:val="22"/>
        </w:rPr>
        <w:t>15.质量保证金</w:t>
      </w:r>
      <w:bookmarkEnd w:id="379"/>
      <w:bookmarkEnd w:id="380"/>
    </w:p>
    <w:p>
      <w:pPr>
        <w:widowControl/>
        <w:spacing w:line="360" w:lineRule="auto"/>
        <w:ind w:firstLine="440"/>
        <w:rPr>
          <w:rFonts w:asciiTheme="majorEastAsia" w:hAnsiTheme="majorEastAsia" w:eastAsiaTheme="majorEastAsia"/>
          <w:b/>
          <w:sz w:val="22"/>
          <w:szCs w:val="22"/>
        </w:rPr>
      </w:pPr>
      <w:r>
        <w:rPr>
          <w:rFonts w:hint="eastAsia" w:asciiTheme="majorEastAsia" w:hAnsiTheme="majorEastAsia" w:eastAsiaTheme="majorEastAsia"/>
          <w:sz w:val="22"/>
          <w:szCs w:val="22"/>
        </w:rPr>
        <w:t>质量保证金的金额或比例：</w:t>
      </w:r>
      <w:r>
        <w:rPr>
          <w:rFonts w:hint="eastAsia" w:asciiTheme="majorEastAsia" w:hAnsiTheme="majorEastAsia" w:eastAsiaTheme="majorEastAsia"/>
          <w:sz w:val="22"/>
          <w:szCs w:val="22"/>
          <w:u w:val="single"/>
        </w:rPr>
        <w:t>审定金额的</w:t>
      </w:r>
      <w:bookmarkStart w:id="381" w:name="_Toc293076777"/>
      <w:bookmarkStart w:id="382" w:name="_Toc279650523"/>
      <w:r>
        <w:rPr>
          <w:rFonts w:hint="eastAsia" w:asciiTheme="majorEastAsia" w:hAnsiTheme="majorEastAsia" w:eastAsiaTheme="majorEastAsia"/>
          <w:sz w:val="22"/>
          <w:szCs w:val="22"/>
          <w:u w:val="single"/>
        </w:rPr>
        <w:t>3%。</w:t>
      </w:r>
    </w:p>
    <w:p>
      <w:pPr>
        <w:widowControl/>
        <w:snapToGrid w:val="0"/>
        <w:spacing w:line="360" w:lineRule="auto"/>
        <w:ind w:firstLine="330" w:firstLineChars="150"/>
        <w:rPr>
          <w:rFonts w:asciiTheme="majorEastAsia" w:hAnsiTheme="majorEastAsia" w:eastAsiaTheme="majorEastAsia"/>
          <w:snapToGrid w:val="0"/>
          <w:sz w:val="22"/>
          <w:szCs w:val="22"/>
        </w:rPr>
      </w:pPr>
      <w:bookmarkStart w:id="383" w:name="_Toc293076779"/>
      <w:bookmarkStart w:id="384" w:name="_Toc279650526"/>
      <w:r>
        <w:rPr>
          <w:rFonts w:hint="eastAsia" w:asciiTheme="majorEastAsia" w:hAnsiTheme="majorEastAsia" w:eastAsiaTheme="majorEastAsia"/>
          <w:snapToGrid w:val="0"/>
          <w:sz w:val="22"/>
          <w:szCs w:val="22"/>
        </w:rPr>
        <w:t>16.1 竣工验收</w:t>
      </w:r>
      <w:bookmarkEnd w:id="383"/>
      <w:bookmarkEnd w:id="384"/>
      <w:r>
        <w:rPr>
          <w:rFonts w:hint="eastAsia" w:asciiTheme="majorEastAsia" w:hAnsiTheme="majorEastAsia" w:eastAsiaTheme="majorEastAsia"/>
          <w:snapToGrid w:val="0"/>
          <w:sz w:val="22"/>
          <w:szCs w:val="22"/>
        </w:rPr>
        <w:t>资料</w:t>
      </w:r>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竣工资料按相关规定准备，竣工资料份数：</w:t>
      </w:r>
      <w:r>
        <w:rPr>
          <w:rFonts w:hint="eastAsia" w:asciiTheme="majorEastAsia" w:hAnsiTheme="majorEastAsia" w:eastAsiaTheme="majorEastAsia"/>
          <w:sz w:val="22"/>
          <w:szCs w:val="22"/>
          <w:u w:val="single"/>
        </w:rPr>
        <w:t xml:space="preserve">4份。 </w:t>
      </w:r>
    </w:p>
    <w:p>
      <w:pPr>
        <w:widowControl/>
        <w:spacing w:line="360" w:lineRule="auto"/>
        <w:ind w:firstLine="330" w:firstLineChars="150"/>
        <w:rPr>
          <w:rFonts w:asciiTheme="majorEastAsia" w:hAnsiTheme="majorEastAsia" w:eastAsiaTheme="majorEastAsia"/>
          <w:sz w:val="22"/>
          <w:szCs w:val="22"/>
        </w:rPr>
      </w:pPr>
      <w:r>
        <w:rPr>
          <w:rFonts w:hint="eastAsia" w:asciiTheme="majorEastAsia" w:hAnsiTheme="majorEastAsia" w:eastAsiaTheme="majorEastAsia"/>
          <w:snapToGrid w:val="0"/>
          <w:sz w:val="22"/>
          <w:szCs w:val="22"/>
        </w:rPr>
        <w:t>16.2</w:t>
      </w:r>
      <w:r>
        <w:rPr>
          <w:rFonts w:hint="eastAsia" w:asciiTheme="majorEastAsia" w:hAnsiTheme="majorEastAsia" w:eastAsiaTheme="majorEastAsia"/>
          <w:sz w:val="22"/>
          <w:szCs w:val="22"/>
        </w:rPr>
        <w:t xml:space="preserve"> 实际竣工日期：</w:t>
      </w:r>
      <w:r>
        <w:rPr>
          <w:rFonts w:hint="eastAsia" w:asciiTheme="majorEastAsia" w:hAnsiTheme="majorEastAsia" w:eastAsiaTheme="majorEastAsia"/>
          <w:sz w:val="22"/>
          <w:szCs w:val="22"/>
          <w:u w:val="single"/>
        </w:rPr>
        <w:t>验收合格的日期为实际竣工日期。</w:t>
      </w:r>
    </w:p>
    <w:p>
      <w:pPr>
        <w:widowControl/>
        <w:snapToGrid w:val="0"/>
        <w:spacing w:line="360" w:lineRule="auto"/>
        <w:ind w:firstLine="330" w:firstLineChars="150"/>
        <w:rPr>
          <w:rFonts w:asciiTheme="majorEastAsia" w:hAnsiTheme="majorEastAsia" w:eastAsiaTheme="majorEastAsia"/>
          <w:snapToGrid w:val="0"/>
          <w:sz w:val="22"/>
          <w:szCs w:val="22"/>
        </w:rPr>
      </w:pPr>
      <w:bookmarkStart w:id="385" w:name="_Toc293076783"/>
      <w:bookmarkStart w:id="386" w:name="_Toc279650530"/>
      <w:r>
        <w:rPr>
          <w:rFonts w:hint="eastAsia" w:asciiTheme="majorEastAsia" w:hAnsiTheme="majorEastAsia" w:eastAsiaTheme="majorEastAsia"/>
          <w:snapToGrid w:val="0"/>
          <w:sz w:val="22"/>
          <w:szCs w:val="22"/>
        </w:rPr>
        <w:t>16.3  竣工清场</w:t>
      </w:r>
      <w:bookmarkEnd w:id="385"/>
      <w:bookmarkEnd w:id="386"/>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竣工清场：</w:t>
      </w:r>
      <w:r>
        <w:rPr>
          <w:rFonts w:hint="eastAsia" w:asciiTheme="majorEastAsia" w:hAnsiTheme="majorEastAsia" w:eastAsiaTheme="majorEastAsia"/>
          <w:sz w:val="22"/>
          <w:szCs w:val="22"/>
          <w:u w:val="single"/>
        </w:rPr>
        <w:t>承包人负责，费用已包含在合同价中。</w:t>
      </w:r>
    </w:p>
    <w:p>
      <w:pPr>
        <w:widowControl/>
        <w:snapToGrid w:val="0"/>
        <w:spacing w:line="360" w:lineRule="auto"/>
        <w:ind w:firstLine="330" w:firstLineChars="150"/>
        <w:rPr>
          <w:rFonts w:asciiTheme="majorEastAsia" w:hAnsiTheme="majorEastAsia" w:eastAsiaTheme="majorEastAsia"/>
          <w:snapToGrid w:val="0"/>
          <w:sz w:val="22"/>
          <w:szCs w:val="22"/>
        </w:rPr>
      </w:pPr>
      <w:bookmarkStart w:id="387" w:name="_Toc279650531"/>
      <w:bookmarkStart w:id="388" w:name="_Toc293076784"/>
      <w:r>
        <w:rPr>
          <w:rFonts w:hint="eastAsia" w:asciiTheme="majorEastAsia" w:hAnsiTheme="majorEastAsia" w:eastAsiaTheme="majorEastAsia"/>
          <w:snapToGrid w:val="0"/>
          <w:sz w:val="22"/>
          <w:szCs w:val="22"/>
        </w:rPr>
        <w:t>16.4 施工队伍的撤离</w:t>
      </w:r>
      <w:bookmarkEnd w:id="387"/>
      <w:bookmarkEnd w:id="388"/>
    </w:p>
    <w:p>
      <w:pPr>
        <w:spacing w:line="360" w:lineRule="auto"/>
        <w:ind w:firstLine="44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施工人员、施工设备及其临时工程撤离的要求：</w:t>
      </w:r>
      <w:bookmarkStart w:id="389" w:name="_Toc3218"/>
      <w:bookmarkStart w:id="390" w:name="_Toc20113"/>
      <w:bookmarkStart w:id="391" w:name="_Toc293076785"/>
      <w:bookmarkStart w:id="392" w:name="_Toc279650532"/>
      <w:r>
        <w:rPr>
          <w:rFonts w:hint="eastAsia" w:asciiTheme="majorEastAsia" w:hAnsiTheme="majorEastAsia" w:eastAsiaTheme="majorEastAsia"/>
          <w:sz w:val="22"/>
          <w:szCs w:val="22"/>
          <w:u w:val="single"/>
        </w:rPr>
        <w:t>本工程竣工验收合格后，承包人在3天内无条件撤场，与工程其它任何纠纷事宜无关，如承包人拒不撤场或延期撤场，发包人拒付全部工程余款或按承包人拖延时间的10倍延期支付全部余款，并承担发包人的经济损失。</w:t>
      </w:r>
    </w:p>
    <w:bookmarkEnd w:id="389"/>
    <w:bookmarkEnd w:id="390"/>
    <w:bookmarkEnd w:id="391"/>
    <w:bookmarkEnd w:id="392"/>
    <w:p>
      <w:pPr>
        <w:widowControl/>
        <w:snapToGrid w:val="0"/>
        <w:spacing w:line="360" w:lineRule="auto"/>
        <w:rPr>
          <w:rFonts w:asciiTheme="majorEastAsia" w:hAnsiTheme="majorEastAsia" w:eastAsiaTheme="majorEastAsia"/>
          <w:b/>
          <w:snapToGrid w:val="0"/>
          <w:sz w:val="22"/>
          <w:szCs w:val="22"/>
        </w:rPr>
      </w:pPr>
      <w:r>
        <w:rPr>
          <w:rFonts w:hint="eastAsia" w:asciiTheme="majorEastAsia" w:hAnsiTheme="majorEastAsia" w:eastAsiaTheme="majorEastAsia"/>
          <w:b/>
          <w:snapToGrid w:val="0"/>
          <w:sz w:val="22"/>
          <w:szCs w:val="22"/>
        </w:rPr>
        <w:t>17.竣工结算</w:t>
      </w:r>
      <w:bookmarkEnd w:id="381"/>
      <w:bookmarkEnd w:id="382"/>
      <w:bookmarkStart w:id="393" w:name="_Toc293076786"/>
      <w:bookmarkStart w:id="394" w:name="_Toc279650533"/>
    </w:p>
    <w:p>
      <w:pPr>
        <w:widowControl/>
        <w:snapToGrid w:val="0"/>
        <w:spacing w:line="360" w:lineRule="auto"/>
        <w:ind w:firstLine="440"/>
        <w:rPr>
          <w:rFonts w:asciiTheme="majorEastAsia" w:hAnsiTheme="majorEastAsia" w:eastAsiaTheme="majorEastAsia"/>
          <w:snapToGrid w:val="0"/>
          <w:sz w:val="22"/>
          <w:szCs w:val="22"/>
        </w:rPr>
      </w:pPr>
      <w:r>
        <w:rPr>
          <w:rFonts w:hint="eastAsia" w:asciiTheme="majorEastAsia" w:hAnsiTheme="majorEastAsia" w:eastAsiaTheme="majorEastAsia"/>
          <w:snapToGrid w:val="0"/>
          <w:sz w:val="22"/>
          <w:szCs w:val="22"/>
        </w:rPr>
        <w:t>由发包人负责组织。</w:t>
      </w:r>
    </w:p>
    <w:p>
      <w:pPr>
        <w:widowControl/>
        <w:snapToGrid w:val="0"/>
        <w:spacing w:line="360" w:lineRule="auto"/>
        <w:rPr>
          <w:rFonts w:asciiTheme="majorEastAsia" w:hAnsiTheme="majorEastAsia" w:eastAsiaTheme="majorEastAsia"/>
          <w:b/>
          <w:snapToGrid w:val="0"/>
          <w:sz w:val="22"/>
          <w:szCs w:val="22"/>
        </w:rPr>
      </w:pPr>
      <w:r>
        <w:rPr>
          <w:rFonts w:hint="eastAsia" w:asciiTheme="majorEastAsia" w:hAnsiTheme="majorEastAsia" w:eastAsiaTheme="majorEastAsia"/>
          <w:b/>
          <w:snapToGrid w:val="0"/>
          <w:sz w:val="22"/>
          <w:szCs w:val="22"/>
        </w:rPr>
        <w:t>18.保修责任</w:t>
      </w:r>
      <w:bookmarkEnd w:id="393"/>
      <w:bookmarkEnd w:id="394"/>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工程质量保修范围、期限和责任：2年，承包人必须对合同承包内容无偿维护及修复。</w:t>
      </w:r>
      <w:bookmarkStart w:id="395" w:name="_Toc15025"/>
      <w:bookmarkStart w:id="396" w:name="_Toc279650534"/>
      <w:bookmarkStart w:id="397" w:name="_Toc293076787"/>
      <w:bookmarkStart w:id="398" w:name="_Toc7230"/>
    </w:p>
    <w:p>
      <w:pPr>
        <w:widowControl/>
        <w:spacing w:line="360" w:lineRule="auto"/>
        <w:rPr>
          <w:rFonts w:asciiTheme="majorEastAsia" w:hAnsiTheme="majorEastAsia" w:eastAsiaTheme="majorEastAsia"/>
          <w:b/>
          <w:sz w:val="22"/>
          <w:szCs w:val="22"/>
        </w:rPr>
      </w:pPr>
      <w:r>
        <w:rPr>
          <w:rFonts w:hint="eastAsia" w:asciiTheme="majorEastAsia" w:hAnsiTheme="majorEastAsia" w:eastAsiaTheme="majorEastAsia"/>
          <w:b/>
          <w:sz w:val="22"/>
          <w:szCs w:val="22"/>
        </w:rPr>
        <w:t>19</w:t>
      </w:r>
      <w:r>
        <w:rPr>
          <w:rFonts w:asciiTheme="majorEastAsia" w:hAnsiTheme="majorEastAsia" w:eastAsiaTheme="majorEastAsia"/>
          <w:b/>
          <w:sz w:val="22"/>
          <w:szCs w:val="22"/>
        </w:rPr>
        <w:t>.</w:t>
      </w:r>
      <w:r>
        <w:rPr>
          <w:rFonts w:hint="eastAsia" w:asciiTheme="majorEastAsia" w:hAnsiTheme="majorEastAsia" w:eastAsiaTheme="majorEastAsia"/>
          <w:b/>
          <w:sz w:val="22"/>
          <w:szCs w:val="22"/>
        </w:rPr>
        <w:t>工程保险</w:t>
      </w:r>
      <w:bookmarkEnd w:id="395"/>
      <w:bookmarkEnd w:id="396"/>
      <w:bookmarkEnd w:id="397"/>
      <w:bookmarkEnd w:id="398"/>
    </w:p>
    <w:p>
      <w:pPr>
        <w:widowControl/>
        <w:spacing w:line="360" w:lineRule="auto"/>
        <w:ind w:firstLine="44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投保人：</w:t>
      </w:r>
      <w:r>
        <w:rPr>
          <w:rFonts w:hint="eastAsia" w:asciiTheme="majorEastAsia" w:hAnsiTheme="majorEastAsia" w:eastAsiaTheme="majorEastAsia"/>
          <w:sz w:val="22"/>
          <w:szCs w:val="22"/>
          <w:u w:val="single"/>
        </w:rPr>
        <w:t>承包人自行投保。</w:t>
      </w:r>
    </w:p>
    <w:p>
      <w:pPr>
        <w:spacing w:line="360" w:lineRule="auto"/>
        <w:ind w:firstLine="451" w:firstLineChars="205"/>
        <w:rPr>
          <w:rFonts w:asciiTheme="majorEastAsia" w:hAnsiTheme="majorEastAsia" w:eastAsiaTheme="majorEastAsia"/>
          <w:sz w:val="22"/>
          <w:szCs w:val="22"/>
        </w:rPr>
      </w:pPr>
      <w:r>
        <w:rPr>
          <w:rFonts w:hint="eastAsia" w:asciiTheme="majorEastAsia" w:hAnsiTheme="majorEastAsia" w:eastAsiaTheme="majorEastAsia"/>
          <w:sz w:val="22"/>
          <w:szCs w:val="22"/>
        </w:rPr>
        <w:t>投保内容：按照国家目前对承包人投保险种的要求进行投保。</w:t>
      </w:r>
      <w:bookmarkStart w:id="399" w:name="_Toc5834"/>
      <w:bookmarkStart w:id="400" w:name="_Toc279650539"/>
      <w:bookmarkStart w:id="401" w:name="_Toc293076792"/>
      <w:bookmarkStart w:id="402" w:name="_Toc7905"/>
    </w:p>
    <w:p>
      <w:pPr>
        <w:rPr>
          <w:rFonts w:ascii="宋体" w:hAnsi="宋体" w:cs="宋体"/>
          <w:b/>
          <w:bCs/>
          <w:kern w:val="0"/>
          <w:sz w:val="22"/>
          <w:szCs w:val="22"/>
        </w:rPr>
      </w:pPr>
      <w:bookmarkStart w:id="403" w:name="_Toc532377401"/>
      <w:bookmarkStart w:id="404" w:name="_Toc532375664"/>
      <w:bookmarkStart w:id="405" w:name="_Toc351203648"/>
      <w:r>
        <w:rPr>
          <w:rFonts w:hint="eastAsia" w:ascii="宋体" w:hAnsi="宋体" w:cs="宋体"/>
          <w:b/>
          <w:bCs/>
          <w:kern w:val="0"/>
          <w:sz w:val="22"/>
          <w:szCs w:val="22"/>
        </w:rPr>
        <w:t>20. 违约</w:t>
      </w:r>
      <w:bookmarkEnd w:id="403"/>
      <w:bookmarkEnd w:id="404"/>
      <w:bookmarkEnd w:id="405"/>
    </w:p>
    <w:p>
      <w:pPr>
        <w:pStyle w:val="7"/>
        <w:spacing w:before="0" w:after="0" w:line="440" w:lineRule="exact"/>
        <w:ind w:firstLine="442" w:firstLineChars="200"/>
        <w:rPr>
          <w:sz w:val="22"/>
          <w:szCs w:val="22"/>
        </w:rPr>
      </w:pPr>
      <w:bookmarkStart w:id="406" w:name="_Toc532377402"/>
      <w:r>
        <w:rPr>
          <w:rFonts w:hint="eastAsia"/>
          <w:sz w:val="22"/>
          <w:szCs w:val="22"/>
        </w:rPr>
        <w:t>20.1 发包人违约</w:t>
      </w:r>
      <w:bookmarkEnd w:id="406"/>
    </w:p>
    <w:p>
      <w:pPr>
        <w:spacing w:line="440" w:lineRule="exact"/>
        <w:ind w:firstLine="440" w:firstLineChars="200"/>
        <w:rPr>
          <w:rFonts w:ascii="宋体" w:hAnsi="宋体"/>
          <w:sz w:val="22"/>
          <w:szCs w:val="22"/>
        </w:rPr>
      </w:pPr>
      <w:r>
        <w:rPr>
          <w:rFonts w:hint="eastAsia" w:ascii="宋体" w:hAnsi="宋体"/>
          <w:sz w:val="22"/>
          <w:szCs w:val="22"/>
        </w:rPr>
        <w:t>20.1.1 发包人违约的情形</w:t>
      </w:r>
    </w:p>
    <w:p>
      <w:pPr>
        <w:spacing w:line="440" w:lineRule="exact"/>
        <w:ind w:firstLine="440" w:firstLineChars="200"/>
        <w:rPr>
          <w:rFonts w:ascii="宋体" w:hAnsi="宋体"/>
          <w:sz w:val="22"/>
          <w:szCs w:val="22"/>
        </w:rPr>
      </w:pPr>
      <w:r>
        <w:rPr>
          <w:rFonts w:hint="eastAsia" w:ascii="宋体" w:hAnsi="宋体" w:cs="Microsoft Sans Serif"/>
          <w:kern w:val="0"/>
          <w:sz w:val="22"/>
          <w:szCs w:val="22"/>
        </w:rPr>
        <w:t>除通用合同条款约定外，发包人违约的其他情形：</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（1）因监理人未能按合同约定发出指示、指示延误或发出了错误指示而导致承包人费用增加和（或）工期延误的；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（2）发包人或监理人要求重新检查的，经检查证明工程质量符合合同要求的，并由此产生增加的费用和（或）延误的工期的；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（3）因发包人原因造成工程质量未达到合同约定标准的；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（4）由于发包人原因对承包人造成的人员人身伤亡和财产损失的；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（5）因发包人原因导致工程无法按期办理竣工验收或竣工结算的；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（6）发包人无正当理由未按约定退还履约担保、低价风险担保、预付款担保或质量保证金的；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（7）发包人不当提取履约担保、低价风险担保或质量保证金的；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（8）发包人未按合同约定接收全部或部分工作的；</w:t>
      </w:r>
    </w:p>
    <w:p>
      <w:pPr>
        <w:pStyle w:val="184"/>
        <w:spacing w:line="440" w:lineRule="exact"/>
        <w:ind w:firstLine="440"/>
        <w:rPr>
          <w:rFonts w:ascii="宋体" w:hAnsi="宋体"/>
          <w:sz w:val="22"/>
          <w:szCs w:val="22"/>
        </w:rPr>
      </w:pPr>
      <w:r>
        <w:rPr>
          <w:rFonts w:hint="eastAsia" w:ascii="宋体" w:hAnsi="宋体"/>
          <w:sz w:val="22"/>
          <w:szCs w:val="22"/>
        </w:rPr>
        <w:t>20.1.2发包人违约的责任</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（1）因监理人未能按合同约定发出指示、指示延误或发出了错误指示而导致承包人费用增加和（或）工期延误的，由发包人承担由此增加的费用和（或）顺延工期，并支付合理利润，具体索赔程序按约定执行。</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（2）因发包人原因导致工期延误的违约责任：由发包人承担由此增加的费用和（或）顺延工期，并支付合理利润，具体索赔程序按约定执行。</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（3）因发包人原因未能在计划开工日期前7天内下达开工通知的违约责任：由发包人承担由此增加的费用和（或）顺延工期，并支付合理利润，具体索赔程序按约定执行。</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（4）发包人或监理人要求重新检查的，经检查证明工程质量符合合同要求的，由发包人承担由此增加的费用和（或）顺延工期，并支付合理利润，具体索赔程序按约定执行。</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（5）因发包人原因未按合同约定支付合同价款的违约责任：发包人应向承包人支付违约金，自应当支付之日起28天后开始计算违约金，计算公式：</w:t>
      </w:r>
      <w:r>
        <w:rPr>
          <w:rFonts w:hint="eastAsia" w:ascii="宋体" w:hAnsi="宋体" w:cs="Microsoft Sans Serif"/>
          <w:kern w:val="0"/>
          <w:sz w:val="22"/>
          <w:szCs w:val="22"/>
          <w:u w:val="single"/>
        </w:rPr>
        <w:t>违约金=应付未付金额×当期央行五年期以上基准贷款利率/360天×逾期天数</w:t>
      </w:r>
      <w:r>
        <w:rPr>
          <w:rFonts w:hint="eastAsia" w:ascii="宋体" w:hAnsi="宋体"/>
          <w:sz w:val="22"/>
          <w:szCs w:val="22"/>
          <w:u w:val="single"/>
        </w:rPr>
        <w:t>（自第29天起计算）</w:t>
      </w:r>
      <w:r>
        <w:rPr>
          <w:rFonts w:hint="eastAsia" w:ascii="宋体" w:hAnsi="宋体" w:cs="Microsoft Sans Serif"/>
          <w:kern w:val="0"/>
          <w:sz w:val="22"/>
          <w:szCs w:val="22"/>
          <w:u w:val="single"/>
        </w:rPr>
        <w:t>；逾期天数超过56天的，超过部分天数按上述利率的两倍计算并支付违约金</w:t>
      </w:r>
      <w:r>
        <w:rPr>
          <w:rFonts w:hint="eastAsia" w:ascii="宋体" w:hAnsi="宋体" w:cs="Microsoft Sans Serif"/>
          <w:kern w:val="0"/>
          <w:sz w:val="22"/>
          <w:szCs w:val="22"/>
        </w:rPr>
        <w:t>。</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（6）发包人违反合同约定，自行实施或转由他人实施被取消的合同工作内容的违约责任：由发包人承担由此给承包人造成的实际损失并支付合理利润。</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7）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约定执行。</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（8）因发包人原因造成工程质量未达到合同约定标准的，由发包人承担由此增加的费用和（或）延误的工期，并支付合理利润。</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（9）因发包人违反合同约定造成暂停施工的违约责任：由发包人承担由此增加的费用和（或）顺延工期，并支付合理利润，具体索赔程序按约定执行。</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（10）发包人无正当理由没有在约定期限内发出复工指示，导致承包人无法复工的违约责任：由发包人承担由此增加的费用和（或）顺延工期，并支付合理利润，具体索赔程序按照约定执行。</w:t>
      </w:r>
    </w:p>
    <w:p>
      <w:pPr>
        <w:spacing w:line="440" w:lineRule="exact"/>
        <w:ind w:firstLine="440" w:firstLineChars="200"/>
        <w:jc w:val="left"/>
        <w:rPr>
          <w:rFonts w:ascii="宋体" w:hAnsi="宋体" w:cs="Microsoft Sans Serif"/>
          <w:kern w:val="0"/>
          <w:sz w:val="22"/>
          <w:szCs w:val="22"/>
          <w:u w:val="single"/>
        </w:rPr>
      </w:pPr>
      <w:r>
        <w:rPr>
          <w:rFonts w:hint="eastAsia" w:ascii="宋体" w:hAnsi="宋体" w:cs="Microsoft Sans Serif"/>
          <w:kern w:val="0"/>
          <w:sz w:val="22"/>
          <w:szCs w:val="22"/>
        </w:rPr>
        <w:t>（11）因发包人原因导致工程无法按期办理竣工验收或竣工结算的违约责任：由发包人承担由此增加的费用和（或）顺延工期，并支付合理利润，具体索赔程序按约定执行。</w:t>
      </w:r>
    </w:p>
    <w:p>
      <w:pPr>
        <w:spacing w:line="440" w:lineRule="exact"/>
        <w:ind w:firstLine="440" w:firstLineChars="200"/>
        <w:jc w:val="left"/>
        <w:rPr>
          <w:rFonts w:ascii="宋体" w:hAnsi="宋体" w:cs="Microsoft Sans Serif"/>
          <w:kern w:val="0"/>
          <w:sz w:val="22"/>
          <w:szCs w:val="22"/>
          <w:u w:val="single"/>
        </w:rPr>
      </w:pPr>
      <w:r>
        <w:rPr>
          <w:rFonts w:hint="eastAsia" w:ascii="宋体" w:hAnsi="宋体"/>
          <w:sz w:val="22"/>
          <w:szCs w:val="22"/>
        </w:rPr>
        <w:t>（12）</w:t>
      </w:r>
      <w:r>
        <w:rPr>
          <w:rFonts w:hint="eastAsia" w:ascii="宋体" w:hAnsi="宋体" w:cs="Microsoft Sans Serif"/>
          <w:kern w:val="0"/>
          <w:sz w:val="22"/>
          <w:szCs w:val="22"/>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 w:val="22"/>
          <w:szCs w:val="22"/>
          <w:u w:val="single"/>
        </w:rPr>
        <w:t>计算公式：违约金=应退未退担保金额×当期央行五年期以上基准贷款利率/360天×逾期天数</w:t>
      </w:r>
      <w:r>
        <w:rPr>
          <w:rFonts w:hint="eastAsia" w:ascii="宋体" w:hAnsi="宋体"/>
          <w:sz w:val="22"/>
          <w:szCs w:val="22"/>
          <w:u w:val="single"/>
        </w:rPr>
        <w:t>（自第29天起计算）</w:t>
      </w:r>
      <w:r>
        <w:rPr>
          <w:rFonts w:hint="eastAsia" w:ascii="宋体" w:hAnsi="宋体" w:cs="Microsoft Sans Serif"/>
          <w:kern w:val="0"/>
          <w:sz w:val="22"/>
          <w:szCs w:val="22"/>
        </w:rPr>
        <w:t>。</w:t>
      </w:r>
    </w:p>
    <w:p>
      <w:pPr>
        <w:pStyle w:val="2"/>
        <w:spacing w:line="440" w:lineRule="exact"/>
        <w:ind w:firstLine="440" w:firstLineChars="200"/>
        <w:rPr>
          <w:rFonts w:ascii="宋体" w:hAnsi="宋体" w:cs="Microsoft Sans Serif"/>
          <w:kern w:val="0"/>
          <w:sz w:val="22"/>
          <w:szCs w:val="22"/>
        </w:rPr>
      </w:pPr>
      <w:r>
        <w:rPr>
          <w:rFonts w:hint="eastAsia" w:ascii="宋体" w:hAnsi="宋体" w:cs="Microsoft Sans Serif"/>
          <w:kern w:val="0"/>
          <w:sz w:val="22"/>
          <w:szCs w:val="22"/>
        </w:rPr>
        <w:t>（13）</w:t>
      </w:r>
      <w:r>
        <w:rPr>
          <w:rFonts w:hint="eastAsia" w:ascii="宋体" w:hAnsi="宋体"/>
          <w:sz w:val="22"/>
          <w:szCs w:val="22"/>
        </w:rPr>
        <w:t>发包人不当提取履约担保、低价风险担保、预付款担保或质量保证金的，应及时予以退还，若不当提取超过28天的，应承担违约责任：发包人应向承包人支付违约金，</w:t>
      </w:r>
      <w:r>
        <w:rPr>
          <w:rFonts w:hint="eastAsia" w:ascii="宋体" w:hAnsi="宋体"/>
          <w:sz w:val="22"/>
          <w:szCs w:val="22"/>
          <w:u w:val="single"/>
        </w:rPr>
        <w:t>计算公式：违约金=不当提取的担保金额×当期央行五年期以上基准贷款利率/360天×逾期天数（自第29天起计算）</w:t>
      </w:r>
      <w:r>
        <w:rPr>
          <w:rFonts w:hint="eastAsia" w:ascii="宋体" w:hAnsi="宋体"/>
          <w:sz w:val="22"/>
          <w:szCs w:val="22"/>
        </w:rPr>
        <w:t>。</w:t>
      </w:r>
    </w:p>
    <w:p>
      <w:pPr>
        <w:pStyle w:val="2"/>
        <w:spacing w:line="440" w:lineRule="exact"/>
        <w:ind w:firstLine="440" w:firstLineChars="200"/>
        <w:rPr>
          <w:rFonts w:ascii="宋体" w:hAnsi="宋体"/>
          <w:sz w:val="22"/>
          <w:szCs w:val="22"/>
        </w:rPr>
      </w:pPr>
      <w:r>
        <w:rPr>
          <w:rFonts w:hint="eastAsia" w:ascii="宋体" w:hAnsi="宋体" w:cs="Microsoft Sans Serif"/>
          <w:kern w:val="0"/>
          <w:sz w:val="22"/>
          <w:szCs w:val="22"/>
        </w:rPr>
        <w:t>（14）发包人未按合同约定接收全部或部分工作的违约责任：由发包人承担自应当接收工程之日起的工程照管、成品保护、保管等与工程有关的各项费用。</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（15）由于发包人原因对承包人造成的人员人身伤亡和财产损失的，由发包人负责赔偿，并承担由此增加的费用和（或）延误的工期，并支付合理利润。</w:t>
      </w:r>
    </w:p>
    <w:p>
      <w:pPr>
        <w:spacing w:line="440" w:lineRule="exact"/>
        <w:ind w:firstLine="440" w:firstLineChars="200"/>
        <w:rPr>
          <w:rFonts w:ascii="宋体" w:hAnsi="宋体"/>
          <w:sz w:val="22"/>
          <w:szCs w:val="22"/>
        </w:rPr>
      </w:pPr>
      <w:r>
        <w:rPr>
          <w:rFonts w:hint="eastAsia" w:ascii="宋体" w:hAnsi="宋体"/>
          <w:sz w:val="22"/>
          <w:szCs w:val="22"/>
        </w:rPr>
        <w:t>20.1.3 因发包人违约解除合同</w:t>
      </w:r>
    </w:p>
    <w:p>
      <w:pPr>
        <w:autoSpaceDE w:val="0"/>
        <w:autoSpaceDN w:val="0"/>
        <w:adjustRightIn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因发包人违约并致使合同目的不能实现的，承包人有权解除合同：</w:t>
      </w:r>
    </w:p>
    <w:p>
      <w:pPr>
        <w:autoSpaceDE w:val="0"/>
        <w:autoSpaceDN w:val="0"/>
        <w:adjustRightIn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（1）因发包人原因延迟支付合同价款超过180天的；</w:t>
      </w:r>
    </w:p>
    <w:p>
      <w:pPr>
        <w:autoSpaceDE w:val="0"/>
        <w:autoSpaceDN w:val="0"/>
        <w:adjustRightIn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（2）因发包人原因导致工期延误超过90天的；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（3）因发包人第20.1.2（4）违约情形导致暂停施工满56天，且发包人仍未纠正其违约行为的；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（4）其他未履行合同项下的义务构成对合同的实质性违约，并且在收到承包人要求说明其违约并予以补救的通知后56天内仍未补救该实质性违约的。</w:t>
      </w:r>
    </w:p>
    <w:p>
      <w:pPr>
        <w:spacing w:line="440" w:lineRule="exact"/>
        <w:ind w:firstLine="440" w:firstLineChars="200"/>
        <w:rPr>
          <w:rFonts w:ascii="宋体" w:hAnsi="宋体"/>
          <w:sz w:val="22"/>
          <w:szCs w:val="22"/>
        </w:rPr>
      </w:pPr>
      <w:r>
        <w:rPr>
          <w:rFonts w:hint="eastAsia" w:ascii="宋体" w:hAnsi="宋体"/>
          <w:sz w:val="22"/>
          <w:szCs w:val="22"/>
        </w:rPr>
        <w:t>20.1.4 因发包人违约解除合同后的付款</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承包人按照本款约定解除合同的，发包人应在解除合同后28天内支付下列款项，并解除履约担保、低价风险担保、预付款担保：</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（1）合同解除前所完成工作的价款；</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（2）承包人为工程施工订购并已付款的材料、工程设备和其他物品的价款；</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（3）承包人撤离施工现场以及遣散承包人人员的款项；</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（4）按照合同约定在合同解除前应支付的违约金；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（5）按照合同约定应当支付给承包人的其他款项；</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（6）按照合同约定应退还的质量保证金；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（7）因解除合同给承包人造成的损失。</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合同当事人未能就解除合同后的结清达成一致的，按照第22条〔争议解决〕的约定处理。</w:t>
      </w:r>
    </w:p>
    <w:p>
      <w:pPr>
        <w:snapToGrid w:val="0"/>
        <w:spacing w:line="440" w:lineRule="exact"/>
        <w:ind w:firstLine="440" w:firstLineChars="200"/>
        <w:jc w:val="left"/>
        <w:rPr>
          <w:rFonts w:ascii="宋体" w:hAnsi="宋体" w:cs="Microsoft Sans Serif"/>
          <w:kern w:val="0"/>
          <w:sz w:val="22"/>
          <w:szCs w:val="22"/>
          <w:u w:val="single"/>
        </w:rPr>
      </w:pPr>
      <w:r>
        <w:rPr>
          <w:rFonts w:hint="eastAsia" w:ascii="宋体" w:hAnsi="宋体" w:cs="Microsoft Sans Serif"/>
          <w:kern w:val="0"/>
          <w:sz w:val="22"/>
          <w:szCs w:val="22"/>
        </w:rPr>
        <w:t>承包人应妥善做好已完工程和与工程有关的已购材料、工程设备的保护和移交工作，并将施工设备和人员撤出施工现场，发包人应为承包人撤出提供必要条件。</w:t>
      </w:r>
    </w:p>
    <w:p>
      <w:pPr>
        <w:pStyle w:val="7"/>
        <w:spacing w:before="0" w:after="0" w:line="440" w:lineRule="exact"/>
        <w:ind w:firstLine="442" w:firstLineChars="200"/>
        <w:rPr>
          <w:sz w:val="22"/>
          <w:szCs w:val="22"/>
        </w:rPr>
      </w:pPr>
      <w:bookmarkStart w:id="407" w:name="_Toc532377403"/>
      <w:r>
        <w:rPr>
          <w:rFonts w:hint="eastAsia"/>
          <w:sz w:val="22"/>
          <w:szCs w:val="22"/>
        </w:rPr>
        <w:t>20.2 承包人违约</w:t>
      </w:r>
      <w:bookmarkEnd w:id="407"/>
    </w:p>
    <w:p>
      <w:pPr>
        <w:snapToGrid w:val="0"/>
        <w:spacing w:line="440" w:lineRule="exact"/>
        <w:ind w:firstLine="440" w:firstLineChars="200"/>
        <w:jc w:val="left"/>
        <w:rPr>
          <w:rFonts w:ascii="宋体" w:hAnsi="宋体" w:cs="Microsoft Sans Serif"/>
          <w:kern w:val="0"/>
          <w:sz w:val="22"/>
          <w:szCs w:val="22"/>
        </w:rPr>
      </w:pPr>
      <w:bookmarkStart w:id="408" w:name="_Hlk524380579"/>
      <w:r>
        <w:rPr>
          <w:rFonts w:hint="eastAsia" w:ascii="宋体" w:hAnsi="宋体" w:cs="Microsoft Sans Serif"/>
          <w:kern w:val="0"/>
          <w:sz w:val="22"/>
          <w:szCs w:val="22"/>
        </w:rPr>
        <w:t>20.2.1 承包人违约的情形</w:t>
      </w:r>
    </w:p>
    <w:p>
      <w:pPr>
        <w:snapToGrid w:val="0"/>
        <w:spacing w:line="440" w:lineRule="exact"/>
        <w:ind w:firstLine="440" w:firstLineChars="200"/>
        <w:jc w:val="left"/>
        <w:rPr>
          <w:rFonts w:ascii="宋体" w:hAnsi="宋体" w:cs="Microsoft Sans Serif"/>
          <w:kern w:val="0"/>
          <w:sz w:val="22"/>
          <w:szCs w:val="22"/>
          <w:u w:val="single"/>
        </w:rPr>
      </w:pPr>
      <w:r>
        <w:rPr>
          <w:rFonts w:hint="eastAsia" w:ascii="宋体" w:hAnsi="宋体" w:cs="Microsoft Sans Serif"/>
          <w:kern w:val="0"/>
          <w:sz w:val="22"/>
          <w:szCs w:val="22"/>
        </w:rPr>
        <w:t>除通用合同条款约定外，承包人违约的其他情形：</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（1）承包人未按合同约定提交履约担保或质量保证金的；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（2）承包人未能按期开工的；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（3）承包人未按投标文件或监理人的要求及时配备称职的主要管理人员，或承包人未按经审定的施工组织设计配备或更换关键施工设备的；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（4）承包人有安全问题或有违反安全管理规章制度情况的；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（5）承包人在缺陷责任期及保修期内，未能在合理期限对工程缺陷进行修复，或拒绝按发包人要求进行修复的；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（6）承包人拖欠其工人或所雇人员工资或报酬，导致其工人或所雇人员向有关部门投诉、控告、检举或以聚集等方式讨要工资或报酬的；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（7）承包人不配合发包人、监理人及发包人委托的工程造价咨询服务单位结算审核或承包人其他原因导致未按期完成工程竣工结算的；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（8）承包人违反合同约定进行转包或违法分包的；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（9）承包人未按合同约定移交全部或部分工作的；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（10）承包人未按合同约定购买保险的；</w:t>
      </w:r>
    </w:p>
    <w:p>
      <w:pPr>
        <w:snapToGrid w:val="0"/>
        <w:spacing w:line="440" w:lineRule="exact"/>
        <w:ind w:firstLine="440" w:firstLineChars="200"/>
        <w:jc w:val="left"/>
        <w:rPr>
          <w:rFonts w:ascii="宋体" w:hAnsi="宋体"/>
          <w:sz w:val="22"/>
          <w:szCs w:val="22"/>
        </w:rPr>
      </w:pPr>
      <w:r>
        <w:rPr>
          <w:rFonts w:hint="eastAsia" w:ascii="宋体" w:hAnsi="宋体" w:cs="Microsoft Sans Serif"/>
          <w:kern w:val="0"/>
          <w:sz w:val="22"/>
          <w:szCs w:val="22"/>
        </w:rPr>
        <w:t>（11）项目经理若有以下情形，属于承包人违约：</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1）项目经理不按承诺到岗的；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2）每月在施工现场的天数少于约定天数的；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3）承包人未提交项目经理劳动合同和社会保险证明的；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4）未经批准，擅自离开施工现场（超过约定时间）的；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5）未经批准，擅自变更项目经理的；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6）按照渝建发〔2015〕35号文的要求，施工期间，项目经理因在一个记分周期内累计记分达到12分，被建设行政主管部门依法责令停止执业的；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7）发包人有正当理由认为项目经理不称职/不履职，且承包人在约定时间内不予更换的；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8）其他双方约定的情形。</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（12）技术负责人若有以下情形，属于承包人违约：</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1）每月在施工现场的天数少于约定天数的；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2）承包人未提交项目经理劳动合同和社会保险证明的；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3）未经批准，擅自离开施工现场（超过约定时间）的；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4）未经批准，擅自变更技术负责人的；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5）发包人有正当理由认为技术负责人不称职/不履职，且承包人在约定时间内不予更换的；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6）其他双方约定的情形。</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（13）主要施工管理人员若有以下情形，属于承包人违约：</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1）承包人未提交项目经理劳动合同和社会保险证明的；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2）未经批准，擅自离开施工现场（超过约定时间）的；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3）未经批准，擅自变更主要施工管理人员的；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4）发包人有正当理由认为主要施工管理人员不称职/不履职，且承包人在约定时间内不予更换的；</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5）其他双方约定的情形。</w:t>
      </w:r>
    </w:p>
    <w:bookmarkEnd w:id="408"/>
    <w:p>
      <w:pPr>
        <w:adjustRightInd w:val="0"/>
        <w:snapToGrid w:val="0"/>
        <w:spacing w:line="440" w:lineRule="exact"/>
        <w:ind w:firstLine="440" w:firstLineChars="200"/>
        <w:rPr>
          <w:rFonts w:ascii="宋体" w:hAnsi="宋体" w:cs="Microsoft Sans Serif"/>
          <w:kern w:val="0"/>
          <w:sz w:val="22"/>
          <w:szCs w:val="22"/>
        </w:rPr>
      </w:pPr>
      <w:r>
        <w:rPr>
          <w:rFonts w:hint="eastAsia" w:ascii="宋体" w:hAnsi="宋体" w:cs="Microsoft Sans Serif"/>
          <w:kern w:val="0"/>
          <w:sz w:val="22"/>
          <w:szCs w:val="22"/>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440" w:lineRule="exact"/>
        <w:ind w:firstLine="440" w:firstLineChars="200"/>
        <w:rPr>
          <w:rFonts w:ascii="宋体" w:hAnsi="宋体" w:cs="Microsoft Sans Serif"/>
          <w:kern w:val="0"/>
          <w:sz w:val="22"/>
          <w:szCs w:val="22"/>
        </w:rPr>
      </w:pPr>
      <w:r>
        <w:rPr>
          <w:rFonts w:hint="eastAsia" w:ascii="宋体" w:hAnsi="宋体" w:cs="Microsoft Sans Serif"/>
          <w:kern w:val="0"/>
          <w:sz w:val="22"/>
          <w:szCs w:val="22"/>
        </w:rPr>
        <w:t>20.2.2 承包人违约的责任</w:t>
      </w:r>
    </w:p>
    <w:p>
      <w:pPr>
        <w:adjustRightInd w:val="0"/>
        <w:snapToGrid w:val="0"/>
        <w:spacing w:line="440" w:lineRule="exact"/>
        <w:ind w:firstLine="440" w:firstLineChars="200"/>
        <w:rPr>
          <w:rFonts w:ascii="宋体" w:hAnsi="宋体" w:cs="Microsoft Sans Serif"/>
          <w:kern w:val="0"/>
          <w:sz w:val="22"/>
          <w:szCs w:val="22"/>
        </w:rPr>
      </w:pPr>
      <w:r>
        <w:rPr>
          <w:rFonts w:hint="eastAsia" w:ascii="宋体" w:hAnsi="宋体" w:cs="Microsoft Sans Serif"/>
          <w:kern w:val="0"/>
          <w:sz w:val="22"/>
          <w:szCs w:val="22"/>
        </w:rPr>
        <w:t>承包人违约责任的承担方式和计算方法：</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（1）承包人未按合同约定提交履约担保、质量保证金的违约责任：承包人应支付违约金，</w:t>
      </w:r>
      <w:r>
        <w:rPr>
          <w:rFonts w:hint="eastAsia" w:ascii="宋体" w:hAnsi="宋体" w:cs="Microsoft Sans Serif"/>
          <w:sz w:val="22"/>
          <w:szCs w:val="22"/>
        </w:rPr>
        <w:t>违约金的计算方法：</w:t>
      </w:r>
      <w:r>
        <w:rPr>
          <w:rFonts w:hint="eastAsia" w:ascii="宋体" w:hAnsi="宋体" w:cs="Microsoft Sans Serif"/>
          <w:kern w:val="0"/>
          <w:sz w:val="22"/>
          <w:szCs w:val="22"/>
        </w:rPr>
        <w:t>每延误1天，承包人按1</w:t>
      </w:r>
      <w:r>
        <w:rPr>
          <w:rFonts w:hint="eastAsia" w:ascii="宋体" w:hAnsi="宋体" w:cs="Microsoft Sans Serif"/>
          <w:kern w:val="0"/>
          <w:sz w:val="22"/>
          <w:szCs w:val="22"/>
          <w:u w:val="single"/>
        </w:rPr>
        <w:t>0000元/天</w:t>
      </w:r>
      <w:r>
        <w:rPr>
          <w:rFonts w:hint="eastAsia" w:ascii="宋体" w:hAnsi="宋体" w:cs="Microsoft Sans Serif"/>
          <w:kern w:val="0"/>
          <w:sz w:val="22"/>
          <w:szCs w:val="22"/>
        </w:rPr>
        <w:t>计算违约金，累计违约金上限：</w:t>
      </w:r>
      <w:r>
        <w:rPr>
          <w:rFonts w:hint="eastAsia" w:ascii="宋体" w:hAnsi="宋体" w:cs="Microsoft Sans Serif"/>
          <w:kern w:val="0"/>
          <w:sz w:val="22"/>
          <w:szCs w:val="22"/>
          <w:u w:val="single"/>
        </w:rPr>
        <w:t>不超过签约合同价的3%</w:t>
      </w:r>
      <w:r>
        <w:rPr>
          <w:rFonts w:hint="eastAsia" w:ascii="宋体" w:hAnsi="宋体" w:cs="Microsoft Sans Serif"/>
          <w:kern w:val="0"/>
          <w:sz w:val="22"/>
          <w:szCs w:val="22"/>
          <w:lang w:val="zh-CN"/>
        </w:rPr>
        <w:t>。</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 w:val="22"/>
          <w:szCs w:val="22"/>
          <w:u w:val="single"/>
        </w:rPr>
        <w:t>10%</w:t>
      </w:r>
      <w:r>
        <w:rPr>
          <w:rFonts w:hint="eastAsia" w:ascii="宋体" w:hAnsi="宋体" w:cs="Microsoft Sans Serif"/>
          <w:kern w:val="0"/>
          <w:sz w:val="22"/>
          <w:szCs w:val="22"/>
        </w:rPr>
        <w:t>支付违约金，违法转/分包商应在7天内撤离出场。</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 w:val="22"/>
          <w:szCs w:val="22"/>
          <w:u w:val="single"/>
        </w:rPr>
        <w:t>10%</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 w:val="22"/>
          <w:szCs w:val="22"/>
          <w:u w:val="single"/>
        </w:rPr>
        <w:t>10%</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 w:val="22"/>
          <w:szCs w:val="22"/>
          <w:u w:val="single"/>
        </w:rPr>
        <w:t xml:space="preserve"> 5%</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（6）因承包人原因造成工期延误的违约承担方式和计算方法：由承包人承担由此增加的费用，</w:t>
      </w:r>
      <w:r>
        <w:rPr>
          <w:rFonts w:hint="eastAsia" w:ascii="宋体" w:hAnsi="宋体" w:cs="Microsoft Sans Serif"/>
          <w:sz w:val="22"/>
          <w:szCs w:val="22"/>
        </w:rPr>
        <w:t>由此导致工期延误的，工期不予顺延；逾期竣工违约金的计算方法：</w:t>
      </w:r>
      <w:r>
        <w:rPr>
          <w:rFonts w:hint="eastAsia" w:ascii="宋体" w:hAnsi="宋体" w:cs="Microsoft Sans Serif"/>
          <w:b/>
          <w:kern w:val="0"/>
          <w:sz w:val="22"/>
          <w:szCs w:val="22"/>
        </w:rPr>
        <w:t>每延误1天，承包人按</w:t>
      </w:r>
      <w:r>
        <w:rPr>
          <w:rFonts w:hint="eastAsia" w:ascii="宋体" w:hAnsi="宋体" w:cs="Microsoft Sans Serif"/>
          <w:b/>
          <w:kern w:val="0"/>
          <w:sz w:val="22"/>
          <w:szCs w:val="22"/>
          <w:u w:val="single"/>
        </w:rPr>
        <w:t>20000元/天</w:t>
      </w:r>
      <w:r>
        <w:rPr>
          <w:rFonts w:hint="eastAsia" w:ascii="宋体" w:hAnsi="宋体" w:cs="Microsoft Sans Serif"/>
          <w:b/>
          <w:kern w:val="0"/>
          <w:sz w:val="22"/>
          <w:szCs w:val="22"/>
        </w:rPr>
        <w:t>计算逾期竣工违约金</w:t>
      </w:r>
      <w:r>
        <w:rPr>
          <w:rFonts w:hint="eastAsia" w:ascii="宋体" w:hAnsi="宋体" w:cs="Microsoft Sans Serif"/>
          <w:kern w:val="0"/>
          <w:sz w:val="22"/>
          <w:szCs w:val="22"/>
        </w:rPr>
        <w:t>，累计违约金上限：</w:t>
      </w:r>
      <w:r>
        <w:rPr>
          <w:rFonts w:hint="eastAsia" w:ascii="宋体" w:hAnsi="宋体" w:cs="Microsoft Sans Serif"/>
          <w:kern w:val="0"/>
          <w:sz w:val="22"/>
          <w:szCs w:val="22"/>
          <w:u w:val="single"/>
        </w:rPr>
        <w:t>不超过签约合同价</w:t>
      </w:r>
      <w:r>
        <w:rPr>
          <w:rFonts w:hint="eastAsia" w:ascii="宋体" w:hAnsi="宋体" w:cs="Microsoft Sans Serif"/>
          <w:kern w:val="0"/>
          <w:sz w:val="22"/>
          <w:szCs w:val="22"/>
          <w:lang w:val="zh-CN"/>
        </w:rPr>
        <w:t>；</w:t>
      </w:r>
      <w:r>
        <w:rPr>
          <w:rFonts w:hint="eastAsia" w:ascii="宋体" w:hAnsi="宋体" w:cs="Microsoft Sans Serif"/>
          <w:kern w:val="0"/>
          <w:sz w:val="22"/>
          <w:szCs w:val="22"/>
        </w:rPr>
        <w:t>承包人支付逾期竣工违约金后，不免除承包人继续完成工程及修补缺陷的义务。</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 w:val="22"/>
          <w:szCs w:val="22"/>
          <w:u w:val="single"/>
        </w:rPr>
        <w:t>2%</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（8）承包人明确表示或者以其行为表明不履行合同主要义务的违约责任：按签约合同价的</w:t>
      </w:r>
      <w:r>
        <w:rPr>
          <w:rFonts w:hint="eastAsia" w:ascii="宋体" w:hAnsi="宋体" w:cs="Microsoft Sans Serif"/>
          <w:kern w:val="0"/>
          <w:sz w:val="22"/>
          <w:szCs w:val="22"/>
          <w:u w:val="single"/>
        </w:rPr>
        <w:t>10%</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（9）承包人未能按照合同约定履行其他义务的违约责任：按</w:t>
      </w:r>
      <w:r>
        <w:rPr>
          <w:rFonts w:hint="eastAsia" w:ascii="宋体" w:hAnsi="宋体" w:cs="Microsoft Sans Serif"/>
          <w:kern w:val="0"/>
          <w:sz w:val="22"/>
          <w:szCs w:val="22"/>
          <w:u w:val="single"/>
        </w:rPr>
        <w:t>5000元/次</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（10）承包人未能按期开工的违约责任：按合同价</w:t>
      </w:r>
      <w:r>
        <w:rPr>
          <w:rFonts w:hint="eastAsia" w:ascii="宋体" w:hAnsi="宋体" w:cs="Microsoft Sans Serif"/>
          <w:kern w:val="0"/>
          <w:sz w:val="22"/>
          <w:szCs w:val="22"/>
          <w:u w:val="single"/>
        </w:rPr>
        <w:t>0.2‰/天</w:t>
      </w:r>
      <w:r>
        <w:rPr>
          <w:rFonts w:hint="eastAsia" w:ascii="宋体" w:hAnsi="宋体" w:cs="Microsoft Sans Serif"/>
          <w:kern w:val="0"/>
          <w:sz w:val="22"/>
          <w:szCs w:val="22"/>
        </w:rPr>
        <w:t>支付违约金，本项违约金累计限额为签约合同价的</w:t>
      </w:r>
      <w:r>
        <w:rPr>
          <w:rFonts w:hint="eastAsia" w:ascii="宋体" w:hAnsi="宋体" w:cs="Microsoft Sans Serif"/>
          <w:kern w:val="0"/>
          <w:sz w:val="22"/>
          <w:szCs w:val="22"/>
          <w:u w:val="single"/>
        </w:rPr>
        <w:t xml:space="preserve"> 1 %</w:t>
      </w:r>
      <w:r>
        <w:rPr>
          <w:rFonts w:hint="eastAsia" w:ascii="宋体" w:hAnsi="宋体" w:cs="Microsoft Sans Serif"/>
          <w:kern w:val="0"/>
          <w:sz w:val="22"/>
          <w:szCs w:val="22"/>
        </w:rPr>
        <w:t>。</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（11）承包人未按经审定的施工组织设计配备或更换关键施工设备的违约责任：按</w:t>
      </w:r>
      <w:r>
        <w:rPr>
          <w:rFonts w:hint="eastAsia" w:ascii="宋体" w:hAnsi="宋体" w:cs="Microsoft Sans Serif"/>
          <w:kern w:val="0"/>
          <w:sz w:val="22"/>
          <w:szCs w:val="22"/>
          <w:u w:val="single"/>
        </w:rPr>
        <w:t>50000元/台·次</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（12）承包人有安全问题或有违反安全管理规章制度情况的违约责任：根据具体情节，按签约合同价的</w:t>
      </w:r>
      <w:r>
        <w:rPr>
          <w:rFonts w:hint="eastAsia" w:ascii="宋体" w:hAnsi="宋体" w:cs="Microsoft Sans Serif"/>
          <w:kern w:val="0"/>
          <w:sz w:val="22"/>
          <w:szCs w:val="22"/>
          <w:u w:val="single"/>
        </w:rPr>
        <w:t>4‰/次</w:t>
      </w:r>
      <w:r>
        <w:rPr>
          <w:rFonts w:hint="eastAsia" w:ascii="宋体" w:hAnsi="宋体" w:cs="Microsoft Sans Serif"/>
          <w:kern w:val="0"/>
          <w:sz w:val="22"/>
          <w:szCs w:val="22"/>
        </w:rPr>
        <w:t>支付违约金（累计不超过签约合同价的1%，详见附件9安全管理协议）。</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 w:val="22"/>
          <w:szCs w:val="22"/>
          <w:u w:val="single"/>
        </w:rPr>
        <w:t>10000元/次</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（14）承包人不配合发包人、监理人及发包人委托的工程造价咨询服务单位结算审核的违约责任：根据具体情节，按</w:t>
      </w:r>
      <w:r>
        <w:rPr>
          <w:rFonts w:hint="eastAsia" w:ascii="宋体" w:hAnsi="宋体" w:cs="Microsoft Sans Serif"/>
          <w:kern w:val="0"/>
          <w:sz w:val="22"/>
          <w:szCs w:val="22"/>
          <w:u w:val="single"/>
        </w:rPr>
        <w:t>10000元/次</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 w:val="22"/>
          <w:szCs w:val="22"/>
          <w:u w:val="single"/>
        </w:rPr>
        <w:t>1‰</w:t>
      </w:r>
      <w:r>
        <w:rPr>
          <w:rFonts w:hint="eastAsia" w:ascii="宋体" w:hAnsi="宋体" w:cs="Microsoft Sans Serif"/>
          <w:kern w:val="0"/>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sz w:val="22"/>
          <w:szCs w:val="22"/>
        </w:rPr>
        <w:t>（16）承包人未按合同约定购买保险的违约责任：每延迟1天，按</w:t>
      </w:r>
      <w:r>
        <w:rPr>
          <w:rFonts w:hint="eastAsia" w:ascii="宋体" w:hAnsi="宋体" w:cs="Microsoft Sans Serif"/>
          <w:sz w:val="22"/>
          <w:szCs w:val="22"/>
          <w:u w:val="single"/>
        </w:rPr>
        <w:t>500元/天</w:t>
      </w:r>
      <w:r>
        <w:rPr>
          <w:rFonts w:hint="eastAsia" w:ascii="宋体" w:hAnsi="宋体" w:cs="Microsoft Sans Serif"/>
          <w:sz w:val="22"/>
          <w:szCs w:val="22"/>
        </w:rPr>
        <w:t>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（17）发生第20.2.1项（11）目、20.2.1项（12）目、20.2.1项（13）目违约情形的违约责任：除承担由此增加的费用和工期延误的责任，承包人应向发包人支付违约金：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1）项目经理违约承担方式和计算方法：对于第20.2.1项（11）目的情形，每发现一次，根据具体情节，按</w:t>
      </w:r>
      <w:r>
        <w:rPr>
          <w:rFonts w:hint="eastAsia" w:ascii="宋体" w:hAnsi="宋体" w:cs="Microsoft Sans Serif"/>
          <w:kern w:val="0"/>
          <w:sz w:val="22"/>
          <w:szCs w:val="22"/>
          <w:u w:val="single"/>
        </w:rPr>
        <w:t>5000元/天·次</w:t>
      </w:r>
      <w:r>
        <w:rPr>
          <w:rFonts w:hint="eastAsia" w:ascii="宋体" w:hAnsi="宋体" w:cs="Microsoft Sans Serif"/>
          <w:kern w:val="0"/>
          <w:sz w:val="22"/>
          <w:szCs w:val="22"/>
        </w:rPr>
        <w:t>计算违约金；项目经理不按承诺到岗的，按履约保证金的</w:t>
      </w:r>
      <w:r>
        <w:rPr>
          <w:rFonts w:hint="eastAsia" w:ascii="宋体" w:hAnsi="宋体" w:cs="Microsoft Sans Serif"/>
          <w:kern w:val="0"/>
          <w:sz w:val="22"/>
          <w:szCs w:val="22"/>
          <w:u w:val="single"/>
        </w:rPr>
        <w:t>100%</w:t>
      </w:r>
      <w:r>
        <w:rPr>
          <w:rFonts w:hint="eastAsia" w:ascii="宋体" w:hAnsi="宋体" w:cs="Microsoft Sans Serif"/>
          <w:kern w:val="0"/>
          <w:sz w:val="22"/>
          <w:szCs w:val="22"/>
        </w:rPr>
        <w:t>支付违约金，并解除合同；擅自更换项目经理的，按签约合同价的</w:t>
      </w:r>
      <w:r>
        <w:rPr>
          <w:rFonts w:hint="eastAsia" w:ascii="宋体" w:hAnsi="宋体" w:cs="Microsoft Sans Serif"/>
          <w:kern w:val="0"/>
          <w:sz w:val="22"/>
          <w:szCs w:val="22"/>
          <w:u w:val="single"/>
        </w:rPr>
        <w:t>3%/人·次</w:t>
      </w:r>
      <w:r>
        <w:rPr>
          <w:rFonts w:hint="eastAsia" w:ascii="宋体" w:hAnsi="宋体" w:cs="Microsoft Sans Serif"/>
          <w:kern w:val="0"/>
          <w:sz w:val="22"/>
          <w:szCs w:val="22"/>
        </w:rPr>
        <w:t>支付违约金，每次不低于</w:t>
      </w:r>
      <w:r>
        <w:rPr>
          <w:rFonts w:hint="eastAsia" w:ascii="宋体" w:hAnsi="宋体" w:cs="Microsoft Sans Serif"/>
          <w:kern w:val="0"/>
          <w:sz w:val="22"/>
          <w:szCs w:val="22"/>
          <w:u w:val="single"/>
        </w:rPr>
        <w:t>10万</w:t>
      </w:r>
      <w:r>
        <w:rPr>
          <w:rFonts w:hint="eastAsia" w:ascii="宋体" w:hAnsi="宋体" w:cs="Microsoft Sans Serif"/>
          <w:kern w:val="0"/>
          <w:sz w:val="22"/>
          <w:szCs w:val="22"/>
        </w:rPr>
        <w:t>；项目经理被责令停止执业的，按签约合同价的</w:t>
      </w:r>
      <w:r>
        <w:rPr>
          <w:rFonts w:hint="eastAsia" w:ascii="宋体" w:hAnsi="宋体" w:cs="Microsoft Sans Serif"/>
          <w:kern w:val="0"/>
          <w:sz w:val="22"/>
          <w:szCs w:val="22"/>
          <w:u w:val="single"/>
        </w:rPr>
        <w:t>3%/人·次</w:t>
      </w:r>
      <w:r>
        <w:rPr>
          <w:rFonts w:hint="eastAsia" w:ascii="宋体" w:hAnsi="宋体" w:cs="Microsoft Sans Serif"/>
          <w:kern w:val="0"/>
          <w:sz w:val="22"/>
          <w:szCs w:val="22"/>
        </w:rPr>
        <w:t>支付违约金，每次不低于</w:t>
      </w:r>
      <w:r>
        <w:rPr>
          <w:rFonts w:hint="eastAsia" w:ascii="宋体" w:hAnsi="宋体" w:cs="Microsoft Sans Serif"/>
          <w:kern w:val="0"/>
          <w:sz w:val="22"/>
          <w:szCs w:val="22"/>
          <w:u w:val="single"/>
        </w:rPr>
        <w:t>10万</w:t>
      </w:r>
      <w:r>
        <w:rPr>
          <w:rFonts w:hint="eastAsia" w:ascii="宋体" w:hAnsi="宋体" w:cs="Microsoft Sans Serif"/>
          <w:kern w:val="0"/>
          <w:sz w:val="22"/>
          <w:szCs w:val="22"/>
        </w:rPr>
        <w:t>。</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2）主要技术负责人违约承担方式和计算方法：对于第16.2.1项（12）目的六种情形，每发现一次，根据具体情节，按</w:t>
      </w:r>
      <w:r>
        <w:rPr>
          <w:rFonts w:hint="eastAsia" w:ascii="宋体" w:hAnsi="宋体" w:cs="Microsoft Sans Serif"/>
          <w:kern w:val="0"/>
          <w:sz w:val="22"/>
          <w:szCs w:val="22"/>
          <w:u w:val="single"/>
        </w:rPr>
        <w:t>5000元/天·次</w:t>
      </w:r>
      <w:r>
        <w:rPr>
          <w:rFonts w:hint="eastAsia" w:ascii="宋体" w:hAnsi="宋体" w:cs="Microsoft Sans Serif"/>
          <w:kern w:val="0"/>
          <w:sz w:val="22"/>
          <w:szCs w:val="22"/>
        </w:rPr>
        <w:t>计算违约金；擅自更换主要技术负责人的，按签约合同价的</w:t>
      </w:r>
      <w:r>
        <w:rPr>
          <w:rFonts w:hint="eastAsia" w:ascii="宋体" w:hAnsi="宋体" w:cs="Microsoft Sans Serif"/>
          <w:kern w:val="0"/>
          <w:sz w:val="22"/>
          <w:szCs w:val="22"/>
          <w:u w:val="single"/>
        </w:rPr>
        <w:t>2%/人·次</w:t>
      </w:r>
      <w:r>
        <w:rPr>
          <w:rFonts w:hint="eastAsia" w:ascii="宋体" w:hAnsi="宋体" w:cs="Microsoft Sans Serif"/>
          <w:kern w:val="0"/>
          <w:sz w:val="22"/>
          <w:szCs w:val="22"/>
        </w:rPr>
        <w:t>支付违约金，每次不低于</w:t>
      </w:r>
      <w:r>
        <w:rPr>
          <w:rFonts w:hint="eastAsia" w:ascii="宋体" w:hAnsi="宋体" w:cs="Microsoft Sans Serif"/>
          <w:kern w:val="0"/>
          <w:sz w:val="22"/>
          <w:szCs w:val="22"/>
          <w:u w:val="single"/>
        </w:rPr>
        <w:t>5万</w:t>
      </w:r>
      <w:r>
        <w:rPr>
          <w:rFonts w:hint="eastAsia" w:ascii="宋体" w:hAnsi="宋体" w:cs="Microsoft Sans Serif"/>
          <w:kern w:val="0"/>
          <w:sz w:val="22"/>
          <w:szCs w:val="22"/>
        </w:rPr>
        <w:t>。</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（18）合同另有约定的，按照其约定。</w:t>
      </w:r>
      <w:bookmarkStart w:id="409" w:name="_Hlk524380347"/>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sz w:val="22"/>
          <w:szCs w:val="22"/>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 w:val="22"/>
          <w:szCs w:val="22"/>
        </w:rPr>
        <w:t>20.2.2项第（1）目承担违约责任</w:t>
      </w:r>
      <w:r>
        <w:rPr>
          <w:rFonts w:hint="eastAsia" w:ascii="宋体" w:hAnsi="宋体" w:cs="Microsoft Sans Serif"/>
          <w:sz w:val="22"/>
          <w:szCs w:val="22"/>
        </w:rPr>
        <w:t>，并从应付或到期应付给承包人的任何款项中或采用其他方法，扣除该违约金。</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sz w:val="22"/>
          <w:szCs w:val="22"/>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 w:val="22"/>
          <w:szCs w:val="22"/>
        </w:rPr>
        <w:t>，承担由此给</w:t>
      </w:r>
      <w:r>
        <w:rPr>
          <w:rFonts w:hint="eastAsia" w:ascii="宋体" w:hAnsi="宋体" w:cs="Microsoft Sans Serif"/>
          <w:sz w:val="22"/>
          <w:szCs w:val="22"/>
        </w:rPr>
        <w:t>发包人造成的经济损失。</w:t>
      </w:r>
    </w:p>
    <w:p>
      <w:pPr>
        <w:snapToGrid w:val="0"/>
        <w:spacing w:line="440" w:lineRule="exact"/>
        <w:ind w:firstLine="440" w:firstLineChars="200"/>
        <w:jc w:val="left"/>
        <w:rPr>
          <w:rFonts w:ascii="宋体" w:hAnsi="宋体" w:cs="Microsoft Sans Serif"/>
          <w:kern w:val="0"/>
          <w:sz w:val="22"/>
          <w:szCs w:val="22"/>
        </w:rPr>
      </w:pPr>
      <w:r>
        <w:rPr>
          <w:rFonts w:hint="eastAsia" w:ascii="宋体" w:hAnsi="宋体" w:cs="Microsoft Sans Serif"/>
          <w:sz w:val="22"/>
          <w:szCs w:val="22"/>
        </w:rPr>
        <w:t>承包人承担承包范围的工程质量、安全、环保责任，因承包人原因引起的质量、安全、环保等事故由承包人承担相应的法律后果。</w:t>
      </w:r>
    </w:p>
    <w:bookmarkEnd w:id="409"/>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20.2.3 因承包人违约解除合同</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因承包人违约并致使合同目的不能实现的，发包人有权解除合同：</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（1）未按合同约定延迟提供履约担保、质量保证金超过14天的；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（2）未按合同约定购买保险且经催告后超过56天的；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（3）因承包人原因导致开工时间累计延误超过56天的；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（4）因承包人原因导致工期延误超过90天的；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（5）发生〔退出机制〕约定的情形的；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（6）监理人发出整改通知后，承包人在监理人限定的期限内仍不纠正违约行为的；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（7）承包人进入清算或者严重资不抵债且无法履行合同的；</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（8）违反适用法律而被相关政府部门依法吊销营业执照、责令停业、清算或宣布破产、责令关闭的；</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（9）承包人未履行合同项下的义务构成对合同的实质性违约，并且在收到发包人要求说明其违约并予以补救的通知后56天内仍未能补救该实质性违约的；</w:t>
      </w:r>
    </w:p>
    <w:p>
      <w:pPr>
        <w:pStyle w:val="184"/>
        <w:spacing w:line="440" w:lineRule="exact"/>
        <w:ind w:firstLine="440"/>
        <w:jc w:val="left"/>
        <w:rPr>
          <w:rFonts w:ascii="宋体" w:hAnsi="宋体" w:cs="Microsoft Sans Serif"/>
          <w:kern w:val="0"/>
          <w:sz w:val="22"/>
          <w:szCs w:val="22"/>
        </w:rPr>
      </w:pPr>
      <w:r>
        <w:rPr>
          <w:rFonts w:hint="eastAsia" w:ascii="宋体" w:hAnsi="宋体" w:cs="Microsoft Sans Serif"/>
          <w:kern w:val="0"/>
          <w:sz w:val="22"/>
          <w:szCs w:val="22"/>
        </w:rPr>
        <w:t>（10）合同约定其他情况的，发包人有权解除合同的。</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20.2.4因承包人违约解除合同后的处理</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因承包人违约导致合同解除的，合同当事人应在合同解除后56天内完成估价、付款和清算，并按以下约定执行：</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（1）合同解除后，按约定的结算审定方式确定承包人实际完成工作对应的合同价款，以及承包人已提供的材料、工程设备、施工设备和临时工程等的价值；</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（2）合同解除后，承包人应支付违约金；</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（3）合同解除后，赔偿因解除合同给发包人造成的损失；</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（4）合同解除后，承包人应按照发包人要求和监理人的指示完成现场的清理和撤离。</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因承包人违约解除合同的，发包人有权暂停对承包人的付款，查清各项付款和已扣款项。发包人和承包人未能就合同解除后的清算和款项支付达成一致的，按照第20条〔争议解决〕的约定处理。</w:t>
      </w:r>
    </w:p>
    <w:p>
      <w:pPr>
        <w:spacing w:line="440" w:lineRule="exact"/>
        <w:ind w:firstLine="440" w:firstLineChars="200"/>
        <w:jc w:val="left"/>
        <w:rPr>
          <w:rFonts w:ascii="宋体" w:hAnsi="宋体" w:cs="Microsoft Sans Serif"/>
          <w:kern w:val="0"/>
          <w:sz w:val="22"/>
          <w:szCs w:val="22"/>
        </w:rPr>
      </w:pPr>
      <w:r>
        <w:rPr>
          <w:rFonts w:hint="eastAsia" w:ascii="宋体" w:hAnsi="宋体" w:cs="Microsoft Sans Serif"/>
          <w:kern w:val="0"/>
          <w:sz w:val="22"/>
          <w:szCs w:val="22"/>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spacing w:line="360" w:lineRule="auto"/>
        <w:rPr>
          <w:rFonts w:asciiTheme="majorEastAsia" w:hAnsiTheme="majorEastAsia" w:eastAsiaTheme="majorEastAsia"/>
          <w:b/>
          <w:sz w:val="22"/>
          <w:szCs w:val="22"/>
        </w:rPr>
      </w:pPr>
      <w:r>
        <w:rPr>
          <w:rFonts w:hint="eastAsia" w:asciiTheme="majorEastAsia" w:hAnsiTheme="majorEastAsia" w:eastAsiaTheme="majorEastAsia"/>
          <w:b/>
          <w:sz w:val="22"/>
          <w:szCs w:val="22"/>
        </w:rPr>
        <w:t>21</w:t>
      </w:r>
      <w:r>
        <w:rPr>
          <w:rFonts w:asciiTheme="majorEastAsia" w:hAnsiTheme="majorEastAsia" w:eastAsiaTheme="majorEastAsia"/>
          <w:b/>
          <w:sz w:val="22"/>
          <w:szCs w:val="22"/>
        </w:rPr>
        <w:t>.</w:t>
      </w:r>
      <w:r>
        <w:rPr>
          <w:rFonts w:hint="eastAsia" w:asciiTheme="majorEastAsia" w:hAnsiTheme="majorEastAsia" w:eastAsiaTheme="majorEastAsia"/>
          <w:b/>
          <w:sz w:val="22"/>
          <w:szCs w:val="22"/>
        </w:rPr>
        <w:t xml:space="preserve"> 不可抗力</w:t>
      </w:r>
      <w:bookmarkEnd w:id="399"/>
      <w:bookmarkEnd w:id="400"/>
      <w:bookmarkEnd w:id="401"/>
      <w:bookmarkEnd w:id="402"/>
    </w:p>
    <w:p>
      <w:pPr>
        <w:widowControl/>
        <w:snapToGrid w:val="0"/>
        <w:spacing w:line="360" w:lineRule="auto"/>
        <w:ind w:firstLine="440"/>
        <w:rPr>
          <w:rFonts w:asciiTheme="majorEastAsia" w:hAnsiTheme="majorEastAsia" w:eastAsiaTheme="majorEastAsia"/>
          <w:snapToGrid w:val="0"/>
          <w:sz w:val="22"/>
          <w:szCs w:val="22"/>
        </w:rPr>
      </w:pPr>
      <w:bookmarkStart w:id="410" w:name="_Toc279650540"/>
      <w:bookmarkStart w:id="411" w:name="_Toc293076793"/>
      <w:r>
        <w:rPr>
          <w:rFonts w:hint="eastAsia" w:asciiTheme="majorEastAsia" w:hAnsiTheme="majorEastAsia" w:eastAsiaTheme="majorEastAsia"/>
          <w:snapToGrid w:val="0"/>
          <w:sz w:val="22"/>
          <w:szCs w:val="22"/>
        </w:rPr>
        <w:t>21.1  不可抗力的确认</w:t>
      </w:r>
      <w:bookmarkEnd w:id="410"/>
      <w:bookmarkEnd w:id="411"/>
    </w:p>
    <w:p>
      <w:pPr>
        <w:widowControl/>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不可抗力的范围：</w:t>
      </w:r>
      <w:r>
        <w:rPr>
          <w:rFonts w:hint="eastAsia" w:asciiTheme="majorEastAsia" w:hAnsiTheme="majorEastAsia" w:eastAsiaTheme="majorEastAsia"/>
          <w:sz w:val="22"/>
          <w:szCs w:val="22"/>
          <w:u w:val="single"/>
        </w:rPr>
        <w:t>按通用条款执行。</w:t>
      </w:r>
    </w:p>
    <w:p>
      <w:pPr>
        <w:widowControl/>
        <w:spacing w:line="360" w:lineRule="auto"/>
        <w:ind w:firstLine="418" w:firstLineChars="190"/>
        <w:rPr>
          <w:rFonts w:asciiTheme="majorEastAsia" w:hAnsiTheme="majorEastAsia" w:eastAsiaTheme="majorEastAsia"/>
          <w:sz w:val="22"/>
          <w:szCs w:val="22"/>
        </w:rPr>
      </w:pPr>
      <w:r>
        <w:rPr>
          <w:rFonts w:hint="eastAsia" w:asciiTheme="majorEastAsia" w:hAnsiTheme="majorEastAsia" w:eastAsiaTheme="majorEastAsia"/>
          <w:sz w:val="22"/>
          <w:szCs w:val="22"/>
        </w:rPr>
        <w:t>21.2  不可抗力造成损害的责任</w:t>
      </w:r>
    </w:p>
    <w:p>
      <w:pPr>
        <w:pStyle w:val="2"/>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不可抗力导致的人员伤亡、财产损失、费用增加和(或)工期延误由合同双方按以下方法承担：因不可抗拒的原因造成工程停建或缓建，发包人不承担因此给承包人造成的一切经济损失。</w:t>
      </w:r>
      <w:bookmarkStart w:id="412" w:name="_Toc293076800"/>
      <w:bookmarkStart w:id="413" w:name="_Toc1233"/>
      <w:bookmarkStart w:id="414" w:name="_Toc279650542"/>
      <w:bookmarkStart w:id="415" w:name="_Toc17435"/>
    </w:p>
    <w:p>
      <w:pPr>
        <w:pStyle w:val="2"/>
        <w:spacing w:line="360" w:lineRule="auto"/>
        <w:rPr>
          <w:rFonts w:asciiTheme="majorEastAsia" w:hAnsiTheme="majorEastAsia" w:eastAsiaTheme="majorEastAsia"/>
          <w:b/>
          <w:sz w:val="22"/>
          <w:szCs w:val="22"/>
        </w:rPr>
      </w:pPr>
      <w:r>
        <w:rPr>
          <w:rFonts w:hint="eastAsia" w:asciiTheme="majorEastAsia" w:hAnsiTheme="majorEastAsia" w:eastAsiaTheme="majorEastAsia"/>
          <w:b/>
          <w:sz w:val="22"/>
          <w:szCs w:val="22"/>
        </w:rPr>
        <w:t>22.争议的解决</w:t>
      </w:r>
      <w:bookmarkEnd w:id="412"/>
      <w:bookmarkEnd w:id="413"/>
      <w:bookmarkEnd w:id="414"/>
      <w:bookmarkEnd w:id="415"/>
    </w:p>
    <w:p>
      <w:pPr>
        <w:widowControl/>
        <w:snapToGrid w:val="0"/>
        <w:spacing w:line="360" w:lineRule="auto"/>
        <w:ind w:firstLine="330" w:firstLineChars="150"/>
        <w:rPr>
          <w:rFonts w:asciiTheme="majorEastAsia" w:hAnsiTheme="majorEastAsia" w:eastAsiaTheme="majorEastAsia"/>
          <w:sz w:val="22"/>
          <w:szCs w:val="22"/>
          <w:u w:val="single"/>
        </w:rPr>
      </w:pPr>
      <w:bookmarkStart w:id="416" w:name="_Toc279650543"/>
      <w:bookmarkStart w:id="417" w:name="_Toc293076801"/>
      <w:r>
        <w:rPr>
          <w:rFonts w:hint="eastAsia" w:asciiTheme="majorEastAsia" w:hAnsiTheme="majorEastAsia" w:eastAsiaTheme="majorEastAsia"/>
          <w:snapToGrid w:val="0"/>
          <w:sz w:val="22"/>
          <w:szCs w:val="22"/>
        </w:rPr>
        <w:t>争议的解决方式</w:t>
      </w:r>
      <w:bookmarkEnd w:id="416"/>
      <w:bookmarkEnd w:id="417"/>
      <w:r>
        <w:rPr>
          <w:rFonts w:hint="eastAsia" w:asciiTheme="majorEastAsia" w:hAnsiTheme="majorEastAsia" w:eastAsiaTheme="majorEastAsia"/>
          <w:snapToGrid w:val="0"/>
          <w:sz w:val="22"/>
          <w:szCs w:val="22"/>
        </w:rPr>
        <w:t>：</w:t>
      </w:r>
      <w:r>
        <w:rPr>
          <w:rFonts w:ascii="宋体" w:hAnsi="宋体"/>
          <w:sz w:val="22"/>
          <w:szCs w:val="22"/>
        </w:rPr>
        <w:t>向</w:t>
      </w:r>
      <w:r>
        <w:rPr>
          <w:rFonts w:ascii="宋体" w:hAnsi="宋体"/>
          <w:sz w:val="22"/>
          <w:szCs w:val="22"/>
          <w:u w:val="single"/>
        </w:rPr>
        <w:t xml:space="preserve">  </w:t>
      </w:r>
      <w:r>
        <w:rPr>
          <w:rFonts w:hint="eastAsia" w:ascii="宋体" w:hAnsi="宋体"/>
          <w:sz w:val="22"/>
          <w:szCs w:val="22"/>
          <w:u w:val="single"/>
        </w:rPr>
        <w:t>两江新区</w:t>
      </w:r>
      <w:r>
        <w:rPr>
          <w:rFonts w:ascii="宋体" w:hAnsi="宋体"/>
          <w:sz w:val="22"/>
          <w:szCs w:val="22"/>
          <w:u w:val="single"/>
        </w:rPr>
        <w:t xml:space="preserve">   </w:t>
      </w:r>
      <w:r>
        <w:rPr>
          <w:rFonts w:ascii="宋体" w:hAnsi="宋体"/>
          <w:sz w:val="22"/>
          <w:szCs w:val="22"/>
        </w:rPr>
        <w:t>人民法院起诉</w:t>
      </w:r>
      <w:r>
        <w:rPr>
          <w:rFonts w:hint="eastAsia" w:asciiTheme="majorEastAsia" w:hAnsiTheme="majorEastAsia" w:eastAsiaTheme="majorEastAsia"/>
          <w:sz w:val="22"/>
          <w:szCs w:val="22"/>
        </w:rPr>
        <w:t>。</w:t>
      </w:r>
    </w:p>
    <w:p>
      <w:pPr>
        <w:pStyle w:val="2"/>
        <w:spacing w:line="360" w:lineRule="auto"/>
        <w:rPr>
          <w:rFonts w:asciiTheme="majorEastAsia" w:hAnsiTheme="majorEastAsia" w:eastAsiaTheme="majorEastAsia"/>
          <w:b/>
          <w:sz w:val="22"/>
          <w:szCs w:val="22"/>
        </w:rPr>
      </w:pPr>
      <w:r>
        <w:rPr>
          <w:rFonts w:hint="eastAsia" w:asciiTheme="majorEastAsia" w:hAnsiTheme="majorEastAsia" w:eastAsiaTheme="majorEastAsia"/>
          <w:b/>
          <w:sz w:val="22"/>
          <w:szCs w:val="22"/>
        </w:rPr>
        <w:t>23.履约担保：</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23.1 担保形式：履约保证金（银行转账）；</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23.2 担保金额：合同金额的</w:t>
      </w:r>
      <w:r>
        <w:rPr>
          <w:rFonts w:asciiTheme="majorEastAsia" w:hAnsiTheme="majorEastAsia" w:eastAsiaTheme="majorEastAsia"/>
          <w:sz w:val="22"/>
          <w:szCs w:val="22"/>
        </w:rPr>
        <w:t>10%</w:t>
      </w:r>
      <w:r>
        <w:rPr>
          <w:rFonts w:hint="eastAsia" w:asciiTheme="majorEastAsia" w:hAnsiTheme="majorEastAsia" w:eastAsiaTheme="majorEastAsia"/>
          <w:sz w:val="22"/>
          <w:szCs w:val="22"/>
        </w:rPr>
        <w:t>；</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23.3 缴纳时间：发包人发出中选通知书后七日内，合同签订之前，承包人向比选人缴纳；</w:t>
      </w:r>
    </w:p>
    <w:p>
      <w:pPr>
        <w:pStyle w:val="2"/>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23.4 退还期限及方式：本合同工程竣工验收合格后15日内无息退还。</w:t>
      </w:r>
    </w:p>
    <w:p>
      <w:pPr>
        <w:pStyle w:val="2"/>
        <w:spacing w:line="360" w:lineRule="auto"/>
        <w:ind w:firstLine="560"/>
        <w:rPr>
          <w:rFonts w:asciiTheme="majorEastAsia" w:hAnsiTheme="majorEastAsia" w:eastAsiaTheme="majorEastAsia"/>
          <w:szCs w:val="22"/>
        </w:rPr>
      </w:pPr>
      <w:r>
        <w:rPr>
          <w:rFonts w:asciiTheme="majorEastAsia" w:hAnsiTheme="majorEastAsia" w:eastAsiaTheme="majorEastAsia"/>
          <w:szCs w:val="22"/>
        </w:rPr>
        <w:br w:type="page"/>
      </w:r>
    </w:p>
    <w:bookmarkEnd w:id="311"/>
    <w:p>
      <w:pPr>
        <w:pStyle w:val="5"/>
        <w:spacing w:before="48" w:after="48"/>
        <w:rPr>
          <w:rFonts w:asciiTheme="majorEastAsia" w:hAnsiTheme="majorEastAsia" w:eastAsiaTheme="majorEastAsia"/>
        </w:rPr>
      </w:pPr>
      <w:bookmarkStart w:id="418" w:name="招标文件04章合同条款及格式02_08"/>
      <w:bookmarkEnd w:id="418"/>
      <w:bookmarkStart w:id="419" w:name="招标文件04章合同条款及格式02_05"/>
      <w:bookmarkEnd w:id="419"/>
      <w:bookmarkStart w:id="420" w:name="招标文件04章合同条款及格式02_09_04"/>
      <w:bookmarkEnd w:id="420"/>
      <w:bookmarkStart w:id="421" w:name="招标文件04章合同条款及格式02_07"/>
      <w:bookmarkEnd w:id="421"/>
      <w:bookmarkStart w:id="422" w:name="招标文件04章合同条款及格式02_16"/>
      <w:bookmarkEnd w:id="422"/>
      <w:bookmarkStart w:id="423" w:name="招标文件04章合同条款及格式02_18_08"/>
      <w:bookmarkEnd w:id="423"/>
      <w:bookmarkStart w:id="424" w:name="招标文件04章合同条款及格式02_19"/>
      <w:bookmarkEnd w:id="424"/>
      <w:bookmarkStart w:id="425" w:name="招标文件04章合同条款及格式02_18_09"/>
      <w:bookmarkEnd w:id="425"/>
      <w:bookmarkStart w:id="426" w:name="招标文件04章合同条款及格式02_15_05"/>
      <w:bookmarkEnd w:id="426"/>
      <w:bookmarkStart w:id="427" w:name="招标文件04章合同条款及格式02_21_03"/>
      <w:bookmarkEnd w:id="427"/>
      <w:bookmarkStart w:id="428" w:name="招标文件04章合同条款及格式03"/>
      <w:bookmarkEnd w:id="428"/>
      <w:bookmarkStart w:id="429" w:name="招标文件04章合同条款及格式03_02"/>
      <w:bookmarkEnd w:id="429"/>
      <w:bookmarkStart w:id="430" w:name="_Toc44420157"/>
      <w:bookmarkStart w:id="431" w:name="_Toc44433362"/>
      <w:bookmarkStart w:id="432" w:name="_Toc18547"/>
      <w:r>
        <w:rPr>
          <w:rFonts w:hint="eastAsia" w:asciiTheme="majorEastAsia" w:hAnsiTheme="majorEastAsia" w:eastAsiaTheme="majorEastAsia"/>
        </w:rPr>
        <w:t>附件一：</w:t>
      </w:r>
      <w:bookmarkEnd w:id="430"/>
      <w:bookmarkEnd w:id="431"/>
      <w:bookmarkEnd w:id="432"/>
      <w:r>
        <w:rPr>
          <w:rFonts w:asciiTheme="majorEastAsia" w:hAnsiTheme="majorEastAsia" w:eastAsiaTheme="majorEastAsia"/>
        </w:rPr>
        <w:t xml:space="preserve"> </w:t>
      </w:r>
    </w:p>
    <w:p>
      <w:pPr>
        <w:spacing w:before="240" w:beforeLines="100" w:after="240" w:afterLines="100"/>
        <w:jc w:val="center"/>
        <w:rPr>
          <w:rFonts w:asciiTheme="majorEastAsia" w:hAnsiTheme="majorEastAsia" w:eastAsiaTheme="majorEastAsia"/>
          <w:b/>
          <w:bCs/>
          <w:sz w:val="28"/>
          <w:szCs w:val="36"/>
        </w:rPr>
      </w:pPr>
      <w:r>
        <w:rPr>
          <w:rFonts w:hint="eastAsia" w:asciiTheme="majorEastAsia" w:hAnsiTheme="majorEastAsia" w:eastAsiaTheme="majorEastAsia"/>
          <w:b/>
          <w:bCs/>
          <w:sz w:val="28"/>
          <w:szCs w:val="36"/>
        </w:rPr>
        <w:t>工程质量保修书</w:t>
      </w: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发包人（全称）：</w:t>
      </w:r>
      <w:r>
        <w:rPr>
          <w:rFonts w:hint="eastAsia" w:asciiTheme="majorEastAsia" w:hAnsiTheme="majorEastAsia" w:eastAsiaTheme="majorEastAsia"/>
          <w:b/>
          <w:sz w:val="22"/>
          <w:szCs w:val="22"/>
          <w:u w:val="single"/>
        </w:rPr>
        <w:t>高速管家（重庆）实业有限公司</w:t>
      </w: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承包人（全称）：</w:t>
      </w:r>
      <w:r>
        <w:rPr>
          <w:rFonts w:hint="eastAsia" w:asciiTheme="majorEastAsia" w:hAnsiTheme="majorEastAsia" w:eastAsiaTheme="majorEastAsia"/>
          <w:b/>
          <w:sz w:val="22"/>
          <w:szCs w:val="22"/>
          <w:u w:val="single"/>
        </w:rPr>
        <w:t xml:space="preserve">                             </w:t>
      </w:r>
    </w:p>
    <w:p>
      <w:pPr>
        <w:spacing w:line="360" w:lineRule="auto"/>
        <w:ind w:firstLine="442"/>
        <w:jc w:val="left"/>
        <w:rPr>
          <w:rFonts w:asciiTheme="majorEastAsia" w:hAnsiTheme="majorEastAsia" w:eastAsiaTheme="majorEastAsia"/>
          <w:b/>
          <w:bCs/>
          <w:sz w:val="22"/>
          <w:szCs w:val="22"/>
        </w:rPr>
      </w:pP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发包人、承包人根据《中华人民共和国建筑法》、《建设工程质量管理条例》，参照《房屋建筑工程质量保修办法》等相关规定，经协商一致，对</w:t>
      </w: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工程（工程名称）</w:t>
      </w:r>
      <w:r>
        <w:rPr>
          <w:rFonts w:hint="eastAsia" w:asciiTheme="majorEastAsia" w:hAnsiTheme="majorEastAsia" w:eastAsiaTheme="majorEastAsia"/>
          <w:sz w:val="22"/>
          <w:szCs w:val="22"/>
        </w:rPr>
        <w:t>签订工程质量保修书。</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一、工程质量保修范围和内容</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承包人在质量保修期内，按照有关法律规定和合同约定，承担工程质量保修责任。</w:t>
      </w:r>
    </w:p>
    <w:p>
      <w:pPr>
        <w:spacing w:line="360" w:lineRule="auto"/>
        <w:ind w:firstLine="440"/>
        <w:jc w:val="left"/>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具体保修的内容，双方约定如下：</w:t>
      </w:r>
      <w:r>
        <w:rPr>
          <w:rFonts w:hint="eastAsia" w:asciiTheme="majorEastAsia" w:hAnsiTheme="majorEastAsia" w:eastAsiaTheme="majorEastAsia"/>
          <w:sz w:val="22"/>
          <w:szCs w:val="22"/>
          <w:u w:val="single"/>
        </w:rPr>
        <w:t>承包人所有施工的内容均属于保修范围。</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二、质量保修期</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质量保修期从工程实际竣工通过竣工验收或备案之日算起。</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双方根据国家有关规定，结合具体工程约定质量保修期如下：</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1.地基基础工程和主体结构工程为设计文件规定的该工程合理使用年限；</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2.屋面防水工程、有防水要求的卫生间、房间和外墙面的防渗漏为</w:t>
      </w:r>
      <w:r>
        <w:rPr>
          <w:rFonts w:hint="eastAsia" w:asciiTheme="majorEastAsia" w:hAnsiTheme="majorEastAsia" w:eastAsiaTheme="majorEastAsia"/>
          <w:sz w:val="22"/>
          <w:szCs w:val="22"/>
          <w:u w:val="single"/>
        </w:rPr>
        <w:t>5年</w:t>
      </w:r>
      <w:r>
        <w:rPr>
          <w:rFonts w:hint="eastAsia" w:asciiTheme="majorEastAsia" w:hAnsiTheme="majorEastAsia" w:eastAsiaTheme="majorEastAsia"/>
          <w:sz w:val="22"/>
          <w:szCs w:val="22"/>
        </w:rPr>
        <w:t>；</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3.装修工程为2年；</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4.电气管线、给排水管道、设备安装工程为2年；</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5.供热与供冷系统为2个采暖期、供冷期；</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6.住宅小区内的给排水设施、道路等配套工程为2年；</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7.其他项目保修期限约定如下：其他项目所有均为2年。</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三、质量保修责任</w:t>
      </w:r>
    </w:p>
    <w:p>
      <w:pPr>
        <w:spacing w:line="360" w:lineRule="auto"/>
        <w:ind w:firstLine="440"/>
        <w:jc w:val="left"/>
        <w:rPr>
          <w:rFonts w:asciiTheme="majorEastAsia" w:hAnsiTheme="majorEastAsia" w:eastAsiaTheme="majorEastAsia"/>
          <w:sz w:val="22"/>
          <w:szCs w:val="22"/>
        </w:rPr>
      </w:pPr>
      <w:r>
        <w:rPr>
          <w:rFonts w:asciiTheme="majorEastAsia" w:hAnsiTheme="majorEastAsia" w:eastAsiaTheme="majorEastAsia"/>
          <w:sz w:val="22"/>
          <w:szCs w:val="22"/>
        </w:rPr>
        <w:t>1</w:t>
      </w:r>
      <w:r>
        <w:rPr>
          <w:rFonts w:hint="eastAsia" w:asciiTheme="majorEastAsia" w:hAnsiTheme="majorEastAsia" w:eastAsiaTheme="majorEastAsia"/>
          <w:sz w:val="22"/>
          <w:szCs w:val="22"/>
        </w:rPr>
        <w:t>．属于保修范围、内容的项目，承包人应当在接到保修通知之日起3天内派人保修。承包人不在约定期限内派人保修的，发包人可以委托他人修理。</w:t>
      </w:r>
    </w:p>
    <w:p>
      <w:pPr>
        <w:spacing w:line="360" w:lineRule="auto"/>
        <w:ind w:firstLine="440"/>
        <w:jc w:val="left"/>
        <w:rPr>
          <w:rFonts w:asciiTheme="majorEastAsia" w:hAnsiTheme="majorEastAsia" w:eastAsiaTheme="majorEastAsia"/>
          <w:sz w:val="22"/>
          <w:szCs w:val="22"/>
        </w:rPr>
      </w:pPr>
      <w:r>
        <w:rPr>
          <w:rFonts w:asciiTheme="majorEastAsia" w:hAnsiTheme="majorEastAsia" w:eastAsiaTheme="majorEastAsia"/>
          <w:sz w:val="22"/>
          <w:szCs w:val="22"/>
        </w:rPr>
        <w:t>2</w:t>
      </w:r>
      <w:r>
        <w:rPr>
          <w:rFonts w:hint="eastAsia" w:asciiTheme="majorEastAsia" w:hAnsiTheme="majorEastAsia" w:eastAsiaTheme="majorEastAsia"/>
          <w:sz w:val="22"/>
          <w:szCs w:val="22"/>
        </w:rPr>
        <w:t>．发生紧急事故需抢修的，承包人在接到事故通知后，应当立即到达事故现场抢修。</w:t>
      </w:r>
    </w:p>
    <w:p>
      <w:pPr>
        <w:spacing w:line="360" w:lineRule="auto"/>
        <w:ind w:firstLine="440"/>
        <w:jc w:val="left"/>
        <w:rPr>
          <w:rFonts w:asciiTheme="majorEastAsia" w:hAnsiTheme="majorEastAsia" w:eastAsiaTheme="majorEastAsia"/>
          <w:sz w:val="22"/>
          <w:szCs w:val="22"/>
        </w:rPr>
      </w:pPr>
      <w:r>
        <w:rPr>
          <w:rFonts w:asciiTheme="majorEastAsia" w:hAnsiTheme="majorEastAsia" w:eastAsiaTheme="majorEastAsia"/>
          <w:sz w:val="22"/>
          <w:szCs w:val="22"/>
        </w:rPr>
        <w:t>3</w:t>
      </w:r>
      <w:r>
        <w:rPr>
          <w:rFonts w:hint="eastAsia" w:asciiTheme="majorEastAsia" w:hAnsiTheme="majorEastAsia" w:eastAsiaTheme="majorEastAsia"/>
          <w:sz w:val="22"/>
          <w:szCs w:val="22"/>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四、保修费用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保修费用由造成质量缺陷的责任方承担。</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五、其它</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本工程质量保修书，由施工合同发包人、承包人双方在签订合同协议书时一并签订，作为施工合同附件，其有效保修期限至保修期满。</w:t>
      </w:r>
    </w:p>
    <w:p>
      <w:pPr>
        <w:spacing w:line="360" w:lineRule="auto"/>
        <w:ind w:firstLine="440"/>
        <w:jc w:val="left"/>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发包人： （公章）　　           承包人：（公章）</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法定地址：　　　　　　　　　　　法定地址：　　　　　　　　　　</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法定代表人或其　　　　　　　　　法定代表人或其</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委托代理人：（签字）　          委托代理人：（签字）</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电话：　　　　　　　　　　　　　电话：　　　　　　　　　　　　</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传真：　　　　　　　　　　　　　传真：　　　　　　　　　　　　</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电子邮箱：　　　　　　　　　　　电子邮箱：　　　　　　　　　　</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开户银行：　　　　　　　　　　　开户银行：　　　　　　　　　　</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帐号：　　　　　　　　　　　　　帐号：　　　　　　　　　　　　</w:t>
      </w:r>
    </w:p>
    <w:p>
      <w:pPr>
        <w:spacing w:line="360" w:lineRule="auto"/>
        <w:ind w:firstLine="440"/>
        <w:jc w:val="left"/>
        <w:rPr>
          <w:rFonts w:asciiTheme="majorEastAsia" w:hAnsiTheme="majorEastAsia" w:eastAsiaTheme="majorEastAsia"/>
          <w:sz w:val="22"/>
        </w:rPr>
      </w:pPr>
      <w:r>
        <w:rPr>
          <w:rFonts w:hint="eastAsia" w:asciiTheme="majorEastAsia" w:hAnsiTheme="majorEastAsia" w:eastAsiaTheme="majorEastAsia"/>
          <w:sz w:val="22"/>
        </w:rPr>
        <w:t>邮政编码：　　　　　　　　　　　邮政编码：</w:t>
      </w:r>
    </w:p>
    <w:p>
      <w:pPr>
        <w:spacing w:line="360" w:lineRule="auto"/>
        <w:ind w:firstLine="420"/>
        <w:jc w:val="left"/>
        <w:rPr>
          <w:rFonts w:asciiTheme="majorEastAsia" w:hAnsiTheme="majorEastAsia" w:eastAsiaTheme="majorEastAsia"/>
        </w:rPr>
      </w:pPr>
    </w:p>
    <w:p>
      <w:pPr>
        <w:ind w:firstLine="420"/>
        <w:rPr>
          <w:rFonts w:asciiTheme="majorEastAsia" w:hAnsiTheme="majorEastAsia" w:eastAsiaTheme="majorEastAsia"/>
        </w:rPr>
      </w:pPr>
      <w:r>
        <w:rPr>
          <w:rFonts w:asciiTheme="majorEastAsia" w:hAnsiTheme="majorEastAsia" w:eastAsiaTheme="majorEastAsia"/>
        </w:rPr>
        <w:br w:type="page"/>
      </w:r>
    </w:p>
    <w:p>
      <w:pPr>
        <w:pStyle w:val="5"/>
        <w:spacing w:before="48" w:after="48"/>
        <w:rPr>
          <w:rFonts w:asciiTheme="majorEastAsia" w:hAnsiTheme="majorEastAsia" w:eastAsiaTheme="majorEastAsia"/>
        </w:rPr>
      </w:pPr>
      <w:bookmarkStart w:id="433" w:name="_Toc44420158"/>
      <w:bookmarkStart w:id="434" w:name="_Toc44433363"/>
      <w:bookmarkStart w:id="435" w:name="_Toc28504"/>
      <w:r>
        <w:rPr>
          <w:rFonts w:hint="eastAsia" w:asciiTheme="majorEastAsia" w:hAnsiTheme="majorEastAsia" w:eastAsiaTheme="majorEastAsia"/>
        </w:rPr>
        <w:t>附件二：</w:t>
      </w:r>
      <w:bookmarkEnd w:id="433"/>
      <w:bookmarkEnd w:id="434"/>
      <w:bookmarkEnd w:id="435"/>
      <w:r>
        <w:rPr>
          <w:rFonts w:asciiTheme="majorEastAsia" w:hAnsiTheme="majorEastAsia" w:eastAsiaTheme="majorEastAsia"/>
        </w:rPr>
        <w:t xml:space="preserve"> </w:t>
      </w:r>
    </w:p>
    <w:p>
      <w:pPr>
        <w:spacing w:before="240" w:beforeLines="100" w:after="240" w:afterLines="100"/>
        <w:jc w:val="center"/>
        <w:rPr>
          <w:rFonts w:asciiTheme="majorEastAsia" w:hAnsiTheme="majorEastAsia" w:eastAsiaTheme="majorEastAsia"/>
          <w:b/>
          <w:bCs/>
          <w:sz w:val="28"/>
          <w:szCs w:val="36"/>
        </w:rPr>
      </w:pPr>
      <w:r>
        <w:rPr>
          <w:rFonts w:hint="eastAsia" w:asciiTheme="majorEastAsia" w:hAnsiTheme="majorEastAsia" w:eastAsiaTheme="majorEastAsia"/>
          <w:b/>
          <w:bCs/>
          <w:sz w:val="28"/>
          <w:szCs w:val="36"/>
        </w:rPr>
        <w:t>建设工程廉政责任书</w:t>
      </w:r>
    </w:p>
    <w:p>
      <w:pPr>
        <w:spacing w:line="360" w:lineRule="auto"/>
        <w:ind w:firstLine="331" w:firstLineChars="150"/>
        <w:rPr>
          <w:rFonts w:asciiTheme="majorEastAsia" w:hAnsiTheme="majorEastAsia" w:eastAsiaTheme="majorEastAsia"/>
          <w:b/>
          <w:sz w:val="22"/>
          <w:szCs w:val="22"/>
        </w:rPr>
      </w:pP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发包人（全称）：</w:t>
      </w:r>
      <w:r>
        <w:rPr>
          <w:rFonts w:hint="eastAsia" w:asciiTheme="majorEastAsia" w:hAnsiTheme="majorEastAsia" w:eastAsiaTheme="majorEastAsia"/>
          <w:b/>
          <w:sz w:val="22"/>
          <w:szCs w:val="22"/>
          <w:u w:val="single"/>
        </w:rPr>
        <w:t>高速管家（重庆）实业有限公司</w:t>
      </w: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承包人（全称）：</w:t>
      </w:r>
      <w:r>
        <w:rPr>
          <w:rFonts w:hint="eastAsia" w:asciiTheme="majorEastAsia" w:hAnsiTheme="majorEastAsia" w:eastAsiaTheme="majorEastAsia"/>
          <w:b/>
          <w:sz w:val="22"/>
          <w:szCs w:val="22"/>
          <w:u w:val="single"/>
        </w:rPr>
        <w:t xml:space="preserve">                             </w:t>
      </w:r>
    </w:p>
    <w:p>
      <w:pPr>
        <w:spacing w:line="360" w:lineRule="auto"/>
        <w:ind w:firstLine="440"/>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hint="eastAsia" w:asciiTheme="majorEastAsia" w:hAnsiTheme="majorEastAsia" w:eastAsiaTheme="majorEastAsia"/>
          <w:b/>
          <w:sz w:val="22"/>
          <w:szCs w:val="22"/>
        </w:rPr>
        <w:t>　　</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一、双方的责任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1.1应严格遵守国家关于建设工程的有关法律、法规，相关政策，以及廉政建设的各项规定。</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1.2严格执行建设工程合同文件，自觉按合同办事。</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1.4发现对方在业务活动中有违规、违纪、违法行为的，应及时提醒对方，情节严重的，应向其上级主管部门或纪检监察、司法等有关机关举报。　</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二、发包人责任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发包人的领导和从事该建设工程项目的工作人员，在工程建设的事前、事中、事后应遵守以下规定：</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2.1不得向承包人和相关单位索要或接受回扣、礼金、有价证券、贵重物品和好处费、感谢费等。</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2.2不得在承包人和相关单位报销任何应由发包人或个人支付的费用。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2.3不得要求、暗示或接受承包人和相关单位为个人装修住房、婚丧嫁娶、配偶子女的工作安排以及出国(境)、旅游等提供方便。</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2.4不得参加有可能影响公正执行公务的承包人和相关单位的宴请、健身、娱乐等活动。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2.5不得向承包人和相关单位介绍或为配偶、子女、亲属参与同发包人工程建设管理合同有关的业务活动；不得以任何理由要求承包人和相关单位使用某种产品、材料和设备。</w:t>
      </w:r>
      <w:r>
        <w:rPr>
          <w:rFonts w:hint="eastAsia" w:asciiTheme="majorEastAsia" w:hAnsiTheme="majorEastAsia" w:eastAsiaTheme="majorEastAsia"/>
          <w:b/>
          <w:sz w:val="22"/>
          <w:szCs w:val="22"/>
        </w:rPr>
        <w:t>　</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三、承包人责任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应与发包人保持正常的业务交往，按照有关法律法规和程序开展业务工作，严格执行工程建设的有关方针、政策，执行工程建设强制性标准，并遵守以下规定：</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3.1不得以任何理由向发包人及其工作人员索要、接受或赠送礼金、有价证券、贵重物品及回扣、好处费、感谢费等。</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3.2不得以任何理由为发包人和相关单位报销应由对方或个人支付的费用。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3.3不得接受或暗示为发包人、相关单位或个人装修住房、婚丧嫁娶、配偶子女的工作安排以及出国(境)、旅游等提供方便。</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3.4不得以任何理由为发包人、相关单位或个人组织有可能影响公正执行公务的宴请、健身、娱乐等活动。</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四、违约责任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4.2承包人工作人员有违反本责任书第一、三条责任行为的，依据有关法律法规处理；涉嫌犯罪的，移交司法机关追究刑事责任；给发包人单位造成经济损失的，应予以赔偿。</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4.3本责任书作为建设工程合同的组成部分，与建设工程合同具有同等法律效力。经双方签署后立即生效。</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五、责任书有效期</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本责任书的有效期为双方签署之日起至该工程项目竣工验收合格时止。</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六、责任书份数</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本责任书一式</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份，发包人承包人各执</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份，具有同等效力。</w:t>
      </w:r>
    </w:p>
    <w:p>
      <w:pPr>
        <w:spacing w:line="360" w:lineRule="auto"/>
        <w:ind w:firstLine="440"/>
        <w:jc w:val="left"/>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发包人： （公章）　　           承包人：（公章）</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法定地址：　　　　　　　　　　　法定地址：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法定代表人或其　　　　　　　　　法定代表人或其</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委托代理人：（签字）　           委托代理人：（签字）</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电话：　　　　　　　　　　　　　电话：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传真：　　　　　　　　　　　　　传真：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电子邮箱：　　　　　　　　　　　电子邮箱：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开户银行：　　　　　　　　　　　开户银行：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帐号：　　　　　　　　　　　　　帐号：　　　　　　　　　　　　</w:t>
      </w:r>
    </w:p>
    <w:p>
      <w:pPr>
        <w:spacing w:line="360" w:lineRule="auto"/>
        <w:ind w:firstLine="440"/>
        <w:jc w:val="left"/>
        <w:rPr>
          <w:rFonts w:asciiTheme="majorEastAsia" w:hAnsiTheme="majorEastAsia" w:eastAsiaTheme="majorEastAsia"/>
          <w:sz w:val="22"/>
          <w:szCs w:val="22"/>
        </w:rPr>
        <w:sectPr>
          <w:headerReference r:id="rId6" w:type="default"/>
          <w:footerReference r:id="rId7" w:type="default"/>
          <w:pgSz w:w="11906" w:h="16838"/>
          <w:pgMar w:top="993" w:right="1133" w:bottom="1135" w:left="1134" w:header="993" w:footer="873" w:gutter="0"/>
          <w:pgNumType w:start="1"/>
          <w:cols w:space="720" w:num="1"/>
          <w:docGrid w:linePitch="312" w:charSpace="0"/>
        </w:sectPr>
      </w:pPr>
      <w:r>
        <w:rPr>
          <w:rFonts w:hint="eastAsia" w:asciiTheme="majorEastAsia" w:hAnsiTheme="majorEastAsia" w:eastAsiaTheme="majorEastAsia"/>
          <w:sz w:val="22"/>
          <w:szCs w:val="22"/>
        </w:rPr>
        <w:t>邮政编码：　　　　　　　　　　　邮政编码：</w:t>
      </w:r>
    </w:p>
    <w:p>
      <w:pPr>
        <w:pStyle w:val="5"/>
        <w:spacing w:before="48" w:after="48"/>
        <w:rPr>
          <w:rFonts w:asciiTheme="majorEastAsia" w:hAnsiTheme="majorEastAsia" w:eastAsiaTheme="majorEastAsia"/>
        </w:rPr>
      </w:pPr>
      <w:bookmarkStart w:id="436" w:name="_Toc15323"/>
      <w:bookmarkStart w:id="437" w:name="_Toc435689499"/>
      <w:bookmarkStart w:id="438" w:name="_Toc239510288"/>
      <w:bookmarkStart w:id="439" w:name="_Toc435690184"/>
      <w:bookmarkStart w:id="440" w:name="_Toc247431422"/>
      <w:bookmarkStart w:id="441" w:name="_Toc336680145"/>
      <w:bookmarkStart w:id="442" w:name="_Toc448406299"/>
      <w:r>
        <w:rPr>
          <w:rFonts w:hint="eastAsia" w:asciiTheme="majorEastAsia" w:hAnsiTheme="majorEastAsia" w:eastAsiaTheme="majorEastAsia"/>
        </w:rPr>
        <w:t>附件三：</w:t>
      </w:r>
      <w:bookmarkEnd w:id="436"/>
      <w:r>
        <w:rPr>
          <w:rFonts w:asciiTheme="majorEastAsia" w:hAnsiTheme="majorEastAsia" w:eastAsiaTheme="majorEastAsia"/>
        </w:rPr>
        <w:t xml:space="preserve"> </w:t>
      </w:r>
    </w:p>
    <w:p>
      <w:pPr>
        <w:spacing w:before="120" w:beforeLines="50" w:after="120" w:afterLines="50" w:line="440" w:lineRule="exact"/>
        <w:jc w:val="center"/>
        <w:rPr>
          <w:rFonts w:ascii="宋体" w:hAnsi="宋体"/>
          <w:b/>
          <w:sz w:val="28"/>
          <w:szCs w:val="22"/>
        </w:rPr>
      </w:pPr>
      <w:r>
        <w:rPr>
          <w:rFonts w:hint="eastAsia" w:ascii="宋体" w:hAnsi="宋体"/>
          <w:b/>
          <w:sz w:val="28"/>
          <w:szCs w:val="22"/>
        </w:rPr>
        <w:t>安全管理协议</w:t>
      </w:r>
      <w:bookmarkEnd w:id="437"/>
      <w:bookmarkEnd w:id="438"/>
      <w:bookmarkEnd w:id="439"/>
      <w:bookmarkEnd w:id="440"/>
      <w:bookmarkEnd w:id="441"/>
      <w:bookmarkEnd w:id="442"/>
    </w:p>
    <w:p>
      <w:pPr>
        <w:spacing w:line="440" w:lineRule="exact"/>
        <w:ind w:firstLine="440" w:firstLineChars="200"/>
        <w:jc w:val="left"/>
        <w:rPr>
          <w:rFonts w:ascii="宋体" w:hAnsi="宋体"/>
          <w:sz w:val="22"/>
          <w:szCs w:val="22"/>
        </w:rPr>
      </w:pPr>
      <w:r>
        <w:rPr>
          <w:rFonts w:hint="eastAsia" w:ascii="宋体" w:hAnsi="宋体"/>
          <w:sz w:val="22"/>
          <w:szCs w:val="22"/>
        </w:rPr>
        <w:t>为了确保实现</w:t>
      </w:r>
      <w:r>
        <w:rPr>
          <w:rFonts w:hint="eastAsia" w:ascii="宋体" w:hAnsi="宋体"/>
          <w:sz w:val="22"/>
          <w:szCs w:val="22"/>
          <w:u w:val="single"/>
        </w:rPr>
        <w:t xml:space="preserve">              </w:t>
      </w:r>
      <w:r>
        <w:rPr>
          <w:rFonts w:hint="eastAsia" w:ascii="宋体" w:hAnsi="宋体"/>
          <w:sz w:val="22"/>
          <w:szCs w:val="22"/>
        </w:rPr>
        <w:t>安全生产目标，进一步明确双方的安全管理责任，加强安全生产管理工作的协调、管理力度，</w:t>
      </w:r>
      <w:r>
        <w:rPr>
          <w:rFonts w:hint="eastAsia" w:ascii="宋体" w:hAnsi="宋体"/>
          <w:sz w:val="22"/>
          <w:szCs w:val="22"/>
          <w:u w:val="single"/>
        </w:rPr>
        <w:t xml:space="preserve">           </w:t>
      </w:r>
      <w:r>
        <w:rPr>
          <w:rFonts w:hint="eastAsia" w:ascii="宋体" w:hAnsi="宋体"/>
          <w:sz w:val="22"/>
          <w:szCs w:val="22"/>
        </w:rPr>
        <w:t>（以下简称“发包人”）与</w:t>
      </w:r>
      <w:r>
        <w:rPr>
          <w:rFonts w:hint="eastAsia" w:ascii="宋体" w:hAnsi="宋体"/>
          <w:sz w:val="22"/>
          <w:szCs w:val="22"/>
          <w:u w:val="single"/>
        </w:rPr>
        <w:t xml:space="preserve">                  </w:t>
      </w:r>
      <w:r>
        <w:rPr>
          <w:rFonts w:hint="eastAsia" w:ascii="宋体" w:hAnsi="宋体"/>
          <w:sz w:val="22"/>
          <w:szCs w:val="22"/>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440" w:lineRule="exact"/>
        <w:ind w:firstLine="440" w:firstLineChars="200"/>
        <w:rPr>
          <w:rFonts w:ascii="宋体" w:hAnsi="宋体"/>
          <w:sz w:val="22"/>
          <w:szCs w:val="22"/>
        </w:rPr>
      </w:pPr>
      <w:bookmarkStart w:id="443" w:name="_Toc239510289"/>
      <w:bookmarkStart w:id="444" w:name="_Toc247431423"/>
      <w:bookmarkStart w:id="445" w:name="_Toc532375700"/>
      <w:bookmarkStart w:id="446" w:name="_Toc247418263"/>
      <w:r>
        <w:rPr>
          <w:rFonts w:hint="eastAsia" w:ascii="宋体" w:hAnsi="宋体"/>
          <w:sz w:val="22"/>
          <w:szCs w:val="22"/>
        </w:rPr>
        <w:t>一、协议有效期限</w:t>
      </w:r>
      <w:bookmarkEnd w:id="443"/>
      <w:bookmarkEnd w:id="444"/>
      <w:bookmarkEnd w:id="445"/>
      <w:bookmarkEnd w:id="446"/>
    </w:p>
    <w:p>
      <w:pPr>
        <w:spacing w:line="440" w:lineRule="exact"/>
        <w:ind w:firstLine="440" w:firstLineChars="200"/>
        <w:jc w:val="left"/>
        <w:rPr>
          <w:rFonts w:ascii="宋体" w:hAnsi="宋体"/>
          <w:sz w:val="22"/>
          <w:szCs w:val="22"/>
        </w:rPr>
      </w:pPr>
      <w:r>
        <w:rPr>
          <w:rFonts w:hint="eastAsia" w:ascii="宋体" w:hAnsi="宋体"/>
          <w:sz w:val="22"/>
          <w:szCs w:val="22"/>
        </w:rPr>
        <w:t>本协议中所涉及的安全管理责任自合同签订之日起开始生效，至合同工程全部完工验收且经发包人与承包人签订移交协议生效后之日终止。</w:t>
      </w:r>
    </w:p>
    <w:p>
      <w:pPr>
        <w:spacing w:line="440" w:lineRule="exact"/>
        <w:ind w:firstLine="440" w:firstLineChars="200"/>
        <w:rPr>
          <w:rFonts w:ascii="宋体" w:hAnsi="宋体"/>
          <w:sz w:val="22"/>
          <w:szCs w:val="22"/>
        </w:rPr>
      </w:pPr>
      <w:bookmarkStart w:id="447" w:name="_Toc239510290"/>
      <w:bookmarkStart w:id="448" w:name="_Toc247418264"/>
      <w:bookmarkStart w:id="449" w:name="_Toc247431424"/>
      <w:bookmarkStart w:id="450" w:name="_Toc532375701"/>
      <w:r>
        <w:rPr>
          <w:rFonts w:hint="eastAsia" w:ascii="宋体" w:hAnsi="宋体"/>
          <w:sz w:val="22"/>
          <w:szCs w:val="22"/>
        </w:rPr>
        <w:t>二、责任目标</w:t>
      </w:r>
      <w:bookmarkEnd w:id="447"/>
      <w:bookmarkEnd w:id="448"/>
      <w:bookmarkEnd w:id="449"/>
      <w:bookmarkEnd w:id="450"/>
    </w:p>
    <w:p>
      <w:pPr>
        <w:spacing w:line="440" w:lineRule="exact"/>
        <w:ind w:firstLine="440" w:firstLineChars="200"/>
        <w:jc w:val="left"/>
        <w:rPr>
          <w:rFonts w:ascii="宋体" w:hAnsi="宋体"/>
          <w:sz w:val="22"/>
          <w:szCs w:val="22"/>
        </w:rPr>
      </w:pPr>
      <w:r>
        <w:rPr>
          <w:rFonts w:hint="eastAsia" w:ascii="宋体" w:hAnsi="宋体"/>
          <w:sz w:val="22"/>
          <w:szCs w:val="22"/>
        </w:rPr>
        <w:t>（一）承包人承诺承担和履行合同和发包人所规定的安全责任，且满足要求。</w:t>
      </w:r>
    </w:p>
    <w:p>
      <w:pPr>
        <w:spacing w:line="440" w:lineRule="exact"/>
        <w:ind w:firstLine="440" w:firstLineChars="200"/>
        <w:jc w:val="left"/>
        <w:rPr>
          <w:rFonts w:ascii="宋体" w:hAnsi="宋体"/>
          <w:sz w:val="22"/>
          <w:szCs w:val="22"/>
        </w:rPr>
      </w:pPr>
      <w:r>
        <w:rPr>
          <w:rFonts w:hint="eastAsia" w:ascii="宋体" w:hAnsi="宋体"/>
          <w:sz w:val="22"/>
          <w:szCs w:val="22"/>
        </w:rPr>
        <w:t>（二）承包人的安全控制目标是确保本工程在实施过程中：</w:t>
      </w:r>
    </w:p>
    <w:p>
      <w:pPr>
        <w:spacing w:line="440" w:lineRule="exact"/>
        <w:ind w:firstLine="440" w:firstLineChars="200"/>
        <w:jc w:val="left"/>
        <w:rPr>
          <w:rFonts w:ascii="宋体" w:hAnsi="宋体"/>
          <w:sz w:val="22"/>
          <w:szCs w:val="22"/>
        </w:rPr>
      </w:pPr>
      <w:r>
        <w:rPr>
          <w:rFonts w:hint="eastAsia" w:ascii="宋体" w:hAnsi="宋体"/>
          <w:sz w:val="22"/>
          <w:szCs w:val="22"/>
        </w:rPr>
        <w:t>1．不发生人身重伤事故；</w:t>
      </w:r>
    </w:p>
    <w:p>
      <w:pPr>
        <w:spacing w:line="440" w:lineRule="exact"/>
        <w:ind w:firstLine="440" w:firstLineChars="200"/>
        <w:jc w:val="left"/>
        <w:rPr>
          <w:rFonts w:ascii="宋体" w:hAnsi="宋体"/>
          <w:sz w:val="22"/>
          <w:szCs w:val="22"/>
        </w:rPr>
      </w:pPr>
      <w:r>
        <w:rPr>
          <w:rFonts w:hint="eastAsia" w:ascii="宋体" w:hAnsi="宋体"/>
          <w:sz w:val="22"/>
          <w:szCs w:val="22"/>
        </w:rPr>
        <w:t>2．不发生火灾事故；</w:t>
      </w:r>
    </w:p>
    <w:p>
      <w:pPr>
        <w:spacing w:line="440" w:lineRule="exact"/>
        <w:ind w:firstLine="440" w:firstLineChars="200"/>
        <w:jc w:val="left"/>
        <w:rPr>
          <w:rFonts w:ascii="宋体" w:hAnsi="宋体"/>
          <w:sz w:val="22"/>
          <w:szCs w:val="22"/>
        </w:rPr>
      </w:pPr>
      <w:r>
        <w:rPr>
          <w:rFonts w:hint="eastAsia" w:ascii="宋体" w:hAnsi="宋体"/>
          <w:sz w:val="22"/>
          <w:szCs w:val="22"/>
        </w:rPr>
        <w:t>3．不发生负有同等及以上事故责任的造成人身重伤的一般交通事故；</w:t>
      </w:r>
    </w:p>
    <w:p>
      <w:pPr>
        <w:spacing w:line="440" w:lineRule="exact"/>
        <w:ind w:firstLine="440" w:firstLineChars="200"/>
        <w:jc w:val="left"/>
        <w:rPr>
          <w:rFonts w:ascii="宋体" w:hAnsi="宋体"/>
          <w:sz w:val="22"/>
          <w:szCs w:val="22"/>
        </w:rPr>
      </w:pPr>
      <w:r>
        <w:rPr>
          <w:rFonts w:hint="eastAsia" w:ascii="宋体" w:hAnsi="宋体"/>
          <w:sz w:val="22"/>
          <w:szCs w:val="22"/>
        </w:rPr>
        <w:t>4．不发生集体食物中毒事件（同时5人及以上的食物中毒）；</w:t>
      </w:r>
    </w:p>
    <w:p>
      <w:pPr>
        <w:spacing w:line="440" w:lineRule="exact"/>
        <w:ind w:firstLine="440" w:firstLineChars="200"/>
        <w:jc w:val="left"/>
        <w:rPr>
          <w:rFonts w:ascii="宋体" w:hAnsi="宋体"/>
          <w:sz w:val="22"/>
          <w:szCs w:val="22"/>
        </w:rPr>
      </w:pPr>
      <w:r>
        <w:rPr>
          <w:rFonts w:hint="eastAsia" w:ascii="宋体" w:hAnsi="宋体"/>
          <w:sz w:val="22"/>
          <w:szCs w:val="22"/>
        </w:rPr>
        <w:t>5．不发生流行性传染病 （无甲型传染病、其他常见传染病未形成多人同时患病）；</w:t>
      </w:r>
    </w:p>
    <w:p>
      <w:pPr>
        <w:spacing w:line="440" w:lineRule="exact"/>
        <w:ind w:firstLine="440" w:firstLineChars="200"/>
        <w:jc w:val="left"/>
        <w:rPr>
          <w:rFonts w:ascii="宋体" w:hAnsi="宋体"/>
          <w:sz w:val="22"/>
          <w:szCs w:val="22"/>
        </w:rPr>
      </w:pPr>
      <w:r>
        <w:rPr>
          <w:rFonts w:hint="eastAsia" w:ascii="宋体" w:hAnsi="宋体"/>
          <w:sz w:val="22"/>
          <w:szCs w:val="22"/>
        </w:rPr>
        <w:t>6．不发生重大环境污染事件（生活、工业垃圾及其他污染物造成环境污染和大面积水土流失）；</w:t>
      </w:r>
    </w:p>
    <w:p>
      <w:pPr>
        <w:spacing w:line="440" w:lineRule="exact"/>
        <w:ind w:firstLine="440" w:firstLineChars="200"/>
        <w:jc w:val="left"/>
        <w:rPr>
          <w:rFonts w:ascii="宋体" w:hAnsi="宋体"/>
          <w:sz w:val="22"/>
          <w:szCs w:val="22"/>
        </w:rPr>
      </w:pPr>
      <w:r>
        <w:rPr>
          <w:rFonts w:hint="eastAsia" w:ascii="宋体" w:hAnsi="宋体"/>
          <w:sz w:val="22"/>
          <w:szCs w:val="22"/>
        </w:rPr>
        <w:t>7．不发生对施工区附近生产、生活造成重大影响的事件（如造成重大设备损坏、重大财产损失、人员伤害等）；</w:t>
      </w:r>
    </w:p>
    <w:p>
      <w:pPr>
        <w:spacing w:line="440" w:lineRule="exact"/>
        <w:ind w:firstLine="440" w:firstLineChars="200"/>
        <w:jc w:val="left"/>
        <w:rPr>
          <w:rFonts w:ascii="宋体" w:hAnsi="宋体"/>
          <w:sz w:val="22"/>
          <w:szCs w:val="22"/>
        </w:rPr>
      </w:pPr>
      <w:r>
        <w:rPr>
          <w:rFonts w:hint="eastAsia" w:ascii="宋体" w:hAnsi="宋体"/>
          <w:sz w:val="22"/>
          <w:szCs w:val="22"/>
        </w:rPr>
        <w:t>8．不发生治安保卫事件（构成刑事拘留及以上的事件、盗窃直接损失超过1万元人民币的事件）。</w:t>
      </w:r>
    </w:p>
    <w:p>
      <w:pPr>
        <w:spacing w:line="440" w:lineRule="exact"/>
        <w:ind w:firstLine="440" w:firstLineChars="200"/>
        <w:jc w:val="left"/>
        <w:rPr>
          <w:rFonts w:ascii="宋体" w:hAnsi="宋体"/>
          <w:sz w:val="22"/>
          <w:szCs w:val="22"/>
        </w:rPr>
      </w:pPr>
      <w:bookmarkStart w:id="451" w:name="_Toc239510291"/>
      <w:bookmarkStart w:id="452" w:name="_Toc247431425"/>
      <w:bookmarkStart w:id="453" w:name="_Toc247418265"/>
      <w:r>
        <w:rPr>
          <w:rFonts w:hint="eastAsia" w:ascii="宋体" w:hAnsi="宋体"/>
          <w:sz w:val="22"/>
          <w:szCs w:val="22"/>
        </w:rPr>
        <w:t>（三）承包人承诺在施工中控制以下安全事故的发生：</w:t>
      </w:r>
      <w:bookmarkEnd w:id="451"/>
      <w:bookmarkEnd w:id="452"/>
      <w:bookmarkEnd w:id="453"/>
    </w:p>
    <w:p>
      <w:pPr>
        <w:spacing w:line="440" w:lineRule="exact"/>
        <w:ind w:firstLine="440" w:firstLineChars="200"/>
        <w:jc w:val="left"/>
        <w:rPr>
          <w:rFonts w:ascii="宋体" w:hAnsi="宋体"/>
          <w:sz w:val="22"/>
          <w:szCs w:val="22"/>
        </w:rPr>
      </w:pPr>
      <w:r>
        <w:rPr>
          <w:rFonts w:hint="eastAsia" w:ascii="宋体" w:hAnsi="宋体"/>
          <w:sz w:val="22"/>
          <w:szCs w:val="22"/>
        </w:rPr>
        <w:t>1．人员轻伤事故。</w:t>
      </w:r>
    </w:p>
    <w:p>
      <w:pPr>
        <w:spacing w:line="440" w:lineRule="exact"/>
        <w:ind w:firstLine="440" w:firstLineChars="200"/>
        <w:jc w:val="left"/>
        <w:rPr>
          <w:rFonts w:ascii="宋体" w:hAnsi="宋体"/>
          <w:sz w:val="22"/>
          <w:szCs w:val="22"/>
        </w:rPr>
      </w:pPr>
      <w:r>
        <w:rPr>
          <w:rFonts w:hint="eastAsia" w:ascii="宋体" w:hAnsi="宋体"/>
          <w:sz w:val="22"/>
          <w:szCs w:val="22"/>
        </w:rPr>
        <w:t>2．负有同等及以上事故责任的人身轻伤交通事故。</w:t>
      </w:r>
    </w:p>
    <w:p>
      <w:pPr>
        <w:spacing w:line="440" w:lineRule="exact"/>
        <w:ind w:firstLine="440" w:firstLineChars="200"/>
        <w:jc w:val="left"/>
        <w:rPr>
          <w:rFonts w:ascii="宋体" w:hAnsi="宋体"/>
          <w:sz w:val="22"/>
          <w:szCs w:val="22"/>
        </w:rPr>
      </w:pPr>
      <w:r>
        <w:rPr>
          <w:rFonts w:hint="eastAsia" w:ascii="宋体" w:hAnsi="宋体"/>
          <w:sz w:val="22"/>
          <w:szCs w:val="22"/>
        </w:rPr>
        <w:t>3．其他安全未遂事故和异常事件。</w:t>
      </w:r>
    </w:p>
    <w:p>
      <w:pPr>
        <w:spacing w:line="440" w:lineRule="exact"/>
        <w:ind w:firstLine="440" w:firstLineChars="200"/>
        <w:rPr>
          <w:rFonts w:ascii="宋体" w:hAnsi="宋体"/>
          <w:sz w:val="22"/>
          <w:szCs w:val="22"/>
        </w:rPr>
      </w:pPr>
      <w:bookmarkStart w:id="454" w:name="_Toc239510292"/>
      <w:bookmarkStart w:id="455" w:name="_Toc532375702"/>
      <w:bookmarkStart w:id="456" w:name="_Toc247431426"/>
      <w:bookmarkStart w:id="457" w:name="_Toc247418266"/>
      <w:r>
        <w:rPr>
          <w:rFonts w:hint="eastAsia" w:ascii="宋体" w:hAnsi="宋体"/>
          <w:sz w:val="22"/>
          <w:szCs w:val="22"/>
        </w:rPr>
        <w:t>三、安全责任</w:t>
      </w:r>
      <w:bookmarkEnd w:id="454"/>
      <w:bookmarkEnd w:id="455"/>
      <w:bookmarkEnd w:id="456"/>
      <w:bookmarkEnd w:id="457"/>
    </w:p>
    <w:p>
      <w:pPr>
        <w:spacing w:line="440" w:lineRule="exact"/>
        <w:ind w:firstLine="440" w:firstLineChars="200"/>
        <w:jc w:val="left"/>
        <w:rPr>
          <w:rFonts w:ascii="宋体" w:hAnsi="宋体"/>
          <w:sz w:val="22"/>
          <w:szCs w:val="22"/>
        </w:rPr>
      </w:pPr>
      <w:r>
        <w:rPr>
          <w:rFonts w:hint="eastAsia" w:ascii="宋体" w:hAnsi="宋体"/>
          <w:sz w:val="22"/>
          <w:szCs w:val="22"/>
        </w:rPr>
        <w:t>1．承包人负有安全生产的管理责任和直接责任。</w:t>
      </w:r>
    </w:p>
    <w:p>
      <w:pPr>
        <w:spacing w:line="440" w:lineRule="exact"/>
        <w:ind w:firstLine="440" w:firstLineChars="200"/>
        <w:jc w:val="left"/>
        <w:rPr>
          <w:rFonts w:ascii="宋体" w:hAnsi="宋体"/>
          <w:sz w:val="22"/>
          <w:szCs w:val="22"/>
        </w:rPr>
      </w:pPr>
      <w:r>
        <w:rPr>
          <w:rFonts w:hint="eastAsia" w:ascii="宋体" w:hAnsi="宋体"/>
          <w:sz w:val="22"/>
          <w:szCs w:val="22"/>
        </w:rPr>
        <w:t>2．承包人的法人或签署合同的公司总经理或受委托的代理人对合同安全负有全面的领导责任。</w:t>
      </w:r>
    </w:p>
    <w:p>
      <w:pPr>
        <w:spacing w:line="440" w:lineRule="exact"/>
        <w:ind w:firstLine="440" w:firstLineChars="200"/>
        <w:jc w:val="left"/>
        <w:rPr>
          <w:rFonts w:ascii="宋体" w:hAnsi="宋体"/>
          <w:sz w:val="22"/>
          <w:szCs w:val="22"/>
        </w:rPr>
      </w:pPr>
      <w:r>
        <w:rPr>
          <w:rFonts w:hint="eastAsia" w:ascii="宋体" w:hAnsi="宋体"/>
          <w:sz w:val="22"/>
          <w:szCs w:val="22"/>
        </w:rPr>
        <w:t>3．承包人项目经理对施工现场的安全工作负有全面的直接领导责任。</w:t>
      </w:r>
    </w:p>
    <w:p>
      <w:pPr>
        <w:spacing w:line="440" w:lineRule="exact"/>
        <w:ind w:firstLine="440" w:firstLineChars="200"/>
        <w:jc w:val="left"/>
        <w:rPr>
          <w:rFonts w:ascii="宋体" w:hAnsi="宋体"/>
          <w:sz w:val="22"/>
          <w:szCs w:val="22"/>
        </w:rPr>
      </w:pPr>
      <w:r>
        <w:rPr>
          <w:rFonts w:hint="eastAsia" w:ascii="宋体" w:hAnsi="宋体"/>
          <w:sz w:val="22"/>
          <w:szCs w:val="22"/>
        </w:rPr>
        <w:t>4．承包人保证执行“谁施工、谁负责”的施工安全原则。</w:t>
      </w:r>
    </w:p>
    <w:p>
      <w:pPr>
        <w:spacing w:line="440" w:lineRule="exact"/>
        <w:ind w:firstLine="440" w:firstLineChars="200"/>
        <w:jc w:val="left"/>
        <w:rPr>
          <w:rFonts w:ascii="宋体" w:hAnsi="宋体"/>
          <w:sz w:val="22"/>
          <w:szCs w:val="22"/>
        </w:rPr>
      </w:pPr>
      <w:r>
        <w:rPr>
          <w:rFonts w:hint="eastAsia" w:ascii="宋体" w:hAnsi="宋体"/>
          <w:sz w:val="22"/>
          <w:szCs w:val="22"/>
        </w:rPr>
        <w:t>5．承包人保证服从发包人对安全工作的统一协调和管理。</w:t>
      </w:r>
    </w:p>
    <w:p>
      <w:pPr>
        <w:spacing w:line="440" w:lineRule="exact"/>
        <w:ind w:firstLine="440" w:firstLineChars="200"/>
        <w:jc w:val="left"/>
        <w:rPr>
          <w:rFonts w:ascii="宋体" w:hAnsi="宋体"/>
          <w:sz w:val="22"/>
          <w:szCs w:val="22"/>
        </w:rPr>
      </w:pPr>
      <w:r>
        <w:rPr>
          <w:rFonts w:hint="eastAsia" w:ascii="宋体" w:hAnsi="宋体"/>
          <w:sz w:val="22"/>
          <w:szCs w:val="22"/>
        </w:rPr>
        <w:t>6．承包人保证对本工程项目安全生产条件及其管理资源自行投入，保证安全资金的专款专用。</w:t>
      </w:r>
    </w:p>
    <w:p>
      <w:pPr>
        <w:spacing w:line="440" w:lineRule="exact"/>
        <w:ind w:firstLine="440" w:firstLineChars="200"/>
        <w:jc w:val="left"/>
        <w:rPr>
          <w:rFonts w:ascii="宋体" w:hAnsi="宋体"/>
          <w:sz w:val="22"/>
          <w:szCs w:val="22"/>
        </w:rPr>
      </w:pPr>
      <w:r>
        <w:rPr>
          <w:rFonts w:hint="eastAsia" w:ascii="宋体" w:hAnsi="宋体"/>
          <w:sz w:val="22"/>
          <w:szCs w:val="22"/>
        </w:rPr>
        <w:t>7．承包人保证建立本工程项目的安全管理体系及安全保证体系（注：项目安全管理大纲/手册、管理性的程序文件等）。</w:t>
      </w:r>
    </w:p>
    <w:p>
      <w:pPr>
        <w:spacing w:line="440" w:lineRule="exact"/>
        <w:ind w:firstLine="440" w:firstLineChars="200"/>
        <w:jc w:val="left"/>
        <w:rPr>
          <w:rFonts w:ascii="宋体" w:hAnsi="宋体"/>
          <w:sz w:val="22"/>
          <w:szCs w:val="22"/>
        </w:rPr>
      </w:pPr>
      <w:r>
        <w:rPr>
          <w:rFonts w:hint="eastAsia" w:ascii="宋体" w:hAnsi="宋体"/>
          <w:sz w:val="22"/>
          <w:szCs w:val="22"/>
        </w:rPr>
        <w:t>8．承包人保证现场的安全管理专职人员必须持有建设主管部门安全生产培训考核合格证书。</w:t>
      </w:r>
    </w:p>
    <w:p>
      <w:pPr>
        <w:spacing w:line="440" w:lineRule="exact"/>
        <w:ind w:firstLine="440" w:firstLineChars="200"/>
        <w:jc w:val="left"/>
        <w:rPr>
          <w:rFonts w:ascii="宋体" w:hAnsi="宋体"/>
          <w:sz w:val="22"/>
          <w:szCs w:val="22"/>
        </w:rPr>
      </w:pPr>
      <w:r>
        <w:rPr>
          <w:rFonts w:hint="eastAsia" w:ascii="宋体" w:hAnsi="宋体"/>
          <w:sz w:val="22"/>
          <w:szCs w:val="22"/>
        </w:rPr>
        <w:t>9．承包人保证为现场所有工作人员（含分包商员工及劳务人员）配备符合国家标准的有承包人和/或其下属分包商标志的个人基本劳动保护用品。</w:t>
      </w:r>
    </w:p>
    <w:p>
      <w:pPr>
        <w:spacing w:line="440" w:lineRule="exact"/>
        <w:ind w:firstLine="440" w:firstLineChars="200"/>
        <w:jc w:val="left"/>
        <w:rPr>
          <w:rFonts w:ascii="宋体" w:hAnsi="宋体"/>
          <w:sz w:val="22"/>
          <w:szCs w:val="22"/>
        </w:rPr>
      </w:pPr>
      <w:r>
        <w:rPr>
          <w:rFonts w:hint="eastAsia" w:ascii="宋体" w:hAnsi="宋体"/>
          <w:sz w:val="22"/>
          <w:szCs w:val="22"/>
        </w:rPr>
        <w:t>10．承包人保证按照国家法律规定为现场所有工作人员（含分包商员工及劳务人员）购买意外伤害保险。</w:t>
      </w:r>
    </w:p>
    <w:p>
      <w:pPr>
        <w:spacing w:line="440" w:lineRule="exact"/>
        <w:ind w:firstLine="440" w:firstLineChars="200"/>
        <w:jc w:val="left"/>
        <w:rPr>
          <w:rFonts w:ascii="宋体" w:hAnsi="宋体"/>
          <w:sz w:val="22"/>
          <w:szCs w:val="22"/>
        </w:rPr>
      </w:pPr>
      <w:r>
        <w:rPr>
          <w:rFonts w:hint="eastAsia" w:ascii="宋体" w:hAnsi="宋体"/>
          <w:sz w:val="22"/>
          <w:szCs w:val="22"/>
        </w:rPr>
        <w:t>11．承包人保证施工生活营地（包括自建的和租用的营地）满足消防、安全用电、卫生防疫、防暴雨、防雷击等方面的安全要求。</w:t>
      </w:r>
    </w:p>
    <w:p>
      <w:pPr>
        <w:spacing w:line="440" w:lineRule="exact"/>
        <w:ind w:firstLine="440" w:firstLineChars="200"/>
        <w:jc w:val="left"/>
        <w:rPr>
          <w:rFonts w:ascii="宋体" w:hAnsi="宋体"/>
          <w:sz w:val="22"/>
          <w:szCs w:val="22"/>
        </w:rPr>
      </w:pPr>
      <w:r>
        <w:rPr>
          <w:rFonts w:hint="eastAsia" w:ascii="宋体" w:hAnsi="宋体"/>
          <w:sz w:val="22"/>
          <w:szCs w:val="22"/>
        </w:rPr>
        <w:t>12．承包人保证对带入现场的设备、工具、材料按照国家法规和标准进行检测、试验，并持有法定部门出具的检验证书。</w:t>
      </w:r>
    </w:p>
    <w:p>
      <w:pPr>
        <w:spacing w:line="440" w:lineRule="exact"/>
        <w:ind w:firstLine="440" w:firstLineChars="200"/>
        <w:jc w:val="left"/>
        <w:rPr>
          <w:rFonts w:ascii="宋体" w:hAnsi="宋体"/>
          <w:sz w:val="22"/>
          <w:szCs w:val="22"/>
        </w:rPr>
      </w:pPr>
      <w:r>
        <w:rPr>
          <w:rFonts w:hint="eastAsia" w:ascii="宋体" w:hAnsi="宋体"/>
          <w:sz w:val="22"/>
          <w:szCs w:val="22"/>
        </w:rPr>
        <w:t>13．承包人保证制订施工现场的文明施工措施，保护环境、树木和植被，保持施工现场的良好秩序和整洁的作业环境。</w:t>
      </w:r>
    </w:p>
    <w:p>
      <w:pPr>
        <w:spacing w:line="440" w:lineRule="exact"/>
        <w:ind w:firstLine="440" w:firstLineChars="200"/>
        <w:jc w:val="left"/>
        <w:rPr>
          <w:rFonts w:ascii="宋体" w:hAnsi="宋体"/>
          <w:sz w:val="22"/>
          <w:szCs w:val="22"/>
        </w:rPr>
      </w:pPr>
      <w:r>
        <w:rPr>
          <w:rFonts w:hint="eastAsia" w:ascii="宋体" w:hAnsi="宋体"/>
          <w:sz w:val="22"/>
          <w:szCs w:val="22"/>
        </w:rPr>
        <w:t>14．承包人负责在施工过程中与当地政府、周边群众及其他承包商保持良好的沟通和交流。承包人遇到与周边群众发生纠纷时，应负责协调工作，确保工程能够顺利进行。</w:t>
      </w:r>
    </w:p>
    <w:p>
      <w:pPr>
        <w:spacing w:line="440" w:lineRule="exact"/>
        <w:ind w:firstLine="440" w:firstLineChars="200"/>
        <w:rPr>
          <w:rFonts w:ascii="宋体" w:hAnsi="宋体"/>
          <w:sz w:val="22"/>
          <w:szCs w:val="22"/>
        </w:rPr>
      </w:pPr>
      <w:bookmarkStart w:id="458" w:name="_Toc247418267"/>
      <w:bookmarkStart w:id="459" w:name="_Toc247431427"/>
      <w:bookmarkStart w:id="460" w:name="_Toc532375703"/>
      <w:bookmarkStart w:id="461" w:name="_Toc239510293"/>
      <w:r>
        <w:rPr>
          <w:rFonts w:hint="eastAsia" w:ascii="宋体" w:hAnsi="宋体"/>
          <w:sz w:val="22"/>
          <w:szCs w:val="22"/>
        </w:rPr>
        <w:t>四、接口及协调</w:t>
      </w:r>
      <w:bookmarkEnd w:id="458"/>
      <w:bookmarkEnd w:id="459"/>
      <w:bookmarkEnd w:id="460"/>
      <w:bookmarkEnd w:id="461"/>
    </w:p>
    <w:p>
      <w:pPr>
        <w:spacing w:line="440" w:lineRule="exact"/>
        <w:ind w:firstLine="440" w:firstLineChars="200"/>
        <w:jc w:val="left"/>
        <w:rPr>
          <w:rFonts w:ascii="宋体" w:hAnsi="宋体"/>
          <w:sz w:val="22"/>
          <w:szCs w:val="22"/>
        </w:rPr>
      </w:pPr>
      <w:r>
        <w:rPr>
          <w:rFonts w:hint="eastAsia" w:ascii="宋体" w:hAnsi="宋体"/>
          <w:sz w:val="22"/>
          <w:szCs w:val="22"/>
        </w:rPr>
        <w:t>1．发包人委托监理公司对该工程实施监理，监理公司在安全管理方面代表发包人行使监督检查职能，承包人必须给予配合和支持。</w:t>
      </w:r>
    </w:p>
    <w:p>
      <w:pPr>
        <w:spacing w:line="440" w:lineRule="exact"/>
        <w:ind w:firstLine="440" w:firstLineChars="200"/>
        <w:jc w:val="left"/>
        <w:rPr>
          <w:rFonts w:ascii="宋体" w:hAnsi="宋体"/>
          <w:sz w:val="22"/>
          <w:szCs w:val="22"/>
        </w:rPr>
      </w:pPr>
      <w:r>
        <w:rPr>
          <w:rFonts w:hint="eastAsia" w:ascii="宋体" w:hAnsi="宋体"/>
          <w:sz w:val="22"/>
          <w:szCs w:val="22"/>
        </w:rPr>
        <w:t>2．承包人人员、车辆的出入，带入现场的设备、机具、材料，在现场使用的或直接管理的办公、生活、生产性设施的安全管理须满足发包人现场管理的基本要求。</w:t>
      </w:r>
    </w:p>
    <w:p>
      <w:pPr>
        <w:spacing w:line="440" w:lineRule="exact"/>
        <w:ind w:firstLine="440" w:firstLineChars="200"/>
        <w:jc w:val="left"/>
        <w:rPr>
          <w:rFonts w:ascii="宋体" w:hAnsi="宋体"/>
          <w:sz w:val="22"/>
          <w:szCs w:val="22"/>
        </w:rPr>
      </w:pPr>
      <w:r>
        <w:rPr>
          <w:rFonts w:hint="eastAsia" w:ascii="宋体" w:hAnsi="宋体"/>
          <w:sz w:val="22"/>
          <w:szCs w:val="22"/>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440" w:lineRule="exact"/>
        <w:ind w:firstLine="440" w:firstLineChars="200"/>
        <w:jc w:val="left"/>
        <w:rPr>
          <w:rFonts w:ascii="宋体" w:hAnsi="宋体"/>
          <w:sz w:val="22"/>
          <w:szCs w:val="22"/>
        </w:rPr>
      </w:pPr>
      <w:r>
        <w:rPr>
          <w:rFonts w:hint="eastAsia" w:ascii="宋体" w:hAnsi="宋体"/>
          <w:sz w:val="22"/>
          <w:szCs w:val="22"/>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440" w:lineRule="exact"/>
        <w:ind w:firstLine="440" w:firstLineChars="200"/>
        <w:jc w:val="left"/>
        <w:rPr>
          <w:rFonts w:ascii="宋体" w:hAnsi="宋体"/>
          <w:sz w:val="22"/>
          <w:szCs w:val="22"/>
        </w:rPr>
      </w:pPr>
      <w:r>
        <w:rPr>
          <w:rFonts w:hint="eastAsia" w:ascii="宋体" w:hAnsi="宋体"/>
          <w:sz w:val="22"/>
          <w:szCs w:val="22"/>
        </w:rPr>
        <w:t>5．承包人指定的专职安全管理人员应与发包人委托的监理公司建立联系，在业务上接受发包人委托的监理公司的协调和指导。</w:t>
      </w:r>
    </w:p>
    <w:p>
      <w:pPr>
        <w:spacing w:line="440" w:lineRule="exact"/>
        <w:ind w:firstLine="440" w:firstLineChars="200"/>
        <w:jc w:val="left"/>
        <w:rPr>
          <w:rFonts w:ascii="宋体" w:hAnsi="宋体"/>
          <w:sz w:val="22"/>
          <w:szCs w:val="22"/>
        </w:rPr>
      </w:pPr>
      <w:r>
        <w:rPr>
          <w:rFonts w:hint="eastAsia" w:ascii="宋体" w:hAnsi="宋体"/>
          <w:sz w:val="22"/>
          <w:szCs w:val="22"/>
        </w:rPr>
        <w:t>6．开工后承包人的专职安全管理人员应按照发包人委托的监理公司的规定，定期报送安全月度快报、季报、年报和各种专项事故报告等。</w:t>
      </w:r>
    </w:p>
    <w:p>
      <w:pPr>
        <w:spacing w:line="440" w:lineRule="exact"/>
        <w:ind w:firstLine="440" w:firstLineChars="200"/>
        <w:jc w:val="left"/>
        <w:rPr>
          <w:rFonts w:ascii="宋体" w:hAnsi="宋体"/>
          <w:sz w:val="22"/>
          <w:szCs w:val="22"/>
        </w:rPr>
      </w:pPr>
      <w:r>
        <w:rPr>
          <w:rFonts w:hint="eastAsia" w:ascii="宋体" w:hAnsi="宋体"/>
          <w:sz w:val="22"/>
          <w:szCs w:val="22"/>
        </w:rPr>
        <w:t>7．在工程实体未全部正式移交发包人施工管理部门之前，承包人依旧对施工范围内的安全管理负责。</w:t>
      </w:r>
    </w:p>
    <w:p>
      <w:pPr>
        <w:spacing w:line="440" w:lineRule="exact"/>
        <w:ind w:firstLine="440" w:firstLineChars="200"/>
        <w:rPr>
          <w:rFonts w:ascii="宋体" w:hAnsi="宋体"/>
          <w:sz w:val="22"/>
          <w:szCs w:val="22"/>
        </w:rPr>
      </w:pPr>
      <w:bookmarkStart w:id="462" w:name="_Toc239510294"/>
      <w:bookmarkStart w:id="463" w:name="_Toc247418268"/>
      <w:bookmarkStart w:id="464" w:name="_Toc532375704"/>
      <w:bookmarkStart w:id="465" w:name="_Toc247431428"/>
      <w:r>
        <w:rPr>
          <w:rFonts w:hint="eastAsia" w:ascii="宋体" w:hAnsi="宋体"/>
          <w:sz w:val="22"/>
          <w:szCs w:val="22"/>
        </w:rPr>
        <w:t>五、安全资质审查</w:t>
      </w:r>
      <w:bookmarkEnd w:id="462"/>
      <w:bookmarkEnd w:id="463"/>
      <w:bookmarkEnd w:id="464"/>
      <w:bookmarkEnd w:id="465"/>
    </w:p>
    <w:p>
      <w:pPr>
        <w:spacing w:line="440" w:lineRule="exact"/>
        <w:ind w:firstLine="440" w:firstLineChars="200"/>
        <w:jc w:val="left"/>
        <w:rPr>
          <w:rFonts w:ascii="宋体" w:hAnsi="宋体"/>
          <w:sz w:val="22"/>
          <w:szCs w:val="22"/>
        </w:rPr>
      </w:pPr>
      <w:r>
        <w:rPr>
          <w:rFonts w:hint="eastAsia" w:ascii="宋体" w:hAnsi="宋体"/>
          <w:sz w:val="22"/>
          <w:szCs w:val="22"/>
        </w:rPr>
        <w:t>承包人在项目开工前5个工作天内向发包人委托的监理公司提供以下安全资质供审查和存档：</w:t>
      </w:r>
    </w:p>
    <w:p>
      <w:pPr>
        <w:spacing w:line="440" w:lineRule="exact"/>
        <w:ind w:firstLine="440" w:firstLineChars="200"/>
        <w:jc w:val="left"/>
        <w:rPr>
          <w:rFonts w:ascii="宋体" w:hAnsi="宋体"/>
          <w:sz w:val="22"/>
          <w:szCs w:val="22"/>
        </w:rPr>
      </w:pPr>
      <w:r>
        <w:rPr>
          <w:rFonts w:hint="eastAsia" w:ascii="宋体" w:hAnsi="宋体"/>
          <w:sz w:val="22"/>
          <w:szCs w:val="22"/>
        </w:rPr>
        <w:t>1．企业安全生产许可证书复印件。</w:t>
      </w:r>
    </w:p>
    <w:p>
      <w:pPr>
        <w:spacing w:line="440" w:lineRule="exact"/>
        <w:ind w:firstLine="440" w:firstLineChars="200"/>
        <w:jc w:val="left"/>
        <w:rPr>
          <w:rFonts w:ascii="宋体" w:hAnsi="宋体"/>
          <w:sz w:val="22"/>
          <w:szCs w:val="22"/>
        </w:rPr>
      </w:pPr>
      <w:r>
        <w:rPr>
          <w:rFonts w:hint="eastAsia" w:ascii="宋体" w:hAnsi="宋体"/>
          <w:sz w:val="22"/>
          <w:szCs w:val="22"/>
        </w:rPr>
        <w:t>2．企业近三年的施工简历及安全施工业绩证明文件。</w:t>
      </w:r>
    </w:p>
    <w:p>
      <w:pPr>
        <w:spacing w:line="440" w:lineRule="exact"/>
        <w:ind w:firstLine="440" w:firstLineChars="200"/>
        <w:jc w:val="left"/>
        <w:rPr>
          <w:rFonts w:ascii="宋体" w:hAnsi="宋体"/>
          <w:sz w:val="22"/>
          <w:szCs w:val="22"/>
        </w:rPr>
      </w:pPr>
      <w:r>
        <w:rPr>
          <w:rFonts w:hint="eastAsia" w:ascii="宋体" w:hAnsi="宋体"/>
          <w:sz w:val="22"/>
          <w:szCs w:val="22"/>
        </w:rPr>
        <w:t>3．企业主要安全管理人员（包括项目经理、专职安全管理人员）经建设主管部门安全生产知识考核合格证书。</w:t>
      </w:r>
    </w:p>
    <w:p>
      <w:pPr>
        <w:spacing w:line="440" w:lineRule="exact"/>
        <w:ind w:firstLine="440" w:firstLineChars="200"/>
        <w:jc w:val="left"/>
        <w:rPr>
          <w:rFonts w:ascii="宋体" w:hAnsi="宋体"/>
          <w:sz w:val="22"/>
          <w:szCs w:val="22"/>
        </w:rPr>
      </w:pPr>
      <w:r>
        <w:rPr>
          <w:rFonts w:hint="eastAsia" w:ascii="宋体" w:hAnsi="宋体"/>
          <w:sz w:val="22"/>
          <w:szCs w:val="22"/>
        </w:rPr>
        <w:t>4．特种作业人员资格证书。</w:t>
      </w:r>
    </w:p>
    <w:p>
      <w:pPr>
        <w:spacing w:line="440" w:lineRule="exact"/>
        <w:ind w:firstLine="440" w:firstLineChars="200"/>
        <w:jc w:val="left"/>
        <w:rPr>
          <w:rFonts w:ascii="宋体" w:hAnsi="宋体"/>
          <w:sz w:val="22"/>
          <w:szCs w:val="22"/>
        </w:rPr>
      </w:pPr>
      <w:r>
        <w:rPr>
          <w:rFonts w:hint="eastAsia" w:ascii="宋体" w:hAnsi="宋体"/>
          <w:sz w:val="22"/>
          <w:szCs w:val="22"/>
        </w:rPr>
        <w:t>5．项目安全管理机构及其人员配备（承包人必须配有专职的安全员）。</w:t>
      </w:r>
    </w:p>
    <w:p>
      <w:pPr>
        <w:spacing w:line="440" w:lineRule="exact"/>
        <w:ind w:firstLine="440" w:firstLineChars="200"/>
        <w:jc w:val="left"/>
        <w:rPr>
          <w:rFonts w:ascii="宋体" w:hAnsi="宋体"/>
          <w:sz w:val="22"/>
          <w:szCs w:val="22"/>
        </w:rPr>
      </w:pPr>
      <w:r>
        <w:rPr>
          <w:rFonts w:hint="eastAsia" w:ascii="宋体" w:hAnsi="宋体"/>
          <w:sz w:val="22"/>
          <w:szCs w:val="22"/>
        </w:rPr>
        <w:t>6．适用于项目的安全管理体系及保证体系文件（安全管理大纲及管理程序文件）。</w:t>
      </w:r>
    </w:p>
    <w:p>
      <w:pPr>
        <w:spacing w:line="440" w:lineRule="exact"/>
        <w:ind w:firstLine="440" w:firstLineChars="200"/>
        <w:rPr>
          <w:rFonts w:ascii="宋体" w:hAnsi="宋体"/>
          <w:sz w:val="22"/>
          <w:szCs w:val="22"/>
        </w:rPr>
      </w:pPr>
      <w:bookmarkStart w:id="466" w:name="_Toc247431429"/>
      <w:bookmarkStart w:id="467" w:name="_Toc247418269"/>
      <w:bookmarkStart w:id="468" w:name="_Toc239510295"/>
      <w:bookmarkStart w:id="469" w:name="_Toc532375705"/>
      <w:r>
        <w:rPr>
          <w:rFonts w:hint="eastAsia" w:ascii="宋体" w:hAnsi="宋体"/>
          <w:sz w:val="22"/>
          <w:szCs w:val="22"/>
        </w:rPr>
        <w:t>六、人员基本素质</w:t>
      </w:r>
      <w:bookmarkEnd w:id="466"/>
      <w:bookmarkEnd w:id="467"/>
      <w:bookmarkEnd w:id="468"/>
      <w:bookmarkEnd w:id="469"/>
    </w:p>
    <w:p>
      <w:pPr>
        <w:spacing w:line="440" w:lineRule="exact"/>
        <w:ind w:firstLine="440" w:firstLineChars="200"/>
        <w:jc w:val="left"/>
        <w:rPr>
          <w:rFonts w:ascii="宋体" w:hAnsi="宋体"/>
          <w:sz w:val="22"/>
          <w:szCs w:val="22"/>
        </w:rPr>
      </w:pPr>
      <w:r>
        <w:rPr>
          <w:rFonts w:hint="eastAsia" w:ascii="宋体" w:hAnsi="宋体"/>
          <w:sz w:val="22"/>
          <w:szCs w:val="22"/>
        </w:rPr>
        <w:t>承包人提供的人员必须满足下列要求:</w:t>
      </w:r>
    </w:p>
    <w:p>
      <w:pPr>
        <w:spacing w:line="440" w:lineRule="exact"/>
        <w:ind w:firstLine="440" w:firstLineChars="200"/>
        <w:jc w:val="left"/>
        <w:rPr>
          <w:rFonts w:ascii="宋体" w:hAnsi="宋体"/>
          <w:sz w:val="22"/>
          <w:szCs w:val="22"/>
        </w:rPr>
      </w:pPr>
      <w:r>
        <w:rPr>
          <w:rFonts w:hint="eastAsia" w:ascii="宋体" w:hAnsi="宋体"/>
          <w:sz w:val="22"/>
          <w:szCs w:val="22"/>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440" w:lineRule="exact"/>
        <w:ind w:firstLine="440" w:firstLineChars="200"/>
        <w:jc w:val="left"/>
        <w:rPr>
          <w:rFonts w:ascii="宋体" w:hAnsi="宋体"/>
          <w:sz w:val="22"/>
          <w:szCs w:val="22"/>
        </w:rPr>
      </w:pPr>
      <w:r>
        <w:rPr>
          <w:rFonts w:hint="eastAsia" w:ascii="宋体" w:hAnsi="宋体"/>
          <w:sz w:val="22"/>
          <w:szCs w:val="22"/>
        </w:rPr>
        <w:t>2．无刑事案件牵连。</w:t>
      </w:r>
    </w:p>
    <w:p>
      <w:pPr>
        <w:spacing w:line="440" w:lineRule="exact"/>
        <w:ind w:firstLine="440" w:firstLineChars="200"/>
        <w:jc w:val="left"/>
        <w:rPr>
          <w:rFonts w:ascii="宋体" w:hAnsi="宋体"/>
          <w:sz w:val="22"/>
          <w:szCs w:val="22"/>
        </w:rPr>
      </w:pPr>
      <w:r>
        <w:rPr>
          <w:rFonts w:hint="eastAsia" w:ascii="宋体" w:hAnsi="宋体"/>
          <w:sz w:val="22"/>
          <w:szCs w:val="22"/>
        </w:rPr>
        <w:t>3．无吸毒、酗酒、赌博、嫖娼等恶习及违法行为。</w:t>
      </w:r>
    </w:p>
    <w:p>
      <w:pPr>
        <w:spacing w:line="440" w:lineRule="exact"/>
        <w:ind w:firstLine="440" w:firstLineChars="200"/>
        <w:rPr>
          <w:rFonts w:ascii="宋体" w:hAnsi="宋体"/>
          <w:sz w:val="22"/>
          <w:szCs w:val="22"/>
        </w:rPr>
      </w:pPr>
      <w:bookmarkStart w:id="470" w:name="_Toc247418270"/>
      <w:bookmarkStart w:id="471" w:name="_Toc239510296"/>
      <w:bookmarkStart w:id="472" w:name="_Toc532375706"/>
      <w:bookmarkStart w:id="473" w:name="_Toc247431430"/>
      <w:r>
        <w:rPr>
          <w:rFonts w:hint="eastAsia" w:ascii="宋体" w:hAnsi="宋体"/>
          <w:sz w:val="22"/>
          <w:szCs w:val="22"/>
        </w:rPr>
        <w:t>七、劳动保护</w:t>
      </w:r>
      <w:bookmarkEnd w:id="470"/>
      <w:bookmarkEnd w:id="471"/>
      <w:bookmarkEnd w:id="472"/>
      <w:bookmarkEnd w:id="473"/>
    </w:p>
    <w:p>
      <w:pPr>
        <w:spacing w:line="440" w:lineRule="exact"/>
        <w:ind w:firstLine="440" w:firstLineChars="200"/>
        <w:jc w:val="left"/>
        <w:rPr>
          <w:rFonts w:ascii="宋体" w:hAnsi="宋体"/>
          <w:sz w:val="22"/>
          <w:szCs w:val="22"/>
        </w:rPr>
      </w:pPr>
      <w:r>
        <w:rPr>
          <w:rFonts w:hint="eastAsia" w:ascii="宋体" w:hAnsi="宋体"/>
          <w:sz w:val="22"/>
          <w:szCs w:val="22"/>
        </w:rPr>
        <w:t>1．承包人负责为本单位任何用工形式的员工提供个人劳动保护用品（包括工作服、安全帽、安全鞋等）。</w:t>
      </w:r>
    </w:p>
    <w:p>
      <w:pPr>
        <w:spacing w:line="440" w:lineRule="exact"/>
        <w:ind w:firstLine="440" w:firstLineChars="200"/>
        <w:jc w:val="left"/>
        <w:rPr>
          <w:rFonts w:ascii="宋体" w:hAnsi="宋体"/>
          <w:sz w:val="22"/>
          <w:szCs w:val="22"/>
        </w:rPr>
      </w:pPr>
      <w:r>
        <w:rPr>
          <w:rFonts w:hint="eastAsia" w:ascii="宋体" w:hAnsi="宋体"/>
          <w:sz w:val="22"/>
          <w:szCs w:val="22"/>
        </w:rPr>
        <w:t>2．承包人负责向特殊工种的员工提供特殊劳动保护，否则不得从事特殊工种作业。</w:t>
      </w:r>
    </w:p>
    <w:p>
      <w:pPr>
        <w:spacing w:line="440" w:lineRule="exact"/>
        <w:ind w:firstLine="440" w:firstLineChars="200"/>
        <w:jc w:val="left"/>
        <w:rPr>
          <w:rFonts w:ascii="宋体" w:hAnsi="宋体"/>
          <w:sz w:val="22"/>
          <w:szCs w:val="22"/>
        </w:rPr>
      </w:pPr>
      <w:r>
        <w:rPr>
          <w:rFonts w:hint="eastAsia" w:ascii="宋体" w:hAnsi="宋体"/>
          <w:sz w:val="22"/>
          <w:szCs w:val="22"/>
        </w:rPr>
        <w:t>3．发包人委托的监理公司有权检查承包人的个人劳动保护用品是否符合国家的相应标准。</w:t>
      </w:r>
    </w:p>
    <w:p>
      <w:pPr>
        <w:spacing w:line="440" w:lineRule="exact"/>
        <w:ind w:firstLine="440" w:firstLineChars="200"/>
        <w:jc w:val="left"/>
        <w:rPr>
          <w:rFonts w:ascii="宋体" w:hAnsi="宋体"/>
          <w:sz w:val="22"/>
          <w:szCs w:val="22"/>
        </w:rPr>
      </w:pPr>
      <w:r>
        <w:rPr>
          <w:rFonts w:hint="eastAsia" w:ascii="宋体" w:hAnsi="宋体"/>
          <w:sz w:val="22"/>
          <w:szCs w:val="22"/>
        </w:rPr>
        <w:t>4． 承包人在特殊风险场所作业而需要特殊防护用品或安全仪表时，必须在上述防护用品全部到位后才能开工。</w:t>
      </w:r>
    </w:p>
    <w:p>
      <w:pPr>
        <w:spacing w:line="440" w:lineRule="exact"/>
        <w:ind w:firstLine="440" w:firstLineChars="200"/>
        <w:jc w:val="left"/>
        <w:rPr>
          <w:rFonts w:ascii="宋体" w:hAnsi="宋体"/>
          <w:sz w:val="22"/>
          <w:szCs w:val="22"/>
        </w:rPr>
      </w:pPr>
      <w:r>
        <w:rPr>
          <w:rFonts w:hint="eastAsia" w:ascii="宋体" w:hAnsi="宋体"/>
          <w:sz w:val="22"/>
          <w:szCs w:val="22"/>
        </w:rPr>
        <w:t>5．承包人应配备临时安全围栏、警示带、警告标志、防火布等集体防护用品。</w:t>
      </w:r>
    </w:p>
    <w:p>
      <w:pPr>
        <w:spacing w:line="440" w:lineRule="exact"/>
        <w:ind w:firstLine="440" w:firstLineChars="200"/>
        <w:rPr>
          <w:rFonts w:ascii="宋体" w:hAnsi="宋体"/>
          <w:sz w:val="22"/>
          <w:szCs w:val="22"/>
        </w:rPr>
      </w:pPr>
      <w:bookmarkStart w:id="474" w:name="_Toc247418271"/>
      <w:bookmarkStart w:id="475" w:name="_Toc247431431"/>
      <w:bookmarkStart w:id="476" w:name="_Toc239510297"/>
      <w:bookmarkStart w:id="477" w:name="_Toc532375707"/>
      <w:r>
        <w:rPr>
          <w:rFonts w:hint="eastAsia" w:ascii="宋体" w:hAnsi="宋体"/>
          <w:sz w:val="22"/>
          <w:szCs w:val="22"/>
        </w:rPr>
        <w:t>八、施工机具与材料</w:t>
      </w:r>
      <w:bookmarkEnd w:id="474"/>
      <w:bookmarkEnd w:id="475"/>
      <w:bookmarkEnd w:id="476"/>
      <w:bookmarkEnd w:id="477"/>
    </w:p>
    <w:p>
      <w:pPr>
        <w:spacing w:line="440" w:lineRule="exact"/>
        <w:ind w:firstLine="440" w:firstLineChars="200"/>
        <w:jc w:val="left"/>
        <w:rPr>
          <w:rFonts w:ascii="宋体" w:hAnsi="宋体"/>
          <w:sz w:val="22"/>
          <w:szCs w:val="22"/>
        </w:rPr>
      </w:pPr>
      <w:r>
        <w:rPr>
          <w:rFonts w:hint="eastAsia" w:ascii="宋体" w:hAnsi="宋体"/>
          <w:sz w:val="22"/>
          <w:szCs w:val="22"/>
        </w:rPr>
        <w:t>1．承包人对带入现场的施工机械和工器具的安全负责。</w:t>
      </w:r>
    </w:p>
    <w:p>
      <w:pPr>
        <w:spacing w:line="440" w:lineRule="exact"/>
        <w:ind w:firstLine="440" w:firstLineChars="200"/>
        <w:jc w:val="left"/>
        <w:rPr>
          <w:rFonts w:ascii="宋体" w:hAnsi="宋体"/>
          <w:sz w:val="22"/>
          <w:szCs w:val="22"/>
        </w:rPr>
      </w:pPr>
      <w:r>
        <w:rPr>
          <w:rFonts w:hint="eastAsia" w:ascii="宋体" w:hAnsi="宋体"/>
          <w:sz w:val="22"/>
          <w:szCs w:val="22"/>
        </w:rPr>
        <w:t>2．对于承包人带入现场的特殊工器具，如起重设备、索具、机动车辆、压缩气瓶等，承包人必须按国家法规和标准进行检测、试验，并持有法定部门出具的检验证书。</w:t>
      </w:r>
    </w:p>
    <w:p>
      <w:pPr>
        <w:spacing w:line="440" w:lineRule="exact"/>
        <w:ind w:firstLine="440" w:firstLineChars="200"/>
        <w:jc w:val="left"/>
        <w:rPr>
          <w:rFonts w:ascii="宋体" w:hAnsi="宋体"/>
          <w:sz w:val="22"/>
          <w:szCs w:val="22"/>
        </w:rPr>
      </w:pPr>
      <w:r>
        <w:rPr>
          <w:rFonts w:hint="eastAsia" w:ascii="宋体" w:hAnsi="宋体"/>
          <w:sz w:val="22"/>
          <w:szCs w:val="22"/>
        </w:rPr>
        <w:t>3．对于不属于法定检测的工器具，承包人也必须建立相应的管理、检测制度，这些工器具包括登高工具、脚手架材料、电动工具、安全防护设备及用具等。</w:t>
      </w:r>
    </w:p>
    <w:p>
      <w:pPr>
        <w:spacing w:line="440" w:lineRule="exact"/>
        <w:ind w:firstLine="440" w:firstLineChars="200"/>
        <w:rPr>
          <w:rFonts w:ascii="宋体" w:hAnsi="宋体"/>
          <w:sz w:val="22"/>
          <w:szCs w:val="22"/>
        </w:rPr>
      </w:pPr>
      <w:bookmarkStart w:id="478" w:name="_Toc239510298"/>
      <w:bookmarkStart w:id="479" w:name="_Toc532375708"/>
      <w:bookmarkStart w:id="480" w:name="_Toc247418272"/>
      <w:bookmarkStart w:id="481" w:name="_Toc247431432"/>
      <w:r>
        <w:rPr>
          <w:rFonts w:hint="eastAsia" w:ascii="宋体" w:hAnsi="宋体"/>
          <w:sz w:val="22"/>
          <w:szCs w:val="22"/>
        </w:rPr>
        <w:t>九、开工前安全条件检查</w:t>
      </w:r>
      <w:bookmarkEnd w:id="478"/>
      <w:bookmarkEnd w:id="479"/>
      <w:bookmarkEnd w:id="480"/>
      <w:bookmarkEnd w:id="481"/>
    </w:p>
    <w:p>
      <w:pPr>
        <w:spacing w:line="440" w:lineRule="exact"/>
        <w:ind w:firstLine="440" w:firstLineChars="200"/>
        <w:jc w:val="left"/>
        <w:rPr>
          <w:rFonts w:ascii="宋体" w:hAnsi="宋体"/>
          <w:sz w:val="22"/>
          <w:szCs w:val="22"/>
        </w:rPr>
      </w:pPr>
      <w:r>
        <w:rPr>
          <w:rFonts w:hint="eastAsia" w:ascii="宋体" w:hAnsi="宋体"/>
          <w:sz w:val="22"/>
          <w:szCs w:val="22"/>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440" w:lineRule="exact"/>
        <w:ind w:firstLine="440" w:firstLineChars="200"/>
        <w:jc w:val="left"/>
        <w:rPr>
          <w:rFonts w:ascii="宋体" w:hAnsi="宋体"/>
          <w:sz w:val="22"/>
          <w:szCs w:val="22"/>
        </w:rPr>
      </w:pPr>
      <w:r>
        <w:rPr>
          <w:rFonts w:hint="eastAsia" w:ascii="宋体" w:hAnsi="宋体"/>
          <w:sz w:val="22"/>
          <w:szCs w:val="22"/>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40" w:lineRule="exact"/>
        <w:ind w:firstLine="440" w:firstLineChars="200"/>
        <w:jc w:val="left"/>
        <w:rPr>
          <w:rFonts w:ascii="宋体" w:hAnsi="宋体"/>
          <w:sz w:val="22"/>
          <w:szCs w:val="22"/>
        </w:rPr>
      </w:pPr>
      <w:r>
        <w:rPr>
          <w:rFonts w:hint="eastAsia" w:ascii="宋体" w:hAnsi="宋体"/>
          <w:sz w:val="22"/>
          <w:szCs w:val="22"/>
        </w:rPr>
        <w:t>3．发包人委托的监理公司检查发现的缺陷，承包人应在规定期限内完成整改。对于重大缺陷，发包人委托的监理公司有权要求承包人推迟开工，由此对工期产生的影响或经济损失，由承包人承担。</w:t>
      </w:r>
    </w:p>
    <w:p>
      <w:pPr>
        <w:spacing w:line="440" w:lineRule="exact"/>
        <w:ind w:firstLine="440" w:firstLineChars="200"/>
        <w:rPr>
          <w:rFonts w:ascii="宋体" w:hAnsi="宋体"/>
          <w:sz w:val="22"/>
          <w:szCs w:val="22"/>
        </w:rPr>
      </w:pPr>
      <w:bookmarkStart w:id="482" w:name="_Toc247418273"/>
      <w:bookmarkStart w:id="483" w:name="_Toc239510299"/>
      <w:bookmarkStart w:id="484" w:name="_Toc532375709"/>
      <w:bookmarkStart w:id="485" w:name="_Toc247431433"/>
      <w:r>
        <w:rPr>
          <w:rFonts w:hint="eastAsia" w:ascii="宋体" w:hAnsi="宋体"/>
          <w:sz w:val="22"/>
          <w:szCs w:val="22"/>
        </w:rPr>
        <w:t>十、安全监督</w:t>
      </w:r>
      <w:bookmarkEnd w:id="482"/>
      <w:bookmarkEnd w:id="483"/>
      <w:bookmarkEnd w:id="484"/>
      <w:bookmarkEnd w:id="485"/>
    </w:p>
    <w:p>
      <w:pPr>
        <w:spacing w:line="440" w:lineRule="exact"/>
        <w:ind w:firstLine="440" w:firstLineChars="200"/>
        <w:jc w:val="left"/>
        <w:rPr>
          <w:rFonts w:ascii="宋体" w:hAnsi="宋体"/>
          <w:sz w:val="22"/>
          <w:szCs w:val="22"/>
        </w:rPr>
      </w:pPr>
      <w:r>
        <w:rPr>
          <w:rFonts w:hint="eastAsia" w:ascii="宋体" w:hAnsi="宋体"/>
          <w:sz w:val="22"/>
          <w:szCs w:val="22"/>
        </w:rPr>
        <w:t>1．承包人应配备有满足项目安全管理需要的专职安全管理人员。</w:t>
      </w:r>
    </w:p>
    <w:p>
      <w:pPr>
        <w:spacing w:line="440" w:lineRule="exact"/>
        <w:ind w:firstLine="440" w:firstLineChars="200"/>
        <w:jc w:val="left"/>
        <w:rPr>
          <w:rFonts w:ascii="宋体" w:hAnsi="宋体"/>
          <w:sz w:val="22"/>
          <w:szCs w:val="22"/>
        </w:rPr>
      </w:pPr>
      <w:r>
        <w:rPr>
          <w:rFonts w:hint="eastAsia" w:ascii="宋体" w:hAnsi="宋体"/>
          <w:sz w:val="22"/>
          <w:szCs w:val="22"/>
        </w:rPr>
        <w:t>2．承包人的专职安全管理人员必须持建设主管部门颁发的安全生产知识考核合格证书。</w:t>
      </w:r>
    </w:p>
    <w:p>
      <w:pPr>
        <w:spacing w:line="440" w:lineRule="exact"/>
        <w:ind w:firstLine="440" w:firstLineChars="200"/>
        <w:jc w:val="left"/>
        <w:rPr>
          <w:rFonts w:ascii="宋体" w:hAnsi="宋体"/>
          <w:sz w:val="22"/>
          <w:szCs w:val="22"/>
        </w:rPr>
      </w:pPr>
      <w:r>
        <w:rPr>
          <w:rFonts w:hint="eastAsia" w:ascii="宋体" w:hAnsi="宋体"/>
          <w:sz w:val="22"/>
          <w:szCs w:val="22"/>
        </w:rPr>
        <w:t>3．承包人的专职安全管理人员在业务上接受发包人委托的监理公司和发包人安全管理部门的协调和指导。</w:t>
      </w:r>
    </w:p>
    <w:p>
      <w:pPr>
        <w:spacing w:line="440" w:lineRule="exact"/>
        <w:ind w:firstLine="440" w:firstLineChars="200"/>
        <w:jc w:val="left"/>
        <w:rPr>
          <w:rFonts w:ascii="宋体" w:hAnsi="宋体"/>
          <w:sz w:val="22"/>
          <w:szCs w:val="22"/>
        </w:rPr>
      </w:pPr>
      <w:r>
        <w:rPr>
          <w:rFonts w:hint="eastAsia" w:ascii="宋体" w:hAnsi="宋体"/>
          <w:sz w:val="22"/>
          <w:szCs w:val="22"/>
        </w:rPr>
        <w:t>4．承包人应建立班前安全交底制度；施工期间坚持开展安全检查和日常安全监督并形成相应的记录。</w:t>
      </w:r>
    </w:p>
    <w:p>
      <w:pPr>
        <w:spacing w:line="440" w:lineRule="exact"/>
        <w:ind w:firstLine="440" w:firstLineChars="200"/>
        <w:jc w:val="left"/>
        <w:rPr>
          <w:rFonts w:ascii="宋体" w:hAnsi="宋体"/>
          <w:sz w:val="22"/>
          <w:szCs w:val="22"/>
        </w:rPr>
      </w:pPr>
      <w:r>
        <w:rPr>
          <w:rFonts w:hint="eastAsia" w:ascii="宋体" w:hAnsi="宋体"/>
          <w:sz w:val="22"/>
          <w:szCs w:val="22"/>
        </w:rPr>
        <w:t>5．承包人应在每个作业区任命兼职安全员，赋予兼职安全员相应的授权和义务，并对兼职安全员进行定期考核。</w:t>
      </w:r>
    </w:p>
    <w:p>
      <w:pPr>
        <w:spacing w:line="440" w:lineRule="exact"/>
        <w:ind w:firstLine="440" w:firstLineChars="200"/>
        <w:jc w:val="left"/>
        <w:rPr>
          <w:rFonts w:ascii="宋体" w:hAnsi="宋体"/>
          <w:sz w:val="22"/>
          <w:szCs w:val="22"/>
        </w:rPr>
      </w:pPr>
      <w:r>
        <w:rPr>
          <w:rFonts w:hint="eastAsia" w:ascii="宋体" w:hAnsi="宋体"/>
          <w:sz w:val="22"/>
          <w:szCs w:val="22"/>
        </w:rPr>
        <w:t>6．承包人应接受和配合发包人专业部门及委托的监理公司的监督与安全评价。</w:t>
      </w:r>
    </w:p>
    <w:p>
      <w:pPr>
        <w:spacing w:line="440" w:lineRule="exact"/>
        <w:ind w:firstLine="440" w:firstLineChars="200"/>
        <w:jc w:val="left"/>
        <w:rPr>
          <w:rFonts w:ascii="宋体" w:hAnsi="宋体"/>
          <w:sz w:val="22"/>
          <w:szCs w:val="22"/>
        </w:rPr>
      </w:pPr>
      <w:r>
        <w:rPr>
          <w:rFonts w:hint="eastAsia" w:ascii="宋体" w:hAnsi="宋体"/>
          <w:sz w:val="22"/>
          <w:szCs w:val="22"/>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440" w:lineRule="exact"/>
        <w:ind w:firstLine="440" w:firstLineChars="200"/>
        <w:rPr>
          <w:rFonts w:ascii="宋体" w:hAnsi="宋体"/>
          <w:sz w:val="22"/>
          <w:szCs w:val="22"/>
        </w:rPr>
      </w:pPr>
      <w:bookmarkStart w:id="486" w:name="_Toc239510300"/>
      <w:bookmarkStart w:id="487" w:name="_Toc247418274"/>
      <w:bookmarkStart w:id="488" w:name="_Toc247431434"/>
      <w:bookmarkStart w:id="489" w:name="_Toc532375710"/>
      <w:r>
        <w:rPr>
          <w:rFonts w:hint="eastAsia" w:ascii="宋体" w:hAnsi="宋体"/>
          <w:sz w:val="22"/>
          <w:szCs w:val="22"/>
        </w:rPr>
        <w:t>十一、安全培训与授权</w:t>
      </w:r>
      <w:bookmarkEnd w:id="486"/>
      <w:bookmarkEnd w:id="487"/>
      <w:bookmarkEnd w:id="488"/>
      <w:bookmarkEnd w:id="489"/>
    </w:p>
    <w:p>
      <w:pPr>
        <w:spacing w:line="440" w:lineRule="exact"/>
        <w:ind w:firstLine="440" w:firstLineChars="200"/>
        <w:jc w:val="left"/>
        <w:rPr>
          <w:rFonts w:ascii="宋体" w:hAnsi="宋体"/>
          <w:sz w:val="22"/>
          <w:szCs w:val="22"/>
        </w:rPr>
      </w:pPr>
      <w:r>
        <w:rPr>
          <w:rFonts w:hint="eastAsia" w:ascii="宋体" w:hAnsi="宋体"/>
          <w:sz w:val="22"/>
          <w:szCs w:val="22"/>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440" w:lineRule="exact"/>
        <w:ind w:firstLine="440" w:firstLineChars="200"/>
        <w:jc w:val="left"/>
        <w:rPr>
          <w:rFonts w:ascii="宋体" w:hAnsi="宋体"/>
          <w:sz w:val="22"/>
          <w:szCs w:val="22"/>
        </w:rPr>
      </w:pPr>
      <w:r>
        <w:rPr>
          <w:rFonts w:hint="eastAsia" w:ascii="宋体" w:hAnsi="宋体"/>
          <w:sz w:val="22"/>
          <w:szCs w:val="22"/>
        </w:rPr>
        <w:t>2．承包人应在特殊工种之外的其他工种中，筛选出高风险工种，并对其开展针对性的专题安全培训。</w:t>
      </w:r>
    </w:p>
    <w:p>
      <w:pPr>
        <w:spacing w:line="440" w:lineRule="exact"/>
        <w:ind w:firstLine="440" w:firstLineChars="200"/>
        <w:jc w:val="left"/>
        <w:rPr>
          <w:rFonts w:ascii="宋体" w:hAnsi="宋体"/>
          <w:sz w:val="22"/>
          <w:szCs w:val="22"/>
        </w:rPr>
      </w:pPr>
      <w:r>
        <w:rPr>
          <w:rFonts w:hint="eastAsia" w:ascii="宋体" w:hAnsi="宋体"/>
          <w:sz w:val="22"/>
          <w:szCs w:val="22"/>
        </w:rPr>
        <w:t>3．承包人应组织 “入场培训”和考核。发包人委托的监理公司有权监督培训、考核情况或组织抽查考核。</w:t>
      </w:r>
    </w:p>
    <w:p>
      <w:pPr>
        <w:spacing w:line="440" w:lineRule="exact"/>
        <w:ind w:firstLine="440" w:firstLineChars="200"/>
        <w:jc w:val="left"/>
        <w:rPr>
          <w:rFonts w:ascii="宋体" w:hAnsi="宋体"/>
          <w:sz w:val="22"/>
          <w:szCs w:val="22"/>
        </w:rPr>
      </w:pPr>
      <w:r>
        <w:rPr>
          <w:rFonts w:hint="eastAsia" w:ascii="宋体" w:hAnsi="宋体"/>
          <w:sz w:val="22"/>
          <w:szCs w:val="22"/>
        </w:rPr>
        <w:t>4．承包人应建立安全培训和考核机制，编制培训教材和培训滚动计划。承包人应组织安全考试/考核，建立培训考核记录，发包人委托的监理公司有权查看这些记录。</w:t>
      </w:r>
    </w:p>
    <w:p>
      <w:pPr>
        <w:spacing w:line="440" w:lineRule="exact"/>
        <w:ind w:firstLine="440" w:firstLineChars="200"/>
        <w:rPr>
          <w:rFonts w:ascii="宋体" w:hAnsi="宋体"/>
          <w:sz w:val="22"/>
          <w:szCs w:val="22"/>
        </w:rPr>
      </w:pPr>
      <w:bookmarkStart w:id="490" w:name="_Toc532375711"/>
      <w:bookmarkStart w:id="491" w:name="_Toc247431435"/>
      <w:bookmarkStart w:id="492" w:name="_Toc239510301"/>
      <w:bookmarkStart w:id="493" w:name="_Toc247418275"/>
      <w:r>
        <w:rPr>
          <w:rFonts w:hint="eastAsia" w:ascii="宋体" w:hAnsi="宋体"/>
          <w:sz w:val="22"/>
          <w:szCs w:val="22"/>
        </w:rPr>
        <w:t>十二、职业健康与卫生防疫</w:t>
      </w:r>
      <w:bookmarkEnd w:id="490"/>
      <w:bookmarkEnd w:id="491"/>
      <w:bookmarkEnd w:id="492"/>
      <w:bookmarkEnd w:id="493"/>
    </w:p>
    <w:p>
      <w:pPr>
        <w:spacing w:line="440" w:lineRule="exact"/>
        <w:ind w:firstLine="440" w:firstLineChars="200"/>
        <w:jc w:val="left"/>
        <w:rPr>
          <w:rFonts w:ascii="宋体" w:hAnsi="宋体"/>
          <w:sz w:val="22"/>
          <w:szCs w:val="22"/>
        </w:rPr>
      </w:pPr>
      <w:r>
        <w:rPr>
          <w:rFonts w:hint="eastAsia" w:ascii="宋体" w:hAnsi="宋体"/>
          <w:sz w:val="22"/>
          <w:szCs w:val="22"/>
        </w:rPr>
        <w:t>1．承包人应有特殊健康检查制度，预防有禁忌症患者从事有关职业，如恐高症患者不得从事高空作业，患有心血管疾病的人员不得从事繁重的体力劳动，特殊工种人员的体检应符合国家的规定。</w:t>
      </w:r>
    </w:p>
    <w:p>
      <w:pPr>
        <w:spacing w:line="440" w:lineRule="exact"/>
        <w:ind w:firstLine="440" w:firstLineChars="200"/>
        <w:jc w:val="left"/>
        <w:rPr>
          <w:rFonts w:ascii="宋体" w:hAnsi="宋体"/>
          <w:sz w:val="22"/>
          <w:szCs w:val="22"/>
        </w:rPr>
      </w:pPr>
      <w:r>
        <w:rPr>
          <w:rFonts w:hint="eastAsia" w:ascii="宋体" w:hAnsi="宋体"/>
          <w:sz w:val="22"/>
          <w:szCs w:val="22"/>
        </w:rPr>
        <w:t>2．承包人应保证卫生防疫基本设施的投入，以满足医疗、急救的要求，建立外部医疗支持渠道。</w:t>
      </w:r>
    </w:p>
    <w:p>
      <w:pPr>
        <w:spacing w:line="440" w:lineRule="exact"/>
        <w:ind w:firstLine="440" w:firstLineChars="200"/>
        <w:jc w:val="left"/>
        <w:rPr>
          <w:rFonts w:ascii="宋体" w:hAnsi="宋体"/>
          <w:sz w:val="22"/>
          <w:szCs w:val="22"/>
        </w:rPr>
      </w:pPr>
      <w:r>
        <w:rPr>
          <w:rFonts w:hint="eastAsia" w:ascii="宋体" w:hAnsi="宋体"/>
          <w:sz w:val="22"/>
          <w:szCs w:val="22"/>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40" w:lineRule="exact"/>
        <w:ind w:firstLine="440" w:firstLineChars="200"/>
        <w:rPr>
          <w:rFonts w:ascii="宋体" w:hAnsi="宋体"/>
          <w:sz w:val="22"/>
          <w:szCs w:val="22"/>
        </w:rPr>
      </w:pPr>
      <w:bookmarkStart w:id="494" w:name="_Toc247418276"/>
      <w:bookmarkStart w:id="495" w:name="_Toc239510302"/>
      <w:bookmarkStart w:id="496" w:name="_Toc532375712"/>
      <w:bookmarkStart w:id="497" w:name="_Toc247431436"/>
      <w:r>
        <w:rPr>
          <w:rFonts w:hint="eastAsia" w:ascii="宋体" w:hAnsi="宋体"/>
          <w:sz w:val="22"/>
          <w:szCs w:val="22"/>
        </w:rPr>
        <w:t>十三、文明施工与环保要求</w:t>
      </w:r>
      <w:bookmarkEnd w:id="494"/>
      <w:bookmarkEnd w:id="495"/>
      <w:bookmarkEnd w:id="496"/>
      <w:bookmarkEnd w:id="497"/>
    </w:p>
    <w:p>
      <w:pPr>
        <w:spacing w:line="440" w:lineRule="exact"/>
        <w:ind w:firstLine="440" w:firstLineChars="200"/>
        <w:jc w:val="left"/>
        <w:rPr>
          <w:rFonts w:ascii="宋体" w:hAnsi="宋体"/>
          <w:sz w:val="22"/>
          <w:szCs w:val="22"/>
        </w:rPr>
      </w:pPr>
      <w:r>
        <w:rPr>
          <w:rFonts w:hint="eastAsia" w:ascii="宋体" w:hAnsi="宋体"/>
          <w:sz w:val="22"/>
          <w:szCs w:val="22"/>
        </w:rPr>
        <w:t>1．承包人需制订施工现场的文明施工措施，保持良好的施工现场秩序。施工现场的物料堆放要摆放整齐，安全标志和宣传标志要清楚醒目，废料、废物要分类收集，安全通道要畅通。</w:t>
      </w:r>
    </w:p>
    <w:p>
      <w:pPr>
        <w:spacing w:line="440" w:lineRule="exact"/>
        <w:ind w:firstLine="440" w:firstLineChars="200"/>
        <w:jc w:val="left"/>
        <w:rPr>
          <w:rFonts w:ascii="宋体" w:hAnsi="宋体"/>
          <w:sz w:val="22"/>
          <w:szCs w:val="22"/>
        </w:rPr>
      </w:pPr>
      <w:r>
        <w:rPr>
          <w:rFonts w:hint="eastAsia" w:ascii="宋体" w:hAnsi="宋体"/>
          <w:sz w:val="22"/>
          <w:szCs w:val="22"/>
        </w:rPr>
        <w:t>2．承包人作业时应避免建筑材料抛洒、飞扬、流淌；应尽可能降低噪音、震动。</w:t>
      </w:r>
    </w:p>
    <w:p>
      <w:pPr>
        <w:spacing w:line="440" w:lineRule="exact"/>
        <w:ind w:firstLine="440" w:firstLineChars="200"/>
        <w:jc w:val="left"/>
        <w:rPr>
          <w:rFonts w:ascii="宋体" w:hAnsi="宋体"/>
          <w:sz w:val="22"/>
          <w:szCs w:val="22"/>
        </w:rPr>
      </w:pPr>
      <w:r>
        <w:rPr>
          <w:rFonts w:hint="eastAsia" w:ascii="宋体" w:hAnsi="宋体"/>
          <w:sz w:val="22"/>
          <w:szCs w:val="22"/>
        </w:rPr>
        <w:t>3．承包人应根据实际需要，在施工现场布置临时卫生设施（洗手间、卫生间等），施工作业不破坏环境卫生，不污染现场环境。</w:t>
      </w:r>
    </w:p>
    <w:p>
      <w:pPr>
        <w:spacing w:line="440" w:lineRule="exact"/>
        <w:ind w:firstLine="440" w:firstLineChars="200"/>
        <w:jc w:val="left"/>
        <w:rPr>
          <w:rFonts w:ascii="宋体" w:hAnsi="宋体"/>
          <w:sz w:val="22"/>
          <w:szCs w:val="22"/>
        </w:rPr>
      </w:pPr>
      <w:r>
        <w:rPr>
          <w:rFonts w:hint="eastAsia" w:ascii="宋体" w:hAnsi="宋体"/>
          <w:sz w:val="22"/>
          <w:szCs w:val="22"/>
        </w:rPr>
        <w:t>4．承包人在施工中应充分重视对环境的保护，保护绿色植被，保护古树。施工如需伤害古树，必须报告发包人委托的监理公司，在未得到指令前，禁止擅自伤害古树。</w:t>
      </w:r>
    </w:p>
    <w:p>
      <w:pPr>
        <w:spacing w:line="440" w:lineRule="exact"/>
        <w:ind w:firstLine="440" w:firstLineChars="200"/>
        <w:jc w:val="left"/>
        <w:rPr>
          <w:rFonts w:ascii="宋体" w:hAnsi="宋体"/>
          <w:sz w:val="22"/>
          <w:szCs w:val="22"/>
        </w:rPr>
      </w:pPr>
      <w:r>
        <w:rPr>
          <w:rFonts w:hint="eastAsia" w:ascii="宋体" w:hAnsi="宋体"/>
          <w:sz w:val="22"/>
          <w:szCs w:val="22"/>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40" w:lineRule="exact"/>
        <w:ind w:firstLine="440" w:firstLineChars="200"/>
        <w:jc w:val="left"/>
        <w:rPr>
          <w:rFonts w:ascii="宋体" w:hAnsi="宋体"/>
          <w:sz w:val="22"/>
          <w:szCs w:val="22"/>
        </w:rPr>
      </w:pPr>
      <w:r>
        <w:rPr>
          <w:rFonts w:hint="eastAsia" w:ascii="宋体" w:hAnsi="宋体"/>
          <w:sz w:val="22"/>
          <w:szCs w:val="22"/>
        </w:rPr>
        <w:t>6．承包人在施工中应禁止向环境，排放工业污水、生活污水、废油或其他有害物质。</w:t>
      </w:r>
    </w:p>
    <w:p>
      <w:pPr>
        <w:spacing w:line="440" w:lineRule="exact"/>
        <w:ind w:firstLine="440" w:firstLineChars="200"/>
        <w:jc w:val="left"/>
        <w:rPr>
          <w:rFonts w:ascii="宋体" w:hAnsi="宋体"/>
          <w:sz w:val="22"/>
          <w:szCs w:val="22"/>
        </w:rPr>
      </w:pPr>
      <w:r>
        <w:rPr>
          <w:rFonts w:hint="eastAsia" w:ascii="宋体" w:hAnsi="宋体"/>
          <w:sz w:val="22"/>
          <w:szCs w:val="22"/>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440" w:lineRule="exact"/>
        <w:ind w:firstLine="440" w:firstLineChars="200"/>
        <w:rPr>
          <w:rFonts w:ascii="宋体" w:hAnsi="宋体"/>
          <w:sz w:val="22"/>
          <w:szCs w:val="22"/>
        </w:rPr>
      </w:pPr>
      <w:bookmarkStart w:id="498" w:name="_Toc239510303"/>
      <w:bookmarkStart w:id="499" w:name="_Toc247418277"/>
      <w:bookmarkStart w:id="500" w:name="_Toc532375713"/>
      <w:bookmarkStart w:id="501" w:name="_Toc247431437"/>
      <w:r>
        <w:rPr>
          <w:rFonts w:hint="eastAsia" w:ascii="宋体" w:hAnsi="宋体"/>
          <w:sz w:val="22"/>
          <w:szCs w:val="22"/>
        </w:rPr>
        <w:t>十四、工程风险管理与事故预防</w:t>
      </w:r>
      <w:bookmarkEnd w:id="498"/>
      <w:bookmarkEnd w:id="499"/>
      <w:bookmarkEnd w:id="500"/>
      <w:bookmarkEnd w:id="501"/>
    </w:p>
    <w:p>
      <w:pPr>
        <w:spacing w:line="440" w:lineRule="exact"/>
        <w:ind w:firstLine="440" w:firstLineChars="200"/>
        <w:jc w:val="left"/>
        <w:rPr>
          <w:rFonts w:ascii="宋体" w:hAnsi="宋体"/>
          <w:sz w:val="22"/>
          <w:szCs w:val="22"/>
        </w:rPr>
      </w:pPr>
      <w:bookmarkStart w:id="502" w:name="_Toc247418278"/>
      <w:bookmarkStart w:id="503" w:name="_Toc239510304"/>
      <w:bookmarkStart w:id="504" w:name="_Toc247431438"/>
      <w:r>
        <w:rPr>
          <w:rFonts w:hint="eastAsia" w:ascii="宋体" w:hAnsi="宋体"/>
          <w:sz w:val="22"/>
          <w:szCs w:val="22"/>
        </w:rPr>
        <w:t>（一）基本要求</w:t>
      </w:r>
      <w:bookmarkEnd w:id="502"/>
      <w:bookmarkEnd w:id="503"/>
      <w:bookmarkEnd w:id="504"/>
    </w:p>
    <w:p>
      <w:pPr>
        <w:spacing w:line="440" w:lineRule="exact"/>
        <w:ind w:firstLine="440" w:firstLineChars="200"/>
        <w:jc w:val="left"/>
        <w:rPr>
          <w:rFonts w:ascii="宋体" w:hAnsi="宋体"/>
          <w:sz w:val="22"/>
          <w:szCs w:val="22"/>
        </w:rPr>
      </w:pPr>
      <w:bookmarkStart w:id="505" w:name="_Toc532375714"/>
      <w:r>
        <w:rPr>
          <w:rFonts w:hint="eastAsia" w:ascii="宋体" w:hAnsi="宋体"/>
          <w:sz w:val="22"/>
          <w:szCs w:val="22"/>
        </w:rPr>
        <w:t>1．承包人应对施工过程进行全面、深入的危险源识别和风险分析。在施工安全组织设计中提供危险源及重要危险源清单、作业风险分析报告，该报告应包括（但不限于）如下信息：</w:t>
      </w:r>
      <w:bookmarkEnd w:id="505"/>
    </w:p>
    <w:p>
      <w:pPr>
        <w:spacing w:line="440" w:lineRule="exact"/>
        <w:ind w:firstLine="440" w:firstLineChars="200"/>
        <w:jc w:val="left"/>
        <w:rPr>
          <w:rFonts w:ascii="宋体" w:hAnsi="宋体"/>
          <w:sz w:val="22"/>
          <w:szCs w:val="22"/>
        </w:rPr>
      </w:pPr>
      <w:r>
        <w:rPr>
          <w:rFonts w:hint="eastAsia" w:ascii="宋体" w:hAnsi="宋体"/>
          <w:sz w:val="22"/>
          <w:szCs w:val="22"/>
        </w:rPr>
        <w:t>（1）高风险作业和工种清单：作业名称、类别和数量、主要事故风险。</w:t>
      </w:r>
    </w:p>
    <w:p>
      <w:pPr>
        <w:spacing w:line="440" w:lineRule="exact"/>
        <w:ind w:firstLine="440" w:firstLineChars="200"/>
        <w:jc w:val="left"/>
        <w:rPr>
          <w:rFonts w:ascii="宋体" w:hAnsi="宋体"/>
          <w:sz w:val="22"/>
          <w:szCs w:val="22"/>
        </w:rPr>
      </w:pPr>
      <w:r>
        <w:rPr>
          <w:rFonts w:hint="eastAsia" w:ascii="宋体" w:hAnsi="宋体"/>
          <w:sz w:val="22"/>
          <w:szCs w:val="22"/>
        </w:rPr>
        <w:t>（2）施工能源和机械的种类、数量和主要事故风险。</w:t>
      </w:r>
    </w:p>
    <w:p>
      <w:pPr>
        <w:spacing w:line="440" w:lineRule="exact"/>
        <w:ind w:firstLine="440" w:firstLineChars="200"/>
        <w:jc w:val="left"/>
        <w:rPr>
          <w:rFonts w:ascii="宋体" w:hAnsi="宋体"/>
          <w:sz w:val="22"/>
          <w:szCs w:val="22"/>
        </w:rPr>
      </w:pPr>
      <w:r>
        <w:rPr>
          <w:rFonts w:hint="eastAsia" w:ascii="宋体" w:hAnsi="宋体"/>
          <w:sz w:val="22"/>
          <w:szCs w:val="22"/>
        </w:rPr>
        <w:t>（3）施工作业条件的类型和主要事故风险。</w:t>
      </w:r>
    </w:p>
    <w:p>
      <w:pPr>
        <w:spacing w:line="440" w:lineRule="exact"/>
        <w:ind w:firstLine="440" w:firstLineChars="200"/>
        <w:jc w:val="left"/>
        <w:rPr>
          <w:rFonts w:ascii="宋体" w:hAnsi="宋体"/>
          <w:sz w:val="22"/>
          <w:szCs w:val="22"/>
        </w:rPr>
      </w:pPr>
      <w:r>
        <w:rPr>
          <w:rFonts w:hint="eastAsia" w:ascii="宋体" w:hAnsi="宋体"/>
          <w:sz w:val="22"/>
          <w:szCs w:val="22"/>
        </w:rPr>
        <w:t>（4）主要工艺过程（或施工活动）的类别及其相关的事故风险。</w:t>
      </w:r>
    </w:p>
    <w:p>
      <w:pPr>
        <w:spacing w:line="440" w:lineRule="exact"/>
        <w:ind w:firstLine="440" w:firstLineChars="200"/>
        <w:jc w:val="left"/>
        <w:rPr>
          <w:rFonts w:ascii="宋体" w:hAnsi="宋体"/>
          <w:sz w:val="22"/>
          <w:szCs w:val="22"/>
        </w:rPr>
      </w:pPr>
      <w:r>
        <w:rPr>
          <w:rFonts w:hint="eastAsia" w:ascii="宋体" w:hAnsi="宋体"/>
          <w:sz w:val="22"/>
          <w:szCs w:val="22"/>
        </w:rPr>
        <w:t>（5）主要火灾危险（可燃物、点火源）。</w:t>
      </w:r>
    </w:p>
    <w:p>
      <w:pPr>
        <w:spacing w:line="440" w:lineRule="exact"/>
        <w:ind w:firstLine="440" w:firstLineChars="200"/>
        <w:jc w:val="left"/>
        <w:rPr>
          <w:rFonts w:ascii="宋体" w:hAnsi="宋体"/>
          <w:sz w:val="22"/>
          <w:szCs w:val="22"/>
        </w:rPr>
      </w:pPr>
      <w:r>
        <w:rPr>
          <w:rFonts w:hint="eastAsia" w:ascii="宋体" w:hAnsi="宋体"/>
          <w:sz w:val="22"/>
          <w:szCs w:val="22"/>
        </w:rPr>
        <w:t>（6）主要自然灾害（洪水、大风、雷暴、暴雨、地质灾害等）。</w:t>
      </w:r>
    </w:p>
    <w:p>
      <w:pPr>
        <w:spacing w:line="440" w:lineRule="exact"/>
        <w:ind w:firstLine="440" w:firstLineChars="200"/>
        <w:jc w:val="left"/>
        <w:rPr>
          <w:rFonts w:ascii="宋体" w:hAnsi="宋体"/>
          <w:sz w:val="22"/>
          <w:szCs w:val="22"/>
        </w:rPr>
      </w:pPr>
      <w:r>
        <w:rPr>
          <w:rFonts w:hint="eastAsia" w:ascii="宋体" w:hAnsi="宋体"/>
          <w:sz w:val="22"/>
          <w:szCs w:val="22"/>
        </w:rPr>
        <w:t>（7）主要环境保护事件（有害垃圾、机械的跑冒滴漏、原材料流失、水土流失等）。</w:t>
      </w:r>
    </w:p>
    <w:p>
      <w:pPr>
        <w:spacing w:line="440" w:lineRule="exact"/>
        <w:ind w:firstLine="440" w:firstLineChars="200"/>
        <w:jc w:val="left"/>
        <w:rPr>
          <w:rFonts w:ascii="宋体" w:hAnsi="宋体"/>
          <w:sz w:val="22"/>
          <w:szCs w:val="22"/>
        </w:rPr>
      </w:pPr>
      <w:r>
        <w:rPr>
          <w:rFonts w:hint="eastAsia" w:ascii="宋体" w:hAnsi="宋体"/>
          <w:sz w:val="22"/>
          <w:szCs w:val="22"/>
        </w:rPr>
        <w:t>（8）其他。</w:t>
      </w:r>
    </w:p>
    <w:p>
      <w:pPr>
        <w:spacing w:line="440" w:lineRule="exact"/>
        <w:ind w:firstLine="440" w:firstLineChars="200"/>
        <w:jc w:val="left"/>
        <w:rPr>
          <w:rFonts w:ascii="宋体" w:hAnsi="宋体"/>
          <w:sz w:val="22"/>
          <w:szCs w:val="22"/>
        </w:rPr>
      </w:pPr>
      <w:r>
        <w:rPr>
          <w:rFonts w:hint="eastAsia" w:ascii="宋体" w:hAnsi="宋体"/>
          <w:sz w:val="22"/>
          <w:szCs w:val="22"/>
        </w:rPr>
        <w:t>2．承包人应针对识别出的危险源制定有针对性的事故预防措施并确保在施工中得到有效落实。</w:t>
      </w:r>
    </w:p>
    <w:p>
      <w:pPr>
        <w:spacing w:line="440" w:lineRule="exact"/>
        <w:ind w:firstLine="440" w:firstLineChars="200"/>
        <w:jc w:val="left"/>
        <w:rPr>
          <w:rFonts w:ascii="宋体" w:hAnsi="宋体"/>
          <w:sz w:val="22"/>
          <w:szCs w:val="22"/>
        </w:rPr>
      </w:pPr>
      <w:r>
        <w:rPr>
          <w:rFonts w:hint="eastAsia" w:ascii="宋体" w:hAnsi="宋体"/>
          <w:sz w:val="22"/>
          <w:szCs w:val="22"/>
        </w:rPr>
        <w:t>3．承包人应建立日常施工活动的动态作业风险分析和安全交底制度。该制度应明确规定风险分析的方法、责任和交底的内容、时间及记录。</w:t>
      </w:r>
    </w:p>
    <w:p>
      <w:pPr>
        <w:spacing w:line="440" w:lineRule="exact"/>
        <w:ind w:firstLine="440" w:firstLineChars="200"/>
        <w:jc w:val="left"/>
        <w:rPr>
          <w:rFonts w:ascii="宋体" w:hAnsi="宋体"/>
          <w:sz w:val="22"/>
          <w:szCs w:val="22"/>
        </w:rPr>
      </w:pPr>
      <w:bookmarkStart w:id="506" w:name="_Toc247418279"/>
      <w:bookmarkStart w:id="507" w:name="_Toc239510305"/>
      <w:bookmarkStart w:id="508" w:name="_Toc247431439"/>
      <w:r>
        <w:rPr>
          <w:rFonts w:hint="eastAsia" w:ascii="宋体" w:hAnsi="宋体"/>
          <w:sz w:val="22"/>
          <w:szCs w:val="22"/>
        </w:rPr>
        <w:t>（二）现场作业基本安全条件</w:t>
      </w:r>
      <w:bookmarkEnd w:id="506"/>
      <w:bookmarkEnd w:id="507"/>
      <w:bookmarkEnd w:id="508"/>
    </w:p>
    <w:p>
      <w:pPr>
        <w:spacing w:line="440" w:lineRule="exact"/>
        <w:ind w:firstLine="440" w:firstLineChars="200"/>
        <w:jc w:val="left"/>
        <w:rPr>
          <w:rFonts w:ascii="宋体" w:hAnsi="宋体"/>
          <w:sz w:val="22"/>
          <w:szCs w:val="22"/>
        </w:rPr>
      </w:pPr>
      <w:r>
        <w:rPr>
          <w:rFonts w:hint="eastAsia" w:ascii="宋体" w:hAnsi="宋体"/>
          <w:sz w:val="22"/>
          <w:szCs w:val="22"/>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40" w:lineRule="exact"/>
        <w:ind w:firstLine="440" w:firstLineChars="200"/>
        <w:rPr>
          <w:rFonts w:ascii="宋体" w:hAnsi="宋体"/>
          <w:sz w:val="22"/>
          <w:szCs w:val="22"/>
        </w:rPr>
      </w:pPr>
      <w:bookmarkStart w:id="509" w:name="_Toc247418280"/>
      <w:bookmarkStart w:id="510" w:name="_Toc247431440"/>
      <w:bookmarkStart w:id="511" w:name="_Toc239510306"/>
      <w:bookmarkStart w:id="512" w:name="_Toc532375715"/>
      <w:r>
        <w:rPr>
          <w:rFonts w:hint="eastAsia" w:ascii="宋体" w:hAnsi="宋体"/>
          <w:sz w:val="22"/>
          <w:szCs w:val="22"/>
        </w:rPr>
        <w:t>十五、事故报告与应急救援</w:t>
      </w:r>
      <w:bookmarkEnd w:id="509"/>
      <w:bookmarkEnd w:id="510"/>
      <w:bookmarkEnd w:id="511"/>
      <w:bookmarkEnd w:id="512"/>
    </w:p>
    <w:p>
      <w:pPr>
        <w:spacing w:line="440" w:lineRule="exact"/>
        <w:ind w:firstLine="440" w:firstLineChars="200"/>
        <w:jc w:val="left"/>
        <w:rPr>
          <w:rFonts w:ascii="宋体" w:hAnsi="宋体"/>
          <w:sz w:val="22"/>
          <w:szCs w:val="22"/>
        </w:rPr>
      </w:pPr>
      <w:r>
        <w:rPr>
          <w:rFonts w:hint="eastAsia" w:ascii="宋体" w:hAnsi="宋体"/>
          <w:sz w:val="22"/>
          <w:szCs w:val="22"/>
        </w:rPr>
        <w:t>1．承包人应制定对于未遂事故及以上级别的安全事件和事故，定期报送安全月度快报、季报、年报和各种专项事故报告等。</w:t>
      </w:r>
    </w:p>
    <w:p>
      <w:pPr>
        <w:spacing w:line="440" w:lineRule="exact"/>
        <w:ind w:firstLine="440" w:firstLineChars="200"/>
        <w:jc w:val="left"/>
        <w:rPr>
          <w:rFonts w:ascii="宋体" w:hAnsi="宋体"/>
          <w:sz w:val="22"/>
          <w:szCs w:val="22"/>
        </w:rPr>
      </w:pPr>
      <w:r>
        <w:rPr>
          <w:rFonts w:hint="eastAsia" w:ascii="宋体" w:hAnsi="宋体"/>
          <w:sz w:val="22"/>
          <w:szCs w:val="22"/>
        </w:rPr>
        <w:t>2．承包人应建立安全事故统计记录、未遂事故统计记录、违章统计记录，并根据统计情况进行分析，并就分析结果制定相应的预防措施。</w:t>
      </w:r>
    </w:p>
    <w:p>
      <w:pPr>
        <w:spacing w:line="440" w:lineRule="exact"/>
        <w:ind w:firstLine="440" w:firstLineChars="200"/>
        <w:jc w:val="left"/>
        <w:rPr>
          <w:rFonts w:ascii="宋体" w:hAnsi="宋体"/>
          <w:sz w:val="22"/>
          <w:szCs w:val="22"/>
        </w:rPr>
      </w:pPr>
      <w:r>
        <w:rPr>
          <w:rFonts w:hint="eastAsia" w:ascii="宋体" w:hAnsi="宋体"/>
          <w:sz w:val="22"/>
          <w:szCs w:val="22"/>
        </w:rPr>
        <w:t>3．承包人应建立事故应急救援机制，明确事故处置的基本原则，即现场发生事故时，首先抢救生命，向救援组织报警，并采取措施限制事故扩大。</w:t>
      </w:r>
    </w:p>
    <w:p>
      <w:pPr>
        <w:spacing w:line="440" w:lineRule="exact"/>
        <w:ind w:firstLine="440" w:firstLineChars="200"/>
        <w:jc w:val="left"/>
        <w:rPr>
          <w:rFonts w:ascii="宋体" w:hAnsi="宋体"/>
          <w:sz w:val="22"/>
          <w:szCs w:val="22"/>
        </w:rPr>
      </w:pPr>
      <w:r>
        <w:rPr>
          <w:rFonts w:hint="eastAsia" w:ascii="宋体" w:hAnsi="宋体"/>
          <w:sz w:val="22"/>
          <w:szCs w:val="22"/>
        </w:rPr>
        <w:t>4．承包人应建立相应的应急响应组织，以便能迅速处理突发意外。</w:t>
      </w:r>
    </w:p>
    <w:p>
      <w:pPr>
        <w:spacing w:line="440" w:lineRule="exact"/>
        <w:ind w:firstLine="440" w:firstLineChars="200"/>
        <w:jc w:val="left"/>
        <w:rPr>
          <w:rFonts w:ascii="宋体" w:hAnsi="宋体"/>
          <w:sz w:val="22"/>
          <w:szCs w:val="22"/>
        </w:rPr>
      </w:pPr>
      <w:r>
        <w:rPr>
          <w:rFonts w:hint="eastAsia" w:ascii="宋体" w:hAnsi="宋体"/>
          <w:sz w:val="22"/>
          <w:szCs w:val="22"/>
        </w:rPr>
        <w:t>5．承包人应建立专项应急响应预案，包括重大人身伤亡事故的救护预案、火灾响应预案、“四防”预案（防风、防冻、防雷、防暴雨）、重大疫病防护预案、环境污染防护预案、地质灾害防护预案等。</w:t>
      </w:r>
    </w:p>
    <w:p>
      <w:pPr>
        <w:spacing w:line="440" w:lineRule="exact"/>
        <w:ind w:firstLine="440" w:firstLineChars="200"/>
        <w:jc w:val="left"/>
        <w:rPr>
          <w:rFonts w:ascii="宋体" w:hAnsi="宋体"/>
          <w:sz w:val="22"/>
          <w:szCs w:val="22"/>
        </w:rPr>
      </w:pPr>
      <w:r>
        <w:rPr>
          <w:rFonts w:hint="eastAsia" w:ascii="宋体" w:hAnsi="宋体"/>
          <w:sz w:val="22"/>
          <w:szCs w:val="22"/>
        </w:rPr>
        <w:t>6．承包人应对应急预案进行适当演练，保证应急预案的可操作性。</w:t>
      </w:r>
    </w:p>
    <w:p>
      <w:pPr>
        <w:spacing w:line="440" w:lineRule="exact"/>
        <w:ind w:firstLine="440" w:firstLineChars="200"/>
        <w:jc w:val="left"/>
        <w:rPr>
          <w:rFonts w:ascii="宋体" w:hAnsi="宋体"/>
          <w:sz w:val="22"/>
          <w:szCs w:val="22"/>
        </w:rPr>
      </w:pPr>
      <w:r>
        <w:rPr>
          <w:rFonts w:hint="eastAsia" w:ascii="宋体" w:hAnsi="宋体"/>
          <w:sz w:val="22"/>
          <w:szCs w:val="22"/>
        </w:rPr>
        <w:t>7．在工地的其他施工单位发生重大事故时，承包人应无条件立即配合、支持事故抢险。</w:t>
      </w:r>
    </w:p>
    <w:p>
      <w:pPr>
        <w:spacing w:line="440" w:lineRule="exact"/>
        <w:ind w:firstLine="440" w:firstLineChars="200"/>
        <w:jc w:val="left"/>
        <w:rPr>
          <w:rFonts w:ascii="宋体" w:hAnsi="宋体"/>
          <w:sz w:val="22"/>
          <w:szCs w:val="22"/>
        </w:rPr>
      </w:pPr>
      <w:r>
        <w:rPr>
          <w:rFonts w:hint="eastAsia" w:ascii="宋体" w:hAnsi="宋体"/>
          <w:sz w:val="22"/>
          <w:szCs w:val="22"/>
        </w:rPr>
        <w:t>8．承包人必须为事故处置支付各项费用，包括受伤者的抚恤、补偿等费用，并按合同要求赔偿对发包人造成的损失。</w:t>
      </w:r>
    </w:p>
    <w:p>
      <w:pPr>
        <w:spacing w:line="440" w:lineRule="exact"/>
        <w:ind w:firstLine="440" w:firstLineChars="200"/>
        <w:jc w:val="left"/>
        <w:rPr>
          <w:rFonts w:ascii="宋体" w:hAnsi="宋体"/>
          <w:sz w:val="22"/>
          <w:szCs w:val="22"/>
        </w:rPr>
      </w:pPr>
      <w:r>
        <w:rPr>
          <w:rFonts w:hint="eastAsia" w:ascii="宋体" w:hAnsi="宋体"/>
          <w:sz w:val="22"/>
          <w:szCs w:val="22"/>
        </w:rPr>
        <w:t>9．由于发包人原因而造成的事故，发包人应负责按事故的具体损失情况给予承包人经济赔偿。</w:t>
      </w:r>
    </w:p>
    <w:p>
      <w:pPr>
        <w:spacing w:line="440" w:lineRule="exact"/>
        <w:ind w:firstLine="440" w:firstLineChars="200"/>
        <w:jc w:val="left"/>
        <w:rPr>
          <w:rFonts w:ascii="宋体" w:hAnsi="宋体"/>
          <w:sz w:val="22"/>
          <w:szCs w:val="22"/>
        </w:rPr>
      </w:pPr>
      <w:r>
        <w:rPr>
          <w:rFonts w:hint="eastAsia" w:ascii="宋体" w:hAnsi="宋体"/>
          <w:sz w:val="22"/>
          <w:szCs w:val="22"/>
        </w:rPr>
        <w:t>10．涉及承包人员工的伤害事故，承包人除要报告发包人委托的监理公司外，还应负责按照国家、行业和本单位上级公司的要求，上报事故。</w:t>
      </w:r>
    </w:p>
    <w:p>
      <w:pPr>
        <w:spacing w:line="440" w:lineRule="exact"/>
        <w:ind w:firstLine="440" w:firstLineChars="200"/>
        <w:rPr>
          <w:rFonts w:ascii="宋体" w:hAnsi="宋体"/>
          <w:sz w:val="22"/>
          <w:szCs w:val="22"/>
        </w:rPr>
      </w:pPr>
      <w:bookmarkStart w:id="513" w:name="_Toc247431441"/>
      <w:bookmarkStart w:id="514" w:name="_Toc532375716"/>
      <w:bookmarkStart w:id="515" w:name="_Toc239510307"/>
      <w:bookmarkStart w:id="516" w:name="_Toc247418281"/>
      <w:r>
        <w:rPr>
          <w:rFonts w:hint="eastAsia" w:ascii="宋体" w:hAnsi="宋体"/>
          <w:sz w:val="22"/>
          <w:szCs w:val="22"/>
        </w:rPr>
        <w:t>十六、安全业绩考核</w:t>
      </w:r>
      <w:bookmarkEnd w:id="513"/>
      <w:bookmarkEnd w:id="514"/>
      <w:bookmarkEnd w:id="515"/>
      <w:bookmarkEnd w:id="516"/>
    </w:p>
    <w:p>
      <w:pPr>
        <w:spacing w:line="440" w:lineRule="exact"/>
        <w:ind w:firstLine="440" w:firstLineChars="200"/>
        <w:jc w:val="left"/>
        <w:rPr>
          <w:rFonts w:ascii="宋体" w:hAnsi="宋体"/>
          <w:sz w:val="22"/>
          <w:szCs w:val="22"/>
        </w:rPr>
      </w:pPr>
      <w:r>
        <w:rPr>
          <w:rFonts w:hint="eastAsia" w:ascii="宋体" w:hAnsi="宋体"/>
          <w:sz w:val="22"/>
          <w:szCs w:val="22"/>
        </w:rPr>
        <w:t>为了落实安全管理的责任，承包人在施工过程中发生安全事故时，承包人除应按国家有关规定承担责任和处罚外，发包人还将按照以下标准进行考核：</w:t>
      </w:r>
    </w:p>
    <w:tbl>
      <w:tblPr>
        <w:tblStyle w:val="57"/>
        <w:tblW w:w="7005" w:type="dxa"/>
        <w:jc w:val="center"/>
        <w:tblInd w:w="0" w:type="dxa"/>
        <w:tblLayout w:type="fixed"/>
        <w:tblCellMar>
          <w:top w:w="0" w:type="dxa"/>
          <w:left w:w="0" w:type="dxa"/>
          <w:bottom w:w="0" w:type="dxa"/>
          <w:right w:w="0" w:type="dxa"/>
        </w:tblCellMar>
      </w:tblPr>
      <w:tblGrid>
        <w:gridCol w:w="3240"/>
        <w:gridCol w:w="3765"/>
      </w:tblGrid>
      <w:tr>
        <w:tblPrEx>
          <w:tblLayout w:type="fixed"/>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违约金额</w:t>
            </w:r>
          </w:p>
        </w:tc>
      </w:tr>
      <w:tr>
        <w:tblPrEx>
          <w:tblLayout w:type="fixed"/>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较大事故</w:t>
            </w:r>
          </w:p>
        </w:tc>
        <w:tc>
          <w:tcPr>
            <w:tcW w:w="3765" w:type="dxa"/>
            <w:tcBorders>
              <w:top w:val="single" w:color="auto" w:sz="8" w:space="0"/>
              <w:left w:val="nil"/>
              <w:bottom w:val="single" w:color="auto" w:sz="8" w:space="0"/>
              <w:right w:val="single" w:color="auto" w:sz="8" w:space="0"/>
            </w:tcBorders>
            <w:vAlign w:val="center"/>
          </w:tcPr>
          <w:p>
            <w:pPr>
              <w:spacing w:line="440" w:lineRule="exact"/>
              <w:ind w:firstLine="440" w:firstLineChars="200"/>
              <w:jc w:val="left"/>
              <w:rPr>
                <w:rFonts w:ascii="宋体" w:hAnsi="宋体"/>
                <w:sz w:val="22"/>
                <w:szCs w:val="22"/>
              </w:rPr>
            </w:pPr>
            <w:r>
              <w:rPr>
                <w:rFonts w:hint="eastAsia" w:ascii="宋体" w:hAnsi="宋体"/>
                <w:kern w:val="0"/>
                <w:sz w:val="22"/>
                <w:szCs w:val="22"/>
              </w:rPr>
              <w:t>签约合同价</w:t>
            </w:r>
            <w:r>
              <w:rPr>
                <w:rFonts w:hint="eastAsia" w:ascii="宋体" w:hAnsi="宋体"/>
                <w:sz w:val="22"/>
                <w:szCs w:val="22"/>
              </w:rPr>
              <w:t>的0.5‰</w:t>
            </w:r>
          </w:p>
        </w:tc>
      </w:tr>
      <w:tr>
        <w:tblPrEx>
          <w:tblLayout w:type="fixed"/>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重大事故</w:t>
            </w:r>
          </w:p>
        </w:tc>
        <w:tc>
          <w:tcPr>
            <w:tcW w:w="3765" w:type="dxa"/>
            <w:tcBorders>
              <w:top w:val="single" w:color="auto" w:sz="8" w:space="0"/>
              <w:left w:val="nil"/>
              <w:bottom w:val="single" w:color="auto" w:sz="8" w:space="0"/>
              <w:right w:val="single" w:color="auto" w:sz="8" w:space="0"/>
            </w:tcBorders>
            <w:vAlign w:val="center"/>
          </w:tcPr>
          <w:p>
            <w:pPr>
              <w:spacing w:line="440" w:lineRule="exact"/>
              <w:ind w:firstLine="440" w:firstLineChars="200"/>
              <w:jc w:val="left"/>
              <w:rPr>
                <w:rFonts w:ascii="宋体" w:hAnsi="宋体"/>
                <w:sz w:val="22"/>
                <w:szCs w:val="22"/>
              </w:rPr>
            </w:pPr>
            <w:r>
              <w:rPr>
                <w:rFonts w:hint="eastAsia" w:ascii="宋体" w:hAnsi="宋体"/>
                <w:sz w:val="22"/>
                <w:szCs w:val="22"/>
              </w:rPr>
              <w:t>签约合同价的2‰</w:t>
            </w:r>
          </w:p>
        </w:tc>
      </w:tr>
      <w:tr>
        <w:tblPrEx>
          <w:tblLayout w:type="fixed"/>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特别重大事故</w:t>
            </w:r>
          </w:p>
        </w:tc>
        <w:tc>
          <w:tcPr>
            <w:tcW w:w="3765" w:type="dxa"/>
            <w:tcBorders>
              <w:top w:val="single" w:color="auto" w:sz="8" w:space="0"/>
              <w:left w:val="nil"/>
              <w:bottom w:val="single" w:color="auto" w:sz="8" w:space="0"/>
              <w:right w:val="single" w:color="auto" w:sz="8" w:space="0"/>
            </w:tcBorders>
            <w:vAlign w:val="center"/>
          </w:tcPr>
          <w:p>
            <w:pPr>
              <w:spacing w:line="440" w:lineRule="exact"/>
              <w:ind w:firstLine="440" w:firstLineChars="200"/>
              <w:jc w:val="left"/>
              <w:rPr>
                <w:rFonts w:ascii="宋体" w:hAnsi="宋体"/>
                <w:sz w:val="22"/>
                <w:szCs w:val="22"/>
              </w:rPr>
            </w:pPr>
            <w:r>
              <w:rPr>
                <w:rFonts w:hint="eastAsia" w:ascii="宋体" w:hAnsi="宋体"/>
                <w:sz w:val="22"/>
                <w:szCs w:val="22"/>
              </w:rPr>
              <w:t>签约合同价的4‰</w:t>
            </w:r>
          </w:p>
        </w:tc>
      </w:tr>
    </w:tbl>
    <w:p>
      <w:pPr>
        <w:spacing w:line="440" w:lineRule="exact"/>
        <w:ind w:firstLine="440" w:firstLineChars="200"/>
        <w:jc w:val="left"/>
        <w:rPr>
          <w:rFonts w:ascii="宋体" w:hAnsi="宋体"/>
          <w:sz w:val="22"/>
          <w:szCs w:val="22"/>
        </w:rPr>
      </w:pPr>
      <w:r>
        <w:rPr>
          <w:rFonts w:hint="eastAsia" w:ascii="宋体" w:hAnsi="宋体"/>
          <w:sz w:val="22"/>
          <w:szCs w:val="22"/>
        </w:rPr>
        <w:t>（1）较大事故，是指造成3人以上10人以下死亡，或者10人以上50人以下重伤，或者1000万元以上5000万元以下直接经济损失的事故；</w:t>
      </w:r>
    </w:p>
    <w:p>
      <w:pPr>
        <w:spacing w:line="440" w:lineRule="exact"/>
        <w:ind w:firstLine="440" w:firstLineChars="200"/>
        <w:jc w:val="left"/>
        <w:rPr>
          <w:rFonts w:ascii="宋体" w:hAnsi="宋体"/>
          <w:sz w:val="22"/>
          <w:szCs w:val="22"/>
        </w:rPr>
      </w:pPr>
      <w:r>
        <w:rPr>
          <w:rFonts w:hint="eastAsia" w:ascii="宋体" w:hAnsi="宋体"/>
          <w:sz w:val="22"/>
          <w:szCs w:val="22"/>
        </w:rPr>
        <w:t>（2）重大事故，是指造成10人以上30人以下死亡，或者50人以上100人以下重伤，或者5000万元以上1亿元以下直接经济损失的事故；</w:t>
      </w:r>
    </w:p>
    <w:p>
      <w:pPr>
        <w:spacing w:line="440" w:lineRule="exact"/>
        <w:ind w:firstLine="440" w:firstLineChars="200"/>
        <w:jc w:val="left"/>
        <w:rPr>
          <w:rFonts w:ascii="宋体" w:hAnsi="宋体"/>
          <w:sz w:val="22"/>
          <w:szCs w:val="22"/>
        </w:rPr>
      </w:pPr>
      <w:r>
        <w:rPr>
          <w:rFonts w:hint="eastAsia" w:ascii="宋体" w:hAnsi="宋体"/>
          <w:sz w:val="22"/>
          <w:szCs w:val="22"/>
        </w:rPr>
        <w:t>（3）特别重大事故，是指造成30人以上死亡，或者100人以上重伤（包括急性工业中毒，下同），或者1亿元以上直接经济损失的事故；</w:t>
      </w:r>
    </w:p>
    <w:p>
      <w:pPr>
        <w:spacing w:line="440" w:lineRule="exact"/>
        <w:ind w:firstLine="440" w:firstLineChars="200"/>
        <w:jc w:val="left"/>
        <w:rPr>
          <w:rFonts w:ascii="宋体" w:hAnsi="宋体"/>
          <w:sz w:val="22"/>
          <w:szCs w:val="22"/>
        </w:rPr>
      </w:pPr>
      <w:r>
        <w:rPr>
          <w:rFonts w:hint="eastAsia" w:ascii="宋体" w:hAnsi="宋体"/>
          <w:sz w:val="22"/>
          <w:szCs w:val="22"/>
        </w:rPr>
        <w:t>（4）所称的“以上”包括本数，所称的“以下”不包括本数。</w:t>
      </w:r>
    </w:p>
    <w:p>
      <w:pPr>
        <w:spacing w:line="440" w:lineRule="exact"/>
        <w:ind w:firstLine="440" w:firstLineChars="200"/>
        <w:jc w:val="left"/>
        <w:rPr>
          <w:rFonts w:ascii="宋体" w:hAnsi="宋体"/>
          <w:sz w:val="22"/>
          <w:szCs w:val="22"/>
        </w:rPr>
      </w:pPr>
      <w:r>
        <w:rPr>
          <w:rFonts w:hint="eastAsia" w:ascii="宋体" w:hAnsi="宋体"/>
          <w:sz w:val="22"/>
          <w:szCs w:val="22"/>
        </w:rPr>
        <w:t>（5）如整个施工过程未发生以上安全事故，则给予承包人建安费总额的1‰的安全奖励。</w:t>
      </w:r>
    </w:p>
    <w:p>
      <w:pPr>
        <w:spacing w:line="440" w:lineRule="exact"/>
        <w:ind w:firstLine="440" w:firstLineChars="200"/>
        <w:jc w:val="left"/>
        <w:rPr>
          <w:rFonts w:ascii="宋体" w:hAnsi="宋体"/>
          <w:sz w:val="22"/>
          <w:szCs w:val="22"/>
        </w:rPr>
      </w:pPr>
      <w:r>
        <w:rPr>
          <w:rFonts w:hint="eastAsia" w:ascii="宋体" w:hAnsi="宋体"/>
          <w:sz w:val="22"/>
          <w:szCs w:val="22"/>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440" w:lineRule="exact"/>
        <w:ind w:firstLine="440" w:firstLineChars="200"/>
        <w:rPr>
          <w:rFonts w:ascii="宋体" w:hAnsi="宋体"/>
          <w:sz w:val="22"/>
          <w:szCs w:val="22"/>
        </w:rPr>
      </w:pPr>
      <w:bookmarkStart w:id="517" w:name="_Toc247431442"/>
      <w:bookmarkStart w:id="518" w:name="_Toc239510308"/>
      <w:bookmarkStart w:id="519" w:name="_Toc532375717"/>
      <w:bookmarkStart w:id="520" w:name="_Toc247418282"/>
      <w:r>
        <w:rPr>
          <w:rFonts w:hint="eastAsia" w:ascii="宋体" w:hAnsi="宋体"/>
          <w:sz w:val="22"/>
          <w:szCs w:val="22"/>
        </w:rPr>
        <w:t>十七、协议条款的修订</w:t>
      </w:r>
      <w:bookmarkEnd w:id="517"/>
      <w:bookmarkEnd w:id="518"/>
      <w:bookmarkEnd w:id="519"/>
      <w:bookmarkEnd w:id="520"/>
    </w:p>
    <w:p>
      <w:pPr>
        <w:spacing w:line="440" w:lineRule="exact"/>
        <w:ind w:firstLine="440" w:firstLineChars="200"/>
        <w:jc w:val="left"/>
        <w:rPr>
          <w:rFonts w:ascii="宋体" w:hAnsi="宋体"/>
          <w:sz w:val="22"/>
          <w:szCs w:val="22"/>
        </w:rPr>
      </w:pPr>
      <w:r>
        <w:rPr>
          <w:rFonts w:hint="eastAsia" w:ascii="宋体" w:hAnsi="宋体"/>
          <w:sz w:val="22"/>
          <w:szCs w:val="22"/>
        </w:rPr>
        <w:t>在项目实施过程中，经双方友好协商，本协议的有关条款也可做出相应的修改。</w:t>
      </w:r>
    </w:p>
    <w:p>
      <w:pPr>
        <w:spacing w:line="440" w:lineRule="exact"/>
        <w:ind w:firstLine="440" w:firstLineChars="200"/>
        <w:jc w:val="left"/>
        <w:rPr>
          <w:rFonts w:ascii="宋体" w:hAnsi="宋体"/>
          <w:sz w:val="22"/>
          <w:szCs w:val="22"/>
        </w:rPr>
      </w:pPr>
      <w:r>
        <w:rPr>
          <w:rFonts w:hint="eastAsia" w:ascii="宋体" w:hAnsi="宋体"/>
          <w:sz w:val="22"/>
          <w:szCs w:val="22"/>
        </w:rPr>
        <w:t>本工程安全管理协议，由发包人、承包人双方在施工承包合同签订后7天内共同签署，作为施工合同附件。</w:t>
      </w:r>
    </w:p>
    <w:p>
      <w:pPr>
        <w:spacing w:line="440" w:lineRule="exact"/>
        <w:ind w:firstLine="440" w:firstLineChars="200"/>
        <w:jc w:val="left"/>
        <w:rPr>
          <w:rFonts w:ascii="宋体" w:hAnsi="宋体"/>
          <w:sz w:val="22"/>
          <w:szCs w:val="22"/>
        </w:rPr>
      </w:pPr>
      <w:r>
        <w:rPr>
          <w:rFonts w:hint="eastAsia" w:ascii="宋体" w:hAnsi="宋体"/>
          <w:sz w:val="22"/>
          <w:szCs w:val="22"/>
        </w:rPr>
        <w:t>发  包  人（公章）：</w:t>
      </w:r>
      <w:r>
        <w:rPr>
          <w:rFonts w:hint="eastAsia" w:ascii="宋体" w:hAnsi="宋体" w:cs="宋体"/>
          <w:sz w:val="22"/>
          <w:szCs w:val="22"/>
          <w:u w:val="single"/>
        </w:rPr>
        <w:t xml:space="preserve">                     </w:t>
      </w:r>
    </w:p>
    <w:p>
      <w:pPr>
        <w:spacing w:line="440" w:lineRule="exact"/>
        <w:ind w:firstLine="440" w:firstLineChars="200"/>
        <w:jc w:val="left"/>
        <w:rPr>
          <w:rFonts w:ascii="宋体" w:hAnsi="宋体"/>
          <w:sz w:val="22"/>
          <w:szCs w:val="22"/>
        </w:rPr>
      </w:pPr>
      <w:r>
        <w:rPr>
          <w:rFonts w:hint="eastAsia" w:ascii="宋体" w:hAnsi="宋体"/>
          <w:sz w:val="22"/>
          <w:szCs w:val="22"/>
        </w:rPr>
        <w:t>法定代表人（签字）：</w:t>
      </w:r>
      <w:r>
        <w:rPr>
          <w:rFonts w:hint="eastAsia" w:ascii="宋体" w:hAnsi="宋体" w:cs="宋体"/>
          <w:sz w:val="22"/>
          <w:szCs w:val="22"/>
          <w:u w:val="single"/>
        </w:rPr>
        <w:t xml:space="preserve">                       </w:t>
      </w:r>
      <w:r>
        <w:rPr>
          <w:rFonts w:hint="eastAsia" w:ascii="宋体" w:hAnsi="宋体"/>
          <w:sz w:val="22"/>
          <w:szCs w:val="22"/>
        </w:rPr>
        <w:t xml:space="preserve">  </w:t>
      </w:r>
    </w:p>
    <w:p>
      <w:pPr>
        <w:spacing w:line="440" w:lineRule="exact"/>
        <w:ind w:firstLine="440" w:firstLineChars="200"/>
        <w:jc w:val="left"/>
        <w:rPr>
          <w:rFonts w:ascii="宋体" w:hAnsi="宋体"/>
          <w:sz w:val="22"/>
          <w:szCs w:val="22"/>
        </w:rPr>
      </w:pPr>
      <w:r>
        <w:rPr>
          <w:rFonts w:hint="eastAsia" w:ascii="宋体" w:hAnsi="宋体"/>
          <w:sz w:val="22"/>
          <w:szCs w:val="22"/>
        </w:rPr>
        <w:t>或其委托代理人（签字）：</w:t>
      </w:r>
      <w:r>
        <w:rPr>
          <w:rFonts w:hint="eastAsia" w:ascii="宋体" w:hAnsi="宋体" w:cs="宋体"/>
          <w:sz w:val="22"/>
          <w:szCs w:val="22"/>
          <w:u w:val="single"/>
        </w:rPr>
        <w:t xml:space="preserve">                   </w:t>
      </w:r>
      <w:r>
        <w:rPr>
          <w:rFonts w:hint="eastAsia" w:ascii="宋体" w:hAnsi="宋体"/>
          <w:sz w:val="22"/>
          <w:szCs w:val="22"/>
        </w:rPr>
        <w:t xml:space="preserve">  </w:t>
      </w:r>
    </w:p>
    <w:p>
      <w:pPr>
        <w:spacing w:line="440" w:lineRule="exact"/>
        <w:ind w:firstLine="440" w:firstLineChars="200"/>
        <w:jc w:val="left"/>
        <w:rPr>
          <w:rFonts w:ascii="宋体" w:hAnsi="宋体"/>
          <w:sz w:val="22"/>
          <w:szCs w:val="22"/>
        </w:rPr>
      </w:pPr>
    </w:p>
    <w:p>
      <w:pPr>
        <w:spacing w:line="440" w:lineRule="exact"/>
        <w:ind w:firstLine="440" w:firstLineChars="200"/>
        <w:jc w:val="left"/>
        <w:rPr>
          <w:rFonts w:ascii="宋体" w:hAnsi="宋体"/>
          <w:kern w:val="0"/>
          <w:sz w:val="22"/>
          <w:szCs w:val="22"/>
        </w:rPr>
      </w:pPr>
      <w:r>
        <w:rPr>
          <w:rFonts w:hint="eastAsia" w:ascii="宋体" w:hAnsi="宋体"/>
          <w:sz w:val="22"/>
          <w:szCs w:val="22"/>
        </w:rPr>
        <w:t>承  包  人（公章）：</w:t>
      </w:r>
      <w:r>
        <w:rPr>
          <w:rFonts w:hint="eastAsia" w:ascii="宋体" w:hAnsi="宋体" w:cs="宋体"/>
          <w:sz w:val="22"/>
          <w:szCs w:val="22"/>
          <w:u w:val="single"/>
        </w:rPr>
        <w:t xml:space="preserve">                         </w:t>
      </w:r>
    </w:p>
    <w:p>
      <w:pPr>
        <w:spacing w:line="440" w:lineRule="exact"/>
        <w:ind w:firstLine="440" w:firstLineChars="200"/>
        <w:jc w:val="left"/>
        <w:rPr>
          <w:rFonts w:ascii="宋体" w:hAnsi="宋体"/>
          <w:sz w:val="22"/>
          <w:szCs w:val="22"/>
        </w:rPr>
      </w:pPr>
      <w:r>
        <w:rPr>
          <w:rFonts w:hint="eastAsia" w:ascii="宋体" w:hAnsi="宋体"/>
          <w:sz w:val="22"/>
          <w:szCs w:val="22"/>
        </w:rPr>
        <w:t>法定代表人（签字）：</w:t>
      </w:r>
      <w:r>
        <w:rPr>
          <w:rFonts w:hint="eastAsia" w:ascii="宋体" w:hAnsi="宋体" w:cs="宋体"/>
          <w:sz w:val="22"/>
          <w:szCs w:val="22"/>
          <w:u w:val="single"/>
        </w:rPr>
        <w:t xml:space="preserve">                       </w:t>
      </w:r>
    </w:p>
    <w:p>
      <w:pPr>
        <w:spacing w:line="440" w:lineRule="exact"/>
        <w:ind w:firstLine="440" w:firstLineChars="200"/>
        <w:jc w:val="left"/>
        <w:rPr>
          <w:rFonts w:ascii="宋体" w:hAnsi="宋体" w:cs="宋体"/>
          <w:sz w:val="22"/>
          <w:szCs w:val="22"/>
          <w:u w:val="single"/>
        </w:rPr>
        <w:sectPr>
          <w:pgSz w:w="11906" w:h="16838"/>
          <w:pgMar w:top="993" w:right="1133" w:bottom="1135" w:left="1134" w:header="993" w:footer="873" w:gutter="0"/>
          <w:cols w:space="720" w:num="1"/>
          <w:docGrid w:linePitch="312" w:charSpace="0"/>
        </w:sectPr>
      </w:pPr>
      <w:r>
        <w:rPr>
          <w:rFonts w:hint="eastAsia" w:ascii="宋体" w:hAnsi="宋体"/>
          <w:sz w:val="22"/>
          <w:szCs w:val="22"/>
        </w:rPr>
        <w:t>或其委托代理人（签字）：</w:t>
      </w:r>
      <w:r>
        <w:rPr>
          <w:rFonts w:hint="eastAsia" w:ascii="宋体" w:hAnsi="宋体" w:cs="宋体"/>
          <w:sz w:val="22"/>
          <w:szCs w:val="22"/>
          <w:u w:val="single"/>
        </w:rPr>
        <w:t xml:space="preserve">                   </w:t>
      </w:r>
    </w:p>
    <w:p>
      <w:pPr>
        <w:pStyle w:val="5"/>
        <w:spacing w:before="48" w:after="48"/>
        <w:rPr>
          <w:rFonts w:asciiTheme="majorEastAsia" w:hAnsiTheme="majorEastAsia" w:eastAsiaTheme="majorEastAsia"/>
        </w:rPr>
      </w:pPr>
      <w:bookmarkStart w:id="521" w:name="_Toc10540"/>
      <w:r>
        <w:rPr>
          <w:rFonts w:hint="eastAsia" w:asciiTheme="majorEastAsia" w:hAnsiTheme="majorEastAsia" w:eastAsiaTheme="majorEastAsia"/>
        </w:rPr>
        <w:t>附件四：</w:t>
      </w:r>
      <w:bookmarkEnd w:id="521"/>
      <w:r>
        <w:rPr>
          <w:rFonts w:asciiTheme="majorEastAsia" w:hAnsiTheme="majorEastAsia" w:eastAsiaTheme="majorEastAsia"/>
        </w:rPr>
        <w:t xml:space="preserve"> </w:t>
      </w:r>
    </w:p>
    <w:p>
      <w:pPr>
        <w:spacing w:before="120" w:beforeLines="50" w:after="120" w:afterLines="50" w:line="440" w:lineRule="exact"/>
        <w:jc w:val="center"/>
        <w:rPr>
          <w:rFonts w:ascii="宋体" w:hAnsi="宋体"/>
          <w:b/>
          <w:sz w:val="28"/>
          <w:szCs w:val="22"/>
        </w:rPr>
      </w:pPr>
      <w:r>
        <w:rPr>
          <w:rFonts w:hint="eastAsia" w:ascii="宋体" w:hAnsi="宋体"/>
          <w:b/>
          <w:sz w:val="28"/>
          <w:szCs w:val="22"/>
        </w:rPr>
        <w:t>保障农民工工资支付协议</w:t>
      </w:r>
    </w:p>
    <w:p>
      <w:pPr>
        <w:snapToGrid w:val="0"/>
        <w:spacing w:line="440" w:lineRule="exact"/>
        <w:rPr>
          <w:rFonts w:ascii="宋体" w:hAnsi="宋体"/>
          <w:sz w:val="22"/>
          <w:szCs w:val="22"/>
        </w:rPr>
      </w:pPr>
      <w:r>
        <w:rPr>
          <w:rFonts w:hint="eastAsia" w:ascii="宋体" w:hAnsi="宋体"/>
          <w:sz w:val="22"/>
          <w:szCs w:val="22"/>
        </w:rPr>
        <w:t xml:space="preserve"> 发包人：</w:t>
      </w:r>
      <w:r>
        <w:rPr>
          <w:rFonts w:hint="eastAsia" w:ascii="宋体" w:hAnsi="宋体" w:cs="宋体"/>
          <w:sz w:val="22"/>
          <w:szCs w:val="22"/>
          <w:u w:val="single"/>
        </w:rPr>
        <w:t xml:space="preserve">                    </w:t>
      </w:r>
      <w:r>
        <w:rPr>
          <w:rFonts w:hint="eastAsia" w:ascii="宋体" w:hAnsi="宋体"/>
          <w:sz w:val="22"/>
          <w:szCs w:val="22"/>
        </w:rPr>
        <w:t>（发包人）</w:t>
      </w:r>
    </w:p>
    <w:p>
      <w:pPr>
        <w:snapToGrid w:val="0"/>
        <w:spacing w:line="440" w:lineRule="exact"/>
        <w:rPr>
          <w:rFonts w:ascii="宋体" w:hAnsi="宋体"/>
          <w:sz w:val="22"/>
          <w:szCs w:val="22"/>
        </w:rPr>
      </w:pPr>
      <w:r>
        <w:rPr>
          <w:rFonts w:hint="eastAsia" w:ascii="宋体" w:hAnsi="宋体"/>
          <w:sz w:val="22"/>
          <w:szCs w:val="22"/>
        </w:rPr>
        <w:t xml:space="preserve"> 承包人：</w:t>
      </w:r>
      <w:r>
        <w:rPr>
          <w:rFonts w:hint="eastAsia" w:ascii="宋体" w:hAnsi="宋体" w:cs="宋体"/>
          <w:sz w:val="22"/>
          <w:szCs w:val="22"/>
          <w:u w:val="single"/>
        </w:rPr>
        <w:t xml:space="preserve">                     </w:t>
      </w:r>
      <w:r>
        <w:rPr>
          <w:rFonts w:hint="eastAsia" w:ascii="宋体" w:hAnsi="宋体"/>
          <w:sz w:val="22"/>
          <w:szCs w:val="22"/>
        </w:rPr>
        <w:t>（承包人）</w:t>
      </w:r>
    </w:p>
    <w:p>
      <w:pPr>
        <w:spacing w:line="440" w:lineRule="exact"/>
        <w:ind w:firstLine="440" w:firstLineChars="200"/>
        <w:rPr>
          <w:rFonts w:ascii="宋体" w:hAnsi="宋体"/>
          <w:sz w:val="22"/>
          <w:szCs w:val="22"/>
        </w:rPr>
      </w:pPr>
      <w:r>
        <w:rPr>
          <w:rFonts w:hint="eastAsia" w:ascii="宋体" w:hAnsi="宋体"/>
          <w:sz w:val="22"/>
          <w:szCs w:val="22"/>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40" w:lineRule="exact"/>
        <w:ind w:firstLine="440" w:firstLineChars="200"/>
        <w:rPr>
          <w:rFonts w:ascii="宋体" w:hAnsi="宋体"/>
          <w:sz w:val="22"/>
          <w:szCs w:val="22"/>
        </w:rPr>
      </w:pPr>
      <w:r>
        <w:rPr>
          <w:rFonts w:hint="eastAsia" w:ascii="宋体" w:hAnsi="宋体"/>
          <w:sz w:val="22"/>
          <w:szCs w:val="22"/>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440" w:lineRule="exact"/>
        <w:ind w:firstLine="440" w:firstLineChars="200"/>
        <w:rPr>
          <w:rFonts w:ascii="宋体" w:hAnsi="宋体"/>
          <w:sz w:val="22"/>
          <w:szCs w:val="22"/>
        </w:rPr>
      </w:pPr>
      <w:r>
        <w:rPr>
          <w:rFonts w:hint="eastAsia" w:ascii="宋体" w:hAnsi="宋体"/>
          <w:sz w:val="22"/>
          <w:szCs w:val="22"/>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440" w:lineRule="exact"/>
        <w:ind w:firstLine="440" w:firstLineChars="200"/>
        <w:rPr>
          <w:rFonts w:ascii="宋体" w:hAnsi="宋体"/>
          <w:sz w:val="22"/>
          <w:szCs w:val="22"/>
        </w:rPr>
      </w:pPr>
      <w:r>
        <w:rPr>
          <w:rFonts w:hint="eastAsia" w:ascii="宋体" w:hAnsi="宋体"/>
          <w:sz w:val="22"/>
          <w:szCs w:val="22"/>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440" w:lineRule="exact"/>
        <w:ind w:firstLine="440" w:firstLineChars="200"/>
        <w:rPr>
          <w:rFonts w:ascii="宋体" w:hAnsi="宋体"/>
          <w:sz w:val="22"/>
          <w:szCs w:val="22"/>
        </w:rPr>
      </w:pPr>
      <w:r>
        <w:rPr>
          <w:rFonts w:hint="eastAsia" w:ascii="宋体" w:hAnsi="宋体"/>
          <w:sz w:val="22"/>
          <w:szCs w:val="22"/>
        </w:rPr>
        <w:t>四、若发现承包人有下列事项的，发包人在支付当期进度款时暂扣当期应支付进度款5%比例的款项。</w:t>
      </w:r>
      <w:r>
        <w:rPr>
          <w:rFonts w:hint="eastAsia" w:ascii="宋体" w:hAnsi="宋体"/>
          <w:sz w:val="22"/>
          <w:szCs w:val="22"/>
        </w:rPr>
        <w:br w:type="textWrapping"/>
      </w:r>
      <w:r>
        <w:rPr>
          <w:rFonts w:hint="eastAsia" w:ascii="宋体" w:hAnsi="宋体"/>
          <w:sz w:val="22"/>
          <w:szCs w:val="22"/>
        </w:rPr>
        <w:t xml:space="preserve">    （一）现场检查发现项目存在拖欠农民工工资情况并经核查属实的；</w:t>
      </w:r>
    </w:p>
    <w:p>
      <w:pPr>
        <w:spacing w:line="440" w:lineRule="exact"/>
        <w:ind w:firstLine="440" w:firstLineChars="200"/>
        <w:rPr>
          <w:rFonts w:ascii="宋体" w:hAnsi="宋体"/>
          <w:sz w:val="22"/>
          <w:szCs w:val="22"/>
        </w:rPr>
      </w:pPr>
      <w:r>
        <w:rPr>
          <w:rFonts w:hint="eastAsia" w:ascii="宋体" w:hAnsi="宋体"/>
          <w:sz w:val="22"/>
          <w:szCs w:val="22"/>
        </w:rPr>
        <w:t>（二）相关行政管理部门检查发现存在拖欠农民工工资情况并经核查属实的；</w:t>
      </w:r>
      <w:r>
        <w:rPr>
          <w:rFonts w:hint="eastAsia" w:ascii="宋体" w:hAnsi="宋体"/>
          <w:sz w:val="22"/>
          <w:szCs w:val="22"/>
        </w:rPr>
        <w:br w:type="textWrapping"/>
      </w:r>
      <w:r>
        <w:rPr>
          <w:rFonts w:hint="eastAsia" w:ascii="宋体" w:hAnsi="宋体"/>
          <w:sz w:val="22"/>
          <w:szCs w:val="22"/>
        </w:rPr>
        <w:t xml:space="preserve">    （三）有拖欠农民工工资投诉事项并经核查属实的。</w:t>
      </w:r>
      <w:r>
        <w:rPr>
          <w:rFonts w:hint="eastAsia" w:ascii="宋体" w:hAnsi="宋体"/>
          <w:sz w:val="22"/>
          <w:szCs w:val="22"/>
        </w:rPr>
        <w:br w:type="textWrapping"/>
      </w:r>
      <w:r>
        <w:rPr>
          <w:rFonts w:hint="eastAsia" w:ascii="宋体" w:hAnsi="宋体"/>
          <w:sz w:val="22"/>
          <w:szCs w:val="22"/>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440" w:lineRule="exact"/>
        <w:ind w:firstLine="440" w:firstLineChars="200"/>
        <w:rPr>
          <w:rFonts w:ascii="宋体" w:hAnsi="宋体"/>
          <w:snapToGrid w:val="0"/>
          <w:spacing w:val="-4"/>
          <w:kern w:val="0"/>
          <w:sz w:val="22"/>
          <w:szCs w:val="22"/>
        </w:rPr>
      </w:pPr>
      <w:r>
        <w:rPr>
          <w:rFonts w:hint="eastAsia" w:ascii="宋体" w:hAnsi="宋体"/>
          <w:sz w:val="22"/>
          <w:szCs w:val="22"/>
        </w:rPr>
        <w:t>六、本协议经双方法定代表人或委托代理人签字并加盖公章后生效，履行完毕后自然失效。</w:t>
      </w:r>
    </w:p>
    <w:p>
      <w:pPr>
        <w:spacing w:line="440" w:lineRule="exact"/>
        <w:ind w:firstLine="440" w:firstLineChars="200"/>
        <w:rPr>
          <w:rFonts w:ascii="宋体" w:hAnsi="宋体"/>
          <w:sz w:val="22"/>
          <w:szCs w:val="22"/>
        </w:rPr>
      </w:pPr>
      <w:r>
        <w:rPr>
          <w:rFonts w:hint="eastAsia" w:ascii="宋体" w:hAnsi="宋体"/>
          <w:sz w:val="22"/>
          <w:szCs w:val="22"/>
        </w:rPr>
        <w:t>附件：</w:t>
      </w:r>
    </w:p>
    <w:p>
      <w:pPr>
        <w:spacing w:line="440" w:lineRule="exact"/>
        <w:ind w:firstLine="440" w:firstLineChars="200"/>
        <w:rPr>
          <w:rFonts w:ascii="宋体" w:hAnsi="宋体"/>
          <w:sz w:val="22"/>
          <w:szCs w:val="22"/>
        </w:rPr>
      </w:pPr>
      <w:r>
        <w:rPr>
          <w:rFonts w:hint="eastAsia" w:ascii="宋体" w:hAnsi="宋体"/>
          <w:sz w:val="22"/>
          <w:szCs w:val="22"/>
        </w:rPr>
        <w:t>1、关于农民工工资发放情况的说明表</w:t>
      </w:r>
    </w:p>
    <w:p>
      <w:pPr>
        <w:pStyle w:val="2"/>
        <w:spacing w:line="440" w:lineRule="exact"/>
        <w:ind w:firstLine="440" w:firstLineChars="200"/>
        <w:rPr>
          <w:rFonts w:ascii="宋体" w:hAnsi="宋体"/>
          <w:sz w:val="22"/>
          <w:szCs w:val="22"/>
        </w:rPr>
      </w:pPr>
    </w:p>
    <w:p>
      <w:pPr>
        <w:pStyle w:val="2"/>
        <w:spacing w:line="440" w:lineRule="exact"/>
        <w:ind w:firstLine="440" w:firstLineChars="200"/>
        <w:rPr>
          <w:rFonts w:ascii="宋体" w:hAnsi="宋体"/>
          <w:sz w:val="22"/>
          <w:szCs w:val="22"/>
        </w:rPr>
      </w:pPr>
    </w:p>
    <w:p>
      <w:pPr>
        <w:pStyle w:val="2"/>
        <w:spacing w:line="440" w:lineRule="exact"/>
        <w:ind w:firstLine="440" w:firstLineChars="200"/>
        <w:rPr>
          <w:rFonts w:ascii="宋体" w:hAnsi="宋体"/>
          <w:sz w:val="22"/>
          <w:szCs w:val="22"/>
        </w:rPr>
      </w:pPr>
    </w:p>
    <w:p>
      <w:pPr>
        <w:spacing w:line="440" w:lineRule="exact"/>
        <w:ind w:firstLine="440" w:firstLineChars="200"/>
        <w:rPr>
          <w:rFonts w:ascii="宋体" w:hAnsi="宋体"/>
          <w:sz w:val="22"/>
          <w:szCs w:val="22"/>
        </w:rPr>
      </w:pPr>
    </w:p>
    <w:p>
      <w:pPr>
        <w:spacing w:line="440" w:lineRule="exact"/>
        <w:ind w:firstLine="440" w:firstLineChars="200"/>
        <w:rPr>
          <w:rFonts w:ascii="宋体" w:hAnsi="宋体"/>
          <w:sz w:val="22"/>
          <w:szCs w:val="22"/>
        </w:rPr>
      </w:pPr>
    </w:p>
    <w:p>
      <w:pPr>
        <w:pStyle w:val="2"/>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发包人：</w:t>
      </w:r>
      <w:r>
        <w:rPr>
          <w:rFonts w:hint="eastAsia" w:ascii="宋体" w:hAnsi="宋体" w:cs="宋体"/>
          <w:sz w:val="22"/>
          <w:szCs w:val="22"/>
          <w:u w:val="single"/>
        </w:rPr>
        <w:t xml:space="preserve">                        </w:t>
      </w:r>
      <w:r>
        <w:rPr>
          <w:rFonts w:hint="eastAsia" w:ascii="宋体" w:hAnsi="宋体"/>
          <w:sz w:val="22"/>
          <w:szCs w:val="22"/>
        </w:rPr>
        <w:t>（发包人）</w:t>
      </w:r>
    </w:p>
    <w:p>
      <w:pPr>
        <w:spacing w:line="440" w:lineRule="exact"/>
        <w:rPr>
          <w:rFonts w:ascii="宋体" w:hAnsi="宋体"/>
          <w:sz w:val="22"/>
          <w:szCs w:val="22"/>
        </w:rPr>
      </w:pPr>
      <w:r>
        <w:rPr>
          <w:rFonts w:hint="eastAsia" w:ascii="宋体" w:hAnsi="宋体"/>
          <w:sz w:val="22"/>
          <w:szCs w:val="22"/>
        </w:rPr>
        <w:t>法定代表人：</w:t>
      </w:r>
      <w:r>
        <w:rPr>
          <w:rFonts w:hint="eastAsia" w:ascii="宋体" w:hAnsi="宋体" w:cs="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或委托代理人：</w:t>
      </w:r>
      <w:r>
        <w:rPr>
          <w:rFonts w:hint="eastAsia" w:ascii="宋体" w:hAnsi="宋体" w:cs="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联系人：</w:t>
      </w:r>
      <w:r>
        <w:rPr>
          <w:rFonts w:hint="eastAsia" w:ascii="宋体" w:hAnsi="宋体" w:cs="宋体"/>
          <w:sz w:val="22"/>
          <w:szCs w:val="22"/>
          <w:u w:val="single"/>
        </w:rPr>
        <w:t xml:space="preserve">       </w:t>
      </w: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承包人：</w:t>
      </w:r>
      <w:r>
        <w:rPr>
          <w:rFonts w:hint="eastAsia" w:ascii="宋体" w:hAnsi="宋体" w:cs="宋体"/>
          <w:sz w:val="22"/>
          <w:szCs w:val="22"/>
          <w:u w:val="single"/>
        </w:rPr>
        <w:t xml:space="preserve">                         </w:t>
      </w:r>
      <w:r>
        <w:rPr>
          <w:rFonts w:hint="eastAsia" w:ascii="宋体" w:hAnsi="宋体"/>
          <w:sz w:val="22"/>
          <w:szCs w:val="22"/>
        </w:rPr>
        <w:t>（承包人）</w:t>
      </w:r>
    </w:p>
    <w:p>
      <w:pPr>
        <w:spacing w:line="440" w:lineRule="exact"/>
        <w:rPr>
          <w:rFonts w:ascii="宋体" w:hAnsi="宋体"/>
          <w:sz w:val="22"/>
          <w:szCs w:val="22"/>
        </w:rPr>
      </w:pPr>
      <w:r>
        <w:rPr>
          <w:rFonts w:hint="eastAsia" w:ascii="宋体" w:hAnsi="宋体"/>
          <w:sz w:val="22"/>
          <w:szCs w:val="22"/>
        </w:rPr>
        <w:t>法定代表人：</w:t>
      </w:r>
      <w:r>
        <w:rPr>
          <w:rFonts w:hint="eastAsia" w:ascii="宋体" w:hAnsi="宋体" w:cs="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或委托代理人：</w:t>
      </w:r>
      <w:r>
        <w:rPr>
          <w:rFonts w:hint="eastAsia" w:ascii="宋体" w:hAnsi="宋体" w:cs="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联系人：</w:t>
      </w:r>
      <w:r>
        <w:rPr>
          <w:rFonts w:hint="eastAsia" w:ascii="宋体" w:hAnsi="宋体" w:cs="宋体"/>
          <w:sz w:val="22"/>
          <w:szCs w:val="22"/>
          <w:u w:val="single"/>
        </w:rPr>
        <w:t xml:space="preserve">       </w:t>
      </w:r>
    </w:p>
    <w:p>
      <w:pPr>
        <w:snapToGrid w:val="0"/>
        <w:spacing w:line="440" w:lineRule="exact"/>
        <w:jc w:val="left"/>
        <w:rPr>
          <w:rFonts w:ascii="宋体" w:hAnsi="宋体"/>
          <w:kern w:val="0"/>
          <w:sz w:val="22"/>
          <w:szCs w:val="22"/>
        </w:rPr>
      </w:pPr>
    </w:p>
    <w:p>
      <w:pPr>
        <w:spacing w:line="360" w:lineRule="auto"/>
        <w:ind w:firstLine="440"/>
        <w:jc w:val="left"/>
        <w:rPr>
          <w:rFonts w:asciiTheme="majorEastAsia" w:hAnsiTheme="majorEastAsia" w:eastAsiaTheme="majorEastAsia"/>
          <w:sz w:val="22"/>
          <w:szCs w:val="22"/>
        </w:rPr>
        <w:sectPr>
          <w:pgSz w:w="11906" w:h="16838"/>
          <w:pgMar w:top="993" w:right="1133" w:bottom="1135" w:left="1134" w:header="993" w:footer="873" w:gutter="0"/>
          <w:cols w:space="720" w:num="1"/>
          <w:docGrid w:linePitch="312" w:charSpace="0"/>
        </w:sectPr>
      </w:pPr>
    </w:p>
    <w:p>
      <w:pPr>
        <w:spacing w:line="440" w:lineRule="exact"/>
        <w:rPr>
          <w:rFonts w:ascii="宋体" w:hAnsi="宋体"/>
          <w:sz w:val="22"/>
          <w:szCs w:val="22"/>
        </w:rPr>
      </w:pPr>
      <w:r>
        <w:rPr>
          <w:rFonts w:hint="eastAsia" w:ascii="宋体" w:hAnsi="宋体"/>
          <w:sz w:val="22"/>
          <w:szCs w:val="22"/>
        </w:rPr>
        <w:t>保障农民工工资支付协议附件：</w:t>
      </w:r>
    </w:p>
    <w:p>
      <w:pPr>
        <w:pStyle w:val="2"/>
        <w:rPr>
          <w:rFonts w:ascii="宋体" w:hAnsi="宋体"/>
        </w:rPr>
      </w:pPr>
    </w:p>
    <w:p>
      <w:pPr>
        <w:widowControl/>
        <w:snapToGrid w:val="0"/>
        <w:spacing w:after="100" w:afterAutospacing="1" w:line="440" w:lineRule="exact"/>
        <w:jc w:val="center"/>
        <w:rPr>
          <w:rFonts w:ascii="宋体" w:hAnsi="宋体"/>
          <w:b/>
          <w:sz w:val="28"/>
          <w:szCs w:val="22"/>
        </w:rPr>
      </w:pPr>
      <w:r>
        <w:rPr>
          <w:rFonts w:hint="eastAsia" w:ascii="宋体" w:hAnsi="宋体"/>
          <w:b/>
          <w:sz w:val="28"/>
          <w:szCs w:val="22"/>
        </w:rPr>
        <w:t>关于农民工工资发放情况的说明表</w:t>
      </w:r>
    </w:p>
    <w:tbl>
      <w:tblPr>
        <w:tblStyle w:val="57"/>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40" w:lineRule="exact"/>
              <w:jc w:val="left"/>
              <w:rPr>
                <w:rFonts w:ascii="宋体" w:hAnsi="宋体"/>
                <w:kern w:val="0"/>
                <w:sz w:val="22"/>
                <w:szCs w:val="22"/>
              </w:rPr>
            </w:pPr>
            <w:r>
              <w:rPr>
                <w:rFonts w:hint="eastAsia" w:ascii="宋体" w:hAnsi="宋体"/>
                <w:kern w:val="0"/>
                <w:sz w:val="22"/>
                <w:szCs w:val="22"/>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89" w:type="dxa"/>
          </w:tcPr>
          <w:p>
            <w:pPr>
              <w:widowControl/>
              <w:snapToGrid w:val="0"/>
              <w:spacing w:after="100" w:afterAutospacing="1" w:line="440" w:lineRule="exact"/>
              <w:rPr>
                <w:rFonts w:ascii="宋体" w:hAnsi="宋体"/>
                <w:kern w:val="0"/>
                <w:sz w:val="22"/>
                <w:szCs w:val="22"/>
              </w:rPr>
            </w:pPr>
            <w:r>
              <w:rPr>
                <w:rFonts w:hint="eastAsia" w:ascii="宋体" w:hAnsi="宋体"/>
                <w:kern w:val="0"/>
                <w:sz w:val="22"/>
                <w:szCs w:val="22"/>
              </w:rPr>
              <w:t>施工单位：</w:t>
            </w:r>
          </w:p>
        </w:tc>
        <w:tc>
          <w:tcPr>
            <w:tcW w:w="5848" w:type="dxa"/>
          </w:tcPr>
          <w:p>
            <w:pPr>
              <w:widowControl/>
              <w:snapToGrid w:val="0"/>
              <w:spacing w:after="100" w:afterAutospacing="1" w:line="440" w:lineRule="exac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9" w:type="dxa"/>
          </w:tcPr>
          <w:p>
            <w:pPr>
              <w:widowControl/>
              <w:snapToGrid w:val="0"/>
              <w:spacing w:after="100" w:afterAutospacing="1" w:line="440" w:lineRule="exact"/>
              <w:rPr>
                <w:rFonts w:ascii="宋体" w:hAnsi="宋体"/>
                <w:kern w:val="0"/>
                <w:sz w:val="22"/>
                <w:szCs w:val="22"/>
              </w:rPr>
            </w:pPr>
            <w:r>
              <w:rPr>
                <w:rFonts w:hint="eastAsia" w:ascii="宋体" w:hAnsi="宋体"/>
                <w:kern w:val="0"/>
                <w:sz w:val="22"/>
                <w:szCs w:val="22"/>
              </w:rPr>
              <w:t>监理单位：</w:t>
            </w:r>
          </w:p>
        </w:tc>
        <w:tc>
          <w:tcPr>
            <w:tcW w:w="5848" w:type="dxa"/>
          </w:tcPr>
          <w:p>
            <w:pPr>
              <w:widowControl/>
              <w:snapToGrid w:val="0"/>
              <w:spacing w:after="100" w:afterAutospacing="1" w:line="440" w:lineRule="exac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40" w:lineRule="exact"/>
              <w:rPr>
                <w:rFonts w:ascii="宋体" w:hAnsi="宋体"/>
                <w:kern w:val="0"/>
                <w:sz w:val="22"/>
                <w:szCs w:val="22"/>
                <w:u w:val="single"/>
              </w:rPr>
            </w:pPr>
          </w:p>
          <w:p>
            <w:pPr>
              <w:widowControl/>
              <w:snapToGrid w:val="0"/>
              <w:spacing w:after="100" w:afterAutospacing="1" w:line="440" w:lineRule="exact"/>
              <w:rPr>
                <w:rFonts w:ascii="宋体" w:hAnsi="宋体"/>
                <w:kern w:val="0"/>
                <w:sz w:val="22"/>
                <w:szCs w:val="22"/>
              </w:rPr>
            </w:pPr>
            <w:r>
              <w:rPr>
                <w:rFonts w:hint="eastAsia" w:ascii="宋体" w:hAnsi="宋体"/>
                <w:kern w:val="0"/>
                <w:sz w:val="22"/>
                <w:szCs w:val="22"/>
              </w:rPr>
              <w:t>（项目业主单位名称）：</w:t>
            </w:r>
            <w:r>
              <w:rPr>
                <w:rFonts w:hint="eastAsia" w:ascii="宋体" w:hAnsi="宋体"/>
                <w:kern w:val="0"/>
                <w:sz w:val="22"/>
                <w:szCs w:val="22"/>
                <w:u w:val="single"/>
              </w:rPr>
              <w:br w:type="textWrapping"/>
            </w:r>
            <w:r>
              <w:rPr>
                <w:rFonts w:hint="eastAsia" w:ascii="宋体" w:hAnsi="宋体"/>
                <w:kern w:val="0"/>
                <w:sz w:val="22"/>
                <w:szCs w:val="22"/>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 w:val="22"/>
                <w:szCs w:val="22"/>
              </w:rPr>
              <w:br w:type="textWrapping"/>
            </w:r>
          </w:p>
          <w:p>
            <w:pPr>
              <w:widowControl/>
              <w:snapToGrid w:val="0"/>
              <w:spacing w:after="100" w:afterAutospacing="1" w:line="440" w:lineRule="exact"/>
              <w:ind w:firstLine="1320" w:firstLineChars="600"/>
              <w:rPr>
                <w:rFonts w:ascii="宋体" w:hAnsi="宋体"/>
                <w:kern w:val="0"/>
                <w:sz w:val="22"/>
                <w:szCs w:val="22"/>
                <w:u w:val="single"/>
              </w:rPr>
            </w:pPr>
            <w:r>
              <w:rPr>
                <w:rFonts w:hint="eastAsia" w:ascii="宋体" w:hAnsi="宋体"/>
                <w:kern w:val="0"/>
                <w:sz w:val="22"/>
                <w:szCs w:val="22"/>
              </w:rPr>
              <w:t>施工单位项目负责人签字（加盖项目章）：</w:t>
            </w:r>
            <w:r>
              <w:rPr>
                <w:rFonts w:hint="eastAsia" w:ascii="宋体" w:hAnsi="宋体"/>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589" w:type="dxa"/>
            <w:vAlign w:val="center"/>
          </w:tcPr>
          <w:p>
            <w:pPr>
              <w:widowControl/>
              <w:snapToGrid w:val="0"/>
              <w:spacing w:after="100" w:afterAutospacing="1" w:line="440" w:lineRule="exact"/>
              <w:jc w:val="center"/>
              <w:rPr>
                <w:rFonts w:ascii="宋体" w:hAnsi="宋体" w:cs="宋体"/>
                <w:kern w:val="0"/>
                <w:sz w:val="22"/>
                <w:szCs w:val="22"/>
              </w:rPr>
            </w:pPr>
            <w:r>
              <w:rPr>
                <w:rFonts w:hint="eastAsia" w:ascii="宋体" w:hAnsi="宋体" w:cs="宋体"/>
                <w:kern w:val="0"/>
                <w:sz w:val="22"/>
                <w:szCs w:val="22"/>
              </w:rPr>
              <w:t>监理单位意见：</w:t>
            </w:r>
          </w:p>
        </w:tc>
        <w:tc>
          <w:tcPr>
            <w:tcW w:w="5848" w:type="dxa"/>
          </w:tcPr>
          <w:p>
            <w:pPr>
              <w:widowControl/>
              <w:snapToGrid w:val="0"/>
              <w:spacing w:after="100" w:afterAutospacing="1" w:line="440" w:lineRule="exact"/>
              <w:rPr>
                <w:rFonts w:ascii="宋体" w:hAnsi="宋体"/>
                <w:kern w:val="0"/>
                <w:sz w:val="22"/>
                <w:szCs w:val="22"/>
                <w:u w:val="single"/>
              </w:rPr>
            </w:pPr>
          </w:p>
          <w:p>
            <w:pPr>
              <w:widowControl/>
              <w:snapToGrid w:val="0"/>
              <w:spacing w:after="100" w:afterAutospacing="1" w:line="440" w:lineRule="exact"/>
              <w:rPr>
                <w:rFonts w:ascii="宋体" w:hAnsi="宋体"/>
                <w:kern w:val="0"/>
                <w:sz w:val="22"/>
                <w:szCs w:val="22"/>
                <w:u w:val="single"/>
              </w:rPr>
            </w:pPr>
            <w:r>
              <w:rPr>
                <w:rFonts w:hint="eastAsia" w:ascii="宋体" w:hAnsi="宋体"/>
                <w:kern w:val="0"/>
                <w:sz w:val="22"/>
                <w:szCs w:val="22"/>
              </w:rPr>
              <w:t xml:space="preserve">             总监签字并加盖项目章：</w:t>
            </w:r>
            <w:r>
              <w:rPr>
                <w:rFonts w:hint="eastAsia" w:ascii="宋体" w:hAnsi="宋体"/>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589" w:type="dxa"/>
            <w:vAlign w:val="center"/>
          </w:tcPr>
          <w:p>
            <w:pPr>
              <w:widowControl/>
              <w:snapToGrid w:val="0"/>
              <w:spacing w:after="100" w:afterAutospacing="1" w:line="440" w:lineRule="exact"/>
              <w:jc w:val="center"/>
              <w:rPr>
                <w:rFonts w:ascii="宋体" w:hAnsi="宋体"/>
                <w:kern w:val="0"/>
                <w:sz w:val="22"/>
                <w:szCs w:val="22"/>
              </w:rPr>
            </w:pPr>
            <w:r>
              <w:rPr>
                <w:rFonts w:hint="eastAsia" w:ascii="宋体" w:hAnsi="宋体"/>
                <w:kern w:val="0"/>
                <w:sz w:val="22"/>
                <w:szCs w:val="22"/>
              </w:rPr>
              <w:t>工程部项目负责人意见：</w:t>
            </w:r>
          </w:p>
        </w:tc>
        <w:tc>
          <w:tcPr>
            <w:tcW w:w="5848" w:type="dxa"/>
          </w:tcPr>
          <w:p>
            <w:pPr>
              <w:widowControl/>
              <w:snapToGrid w:val="0"/>
              <w:spacing w:after="100" w:afterAutospacing="1" w:line="440" w:lineRule="exact"/>
              <w:rPr>
                <w:rFonts w:ascii="宋体" w:hAnsi="宋体"/>
                <w:kern w:val="0"/>
                <w:sz w:val="22"/>
                <w:szCs w:val="22"/>
                <w:u w:val="single"/>
              </w:rPr>
            </w:pPr>
          </w:p>
          <w:p>
            <w:pPr>
              <w:widowControl/>
              <w:snapToGrid w:val="0"/>
              <w:spacing w:after="100" w:afterAutospacing="1" w:line="440" w:lineRule="exact"/>
              <w:rPr>
                <w:rFonts w:ascii="宋体" w:hAnsi="宋体"/>
                <w:kern w:val="0"/>
                <w:sz w:val="22"/>
                <w:szCs w:val="22"/>
                <w:u w:val="single"/>
              </w:rPr>
            </w:pPr>
            <w:r>
              <w:rPr>
                <w:rFonts w:hint="eastAsia" w:ascii="宋体" w:hAnsi="宋体"/>
                <w:kern w:val="0"/>
                <w:sz w:val="22"/>
                <w:szCs w:val="22"/>
              </w:rPr>
              <w:t xml:space="preserve">                   项目负责人签字：</w:t>
            </w:r>
            <w:r>
              <w:rPr>
                <w:rFonts w:hint="eastAsia" w:ascii="宋体" w:hAnsi="宋体"/>
                <w:kern w:val="0"/>
                <w:sz w:val="22"/>
                <w:szCs w:val="22"/>
                <w:u w:val="single"/>
              </w:rPr>
              <w:t xml:space="preserve">        </w:t>
            </w:r>
          </w:p>
        </w:tc>
      </w:tr>
    </w:tbl>
    <w:p>
      <w:pPr>
        <w:pStyle w:val="2"/>
      </w:pPr>
    </w:p>
    <w:p>
      <w:pPr>
        <w:spacing w:line="360" w:lineRule="auto"/>
        <w:ind w:firstLine="525" w:firstLineChars="250"/>
        <w:rPr>
          <w:rFonts w:asciiTheme="majorEastAsia" w:hAnsiTheme="majorEastAsia" w:eastAsiaTheme="majorEastAsia"/>
          <w:kern w:val="0"/>
        </w:rPr>
      </w:pPr>
      <w:r>
        <w:rPr>
          <w:rFonts w:asciiTheme="majorEastAsia" w:hAnsiTheme="majorEastAsia" w:eastAsiaTheme="majorEastAsia"/>
          <w:kern w:val="0"/>
        </w:rPr>
        <w:br w:type="page"/>
      </w:r>
    </w:p>
    <w:bookmarkEnd w:id="303"/>
    <w:bookmarkEnd w:id="304"/>
    <w:p>
      <w:pPr>
        <w:autoSpaceDE w:val="0"/>
        <w:autoSpaceDN w:val="0"/>
        <w:adjustRightInd w:val="0"/>
        <w:snapToGrid w:val="0"/>
        <w:spacing w:line="360" w:lineRule="auto"/>
        <w:jc w:val="center"/>
        <w:outlineLvl w:val="0"/>
        <w:rPr>
          <w:rFonts w:asciiTheme="majorEastAsia" w:hAnsiTheme="majorEastAsia" w:eastAsiaTheme="majorEastAsia"/>
          <w:b/>
          <w:kern w:val="1"/>
          <w:sz w:val="40"/>
          <w:szCs w:val="36"/>
        </w:rPr>
      </w:pPr>
      <w:bookmarkStart w:id="522" w:name="_Toc25954"/>
      <w:r>
        <w:rPr>
          <w:rFonts w:asciiTheme="majorEastAsia" w:hAnsiTheme="majorEastAsia" w:eastAsiaTheme="majorEastAsia"/>
          <w:b/>
          <w:kern w:val="1"/>
          <w:sz w:val="40"/>
          <w:szCs w:val="36"/>
        </w:rPr>
        <w:t>第</w:t>
      </w:r>
      <w:r>
        <w:rPr>
          <w:rFonts w:hint="eastAsia" w:asciiTheme="majorEastAsia" w:hAnsiTheme="majorEastAsia" w:eastAsiaTheme="majorEastAsia"/>
          <w:b/>
          <w:kern w:val="1"/>
          <w:sz w:val="40"/>
          <w:szCs w:val="36"/>
        </w:rPr>
        <w:t>五章 技术标准和要求</w:t>
      </w:r>
      <w:bookmarkEnd w:id="522"/>
    </w:p>
    <w:p>
      <w:pPr>
        <w:numPr>
          <w:ilvl w:val="0"/>
          <w:numId w:val="3"/>
        </w:numPr>
        <w:spacing w:line="360" w:lineRule="auto"/>
        <w:ind w:firstLine="440"/>
        <w:rPr>
          <w:rFonts w:cs="宋体" w:asciiTheme="majorEastAsia" w:hAnsiTheme="majorEastAsia" w:eastAsiaTheme="majorEastAsia"/>
          <w:sz w:val="22"/>
        </w:rPr>
      </w:pPr>
      <w:bookmarkStart w:id="523" w:name="_Toc4197"/>
      <w:bookmarkStart w:id="524" w:name="_Toc514057986"/>
      <w:r>
        <w:rPr>
          <w:rFonts w:hint="eastAsia" w:cs="宋体" w:asciiTheme="majorEastAsia" w:hAnsiTheme="majorEastAsia" w:eastAsiaTheme="majorEastAsia"/>
          <w:sz w:val="22"/>
        </w:rPr>
        <w:t>设计要求的质量标准：设计应符合国家工程建设强制性标准，满足项目运行基本功能，并通过主管部门及招标人和招标人委托的图纸审查单位的审查。</w:t>
      </w:r>
    </w:p>
    <w:p>
      <w:pPr>
        <w:spacing w:line="360" w:lineRule="auto"/>
        <w:ind w:firstLine="440"/>
        <w:rPr>
          <w:rFonts w:cs="宋体" w:asciiTheme="majorEastAsia" w:hAnsiTheme="majorEastAsia" w:eastAsiaTheme="majorEastAsia"/>
          <w:sz w:val="22"/>
        </w:rPr>
      </w:pPr>
      <w:r>
        <w:rPr>
          <w:rFonts w:hint="eastAsia" w:cs="宋体" w:asciiTheme="majorEastAsia" w:hAnsiTheme="majorEastAsia" w:eastAsiaTheme="majorEastAsia"/>
          <w:sz w:val="22"/>
        </w:rPr>
        <w:t>2、施工要求的质量标准：本工程项目的所需材料、设备、施工必须依据设计文件要求，施工质量现行中华人民共和国及省、市、行业的一切有关工程建设标准、法规、规范的要求。</w:t>
      </w:r>
    </w:p>
    <w:p>
      <w:pPr>
        <w:spacing w:line="360" w:lineRule="auto"/>
        <w:rPr>
          <w:rFonts w:cs="宋体" w:asciiTheme="majorEastAsia" w:hAnsiTheme="majorEastAsia" w:eastAsiaTheme="majorEastAsia"/>
          <w:sz w:val="22"/>
        </w:rPr>
      </w:pPr>
    </w:p>
    <w:p>
      <w:pPr>
        <w:spacing w:line="360" w:lineRule="auto"/>
        <w:ind w:firstLine="440"/>
        <w:rPr>
          <w:rFonts w:cs="宋体" w:asciiTheme="majorEastAsia" w:hAnsiTheme="majorEastAsia" w:eastAsiaTheme="majorEastAsia"/>
          <w:sz w:val="22"/>
        </w:rPr>
      </w:pPr>
    </w:p>
    <w:bookmarkEnd w:id="523"/>
    <w:bookmarkEnd w:id="524"/>
    <w:p>
      <w:pPr>
        <w:jc w:val="center"/>
        <w:rPr>
          <w:rFonts w:asciiTheme="majorEastAsia" w:hAnsiTheme="majorEastAsia" w:eastAsiaTheme="majorEastAsia"/>
          <w:b/>
          <w:kern w:val="0"/>
          <w:sz w:val="40"/>
          <w:szCs w:val="36"/>
        </w:rPr>
      </w:pPr>
      <w:r>
        <w:rPr>
          <w:rFonts w:asciiTheme="majorEastAsia" w:hAnsiTheme="majorEastAsia" w:eastAsiaTheme="majorEastAsia"/>
          <w:b/>
          <w:kern w:val="1"/>
          <w:sz w:val="40"/>
          <w:szCs w:val="36"/>
        </w:rPr>
        <w:br w:type="page"/>
      </w:r>
      <w:r>
        <w:rPr>
          <w:rFonts w:hint="eastAsia" w:asciiTheme="majorEastAsia" w:hAnsiTheme="majorEastAsia" w:eastAsiaTheme="majorEastAsia"/>
          <w:b/>
          <w:kern w:val="1"/>
          <w:sz w:val="40"/>
          <w:szCs w:val="36"/>
        </w:rPr>
        <w:t>第六章 比选申请文件格式</w:t>
      </w:r>
    </w:p>
    <w:p>
      <w:pPr>
        <w:rPr>
          <w:rFonts w:asciiTheme="majorEastAsia" w:hAnsiTheme="majorEastAsia" w:eastAsiaTheme="majorEastAsia"/>
          <w:b/>
          <w:kern w:val="0"/>
          <w:sz w:val="40"/>
          <w:szCs w:val="36"/>
        </w:rPr>
      </w:pPr>
    </w:p>
    <w:p>
      <w:pPr>
        <w:rPr>
          <w:rFonts w:asciiTheme="majorEastAsia" w:hAnsiTheme="majorEastAsia" w:eastAsiaTheme="majorEastAsia"/>
        </w:rPr>
      </w:pPr>
    </w:p>
    <w:p>
      <w:pPr>
        <w:pStyle w:val="4"/>
        <w:keepNext/>
        <w:keepLines/>
        <w:widowControl/>
        <w:autoSpaceDE/>
        <w:autoSpaceDN/>
        <w:adjustRightInd/>
        <w:snapToGrid/>
        <w:spacing w:before="260" w:after="260" w:line="413" w:lineRule="auto"/>
        <w:jc w:val="center"/>
        <w:rPr>
          <w:rFonts w:asciiTheme="majorEastAsia" w:hAnsiTheme="majorEastAsia" w:eastAsiaTheme="majorEastAsia"/>
        </w:rPr>
        <w:sectPr>
          <w:pgSz w:w="11906" w:h="16838"/>
          <w:pgMar w:top="993" w:right="1133" w:bottom="1135" w:left="1134" w:header="993" w:footer="873" w:gutter="0"/>
          <w:cols w:space="720" w:num="1"/>
          <w:docGrid w:linePitch="312" w:charSpace="0"/>
        </w:sectPr>
      </w:pPr>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28"/>
          <w:szCs w:val="28"/>
        </w:rPr>
      </w:pPr>
    </w:p>
    <w:p>
      <w:pPr>
        <w:tabs>
          <w:tab w:val="left" w:pos="3530"/>
          <w:tab w:val="left" w:pos="5940"/>
        </w:tabs>
        <w:autoSpaceDE w:val="0"/>
        <w:autoSpaceDN w:val="0"/>
        <w:adjustRightInd w:val="0"/>
        <w:snapToGrid w:val="0"/>
        <w:spacing w:line="360" w:lineRule="auto"/>
        <w:jc w:val="left"/>
        <w:rPr>
          <w:rFonts w:cs="宋体" w:asciiTheme="majorEastAsia" w:hAnsiTheme="majorEastAsia" w:eastAsiaTheme="majorEastAsia"/>
          <w:b/>
          <w:kern w:val="0"/>
          <w:sz w:val="28"/>
          <w:szCs w:val="28"/>
          <w:u w:val="single"/>
        </w:rPr>
      </w:pPr>
    </w:p>
    <w:p>
      <w:pPr>
        <w:tabs>
          <w:tab w:val="left" w:pos="5955"/>
        </w:tabs>
        <w:autoSpaceDE w:val="0"/>
        <w:autoSpaceDN w:val="0"/>
        <w:adjustRightInd w:val="0"/>
        <w:snapToGrid w:val="0"/>
        <w:spacing w:line="360" w:lineRule="auto"/>
        <w:ind w:firstLine="514" w:firstLineChars="245"/>
        <w:jc w:val="left"/>
        <w:rPr>
          <w:rFonts w:asciiTheme="majorEastAsia" w:hAnsiTheme="majorEastAsia" w:eastAsiaTheme="majorEastAsia"/>
          <w:lang w:val="zh-CN"/>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比选申请文件</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比选申请人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w:t>
      </w:r>
    </w:p>
    <w:p>
      <w:pPr>
        <w:autoSpaceDE w:val="0"/>
        <w:autoSpaceDN w:val="0"/>
        <w:adjustRightInd w:val="0"/>
        <w:spacing w:before="74" w:line="360" w:lineRule="auto"/>
        <w:ind w:left="120" w:leftChars="57" w:right="-29" w:firstLine="2888" w:firstLineChars="1074"/>
        <w:jc w:val="left"/>
        <w:rPr>
          <w:rFonts w:cs="MingLiU" w:asciiTheme="majorEastAsia" w:hAnsiTheme="majorEastAsia" w:eastAsiaTheme="majorEastAsia"/>
          <w:b/>
          <w:w w:val="99"/>
          <w:kern w:val="0"/>
          <w:sz w:val="27"/>
          <w:szCs w:val="27"/>
          <w:u w:val="single"/>
        </w:rPr>
        <w:sectPr>
          <w:footerReference r:id="rId8" w:type="default"/>
          <w:pgSz w:w="11906" w:h="16838"/>
          <w:pgMar w:top="1440" w:right="1416" w:bottom="1440" w:left="1797" w:header="993" w:footer="992" w:gutter="0"/>
          <w:cols w:space="720" w:num="1"/>
          <w:docGrid w:linePitch="312" w:charSpace="0"/>
        </w:sectPr>
      </w:pPr>
      <w:r>
        <w:rPr>
          <w:rFonts w:hint="eastAsia" w:cs="MingLiU" w:asciiTheme="majorEastAsia" w:hAnsiTheme="majorEastAsia" w:eastAsiaTheme="majorEastAsia"/>
          <w:b/>
          <w:w w:val="99"/>
          <w:kern w:val="0"/>
          <w:sz w:val="27"/>
          <w:szCs w:val="27"/>
          <w:u w:val="single"/>
        </w:rPr>
        <w:t xml:space="preserve">     年   月   日</w:t>
      </w:r>
    </w:p>
    <w:p>
      <w:pPr>
        <w:pStyle w:val="4"/>
        <w:jc w:val="center"/>
        <w:rPr>
          <w:rFonts w:cs="宋体" w:asciiTheme="majorEastAsia" w:hAnsiTheme="majorEastAsia" w:eastAsiaTheme="majorEastAsia"/>
          <w:sz w:val="32"/>
          <w:szCs w:val="44"/>
        </w:rPr>
      </w:pPr>
      <w:bookmarkStart w:id="525" w:name="_Toc72829687"/>
      <w:bookmarkStart w:id="526" w:name="_Toc28210"/>
      <w:r>
        <w:rPr>
          <w:rFonts w:hint="eastAsia" w:cs="宋体" w:asciiTheme="majorEastAsia" w:hAnsiTheme="majorEastAsia" w:eastAsiaTheme="majorEastAsia"/>
          <w:sz w:val="32"/>
          <w:szCs w:val="44"/>
        </w:rPr>
        <w:t>一、比选申请函</w:t>
      </w:r>
      <w:bookmarkEnd w:id="525"/>
      <w:bookmarkEnd w:id="526"/>
    </w:p>
    <w:p>
      <w:pPr>
        <w:autoSpaceDE w:val="0"/>
        <w:autoSpaceDN w:val="0"/>
        <w:adjustRightInd w:val="0"/>
        <w:spacing w:before="74" w:line="360" w:lineRule="auto"/>
        <w:ind w:left="120" w:leftChars="57" w:right="-29" w:firstLine="2888" w:firstLineChars="1074"/>
        <w:jc w:val="left"/>
        <w:rPr>
          <w:rFonts w:cs="MingLiU" w:asciiTheme="majorEastAsia" w:hAnsiTheme="majorEastAsia" w:eastAsiaTheme="majorEastAsia"/>
          <w:b/>
          <w:w w:val="99"/>
          <w:kern w:val="0"/>
          <w:sz w:val="27"/>
          <w:szCs w:val="27"/>
          <w:u w:val="single"/>
        </w:rPr>
      </w:pPr>
    </w:p>
    <w:p>
      <w:pPr>
        <w:autoSpaceDE w:val="0"/>
        <w:autoSpaceDN w:val="0"/>
        <w:adjustRightInd w:val="0"/>
        <w:snapToGrid w:val="0"/>
        <w:spacing w:line="360" w:lineRule="auto"/>
        <w:rPr>
          <w:rFonts w:cs="宋体" w:asciiTheme="majorEastAsia" w:hAnsiTheme="majorEastAsia" w:eastAsiaTheme="majorEastAsia"/>
          <w:b/>
          <w:kern w:val="0"/>
          <w:sz w:val="44"/>
          <w:szCs w:val="44"/>
        </w:rPr>
      </w:pPr>
      <w:r>
        <w:rPr>
          <w:rFonts w:cs="宋体" w:asciiTheme="majorEastAsia" w:hAnsiTheme="majorEastAsia" w:eastAsiaTheme="majorEastAsia"/>
          <w:b/>
          <w:kern w:val="0"/>
          <w:sz w:val="44"/>
          <w:szCs w:val="44"/>
        </w:rPr>
        <w:br w:type="page"/>
      </w:r>
    </w:p>
    <w:p>
      <w:pPr>
        <w:autoSpaceDE w:val="0"/>
        <w:autoSpaceDN w:val="0"/>
        <w:adjustRightInd w:val="0"/>
        <w:snapToGrid w:val="0"/>
        <w:spacing w:line="36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目 录</w:t>
      </w:r>
    </w:p>
    <w:p>
      <w:pPr>
        <w:autoSpaceDE w:val="0"/>
        <w:autoSpaceDN w:val="0"/>
        <w:adjustRightInd w:val="0"/>
        <w:spacing w:line="360" w:lineRule="auto"/>
        <w:ind w:right="-20"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（一）比选申请函</w:t>
      </w:r>
    </w:p>
    <w:p>
      <w:pPr>
        <w:autoSpaceDE w:val="0"/>
        <w:autoSpaceDN w:val="0"/>
        <w:adjustRightInd w:val="0"/>
        <w:spacing w:line="360" w:lineRule="auto"/>
        <w:ind w:right="-20"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（二）法定代表人身份证明及授权委托书</w:t>
      </w:r>
    </w:p>
    <w:p>
      <w:pPr>
        <w:widowControl/>
        <w:spacing w:line="360" w:lineRule="auto"/>
        <w:jc w:val="left"/>
        <w:rPr>
          <w:rFonts w:asciiTheme="majorEastAsia" w:hAnsiTheme="majorEastAsia" w:eastAsiaTheme="majorEastAsia"/>
          <w:sz w:val="44"/>
          <w:szCs w:val="44"/>
        </w:rPr>
      </w:pPr>
    </w:p>
    <w:p>
      <w:pPr>
        <w:tabs>
          <w:tab w:val="left" w:pos="3280"/>
          <w:tab w:val="left" w:pos="4680"/>
          <w:tab w:val="left" w:pos="6080"/>
        </w:tabs>
        <w:autoSpaceDE w:val="0"/>
        <w:autoSpaceDN w:val="0"/>
        <w:adjustRightInd w:val="0"/>
        <w:snapToGrid w:val="0"/>
        <w:spacing w:line="360" w:lineRule="auto"/>
        <w:jc w:val="center"/>
        <w:rPr>
          <w:rFonts w:cs="宋体" w:asciiTheme="majorEastAsia" w:hAnsiTheme="majorEastAsia" w:eastAsiaTheme="majorEastAsia"/>
          <w:sz w:val="44"/>
          <w:szCs w:val="44"/>
        </w:rPr>
      </w:pPr>
    </w:p>
    <w:p>
      <w:pPr>
        <w:tabs>
          <w:tab w:val="left" w:pos="3280"/>
          <w:tab w:val="left" w:pos="4680"/>
          <w:tab w:val="left" w:pos="6080"/>
        </w:tabs>
        <w:autoSpaceDE w:val="0"/>
        <w:autoSpaceDN w:val="0"/>
        <w:adjustRightInd w:val="0"/>
        <w:snapToGrid w:val="0"/>
        <w:spacing w:line="360" w:lineRule="auto"/>
        <w:rPr>
          <w:rFonts w:cs="宋体" w:asciiTheme="majorEastAsia" w:hAnsiTheme="majorEastAsia" w:eastAsiaTheme="majorEastAsia"/>
          <w:sz w:val="44"/>
          <w:szCs w:val="44"/>
        </w:rPr>
      </w:pPr>
      <w:r>
        <w:rPr>
          <w:rFonts w:cs="宋体" w:asciiTheme="majorEastAsia" w:hAnsiTheme="majorEastAsia" w:eastAsiaTheme="majorEastAsia"/>
          <w:sz w:val="44"/>
          <w:szCs w:val="44"/>
        </w:rPr>
        <w:br w:type="page"/>
      </w:r>
    </w:p>
    <w:p>
      <w:pPr>
        <w:keepNext/>
        <w:keepLines/>
        <w:spacing w:before="120" w:line="360" w:lineRule="auto"/>
        <w:jc w:val="center"/>
        <w:outlineLvl w:val="2"/>
        <w:rPr>
          <w:rFonts w:asciiTheme="majorEastAsia" w:hAnsiTheme="majorEastAsia" w:eastAsiaTheme="majorEastAsia"/>
          <w:b/>
          <w:bCs/>
          <w:snapToGrid w:val="0"/>
          <w:sz w:val="28"/>
          <w:szCs w:val="28"/>
        </w:rPr>
      </w:pPr>
      <w:bookmarkStart w:id="527" w:name="_Toc501704633"/>
      <w:bookmarkStart w:id="528" w:name="_Toc502846067"/>
      <w:bookmarkStart w:id="529" w:name="_Toc507402432"/>
      <w:bookmarkStart w:id="530" w:name="_Toc32154"/>
      <w:bookmarkStart w:id="531" w:name="_Toc37612529"/>
      <w:bookmarkStart w:id="532" w:name="_Toc38351716"/>
      <w:bookmarkStart w:id="533" w:name="_Toc130957867"/>
      <w:r>
        <w:rPr>
          <w:rFonts w:hint="eastAsia" w:asciiTheme="majorEastAsia" w:hAnsiTheme="majorEastAsia" w:eastAsiaTheme="majorEastAsia"/>
          <w:b/>
          <w:bCs/>
          <w:snapToGrid w:val="0"/>
          <w:sz w:val="28"/>
          <w:szCs w:val="28"/>
        </w:rPr>
        <w:t>（一）</w:t>
      </w:r>
      <w:r>
        <w:rPr>
          <w:rFonts w:hint="eastAsia" w:cs="宋体" w:asciiTheme="majorEastAsia" w:hAnsiTheme="majorEastAsia" w:eastAsiaTheme="majorEastAsia"/>
          <w:b/>
          <w:kern w:val="0"/>
          <w:sz w:val="28"/>
          <w:szCs w:val="28"/>
        </w:rPr>
        <w:t>比选申请</w:t>
      </w:r>
      <w:r>
        <w:rPr>
          <w:rFonts w:hint="eastAsia" w:asciiTheme="majorEastAsia" w:hAnsiTheme="majorEastAsia" w:eastAsiaTheme="majorEastAsia"/>
          <w:b/>
          <w:bCs/>
          <w:snapToGrid w:val="0"/>
          <w:sz w:val="28"/>
          <w:szCs w:val="28"/>
        </w:rPr>
        <w:t>函</w:t>
      </w:r>
      <w:bookmarkEnd w:id="527"/>
      <w:bookmarkEnd w:id="528"/>
      <w:bookmarkEnd w:id="529"/>
      <w:bookmarkEnd w:id="530"/>
    </w:p>
    <w:p>
      <w:pPr>
        <w:tabs>
          <w:tab w:val="left" w:pos="2640"/>
        </w:tabs>
        <w:autoSpaceDE w:val="0"/>
        <w:autoSpaceDN w:val="0"/>
        <w:adjustRightInd w:val="0"/>
        <w:snapToGrid w:val="0"/>
        <w:spacing w:line="360" w:lineRule="auto"/>
        <w:ind w:right="-20"/>
        <w:jc w:val="left"/>
        <w:rPr>
          <w:rFonts w:asciiTheme="majorEastAsia" w:hAnsiTheme="majorEastAsia" w:eastAsiaTheme="majorEastAsia"/>
          <w:snapToGrid w:val="0"/>
          <w:kern w:val="0"/>
          <w:szCs w:val="21"/>
          <w:u w:val="single"/>
        </w:rPr>
      </w:pPr>
    </w:p>
    <w:p>
      <w:pPr>
        <w:ind w:firstLine="420"/>
        <w:rPr>
          <w:lang w:bidi="ar"/>
        </w:rPr>
      </w:pPr>
    </w:p>
    <w:p>
      <w:pPr>
        <w:autoSpaceDE w:val="0"/>
        <w:autoSpaceDN w:val="0"/>
        <w:adjustRightInd w:val="0"/>
        <w:spacing w:line="360" w:lineRule="auto"/>
        <w:ind w:right="-20"/>
        <w:jc w:val="left"/>
        <w:rPr>
          <w:rFonts w:ascii="宋体" w:hAnsi="宋体" w:cs="Courier 10 Pitch"/>
          <w:kern w:val="0"/>
          <w:sz w:val="22"/>
          <w:szCs w:val="22"/>
        </w:rPr>
      </w:pPr>
      <w:r>
        <w:rPr>
          <w:rFonts w:hint="eastAsia" w:ascii="宋体" w:hAnsi="宋体" w:cs="Courier 10 Pitch"/>
          <w:kern w:val="0"/>
          <w:sz w:val="22"/>
          <w:szCs w:val="22"/>
        </w:rPr>
        <w:t>致：</w:t>
      </w:r>
      <w:r>
        <w:rPr>
          <w:rFonts w:hint="eastAsia" w:ascii="宋体" w:hAnsi="宋体" w:cs="Courier 10 Pitch"/>
          <w:kern w:val="0"/>
          <w:sz w:val="22"/>
          <w:szCs w:val="22"/>
          <w:u w:val="single"/>
        </w:rPr>
        <w:t xml:space="preserve">                       </w:t>
      </w:r>
      <w:r>
        <w:rPr>
          <w:rFonts w:hint="eastAsia" w:ascii="宋体" w:hAnsi="宋体" w:cs="Courier 10 Pitch"/>
          <w:kern w:val="0"/>
          <w:sz w:val="22"/>
          <w:szCs w:val="22"/>
        </w:rPr>
        <w:t xml:space="preserve">（比选人） </w:t>
      </w:r>
    </w:p>
    <w:p>
      <w:pPr>
        <w:autoSpaceDE w:val="0"/>
        <w:autoSpaceDN w:val="0"/>
        <w:adjustRightInd w:val="0"/>
        <w:spacing w:line="360" w:lineRule="auto"/>
        <w:ind w:right="-20"/>
        <w:jc w:val="left"/>
        <w:rPr>
          <w:rFonts w:ascii="宋体" w:hAnsi="宋体" w:cs="Courier 10 Pitch"/>
          <w:kern w:val="0"/>
          <w:sz w:val="22"/>
          <w:szCs w:val="22"/>
        </w:rPr>
      </w:pPr>
    </w:p>
    <w:p>
      <w:pPr>
        <w:autoSpaceDE w:val="0"/>
        <w:autoSpaceDN w:val="0"/>
        <w:adjustRightInd w:val="0"/>
        <w:spacing w:line="360" w:lineRule="auto"/>
        <w:ind w:right="-20" w:firstLine="440" w:firstLineChars="200"/>
        <w:jc w:val="left"/>
        <w:rPr>
          <w:rFonts w:ascii="宋体" w:hAnsi="宋体" w:cs="Courier 10 Pitch"/>
          <w:kern w:val="0"/>
          <w:sz w:val="22"/>
          <w:szCs w:val="22"/>
        </w:rPr>
      </w:pPr>
      <w:r>
        <w:rPr>
          <w:rFonts w:hint="eastAsia" w:ascii="宋体" w:hAnsi="宋体"/>
          <w:sz w:val="22"/>
          <w:szCs w:val="22"/>
        </w:rPr>
        <w:t>1.我方已仔细研究了</w:t>
      </w:r>
      <w:r>
        <w:rPr>
          <w:rFonts w:hint="eastAsia" w:ascii="宋体" w:hAnsi="宋体"/>
          <w:bCs/>
          <w:sz w:val="22"/>
          <w:szCs w:val="22"/>
          <w:u w:val="single"/>
        </w:rPr>
        <w:t xml:space="preserve">                     （项目名称）</w:t>
      </w:r>
      <w:r>
        <w:rPr>
          <w:rFonts w:hint="eastAsia" w:ascii="宋体" w:hAnsi="宋体"/>
          <w:sz w:val="22"/>
          <w:szCs w:val="22"/>
        </w:rPr>
        <w:t>比选文件的全部内容，愿意按照竞争性比选文件的标准，设计费下浮比例为：</w:t>
      </w:r>
      <w:r>
        <w:rPr>
          <w:rFonts w:hint="eastAsia" w:ascii="宋体" w:hAnsi="宋体"/>
          <w:bCs/>
          <w:sz w:val="22"/>
          <w:szCs w:val="22"/>
          <w:u w:val="single"/>
        </w:rPr>
        <w:t xml:space="preserve">      </w:t>
      </w:r>
      <w:r>
        <w:rPr>
          <w:rFonts w:hint="eastAsia" w:ascii="宋体" w:hAnsi="宋体"/>
          <w:bCs/>
          <w:sz w:val="22"/>
          <w:szCs w:val="22"/>
        </w:rPr>
        <w:t>，施工费用下浮比例</w:t>
      </w:r>
      <w:r>
        <w:rPr>
          <w:rFonts w:hint="eastAsia" w:ascii="宋体" w:hAnsi="宋体"/>
          <w:sz w:val="22"/>
          <w:szCs w:val="22"/>
        </w:rPr>
        <w:t>为：</w:t>
      </w:r>
      <w:r>
        <w:rPr>
          <w:rFonts w:hint="eastAsia" w:ascii="宋体" w:hAnsi="宋体"/>
          <w:sz w:val="22"/>
          <w:szCs w:val="22"/>
          <w:u w:val="single"/>
        </w:rPr>
        <w:t xml:space="preserve">        </w:t>
      </w:r>
      <w:r>
        <w:rPr>
          <w:rFonts w:hint="eastAsia" w:ascii="宋体" w:hAnsi="宋体"/>
          <w:sz w:val="22"/>
          <w:szCs w:val="22"/>
        </w:rPr>
        <w:t>；该工程项目经理为</w:t>
      </w:r>
      <w:r>
        <w:rPr>
          <w:rFonts w:hint="eastAsia" w:ascii="宋体" w:hAnsi="宋体"/>
          <w:bCs/>
          <w:sz w:val="22"/>
          <w:szCs w:val="22"/>
          <w:u w:val="single"/>
        </w:rPr>
        <w:t xml:space="preserve">        </w:t>
      </w:r>
      <w:r>
        <w:rPr>
          <w:rFonts w:hint="eastAsia" w:ascii="宋体" w:hAnsi="宋体"/>
          <w:sz w:val="22"/>
          <w:szCs w:val="22"/>
        </w:rPr>
        <w:t>。工期：</w:t>
      </w:r>
      <w:r>
        <w:rPr>
          <w:rFonts w:hint="eastAsia" w:ascii="宋体" w:hAnsi="宋体" w:cs="宋体"/>
          <w:sz w:val="22"/>
          <w:szCs w:val="22"/>
        </w:rPr>
        <w:t>自合同签订日起</w:t>
      </w:r>
      <w:r>
        <w:rPr>
          <w:rFonts w:hint="eastAsia" w:ascii="宋体" w:hAnsi="宋体"/>
          <w:bCs/>
          <w:sz w:val="22"/>
          <w:szCs w:val="22"/>
          <w:u w:val="single"/>
        </w:rPr>
        <w:t xml:space="preserve">       </w:t>
      </w:r>
      <w:r>
        <w:rPr>
          <w:rFonts w:hint="eastAsia" w:ascii="宋体" w:hAnsi="宋体"/>
          <w:bCs/>
          <w:sz w:val="22"/>
          <w:szCs w:val="22"/>
        </w:rPr>
        <w:t>日历</w:t>
      </w:r>
      <w:r>
        <w:rPr>
          <w:rFonts w:hint="eastAsia" w:ascii="宋体" w:hAnsi="宋体" w:cs="宋体"/>
          <w:bCs/>
          <w:sz w:val="22"/>
          <w:szCs w:val="22"/>
        </w:rPr>
        <w:t>天</w:t>
      </w:r>
      <w:r>
        <w:rPr>
          <w:rFonts w:hint="eastAsia" w:ascii="宋体" w:hAnsi="宋体" w:cs="宋体"/>
          <w:sz w:val="22"/>
          <w:szCs w:val="22"/>
        </w:rPr>
        <w:t>内完成全部工作内容</w:t>
      </w:r>
      <w:r>
        <w:rPr>
          <w:rFonts w:hint="eastAsia" w:ascii="宋体" w:hAnsi="宋体"/>
          <w:sz w:val="22"/>
          <w:szCs w:val="22"/>
        </w:rPr>
        <w:t>，按合同约定实施和完成承包工程，修补工程中的任何缺陷，工程质量达到</w:t>
      </w:r>
      <w:r>
        <w:rPr>
          <w:rFonts w:hint="eastAsia" w:ascii="宋体" w:hAnsi="宋体"/>
          <w:bCs/>
          <w:sz w:val="22"/>
          <w:szCs w:val="22"/>
          <w:u w:val="single"/>
        </w:rPr>
        <w:t xml:space="preserve">                </w:t>
      </w:r>
      <w:r>
        <w:rPr>
          <w:rFonts w:hint="eastAsia" w:ascii="宋体" w:hAnsi="宋体"/>
          <w:sz w:val="22"/>
          <w:szCs w:val="22"/>
        </w:rPr>
        <w:t>。</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2.我方承诺在比选申请有效期内不修改、撤销比选申请文件。</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3.如我方中选：</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（1）我方承诺在收到中选通知书后，在中选通知书规定的期限内与你方签订合同。</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（2）我方承诺按照比选文件规定向你方递交履约保证金。</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（3）我方承诺在合同约定的期限内完成并移交全部合同工程。</w:t>
      </w:r>
    </w:p>
    <w:p>
      <w:pPr>
        <w:autoSpaceDE w:val="0"/>
        <w:autoSpaceDN w:val="0"/>
        <w:adjustRightInd w:val="0"/>
        <w:spacing w:line="360" w:lineRule="auto"/>
        <w:ind w:right="-20" w:firstLine="440" w:firstLineChars="200"/>
        <w:jc w:val="left"/>
        <w:rPr>
          <w:rFonts w:ascii="宋体" w:hAnsi="宋体" w:cs="Courier 10 Pitch"/>
          <w:kern w:val="0"/>
          <w:sz w:val="22"/>
          <w:szCs w:val="22"/>
        </w:rPr>
      </w:pPr>
      <w:r>
        <w:rPr>
          <w:rFonts w:hint="eastAsia" w:ascii="宋体" w:hAnsi="宋体"/>
          <w:sz w:val="22"/>
          <w:szCs w:val="22"/>
        </w:rPr>
        <w:t>4.我方在此声明，所递交的比选申请文件及有关资料内容完整、真实和准确，且不存</w:t>
      </w:r>
      <w:r>
        <w:rPr>
          <w:rFonts w:hint="eastAsia" w:ascii="宋体" w:hAnsi="宋体" w:cs="Courier 10 Pitch"/>
          <w:kern w:val="0"/>
          <w:sz w:val="22"/>
          <w:szCs w:val="22"/>
        </w:rPr>
        <w:t>在第二章“比选申请人须知”第</w:t>
      </w:r>
      <w:r>
        <w:rPr>
          <w:rFonts w:hint="eastAsia" w:ascii="宋体" w:hAnsi="宋体" w:cs="方正小标宋简体"/>
          <w:kern w:val="0"/>
          <w:sz w:val="22"/>
          <w:szCs w:val="22"/>
        </w:rPr>
        <w:t xml:space="preserve"> 1.4.3 </w:t>
      </w:r>
      <w:r>
        <w:rPr>
          <w:rFonts w:hint="eastAsia" w:ascii="宋体" w:hAnsi="宋体" w:cs="Courier 10 Pitch"/>
          <w:kern w:val="0"/>
          <w:sz w:val="22"/>
          <w:szCs w:val="22"/>
        </w:rPr>
        <w:t>项规定的任何一种情形。</w:t>
      </w:r>
    </w:p>
    <w:p>
      <w:pPr>
        <w:autoSpaceDE w:val="0"/>
        <w:autoSpaceDN w:val="0"/>
        <w:adjustRightInd w:val="0"/>
        <w:spacing w:line="360" w:lineRule="auto"/>
        <w:ind w:right="-20" w:firstLine="440" w:firstLineChars="200"/>
        <w:jc w:val="left"/>
        <w:rPr>
          <w:rFonts w:ascii="宋体" w:hAnsi="宋体" w:cs="Courier 10 Pitch"/>
          <w:kern w:val="0"/>
          <w:sz w:val="22"/>
          <w:szCs w:val="22"/>
        </w:rPr>
      </w:pPr>
      <w:r>
        <w:rPr>
          <w:rFonts w:hint="eastAsia" w:ascii="宋体" w:hAnsi="宋体" w:cs="方正小标宋简体"/>
          <w:kern w:val="0"/>
          <w:sz w:val="22"/>
          <w:szCs w:val="22"/>
        </w:rPr>
        <w:t>5.</w:t>
      </w:r>
      <w:r>
        <w:rPr>
          <w:rFonts w:hint="eastAsia" w:ascii="宋体" w:hAnsi="宋体" w:cs="Courier 10 Pitch"/>
          <w:kern w:val="0"/>
          <w:sz w:val="22"/>
          <w:szCs w:val="22"/>
          <w:u w:val="single"/>
        </w:rPr>
        <w:t xml:space="preserve">                </w:t>
      </w:r>
      <w:r>
        <w:rPr>
          <w:rFonts w:hint="eastAsia" w:ascii="宋体" w:hAnsi="宋体" w:cs="方正小标宋简体"/>
          <w:kern w:val="0"/>
          <w:sz w:val="22"/>
          <w:szCs w:val="22"/>
          <w:u w:val="single"/>
        </w:rPr>
        <w:tab/>
      </w:r>
      <w:r>
        <w:rPr>
          <w:rFonts w:hint="eastAsia" w:ascii="宋体" w:hAnsi="宋体" w:cs="Courier 10 Pitch"/>
          <w:kern w:val="0"/>
          <w:sz w:val="22"/>
          <w:szCs w:val="22"/>
        </w:rPr>
        <w:t>（其他补充说明）。</w:t>
      </w:r>
    </w:p>
    <w:p>
      <w:pPr>
        <w:spacing w:line="360" w:lineRule="auto"/>
        <w:ind w:firstLine="420"/>
        <w:jc w:val="left"/>
        <w:rPr>
          <w:rFonts w:ascii="宋体" w:hAnsi="宋体" w:cs="Courier 10 Pitch"/>
          <w:kern w:val="0"/>
          <w:sz w:val="22"/>
          <w:szCs w:val="22"/>
        </w:rPr>
      </w:pPr>
    </w:p>
    <w:p>
      <w:pPr>
        <w:spacing w:line="360" w:lineRule="auto"/>
        <w:ind w:firstLine="420"/>
        <w:jc w:val="left"/>
        <w:rPr>
          <w:rFonts w:ascii="宋体" w:hAnsi="宋体" w:cs="Courier 10 Pitch"/>
          <w:kern w:val="0"/>
          <w:sz w:val="22"/>
          <w:szCs w:val="22"/>
        </w:rPr>
      </w:pPr>
    </w:p>
    <w:p>
      <w:pPr>
        <w:spacing w:line="360" w:lineRule="auto"/>
        <w:ind w:firstLine="420"/>
        <w:jc w:val="left"/>
        <w:rPr>
          <w:rFonts w:ascii="宋体" w:hAnsi="宋体" w:cs="Courier 10 Pitch"/>
          <w:kern w:val="0"/>
          <w:sz w:val="22"/>
          <w:szCs w:val="22"/>
        </w:rPr>
      </w:pPr>
    </w:p>
    <w:p>
      <w:pPr>
        <w:spacing w:line="360" w:lineRule="auto"/>
        <w:ind w:firstLine="420"/>
        <w:jc w:val="left"/>
        <w:rPr>
          <w:rFonts w:ascii="宋体" w:hAnsi="宋体" w:cs="Courier 10 Pitch"/>
          <w:kern w:val="0"/>
          <w:sz w:val="22"/>
          <w:szCs w:val="22"/>
        </w:rPr>
      </w:pPr>
    </w:p>
    <w:p>
      <w:pPr>
        <w:spacing w:line="360" w:lineRule="auto"/>
        <w:ind w:firstLine="3309" w:firstLineChars="1504"/>
        <w:rPr>
          <w:rFonts w:ascii="宋体" w:hAnsi="宋体"/>
          <w:sz w:val="22"/>
          <w:szCs w:val="22"/>
        </w:rPr>
      </w:pPr>
      <w:r>
        <w:rPr>
          <w:rFonts w:hint="eastAsia" w:ascii="宋体" w:hAnsi="宋体"/>
          <w:sz w:val="22"/>
          <w:szCs w:val="22"/>
        </w:rPr>
        <w:t>比选申请人：</w:t>
      </w:r>
      <w:r>
        <w:rPr>
          <w:rFonts w:hint="eastAsia" w:ascii="宋体" w:hAnsi="宋体"/>
          <w:sz w:val="22"/>
          <w:szCs w:val="22"/>
          <w:u w:val="single"/>
        </w:rPr>
        <w:t xml:space="preserve">                       </w:t>
      </w:r>
      <w:r>
        <w:rPr>
          <w:rFonts w:hint="eastAsia" w:ascii="宋体" w:hAnsi="宋体" w:cs="宋体"/>
          <w:sz w:val="22"/>
          <w:szCs w:val="22"/>
          <w:lang w:bidi="ar"/>
        </w:rPr>
        <w:t>（盖单位章）</w:t>
      </w:r>
    </w:p>
    <w:p>
      <w:pPr>
        <w:spacing w:line="360" w:lineRule="auto"/>
        <w:ind w:firstLine="3309" w:firstLineChars="1504"/>
        <w:rPr>
          <w:rFonts w:ascii="宋体" w:hAnsi="宋体"/>
          <w:sz w:val="22"/>
          <w:szCs w:val="22"/>
        </w:rPr>
      </w:pPr>
      <w:r>
        <w:rPr>
          <w:rFonts w:hint="eastAsia" w:ascii="宋体" w:hAnsi="宋体"/>
          <w:sz w:val="22"/>
          <w:szCs w:val="22"/>
        </w:rPr>
        <w:t>法定代表人或其委托代理人：</w:t>
      </w:r>
      <w:r>
        <w:rPr>
          <w:rFonts w:hint="eastAsia" w:ascii="宋体" w:hAnsi="宋体"/>
          <w:sz w:val="22"/>
          <w:szCs w:val="22"/>
          <w:u w:val="single"/>
        </w:rPr>
        <w:t xml:space="preserve">       </w:t>
      </w:r>
      <w:r>
        <w:rPr>
          <w:rFonts w:hint="eastAsia" w:ascii="宋体" w:hAnsi="宋体"/>
          <w:sz w:val="22"/>
          <w:szCs w:val="22"/>
        </w:rPr>
        <w:t>（签字或盖章）</w:t>
      </w:r>
    </w:p>
    <w:p>
      <w:pPr>
        <w:spacing w:line="360" w:lineRule="auto"/>
        <w:ind w:firstLine="3309" w:firstLineChars="1504"/>
        <w:rPr>
          <w:rFonts w:ascii="宋体" w:hAnsi="宋体"/>
          <w:sz w:val="22"/>
          <w:szCs w:val="22"/>
        </w:rPr>
      </w:pPr>
      <w:r>
        <w:rPr>
          <w:rFonts w:hint="eastAsia" w:ascii="宋体" w:hAnsi="宋体"/>
          <w:sz w:val="22"/>
          <w:szCs w:val="22"/>
        </w:rPr>
        <w:t>地址：</w:t>
      </w:r>
      <w:r>
        <w:rPr>
          <w:rFonts w:hint="eastAsia" w:ascii="宋体" w:hAnsi="宋体"/>
          <w:sz w:val="22"/>
          <w:szCs w:val="22"/>
          <w:u w:val="single"/>
        </w:rPr>
        <w:t xml:space="preserve">                                 </w:t>
      </w:r>
    </w:p>
    <w:p>
      <w:pPr>
        <w:spacing w:line="360" w:lineRule="auto"/>
        <w:ind w:firstLine="3309" w:firstLineChars="1504"/>
        <w:rPr>
          <w:rFonts w:ascii="宋体" w:hAnsi="宋体"/>
          <w:sz w:val="22"/>
          <w:szCs w:val="22"/>
        </w:rPr>
      </w:pPr>
      <w:r>
        <w:rPr>
          <w:rFonts w:hint="eastAsia" w:ascii="宋体" w:hAnsi="宋体"/>
          <w:sz w:val="22"/>
          <w:szCs w:val="22"/>
        </w:rPr>
        <w:t>电话：</w:t>
      </w:r>
      <w:r>
        <w:rPr>
          <w:rFonts w:hint="eastAsia" w:ascii="宋体" w:hAnsi="宋体"/>
          <w:sz w:val="22"/>
          <w:szCs w:val="22"/>
          <w:u w:val="single"/>
        </w:rPr>
        <w:t xml:space="preserve">                                 </w:t>
      </w:r>
    </w:p>
    <w:p>
      <w:pPr>
        <w:spacing w:line="360" w:lineRule="auto"/>
        <w:ind w:firstLine="3309" w:firstLineChars="1504"/>
        <w:rPr>
          <w:rFonts w:ascii="宋体" w:hAnsi="宋体"/>
          <w:sz w:val="22"/>
          <w:szCs w:val="22"/>
        </w:rPr>
      </w:pPr>
      <w:r>
        <w:rPr>
          <w:rFonts w:hint="eastAsia" w:ascii="宋体" w:hAnsi="宋体"/>
          <w:sz w:val="22"/>
          <w:szCs w:val="22"/>
        </w:rPr>
        <w:t>传真：</w:t>
      </w:r>
      <w:r>
        <w:rPr>
          <w:rFonts w:hint="eastAsia" w:ascii="宋体" w:hAnsi="宋体"/>
          <w:sz w:val="22"/>
          <w:szCs w:val="22"/>
          <w:u w:val="single"/>
        </w:rPr>
        <w:t xml:space="preserve">                                 </w:t>
      </w:r>
    </w:p>
    <w:p>
      <w:pPr>
        <w:spacing w:line="360" w:lineRule="auto"/>
        <w:ind w:firstLine="3309" w:firstLineChars="1504"/>
        <w:rPr>
          <w:rFonts w:ascii="宋体" w:hAnsi="宋体"/>
          <w:sz w:val="22"/>
          <w:szCs w:val="22"/>
        </w:rPr>
      </w:pPr>
      <w:r>
        <w:rPr>
          <w:rFonts w:hint="eastAsia" w:ascii="宋体" w:hAnsi="宋体" w:cs="方正小标宋简体"/>
          <w:sz w:val="22"/>
          <w:szCs w:val="22"/>
        </w:rPr>
        <w:t>日期：</w:t>
      </w:r>
      <w:r>
        <w:rPr>
          <w:rFonts w:hint="eastAsia" w:ascii="宋体" w:hAnsi="宋体" w:cs="方正小标宋简体"/>
          <w:sz w:val="22"/>
          <w:szCs w:val="22"/>
          <w:u w:val="single"/>
        </w:rPr>
        <w:t xml:space="preserve">          </w:t>
      </w:r>
      <w:r>
        <w:rPr>
          <w:rFonts w:hint="eastAsia" w:ascii="宋体" w:hAnsi="宋体" w:cs="方正小标宋简体"/>
          <w:sz w:val="22"/>
          <w:szCs w:val="22"/>
        </w:rPr>
        <w:t>年</w:t>
      </w:r>
      <w:r>
        <w:rPr>
          <w:rFonts w:hint="eastAsia" w:ascii="宋体" w:hAnsi="宋体" w:cs="方正小标宋简体"/>
          <w:sz w:val="22"/>
          <w:szCs w:val="22"/>
          <w:u w:val="single"/>
        </w:rPr>
        <w:t xml:space="preserve">        </w:t>
      </w:r>
      <w:r>
        <w:rPr>
          <w:rFonts w:hint="eastAsia" w:ascii="宋体" w:hAnsi="宋体" w:cs="方正小标宋简体"/>
          <w:sz w:val="22"/>
          <w:szCs w:val="22"/>
        </w:rPr>
        <w:t>月</w:t>
      </w:r>
      <w:r>
        <w:rPr>
          <w:rFonts w:hint="eastAsia" w:ascii="宋体" w:hAnsi="宋体" w:cs="方正小标宋简体"/>
          <w:sz w:val="22"/>
          <w:szCs w:val="22"/>
          <w:u w:val="single"/>
        </w:rPr>
        <w:t xml:space="preserve">       </w:t>
      </w:r>
      <w:r>
        <w:rPr>
          <w:rFonts w:hint="eastAsia" w:ascii="宋体" w:hAnsi="宋体" w:cs="方正小标宋简体"/>
          <w:sz w:val="22"/>
          <w:szCs w:val="22"/>
        </w:rPr>
        <w:t>日</w:t>
      </w:r>
    </w:p>
    <w:p>
      <w:pPr>
        <w:spacing w:line="360" w:lineRule="auto"/>
        <w:rPr>
          <w:rFonts w:cs="MingLiU" w:asciiTheme="majorEastAsia" w:hAnsiTheme="majorEastAsia" w:eastAsiaTheme="majorEastAsia"/>
          <w:snapToGrid w:val="0"/>
          <w:kern w:val="0"/>
          <w:szCs w:val="21"/>
        </w:rPr>
      </w:pPr>
      <w:r>
        <w:rPr>
          <w:rFonts w:cs="MingLiU" w:asciiTheme="majorEastAsia" w:hAnsiTheme="majorEastAsia" w:eastAsiaTheme="majorEastAsia"/>
          <w:snapToGrid w:val="0"/>
          <w:kern w:val="0"/>
          <w:szCs w:val="21"/>
        </w:rPr>
        <w:br w:type="page"/>
      </w:r>
    </w:p>
    <w:bookmarkEnd w:id="531"/>
    <w:bookmarkEnd w:id="532"/>
    <w:bookmarkEnd w:id="533"/>
    <w:p>
      <w:pPr>
        <w:keepNext/>
        <w:keepLines/>
        <w:spacing w:before="120" w:line="360" w:lineRule="auto"/>
        <w:jc w:val="center"/>
        <w:outlineLvl w:val="2"/>
        <w:rPr>
          <w:rFonts w:asciiTheme="majorEastAsia" w:hAnsiTheme="majorEastAsia" w:eastAsiaTheme="majorEastAsia"/>
          <w:b/>
          <w:bCs/>
          <w:snapToGrid w:val="0"/>
          <w:sz w:val="28"/>
          <w:szCs w:val="28"/>
        </w:rPr>
      </w:pPr>
      <w:bookmarkStart w:id="534" w:name="_Toc27468"/>
      <w:bookmarkStart w:id="535" w:name="_Toc502846068"/>
      <w:bookmarkStart w:id="536" w:name="_Toc501704634"/>
      <w:bookmarkStart w:id="537" w:name="_Toc507402433"/>
      <w:bookmarkStart w:id="538" w:name="_Toc131224364"/>
      <w:r>
        <w:rPr>
          <w:rFonts w:hint="eastAsia" w:asciiTheme="majorEastAsia" w:hAnsiTheme="majorEastAsia" w:eastAsiaTheme="majorEastAsia"/>
          <w:b/>
          <w:bCs/>
          <w:snapToGrid w:val="0"/>
          <w:sz w:val="28"/>
          <w:szCs w:val="28"/>
        </w:rPr>
        <w:t>（二）法定代表人身份证明及授权委托书</w:t>
      </w:r>
      <w:bookmarkEnd w:id="534"/>
      <w:bookmarkEnd w:id="535"/>
      <w:bookmarkEnd w:id="536"/>
      <w:bookmarkEnd w:id="537"/>
    </w:p>
    <w:p>
      <w:pPr>
        <w:jc w:val="center"/>
        <w:rPr>
          <w:rFonts w:asciiTheme="majorEastAsia" w:hAnsiTheme="majorEastAsia" w:eastAsiaTheme="majorEastAsia"/>
          <w:b/>
          <w:bCs/>
          <w:szCs w:val="21"/>
        </w:rPr>
      </w:pPr>
      <w:r>
        <w:rPr>
          <w:rFonts w:hint="eastAsia" w:asciiTheme="majorEastAsia" w:hAnsiTheme="majorEastAsia" w:eastAsiaTheme="majorEastAsia"/>
          <w:b/>
          <w:bCs/>
          <w:sz w:val="28"/>
          <w:szCs w:val="28"/>
        </w:rPr>
        <w:t>法定代表人身份证明</w:t>
      </w:r>
    </w:p>
    <w:p>
      <w:pPr>
        <w:adjustRightInd w:val="0"/>
        <w:snapToGrid w:val="0"/>
        <w:spacing w:line="360" w:lineRule="auto"/>
        <w:ind w:firstLine="391" w:firstLineChars="186"/>
        <w:rPr>
          <w:rFonts w:asciiTheme="majorEastAsia" w:hAnsiTheme="majorEastAsia" w:eastAsiaTheme="majorEastAsia"/>
          <w:szCs w:val="21"/>
        </w:rPr>
      </w:pP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比选申请人名称：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单位性质：</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地址：</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成立时间：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经营期限：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姓名：</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性别</w:t>
      </w:r>
      <w:r>
        <w:rPr>
          <w:rFonts w:hint="eastAsia" w:asciiTheme="majorEastAsia" w:hAnsiTheme="majorEastAsia" w:eastAsiaTheme="majorEastAsia"/>
          <w:spacing w:val="-1"/>
          <w:szCs w:val="21"/>
        </w:rPr>
        <w:t>：</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年</w:t>
      </w:r>
      <w:r>
        <w:rPr>
          <w:rFonts w:hint="eastAsia" w:asciiTheme="majorEastAsia" w:hAnsiTheme="majorEastAsia" w:eastAsiaTheme="majorEastAsia"/>
          <w:szCs w:val="21"/>
        </w:rPr>
        <w:t>龄：</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职务：</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系</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（比选申请人名称）的法定代表人。</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811" w:firstLineChars="386"/>
        <w:rPr>
          <w:rFonts w:asciiTheme="majorEastAsia" w:hAnsiTheme="majorEastAsia" w:eastAsiaTheme="majorEastAsia"/>
          <w:szCs w:val="21"/>
        </w:rPr>
      </w:pPr>
      <w:r>
        <w:rPr>
          <w:rFonts w:hint="eastAsia" w:asciiTheme="majorEastAsia" w:hAnsiTheme="majorEastAsia" w:eastAsiaTheme="majorEastAsia"/>
          <w:szCs w:val="21"/>
        </w:rPr>
        <w:t>特此证明。</w:t>
      </w:r>
    </w:p>
    <w:p>
      <w:pPr>
        <w:wordWrap w:val="0"/>
        <w:adjustRightInd w:val="0"/>
        <w:snapToGrid w:val="0"/>
        <w:spacing w:line="360" w:lineRule="auto"/>
        <w:ind w:firstLine="2100"/>
        <w:jc w:val="right"/>
        <w:rPr>
          <w:rFonts w:asciiTheme="majorEastAsia" w:hAnsiTheme="majorEastAsia" w:eastAsiaTheme="majorEastAsia"/>
          <w:szCs w:val="21"/>
        </w:rPr>
      </w:pPr>
      <w:r>
        <w:rPr>
          <w:rFonts w:hint="eastAsia" w:asciiTheme="majorEastAsia" w:hAnsiTheme="majorEastAsia" w:eastAsiaTheme="majorEastAsia"/>
          <w:szCs w:val="21"/>
        </w:rPr>
        <w:t>比选申请</w:t>
      </w:r>
      <w:r>
        <w:rPr>
          <w:rFonts w:hint="eastAsia" w:asciiTheme="majorEastAsia" w:hAnsiTheme="majorEastAsia" w:eastAsiaTheme="majorEastAsia"/>
          <w:spacing w:val="-1"/>
          <w:szCs w:val="21"/>
        </w:rPr>
        <w:t>人</w:t>
      </w:r>
      <w:r>
        <w:rPr>
          <w:rFonts w:hint="eastAsia" w:asciiTheme="majorEastAsia" w:hAnsiTheme="majorEastAsia" w:eastAsiaTheme="majorEastAsia"/>
          <w:szCs w:val="21"/>
        </w:rPr>
        <w:t>：</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pacing w:val="-1"/>
          <w:szCs w:val="21"/>
        </w:rPr>
        <w:t>（</w:t>
      </w:r>
      <w:r>
        <w:rPr>
          <w:rFonts w:hint="eastAsia" w:asciiTheme="majorEastAsia" w:hAnsiTheme="majorEastAsia" w:eastAsiaTheme="majorEastAsia"/>
          <w:szCs w:val="21"/>
        </w:rPr>
        <w:t>盖单位章）</w:t>
      </w:r>
    </w:p>
    <w:p>
      <w:pPr>
        <w:adjustRightInd w:val="0"/>
        <w:snapToGrid w:val="0"/>
        <w:spacing w:line="360" w:lineRule="auto"/>
        <w:ind w:firstLine="3780"/>
        <w:jc w:val="right"/>
        <w:rPr>
          <w:rFonts w:asciiTheme="majorEastAsia" w:hAnsiTheme="majorEastAsia" w:eastAsiaTheme="maj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pacing w:val="-1"/>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附法定代表人身份证复印件</w:t>
      </w:r>
    </w:p>
    <w:tbl>
      <w:tblPr>
        <w:tblStyle w:val="57"/>
        <w:tblW w:w="9086" w:type="dxa"/>
        <w:jc w:val="center"/>
        <w:tblInd w:w="0" w:type="dxa"/>
        <w:tblLayout w:type="fixed"/>
        <w:tblCellMar>
          <w:top w:w="0" w:type="dxa"/>
          <w:left w:w="108" w:type="dxa"/>
          <w:bottom w:w="0" w:type="dxa"/>
          <w:right w:w="108" w:type="dxa"/>
        </w:tblCellMar>
      </w:tblPr>
      <w:tblGrid>
        <w:gridCol w:w="9086"/>
      </w:tblGrid>
      <w:tr>
        <w:tblPrEx>
          <w:tblLayout w:type="fixed"/>
          <w:tblCellMar>
            <w:top w:w="0" w:type="dxa"/>
            <w:left w:w="108" w:type="dxa"/>
            <w:bottom w:w="0" w:type="dxa"/>
            <w:right w:w="108" w:type="dxa"/>
          </w:tblCellMar>
        </w:tblPrEx>
        <w:trPr>
          <w:trHeight w:val="2426" w:hRule="atLeast"/>
          <w:jc w:val="center"/>
        </w:trPr>
        <w:tc>
          <w:tcPr>
            <w:tcW w:w="9086"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法定代表人身份证复印件</w:t>
            </w:r>
          </w:p>
          <w:p>
            <w:pPr>
              <w:jc w:val="center"/>
              <w:rPr>
                <w:rFonts w:asciiTheme="majorEastAsia" w:hAnsiTheme="majorEastAsia" w:eastAsiaTheme="majorEastAsia"/>
                <w:szCs w:val="21"/>
              </w:rPr>
            </w:pPr>
            <w:r>
              <w:rPr>
                <w:rFonts w:hint="eastAsia" w:asciiTheme="majorEastAsia" w:hAnsiTheme="majorEastAsia" w:eastAsiaTheme="majorEastAsia"/>
                <w:szCs w:val="21"/>
              </w:rPr>
              <w:t>（双面）</w:t>
            </w:r>
          </w:p>
        </w:tc>
      </w:tr>
    </w:tbl>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r>
        <w:rPr>
          <w:rFonts w:hint="eastAsia" w:asciiTheme="majorEastAsia" w:hAnsiTheme="majorEastAsia" w:eastAsiaTheme="majorEastAsia"/>
          <w:szCs w:val="21"/>
        </w:rPr>
        <w:t>注：法定代表人身份证明需按上述格式填写完整，不可缺少内容。在此基础上增加内容的不影响其有效性。</w:t>
      </w:r>
    </w:p>
    <w:p>
      <w:pPr>
        <w:adjustRightInd w:val="0"/>
        <w:snapToGrid w:val="0"/>
        <w:spacing w:line="360"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br w:type="page"/>
      </w:r>
      <w:bookmarkStart w:id="539" w:name="_Toc5698_WPSOffice_Level1"/>
      <w:bookmarkStart w:id="540" w:name="_Toc21613_WPSOffice_Level1"/>
      <w:r>
        <w:rPr>
          <w:rFonts w:hint="eastAsia" w:asciiTheme="majorEastAsia" w:hAnsiTheme="majorEastAsia" w:eastAsiaTheme="majorEastAsia"/>
          <w:b/>
          <w:bCs/>
          <w:sz w:val="28"/>
          <w:szCs w:val="28"/>
        </w:rPr>
        <w:t>授权委托书</w:t>
      </w:r>
      <w:bookmarkEnd w:id="539"/>
      <w:bookmarkEnd w:id="540"/>
    </w:p>
    <w:p>
      <w:pPr>
        <w:adjustRightInd w:val="0"/>
        <w:snapToGrid w:val="0"/>
        <w:spacing w:line="360" w:lineRule="auto"/>
        <w:rPr>
          <w:rFonts w:asciiTheme="majorEastAsia" w:hAnsiTheme="majorEastAsia" w:eastAsiaTheme="majorEastAsia"/>
          <w:sz w:val="12"/>
          <w:szCs w:val="12"/>
        </w:rPr>
      </w:pPr>
      <w:r>
        <w:rPr>
          <w:rFonts w:hint="eastAsia" w:asciiTheme="majorEastAsia" w:hAnsiTheme="majorEastAsia" w:eastAsiaTheme="majorEastAsia"/>
          <w:sz w:val="12"/>
          <w:szCs w:val="12"/>
        </w:rPr>
        <w:t xml:space="preserve"> </w:t>
      </w:r>
    </w:p>
    <w:p>
      <w:pPr>
        <w:adjustRightInd w:val="0"/>
        <w:snapToGrid w:val="0"/>
        <w:spacing w:line="360" w:lineRule="auto"/>
        <w:rPr>
          <w:rFonts w:asciiTheme="majorEastAsia" w:hAnsiTheme="majorEastAsia" w:eastAsiaTheme="majorEastAsia"/>
          <w:sz w:val="20"/>
        </w:rPr>
      </w:pPr>
      <w:r>
        <w:rPr>
          <w:rFonts w:hint="eastAsia" w:asciiTheme="majorEastAsia" w:hAnsiTheme="majorEastAsia" w:eastAsiaTheme="majorEastAsia"/>
          <w:sz w:val="20"/>
        </w:rPr>
        <w:t xml:space="preserve">  </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本人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（姓名）系</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w:t>
      </w:r>
      <w:r>
        <w:rPr>
          <w:rFonts w:hint="eastAsia" w:asciiTheme="majorEastAsia" w:hAnsiTheme="majorEastAsia" w:eastAsiaTheme="majorEastAsia"/>
          <w:spacing w:val="-1"/>
          <w:szCs w:val="21"/>
        </w:rPr>
        <w:t>比选申请</w:t>
      </w:r>
      <w:r>
        <w:rPr>
          <w:rFonts w:hint="eastAsia" w:asciiTheme="majorEastAsia" w:hAnsiTheme="majorEastAsia" w:eastAsiaTheme="majorEastAsia"/>
          <w:szCs w:val="21"/>
        </w:rPr>
        <w:t>人名称</w:t>
      </w:r>
      <w:r>
        <w:rPr>
          <w:rFonts w:hint="eastAsia" w:asciiTheme="majorEastAsia" w:hAnsiTheme="majorEastAsia" w:eastAsiaTheme="majorEastAsia"/>
          <w:spacing w:val="1"/>
          <w:szCs w:val="21"/>
        </w:rPr>
        <w:t>）</w:t>
      </w:r>
      <w:r>
        <w:rPr>
          <w:rFonts w:hint="eastAsia" w:asciiTheme="majorEastAsia" w:hAnsiTheme="majorEastAsia" w:eastAsiaTheme="majorEastAsia"/>
          <w:szCs w:val="21"/>
        </w:rPr>
        <w:t>的法定代</w:t>
      </w:r>
      <w:r>
        <w:rPr>
          <w:rFonts w:hint="eastAsia" w:asciiTheme="majorEastAsia" w:hAnsiTheme="majorEastAsia" w:eastAsiaTheme="majorEastAsia"/>
          <w:spacing w:val="1"/>
          <w:szCs w:val="21"/>
        </w:rPr>
        <w:t>表</w:t>
      </w:r>
      <w:r>
        <w:rPr>
          <w:rFonts w:hint="eastAsia" w:asciiTheme="majorEastAsia" w:hAnsiTheme="majorEastAsia" w:eastAsiaTheme="majorEastAsia"/>
          <w:szCs w:val="21"/>
        </w:rPr>
        <w:t>人，现委托</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（姓名）为我方代理人。代理人根据授权，以我方名义签署、澄清、说明、补正、递交、撤回、 修改</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w:t>
      </w:r>
      <w:r>
        <w:rPr>
          <w:rFonts w:hint="eastAsia" w:asciiTheme="majorEastAsia" w:hAnsiTheme="majorEastAsia" w:eastAsiaTheme="majorEastAsia"/>
          <w:spacing w:val="-1"/>
          <w:szCs w:val="21"/>
        </w:rPr>
        <w:t>目</w:t>
      </w:r>
      <w:r>
        <w:rPr>
          <w:rFonts w:hint="eastAsia" w:asciiTheme="majorEastAsia" w:hAnsiTheme="majorEastAsia" w:eastAsiaTheme="majorEastAsia"/>
          <w:szCs w:val="21"/>
        </w:rPr>
        <w:t>名称）比选申请文件、签订合同和处理有关事宜， 其法律后果由我方承担。</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委托</w:t>
      </w:r>
      <w:r>
        <w:rPr>
          <w:rFonts w:hint="eastAsia" w:asciiTheme="majorEastAsia" w:hAnsiTheme="majorEastAsia" w:eastAsiaTheme="majorEastAsia"/>
          <w:spacing w:val="-1"/>
          <w:szCs w:val="21"/>
        </w:rPr>
        <w:t>期</w:t>
      </w:r>
      <w:r>
        <w:rPr>
          <w:rFonts w:hint="eastAsia" w:asciiTheme="majorEastAsia" w:hAnsiTheme="majorEastAsia" w:eastAsiaTheme="majorEastAsia"/>
          <w:szCs w:val="21"/>
        </w:rPr>
        <w:t>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 xml:space="preserve">。 </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代理人无转委托权。</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1694"/>
        <w:rPr>
          <w:rFonts w:asciiTheme="majorEastAsia" w:hAnsiTheme="majorEastAsia" w:eastAsiaTheme="majorEastAsia"/>
          <w:szCs w:val="21"/>
        </w:rPr>
      </w:pPr>
      <w:r>
        <w:rPr>
          <w:rFonts w:hint="eastAsia" w:asciiTheme="majorEastAsia" w:hAnsiTheme="majorEastAsia" w:eastAsiaTheme="majorEastAsia"/>
          <w:szCs w:val="21"/>
        </w:rPr>
        <w:t>比选申请人：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r>
        <w:rPr>
          <w:rFonts w:hint="eastAsia" w:asciiTheme="majorEastAsia" w:hAnsiTheme="majorEastAsia" w:eastAsiaTheme="majorEastAsia"/>
          <w:spacing w:val="-1"/>
          <w:szCs w:val="21"/>
        </w:rPr>
        <w:t>盖</w:t>
      </w:r>
      <w:r>
        <w:rPr>
          <w:rFonts w:hint="eastAsia" w:asciiTheme="majorEastAsia" w:hAnsiTheme="majorEastAsia" w:eastAsiaTheme="majorEastAsia"/>
          <w:szCs w:val="21"/>
        </w:rPr>
        <w:t xml:space="preserve">单位章） </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法定代表人：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（签字）</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身份证号码：</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委托代理人：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（签</w:t>
      </w:r>
      <w:r>
        <w:rPr>
          <w:rFonts w:hint="eastAsia" w:asciiTheme="majorEastAsia" w:hAnsiTheme="majorEastAsia" w:eastAsiaTheme="majorEastAsia"/>
          <w:spacing w:val="-1"/>
          <w:szCs w:val="21"/>
        </w:rPr>
        <w:t>字</w:t>
      </w:r>
      <w:r>
        <w:rPr>
          <w:rFonts w:hint="eastAsia" w:asciiTheme="majorEastAsia" w:hAnsiTheme="majorEastAsia" w:eastAsiaTheme="majorEastAsia"/>
          <w:szCs w:val="21"/>
        </w:rPr>
        <w:t>）</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身份证号码：</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780"/>
        <w:rPr>
          <w:rFonts w:asciiTheme="majorEastAsia" w:hAnsiTheme="majorEastAsia" w:eastAsiaTheme="maj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tbl>
      <w:tblPr>
        <w:tblStyle w:val="57"/>
        <w:tblW w:w="8136" w:type="dxa"/>
        <w:jc w:val="center"/>
        <w:tblInd w:w="0" w:type="dxa"/>
        <w:tblLayout w:type="fixed"/>
        <w:tblCellMar>
          <w:top w:w="0" w:type="dxa"/>
          <w:left w:w="108" w:type="dxa"/>
          <w:bottom w:w="0" w:type="dxa"/>
          <w:right w:w="108" w:type="dxa"/>
        </w:tblCellMar>
      </w:tblPr>
      <w:tblGrid>
        <w:gridCol w:w="4068"/>
        <w:gridCol w:w="4068"/>
      </w:tblGrid>
      <w:tr>
        <w:tblPrEx>
          <w:tblLayout w:type="fixed"/>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p>
          <w:p>
            <w:pPr>
              <w:spacing w:line="520" w:lineRule="atLeast"/>
              <w:ind w:firstLine="420" w:firstLineChars="200"/>
              <w:jc w:val="center"/>
              <w:rPr>
                <w:rFonts w:asciiTheme="majorEastAsia" w:hAnsiTheme="majorEastAsia" w:eastAsiaTheme="majorEastAsia"/>
                <w:szCs w:val="21"/>
              </w:rPr>
            </w:pPr>
            <w:bookmarkStart w:id="541" w:name="OLE_LINK5"/>
            <w:r>
              <w:rPr>
                <w:rFonts w:hint="eastAsia" w:asciiTheme="majorEastAsia" w:hAnsiTheme="majorEastAsia" w:eastAsiaTheme="majorEastAsia"/>
                <w:szCs w:val="21"/>
              </w:rPr>
              <w:t>法定代表人身份证复印件</w:t>
            </w:r>
            <w:bookmarkEnd w:id="541"/>
          </w:p>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（双面）</w:t>
            </w:r>
          </w:p>
        </w:tc>
        <w:tc>
          <w:tcPr>
            <w:tcW w:w="4068" w:type="dxa"/>
            <w:tcBorders>
              <w:top w:val="dotDotDash" w:color="auto" w:sz="4" w:space="0"/>
              <w:left w:val="nil"/>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p>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委托代理人身份证复印件</w:t>
            </w:r>
          </w:p>
          <w:p>
            <w:pPr>
              <w:spacing w:line="520" w:lineRule="atLeast"/>
              <w:jc w:val="center"/>
              <w:rPr>
                <w:rFonts w:asciiTheme="majorEastAsia" w:hAnsiTheme="majorEastAsia" w:eastAsiaTheme="majorEastAsia"/>
                <w:szCs w:val="21"/>
              </w:rPr>
            </w:pPr>
            <w:r>
              <w:rPr>
                <w:rFonts w:hint="eastAsia" w:asciiTheme="majorEastAsia" w:hAnsiTheme="majorEastAsia" w:eastAsiaTheme="majorEastAsia"/>
                <w:szCs w:val="21"/>
              </w:rPr>
              <w:t>（双面）</w:t>
            </w:r>
          </w:p>
          <w:p>
            <w:pPr>
              <w:spacing w:line="520" w:lineRule="atLeast"/>
              <w:ind w:firstLine="420" w:firstLineChars="200"/>
              <w:jc w:val="center"/>
              <w:rPr>
                <w:rFonts w:asciiTheme="majorEastAsia" w:hAnsiTheme="majorEastAsia" w:eastAsiaTheme="majorEastAsia"/>
                <w:szCs w:val="21"/>
              </w:rPr>
            </w:pPr>
          </w:p>
        </w:tc>
      </w:tr>
    </w:tbl>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p>
    <w:p>
      <w:pPr>
        <w:adjustRightInd w:val="0"/>
        <w:snapToGrid w:val="0"/>
        <w:spacing w:line="360" w:lineRule="auto"/>
        <w:rPr>
          <w:rFonts w:asciiTheme="majorEastAsia" w:hAnsiTheme="majorEastAsia" w:eastAsiaTheme="majorEastAsia"/>
          <w:szCs w:val="21"/>
        </w:rPr>
      </w:pP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drawing>
          <wp:inline distT="0" distB="0" distL="0" distR="0">
            <wp:extent cx="2876550" cy="9525"/>
            <wp:effectExtent l="1905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11"/>
                    <a:srcRect/>
                    <a:stretch>
                      <a:fillRect/>
                    </a:stretch>
                  </pic:blipFill>
                  <pic:spPr>
                    <a:xfrm>
                      <a:off x="0" y="0"/>
                      <a:ext cx="2876550" cy="9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Cs w:val="21"/>
        </w:rPr>
        <w:t xml:space="preserve"> </w:t>
      </w:r>
    </w:p>
    <w:p>
      <w:pPr>
        <w:adjustRightInd w:val="0"/>
        <w:spacing w:line="300" w:lineRule="exact"/>
        <w:ind w:left="735" w:right="11" w:hanging="735" w:hangingChars="350"/>
        <w:rPr>
          <w:rFonts w:asciiTheme="majorEastAsia" w:hAnsiTheme="majorEastAsia" w:eastAsiaTheme="majorEastAsia"/>
          <w:szCs w:val="21"/>
        </w:rPr>
      </w:pPr>
      <w:r>
        <w:rPr>
          <w:rFonts w:hint="eastAsia" w:asciiTheme="majorEastAsia" w:hAnsiTheme="majorEastAsia" w:eastAsiaTheme="majorEastAsia"/>
          <w:szCs w:val="21"/>
        </w:rPr>
        <w:t>注：1、法定代表人参加竞标活动并签署文件的不需要授权委托书，只需提供法定代表人身份证明；非法定代表人参加竞标活动及签署文件的除提供法定代表人身份证明外还须提供授权委托书。</w:t>
      </w:r>
    </w:p>
    <w:p>
      <w:pPr>
        <w:adjustRightInd w:val="0"/>
        <w:spacing w:line="300" w:lineRule="exact"/>
        <w:ind w:left="821" w:leftChars="253" w:right="22" w:hanging="290" w:hangingChars="138"/>
        <w:rPr>
          <w:rFonts w:asciiTheme="majorEastAsia" w:hAnsiTheme="majorEastAsia" w:eastAsiaTheme="majorEastAsia"/>
          <w:szCs w:val="21"/>
        </w:rPr>
      </w:pPr>
      <w:r>
        <w:rPr>
          <w:rFonts w:hint="eastAsia" w:asciiTheme="majorEastAsia" w:hAnsiTheme="majorEastAsia" w:eastAsiaTheme="majorEastAsia"/>
          <w:szCs w:val="21"/>
        </w:rPr>
        <w:t>2、法定代表人身份证明及授权委托书原件装入比选申请文件一并递交。另外须准备一份在开标现场出具。</w:t>
      </w:r>
    </w:p>
    <w:p>
      <w:pPr>
        <w:tabs>
          <w:tab w:val="left" w:pos="5760"/>
        </w:tabs>
        <w:autoSpaceDE w:val="0"/>
        <w:autoSpaceDN w:val="0"/>
        <w:adjustRightInd w:val="0"/>
        <w:spacing w:line="360" w:lineRule="auto"/>
        <w:ind w:right="11"/>
        <w:rPr>
          <w:rFonts w:cs="宋体" w:asciiTheme="majorEastAsia" w:hAnsiTheme="majorEastAsia" w:eastAsiaTheme="majorEastAsia"/>
          <w:kern w:val="0"/>
          <w:szCs w:val="21"/>
        </w:rPr>
      </w:pPr>
    </w:p>
    <w:p>
      <w:pPr>
        <w:pStyle w:val="4"/>
        <w:jc w:val="center"/>
        <w:rPr>
          <w:rFonts w:cs="宋体" w:asciiTheme="majorEastAsia" w:hAnsiTheme="majorEastAsia" w:eastAsiaTheme="majorEastAsia"/>
          <w:sz w:val="32"/>
          <w:szCs w:val="44"/>
        </w:rPr>
      </w:pPr>
      <w:bookmarkStart w:id="542" w:name="_Toc16938"/>
      <w:bookmarkStart w:id="543" w:name="_Toc447114699"/>
      <w:bookmarkStart w:id="544" w:name="_Toc507402435"/>
      <w:bookmarkStart w:id="545" w:name="_Toc432115604"/>
      <w:r>
        <w:rPr>
          <w:rFonts w:hint="eastAsia" w:cs="宋体" w:asciiTheme="majorEastAsia" w:hAnsiTheme="majorEastAsia" w:eastAsiaTheme="majorEastAsia"/>
          <w:sz w:val="32"/>
          <w:szCs w:val="44"/>
        </w:rPr>
        <w:t>二、资格审查资料</w:t>
      </w:r>
      <w:bookmarkEnd w:id="542"/>
      <w:bookmarkEnd w:id="543"/>
      <w:bookmarkEnd w:id="544"/>
      <w:bookmarkEnd w:id="545"/>
    </w:p>
    <w:p>
      <w:pPr>
        <w:tabs>
          <w:tab w:val="left" w:pos="5760"/>
        </w:tabs>
        <w:autoSpaceDE w:val="0"/>
        <w:autoSpaceDN w:val="0"/>
        <w:adjustRightInd w:val="0"/>
        <w:spacing w:line="360" w:lineRule="auto"/>
        <w:ind w:right="11" w:firstLine="480" w:firstLineChars="200"/>
        <w:rPr>
          <w:rFonts w:cs="MingLiU" w:asciiTheme="majorEastAsia" w:hAnsiTheme="majorEastAsia" w:eastAsiaTheme="majorEastAsia"/>
          <w:snapToGrid w:val="0"/>
          <w:kern w:val="0"/>
          <w:sz w:val="24"/>
          <w:szCs w:val="21"/>
        </w:rPr>
      </w:pPr>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28"/>
          <w:szCs w:val="28"/>
        </w:rPr>
      </w:pPr>
      <w:r>
        <w:rPr>
          <w:rFonts w:cs="MingLiU" w:asciiTheme="majorEastAsia" w:hAnsiTheme="majorEastAsia" w:eastAsiaTheme="majorEastAsia"/>
          <w:snapToGrid w:val="0"/>
          <w:kern w:val="0"/>
          <w:sz w:val="24"/>
          <w:szCs w:val="21"/>
        </w:rPr>
        <w:br w:type="page"/>
      </w:r>
    </w:p>
    <w:p>
      <w:pPr>
        <w:spacing w:line="36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目 录</w:t>
      </w:r>
    </w:p>
    <w:p>
      <w:pPr>
        <w:spacing w:line="360" w:lineRule="auto"/>
        <w:ind w:firstLine="420" w:firstLineChars="200"/>
        <w:jc w:val="left"/>
        <w:rPr>
          <w:rFonts w:asciiTheme="majorEastAsia" w:hAnsiTheme="majorEastAsia" w:eastAsiaTheme="majorEastAsia"/>
          <w:bCs/>
          <w:szCs w:val="21"/>
        </w:rPr>
      </w:pPr>
    </w:p>
    <w:p>
      <w:pPr>
        <w:spacing w:line="360" w:lineRule="auto"/>
        <w:ind w:firstLine="420" w:firstLineChars="200"/>
        <w:jc w:val="left"/>
        <w:rPr>
          <w:rFonts w:asciiTheme="majorEastAsia" w:hAnsiTheme="majorEastAsia" w:eastAsiaTheme="majorEastAsia"/>
          <w:bCs/>
          <w:szCs w:val="21"/>
        </w:rPr>
      </w:pPr>
      <w:r>
        <w:rPr>
          <w:rFonts w:hint="eastAsia" w:asciiTheme="majorEastAsia" w:hAnsiTheme="majorEastAsia" w:eastAsiaTheme="majorEastAsia"/>
          <w:bCs/>
          <w:szCs w:val="21"/>
        </w:rPr>
        <w:t>（一）法定代表人身份证明及授权委托书</w:t>
      </w:r>
    </w:p>
    <w:p>
      <w:pPr>
        <w:autoSpaceDE w:val="0"/>
        <w:autoSpaceDN w:val="0"/>
        <w:adjustRightInd w:val="0"/>
        <w:spacing w:line="360" w:lineRule="auto"/>
        <w:ind w:right="-20" w:firstLine="420" w:firstLineChars="200"/>
        <w:jc w:val="left"/>
        <w:rPr>
          <w:rFonts w:asciiTheme="majorEastAsia" w:hAnsiTheme="majorEastAsia" w:eastAsiaTheme="majorEastAsia"/>
          <w:bCs/>
          <w:szCs w:val="21"/>
        </w:rPr>
      </w:pPr>
      <w:r>
        <w:rPr>
          <w:rFonts w:hint="eastAsia" w:asciiTheme="majorEastAsia" w:hAnsiTheme="majorEastAsia" w:eastAsiaTheme="majorEastAsia"/>
          <w:bCs/>
          <w:szCs w:val="21"/>
        </w:rPr>
        <w:t>（二）比选申请人基本情况表</w:t>
      </w:r>
    </w:p>
    <w:p>
      <w:pPr>
        <w:spacing w:line="360" w:lineRule="auto"/>
        <w:ind w:firstLine="420" w:firstLineChars="200"/>
        <w:jc w:val="left"/>
        <w:rPr>
          <w:rFonts w:asciiTheme="majorEastAsia" w:hAnsiTheme="majorEastAsia" w:eastAsiaTheme="majorEastAsia"/>
          <w:bCs/>
          <w:szCs w:val="21"/>
        </w:rPr>
      </w:pPr>
      <w:r>
        <w:rPr>
          <w:rFonts w:hint="eastAsia" w:asciiTheme="majorEastAsia" w:hAnsiTheme="majorEastAsia" w:eastAsiaTheme="majorEastAsia"/>
          <w:bCs/>
          <w:szCs w:val="21"/>
        </w:rPr>
        <w:t>（三）项目人员配备表</w:t>
      </w:r>
    </w:p>
    <w:p>
      <w:pPr>
        <w:spacing w:line="360" w:lineRule="auto"/>
        <w:ind w:firstLine="420" w:firstLineChars="200"/>
        <w:jc w:val="left"/>
        <w:rPr>
          <w:rFonts w:cs="宋体" w:asciiTheme="majorEastAsia" w:hAnsiTheme="majorEastAsia" w:eastAsiaTheme="majorEastAsia"/>
          <w:bCs/>
          <w:szCs w:val="21"/>
        </w:rPr>
      </w:pPr>
      <w:r>
        <w:rPr>
          <w:rFonts w:hint="eastAsia" w:asciiTheme="majorEastAsia" w:hAnsiTheme="majorEastAsia" w:eastAsiaTheme="majorEastAsia"/>
          <w:bCs/>
          <w:szCs w:val="21"/>
        </w:rPr>
        <w:t>（四）信誉要求</w:t>
      </w:r>
    </w:p>
    <w:p>
      <w:pPr>
        <w:spacing w:line="360" w:lineRule="auto"/>
        <w:ind w:firstLine="420" w:firstLineChars="200"/>
        <w:jc w:val="left"/>
        <w:rPr>
          <w:rFonts w:asciiTheme="majorEastAsia" w:hAnsiTheme="majorEastAsia" w:eastAsiaTheme="majorEastAsia"/>
          <w:bCs/>
          <w:szCs w:val="21"/>
        </w:rPr>
      </w:pPr>
      <w:r>
        <w:rPr>
          <w:rFonts w:hint="eastAsia" w:asciiTheme="majorEastAsia" w:hAnsiTheme="majorEastAsia" w:eastAsiaTheme="majorEastAsia"/>
          <w:bCs/>
          <w:szCs w:val="21"/>
        </w:rPr>
        <w:t>（五）</w:t>
      </w:r>
      <w:r>
        <w:rPr>
          <w:rFonts w:hint="eastAsia" w:cs="MingLiU" w:asciiTheme="majorEastAsia" w:hAnsiTheme="majorEastAsia" w:eastAsiaTheme="majorEastAsia"/>
          <w:bCs/>
          <w:kern w:val="0"/>
          <w:szCs w:val="21"/>
        </w:rPr>
        <w:t>其他资料</w:t>
      </w:r>
    </w:p>
    <w:p>
      <w:pPr>
        <w:spacing w:line="360" w:lineRule="auto"/>
        <w:jc w:val="center"/>
        <w:rPr>
          <w:rFonts w:cs="宋体" w:asciiTheme="majorEastAsia" w:hAnsiTheme="majorEastAsia" w:eastAsiaTheme="majorEastAsia"/>
          <w:sz w:val="44"/>
          <w:szCs w:val="44"/>
        </w:rPr>
      </w:pPr>
    </w:p>
    <w:p>
      <w:pPr>
        <w:spacing w:line="360" w:lineRule="auto"/>
        <w:jc w:val="center"/>
        <w:outlineLvl w:val="2"/>
        <w:rPr>
          <w:rFonts w:asciiTheme="majorEastAsia" w:hAnsiTheme="majorEastAsia" w:eastAsiaTheme="majorEastAsia"/>
          <w:b/>
          <w:bCs/>
          <w:snapToGrid w:val="0"/>
          <w:sz w:val="28"/>
          <w:szCs w:val="28"/>
        </w:rPr>
      </w:pPr>
      <w:r>
        <w:rPr>
          <w:rFonts w:cs="宋体" w:asciiTheme="majorEastAsia" w:hAnsiTheme="majorEastAsia" w:eastAsiaTheme="majorEastAsia"/>
          <w:b/>
          <w:sz w:val="44"/>
          <w:szCs w:val="44"/>
        </w:rPr>
        <w:br w:type="page"/>
      </w:r>
      <w:bookmarkStart w:id="546" w:name="_Toc17058"/>
      <w:bookmarkStart w:id="547" w:name="_Toc502846071"/>
      <w:bookmarkStart w:id="548" w:name="_Toc501704637"/>
      <w:bookmarkStart w:id="549" w:name="_Toc507402436"/>
      <w:r>
        <w:rPr>
          <w:rFonts w:hint="eastAsia" w:asciiTheme="majorEastAsia" w:hAnsiTheme="majorEastAsia" w:eastAsiaTheme="majorEastAsia"/>
          <w:b/>
          <w:sz w:val="28"/>
        </w:rPr>
        <w:t>（一）法定代表人身份证明及授权委托书</w:t>
      </w:r>
      <w:bookmarkEnd w:id="546"/>
      <w:bookmarkEnd w:id="547"/>
      <w:bookmarkEnd w:id="548"/>
      <w:bookmarkEnd w:id="549"/>
      <w:bookmarkStart w:id="550" w:name="_Toc358902169"/>
      <w:bookmarkStart w:id="551" w:name="_Toc15634"/>
    </w:p>
    <w:p>
      <w:pPr>
        <w:spacing w:line="700" w:lineRule="exact"/>
        <w:jc w:val="center"/>
        <w:rPr>
          <w:rFonts w:asciiTheme="majorEastAsia" w:hAnsiTheme="majorEastAsia" w:eastAsiaTheme="majorEastAsia"/>
          <w:b/>
          <w:sz w:val="28"/>
          <w:szCs w:val="31"/>
        </w:rPr>
      </w:pPr>
      <w:r>
        <w:rPr>
          <w:rFonts w:hint="eastAsia" w:asciiTheme="majorEastAsia" w:hAnsiTheme="majorEastAsia" w:eastAsiaTheme="majorEastAsia"/>
          <w:b/>
          <w:sz w:val="28"/>
          <w:szCs w:val="31"/>
        </w:rPr>
        <w:t>法定代表人身份证明</w:t>
      </w:r>
    </w:p>
    <w:p>
      <w:pPr>
        <w:jc w:val="center"/>
        <w:rPr>
          <w:rFonts w:asciiTheme="majorEastAsia" w:hAnsiTheme="majorEastAsia" w:eastAsiaTheme="majorEastAsia"/>
          <w:b/>
          <w:sz w:val="31"/>
          <w:szCs w:val="31"/>
        </w:rPr>
      </w:pPr>
    </w:p>
    <w:p>
      <w:pPr>
        <w:tabs>
          <w:tab w:val="left" w:pos="556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比选申请人名称：</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单位性质：</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地址：</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2520"/>
          <w:tab w:val="left" w:pos="352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成立时间：</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月</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日</w:t>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经营期限：</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1580"/>
          <w:tab w:val="left" w:pos="3260"/>
          <w:tab w:val="left" w:pos="4840"/>
          <w:tab w:val="left" w:pos="6300"/>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姓名：</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性别</w:t>
      </w:r>
      <w:r>
        <w:rPr>
          <w:rFonts w:hint="eastAsia" w:cs="MingLiU" w:asciiTheme="majorEastAsia" w:hAnsiTheme="majorEastAsia" w:eastAsiaTheme="majorEastAsia"/>
          <w:spacing w:val="-1"/>
          <w:kern w:val="0"/>
          <w:szCs w:val="21"/>
        </w:rPr>
        <w:t>：</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hint="eastAsia" w:cs="MingLiU" w:asciiTheme="majorEastAsia" w:hAnsiTheme="majorEastAsia" w:eastAsiaTheme="majorEastAsia"/>
          <w:kern w:val="0"/>
          <w:szCs w:val="21"/>
        </w:rPr>
        <w:t>龄：</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职务：</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3360"/>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系</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（比选申请人名称）的法定代表人。</w:t>
      </w:r>
    </w:p>
    <w:p>
      <w:pPr>
        <w:tabs>
          <w:tab w:val="left" w:pos="3360"/>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autoSpaceDE w:val="0"/>
        <w:autoSpaceDN w:val="0"/>
        <w:adjustRightInd w:val="0"/>
        <w:snapToGrid w:val="0"/>
        <w:spacing w:line="360" w:lineRule="auto"/>
        <w:ind w:firstLine="811" w:firstLineChars="3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特此证明。</w:t>
      </w:r>
    </w:p>
    <w:tbl>
      <w:tblPr>
        <w:tblStyle w:val="57"/>
        <w:tblW w:w="907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7"/>
        <w:gridCol w:w="453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701" w:hRule="atLeast"/>
          <w:jc w:val="center"/>
        </w:trPr>
        <w:tc>
          <w:tcPr>
            <w:tcW w:w="4537" w:type="dxa"/>
          </w:tcPr>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050" w:hanging="1050" w:hangingChars="500"/>
              <w:jc w:val="center"/>
              <w:rPr>
                <w:rFonts w:asciiTheme="majorEastAsia" w:hAnsiTheme="majorEastAsia" w:eastAsiaTheme="majorEastAsia"/>
                <w:szCs w:val="21"/>
              </w:rPr>
            </w:pPr>
          </w:p>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（一面）</w:t>
            </w:r>
          </w:p>
        </w:tc>
        <w:tc>
          <w:tcPr>
            <w:tcW w:w="4537" w:type="dxa"/>
          </w:tcPr>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260" w:hanging="1260" w:hangingChars="600"/>
              <w:jc w:val="center"/>
              <w:rPr>
                <w:rFonts w:asciiTheme="majorEastAsia" w:hAnsiTheme="majorEastAsia" w:eastAsiaTheme="majorEastAsia"/>
                <w:szCs w:val="21"/>
              </w:rPr>
            </w:pPr>
          </w:p>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（另一面）</w:t>
            </w:r>
          </w:p>
        </w:tc>
      </w:tr>
    </w:tbl>
    <w:p>
      <w:pPr>
        <w:tabs>
          <w:tab w:val="left" w:pos="5460"/>
        </w:tabs>
        <w:autoSpaceDE w:val="0"/>
        <w:autoSpaceDN w:val="0"/>
        <w:adjustRightInd w:val="0"/>
        <w:snapToGrid w:val="0"/>
        <w:spacing w:line="360" w:lineRule="auto"/>
        <w:ind w:firstLine="2100"/>
        <w:jc w:val="left"/>
        <w:rPr>
          <w:rFonts w:cs="MingLiU" w:asciiTheme="majorEastAsia" w:hAnsiTheme="majorEastAsia" w:eastAsiaTheme="majorEastAsia"/>
          <w:kern w:val="0"/>
          <w:szCs w:val="21"/>
        </w:rPr>
      </w:pPr>
    </w:p>
    <w:p>
      <w:pPr>
        <w:tabs>
          <w:tab w:val="left" w:pos="7140"/>
        </w:tabs>
        <w:autoSpaceDE w:val="0"/>
        <w:autoSpaceDN w:val="0"/>
        <w:adjustRightInd w:val="0"/>
        <w:snapToGrid w:val="0"/>
        <w:spacing w:line="360" w:lineRule="auto"/>
        <w:ind w:firstLine="3360" w:firstLineChars="16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比选申请</w:t>
      </w:r>
      <w:r>
        <w:rPr>
          <w:rFonts w:hint="eastAsia" w:cs="MingLiU" w:asciiTheme="majorEastAsia" w:hAnsiTheme="majorEastAsia" w:eastAsiaTheme="majorEastAsia"/>
          <w:spacing w:val="-1"/>
          <w:kern w:val="0"/>
          <w:szCs w:val="21"/>
        </w:rPr>
        <w:t>人</w:t>
      </w:r>
      <w:r>
        <w:rPr>
          <w:rFonts w:hint="eastAsia" w:cs="MingLiU" w:asciiTheme="majorEastAsia" w:hAnsiTheme="majorEastAsia" w:eastAsiaTheme="majorEastAsia"/>
          <w:kern w:val="0"/>
          <w:szCs w:val="21"/>
        </w:rPr>
        <w:t>：</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w:t>
      </w:r>
      <w:r>
        <w:rPr>
          <w:rFonts w:hint="eastAsia" w:cs="MingLiU" w:asciiTheme="majorEastAsia" w:hAnsiTheme="majorEastAsia" w:eastAsiaTheme="majorEastAsia"/>
          <w:kern w:val="0"/>
          <w:szCs w:val="21"/>
        </w:rPr>
        <w:t>盖单位公章）</w:t>
      </w:r>
    </w:p>
    <w:p>
      <w:pPr>
        <w:tabs>
          <w:tab w:val="left" w:pos="4935"/>
          <w:tab w:val="left" w:pos="5775"/>
          <w:tab w:val="left" w:pos="6400"/>
        </w:tabs>
        <w:autoSpaceDE w:val="0"/>
        <w:autoSpaceDN w:val="0"/>
        <w:adjustRightInd w:val="0"/>
        <w:snapToGrid w:val="0"/>
        <w:spacing w:line="360" w:lineRule="auto"/>
        <w:ind w:firstLine="4305" w:firstLineChars="2050"/>
        <w:jc w:val="left"/>
        <w:rPr>
          <w:rFonts w:cs="MingLiU" w:asciiTheme="majorEastAsia" w:hAnsiTheme="majorEastAsia" w:eastAsiaTheme="majorEastAsia"/>
          <w:kern w:val="0"/>
          <w:szCs w:val="21"/>
        </w:rPr>
      </w:pP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月</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 xml:space="preserve">日   </w:t>
      </w: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left"/>
        <w:rPr>
          <w:rFonts w:asciiTheme="majorEastAsia" w:hAnsiTheme="majorEastAsia" w:eastAsiaTheme="majorEastAsia"/>
          <w:kern w:val="0"/>
        </w:rPr>
      </w:pPr>
      <w:r>
        <w:rPr>
          <w:rFonts w:hint="eastAsia" w:asciiTheme="majorEastAsia" w:hAnsiTheme="majorEastAsia" w:eastAsiaTheme="majorEastAsia"/>
          <w:kern w:val="0"/>
        </w:rPr>
        <w:t>注：法定代表人身份证明需按上述格式填写完整，不可缺少内容。在此基础上增加内容不影响其有效性。</w:t>
      </w: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center"/>
        <w:rPr>
          <w:rFonts w:asciiTheme="majorEastAsia" w:hAnsiTheme="majorEastAsia" w:eastAsiaTheme="majorEastAsia"/>
          <w:b/>
          <w:sz w:val="28"/>
          <w:szCs w:val="28"/>
        </w:rPr>
      </w:pPr>
      <w:r>
        <w:rPr>
          <w:rFonts w:asciiTheme="majorEastAsia" w:hAnsiTheme="majorEastAsia" w:eastAsiaTheme="majorEastAsia"/>
          <w:kern w:val="0"/>
        </w:rPr>
        <w:br w:type="page"/>
      </w:r>
      <w:r>
        <w:rPr>
          <w:rFonts w:hint="eastAsia" w:asciiTheme="majorEastAsia" w:hAnsiTheme="majorEastAsia" w:eastAsiaTheme="majorEastAsia"/>
          <w:b/>
          <w:sz w:val="28"/>
          <w:szCs w:val="28"/>
        </w:rPr>
        <w:t>授权委托书</w:t>
      </w:r>
    </w:p>
    <w:p>
      <w:pPr>
        <w:autoSpaceDE w:val="0"/>
        <w:autoSpaceDN w:val="0"/>
        <w:adjustRightInd w:val="0"/>
        <w:snapToGrid w:val="0"/>
        <w:spacing w:line="360" w:lineRule="auto"/>
        <w:jc w:val="left"/>
        <w:rPr>
          <w:rFonts w:cs="MingLiU" w:asciiTheme="majorEastAsia" w:hAnsiTheme="majorEastAsia" w:eastAsiaTheme="majorEastAsia"/>
          <w:kern w:val="0"/>
          <w:sz w:val="19"/>
          <w:szCs w:val="19"/>
        </w:rPr>
      </w:pPr>
    </w:p>
    <w:p>
      <w:pPr>
        <w:tabs>
          <w:tab w:val="left" w:pos="1680"/>
          <w:tab w:val="left" w:pos="4005"/>
          <w:tab w:val="left" w:pos="4305"/>
        </w:tabs>
        <w:autoSpaceDE w:val="0"/>
        <w:autoSpaceDN w:val="0"/>
        <w:adjustRightInd w:val="0"/>
        <w:snapToGrid w:val="0"/>
        <w:spacing w:line="360" w:lineRule="auto"/>
        <w:ind w:firstLine="420"/>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本人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（姓名）系</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spacing w:val="-1"/>
          <w:kern w:val="0"/>
          <w:szCs w:val="21"/>
        </w:rPr>
        <w:t>比选申请</w:t>
      </w:r>
      <w:r>
        <w:rPr>
          <w:rFonts w:hint="eastAsia" w:cs="MingLiU" w:asciiTheme="majorEastAsia" w:hAnsiTheme="majorEastAsia" w:eastAsiaTheme="majorEastAsia"/>
          <w:kern w:val="0"/>
          <w:szCs w:val="21"/>
        </w:rPr>
        <w:t>人名称</w:t>
      </w:r>
      <w:r>
        <w:rPr>
          <w:rFonts w:hint="eastAsia" w:cs="MingLiU" w:asciiTheme="majorEastAsia" w:hAnsiTheme="majorEastAsia" w:eastAsiaTheme="majorEastAsia"/>
          <w:spacing w:val="1"/>
          <w:kern w:val="0"/>
          <w:szCs w:val="21"/>
        </w:rPr>
        <w:t>）</w:t>
      </w:r>
      <w:r>
        <w:rPr>
          <w:rFonts w:hint="eastAsia" w:cs="MingLiU" w:asciiTheme="majorEastAsia" w:hAnsiTheme="majorEastAsia" w:eastAsiaTheme="majorEastAsia"/>
          <w:kern w:val="0"/>
          <w:szCs w:val="21"/>
        </w:rPr>
        <w:t>的法定代</w:t>
      </w:r>
      <w:r>
        <w:rPr>
          <w:rFonts w:hint="eastAsia" w:cs="MingLiU" w:asciiTheme="majorEastAsia" w:hAnsiTheme="majorEastAsia" w:eastAsiaTheme="majorEastAsia"/>
          <w:spacing w:val="1"/>
          <w:kern w:val="0"/>
          <w:szCs w:val="21"/>
        </w:rPr>
        <w:t>表</w:t>
      </w:r>
      <w:r>
        <w:rPr>
          <w:rFonts w:hint="eastAsia" w:cs="MingLiU" w:asciiTheme="majorEastAsia" w:hAnsiTheme="majorEastAsia" w:eastAsiaTheme="majorEastAsia"/>
          <w:kern w:val="0"/>
          <w:szCs w:val="21"/>
        </w:rPr>
        <w:t>人，现委托</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（姓名）为我方代理人。代理人根据授权，以我方名义签署、澄清、说明、补正、递交、撤回、修改</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（项</w:t>
      </w:r>
      <w:r>
        <w:rPr>
          <w:rFonts w:hint="eastAsia" w:cs="MingLiU" w:asciiTheme="majorEastAsia" w:hAnsiTheme="majorEastAsia" w:eastAsiaTheme="majorEastAsia"/>
          <w:spacing w:val="-1"/>
          <w:kern w:val="0"/>
          <w:szCs w:val="21"/>
        </w:rPr>
        <w:t>目</w:t>
      </w:r>
      <w:r>
        <w:rPr>
          <w:rFonts w:hint="eastAsia" w:cs="MingLiU" w:asciiTheme="majorEastAsia" w:hAnsiTheme="majorEastAsia" w:eastAsiaTheme="majorEastAsia"/>
          <w:kern w:val="0"/>
          <w:szCs w:val="21"/>
        </w:rPr>
        <w:t>名称）比选申请文件、签订合同和处理有关事宜，其法律后果由我方承担。</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委托</w:t>
      </w:r>
      <w:r>
        <w:rPr>
          <w:rFonts w:hint="eastAsia" w:asciiTheme="majorEastAsia" w:hAnsiTheme="majorEastAsia" w:eastAsiaTheme="majorEastAsia"/>
          <w:spacing w:val="-1"/>
          <w:szCs w:val="21"/>
        </w:rPr>
        <w:t>期</w:t>
      </w:r>
      <w:r>
        <w:rPr>
          <w:rFonts w:hint="eastAsia" w:asciiTheme="majorEastAsia" w:hAnsiTheme="majorEastAsia" w:eastAsiaTheme="majorEastAsia"/>
          <w:szCs w:val="21"/>
        </w:rPr>
        <w:t>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 xml:space="preserve">。 </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代理人无转委托权。</w:t>
      </w: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tabs>
          <w:tab w:val="left" w:pos="6720"/>
        </w:tabs>
        <w:autoSpaceDE w:val="0"/>
        <w:autoSpaceDN w:val="0"/>
        <w:adjustRightInd w:val="0"/>
        <w:snapToGrid w:val="0"/>
        <w:spacing w:line="360" w:lineRule="auto"/>
        <w:ind w:firstLine="1694"/>
        <w:jc w:val="left"/>
        <w:rPr>
          <w:rFonts w:asciiTheme="majorEastAsia" w:hAnsiTheme="majorEastAsia" w:eastAsiaTheme="majorEastAsia"/>
          <w:kern w:val="0"/>
          <w:szCs w:val="21"/>
        </w:rPr>
      </w:pPr>
      <w:r>
        <w:rPr>
          <w:rFonts w:hint="eastAsia" w:cs="MingLiU" w:asciiTheme="majorEastAsia" w:hAnsiTheme="majorEastAsia" w:eastAsiaTheme="majorEastAsia"/>
          <w:kern w:val="0"/>
          <w:szCs w:val="21"/>
        </w:rPr>
        <w:t>比选申请人：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spacing w:val="-1"/>
          <w:kern w:val="0"/>
          <w:szCs w:val="21"/>
        </w:rPr>
        <w:t>盖</w:t>
      </w:r>
      <w:r>
        <w:rPr>
          <w:rFonts w:hint="eastAsia" w:cs="MingLiU" w:asciiTheme="majorEastAsia" w:hAnsiTheme="majorEastAsia" w:eastAsiaTheme="majorEastAsia"/>
          <w:kern w:val="0"/>
          <w:szCs w:val="21"/>
        </w:rPr>
        <w:t>单位公章）</w:t>
      </w:r>
    </w:p>
    <w:p>
      <w:pPr>
        <w:tabs>
          <w:tab w:val="left" w:pos="6300"/>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法定代表人：</w:t>
      </w:r>
      <w:r>
        <w:rPr>
          <w:rFonts w:asciiTheme="majorEastAsia" w:hAnsiTheme="majorEastAsia" w:eastAsiaTheme="majorEastAsia"/>
          <w:kern w:val="0"/>
          <w:szCs w:val="21"/>
          <w:u w:val="single"/>
        </w:rPr>
        <w:tab/>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（签字）</w:t>
      </w:r>
    </w:p>
    <w:p>
      <w:pPr>
        <w:tabs>
          <w:tab w:val="left" w:pos="673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身份证号码：</w:t>
      </w:r>
      <w:r>
        <w:rPr>
          <w:rFonts w:asciiTheme="majorEastAsia" w:hAnsiTheme="majorEastAsia" w:eastAsiaTheme="majorEastAsia"/>
          <w:kern w:val="0"/>
          <w:szCs w:val="21"/>
          <w:u w:val="single"/>
        </w:rPr>
        <w:tab/>
      </w:r>
    </w:p>
    <w:p>
      <w:pPr>
        <w:tabs>
          <w:tab w:val="left" w:pos="6720"/>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委托代理人：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（签</w:t>
      </w:r>
      <w:r>
        <w:rPr>
          <w:rFonts w:hint="eastAsia" w:cs="MingLiU" w:asciiTheme="majorEastAsia" w:hAnsiTheme="majorEastAsia" w:eastAsiaTheme="majorEastAsia"/>
          <w:spacing w:val="-1"/>
          <w:kern w:val="0"/>
          <w:szCs w:val="21"/>
        </w:rPr>
        <w:t>字</w:t>
      </w:r>
      <w:r>
        <w:rPr>
          <w:rFonts w:hint="eastAsia" w:cs="MingLiU" w:asciiTheme="majorEastAsia" w:hAnsiTheme="majorEastAsia" w:eastAsiaTheme="majorEastAsia"/>
          <w:kern w:val="0"/>
          <w:szCs w:val="21"/>
        </w:rPr>
        <w:t>）</w:t>
      </w:r>
    </w:p>
    <w:p>
      <w:pPr>
        <w:tabs>
          <w:tab w:val="left" w:pos="673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身份证号码：</w:t>
      </w:r>
      <w:r>
        <w:rPr>
          <w:rFonts w:asciiTheme="majorEastAsia" w:hAnsiTheme="majorEastAsia" w:eastAsiaTheme="majorEastAsia"/>
          <w:kern w:val="0"/>
          <w:szCs w:val="21"/>
          <w:u w:val="single"/>
        </w:rPr>
        <w:tab/>
      </w:r>
    </w:p>
    <w:p>
      <w:pPr>
        <w:tabs>
          <w:tab w:val="left" w:pos="682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tabs>
          <w:tab w:val="left" w:pos="4110"/>
          <w:tab w:val="left" w:pos="4725"/>
        </w:tabs>
        <w:autoSpaceDE w:val="0"/>
        <w:autoSpaceDN w:val="0"/>
        <w:adjustRightInd w:val="0"/>
        <w:snapToGrid w:val="0"/>
        <w:spacing w:line="360" w:lineRule="auto"/>
        <w:ind w:firstLine="3885" w:firstLineChars="1850"/>
        <w:jc w:val="left"/>
        <w:rPr>
          <w:rFonts w:cs="MingLiU" w:asciiTheme="majorEastAsia" w:hAnsiTheme="majorEastAsia" w:eastAsiaTheme="majorEastAsia"/>
          <w:kern w:val="0"/>
          <w:szCs w:val="21"/>
        </w:rPr>
      </w:pPr>
      <w:r>
        <w:rPr>
          <w:rFonts w:asciiTheme="majorEastAsia" w:hAnsiTheme="majorEastAsia" w:eastAsiaTheme="majorEastAsia"/>
          <w:kern w:val="0"/>
          <w:szCs w:val="21"/>
          <w:u w:val="single"/>
        </w:rPr>
        <w:tab/>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年</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月</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日</w:t>
      </w:r>
    </w:p>
    <w:tbl>
      <w:tblPr>
        <w:tblStyle w:val="57"/>
        <w:tblW w:w="9286"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3"/>
        <w:gridCol w:w="464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14" w:hRule="atLeast"/>
          <w:jc w:val="center"/>
        </w:trPr>
        <w:tc>
          <w:tcPr>
            <w:tcW w:w="4643" w:type="dxa"/>
          </w:tcPr>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050" w:hanging="1050" w:hangingChars="500"/>
              <w:jc w:val="center"/>
              <w:rPr>
                <w:rFonts w:asciiTheme="majorEastAsia" w:hAnsiTheme="majorEastAsia" w:eastAsiaTheme="majorEastAsia"/>
                <w:szCs w:val="21"/>
              </w:rPr>
            </w:pPr>
          </w:p>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（一面）</w:t>
            </w:r>
          </w:p>
        </w:tc>
        <w:tc>
          <w:tcPr>
            <w:tcW w:w="4643" w:type="dxa"/>
          </w:tcPr>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260" w:hanging="1260" w:hangingChars="600"/>
              <w:jc w:val="center"/>
              <w:rPr>
                <w:rFonts w:asciiTheme="majorEastAsia" w:hAnsiTheme="majorEastAsia" w:eastAsiaTheme="majorEastAsia"/>
                <w:szCs w:val="21"/>
              </w:rPr>
            </w:pPr>
          </w:p>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（另一面）</w:t>
            </w:r>
          </w:p>
        </w:tc>
      </w:tr>
    </w:tbl>
    <w:p>
      <w:pPr>
        <w:autoSpaceDE w:val="0"/>
        <w:autoSpaceDN w:val="0"/>
        <w:adjustRightInd w:val="0"/>
        <w:snapToGrid w:val="0"/>
        <w:spacing w:line="360" w:lineRule="auto"/>
        <w:jc w:val="left"/>
        <w:rPr>
          <w:rFonts w:asciiTheme="majorEastAsia" w:hAnsiTheme="majorEastAsia" w:eastAsiaTheme="majorEastAsia"/>
          <w:kern w:val="0"/>
          <w:sz w:val="20"/>
        </w:rPr>
      </w:pPr>
    </w:p>
    <w:p>
      <w:pPr>
        <w:autoSpaceDE w:val="0"/>
        <w:autoSpaceDN w:val="0"/>
        <w:adjustRightInd w:val="0"/>
        <w:snapToGrid w:val="0"/>
        <w:spacing w:line="360" w:lineRule="auto"/>
        <w:jc w:val="left"/>
        <w:rPr>
          <w:rFonts w:asciiTheme="majorEastAsia" w:hAnsiTheme="majorEastAsia" w:eastAsiaTheme="majorEastAsia"/>
          <w:kern w:val="0"/>
          <w:sz w:val="20"/>
        </w:rPr>
      </w:pPr>
    </w:p>
    <w:p>
      <w:pPr>
        <w:autoSpaceDE w:val="0"/>
        <w:autoSpaceDN w:val="0"/>
        <w:adjustRightInd w:val="0"/>
        <w:snapToGrid w:val="0"/>
        <w:spacing w:line="360" w:lineRule="auto"/>
        <w:jc w:val="left"/>
        <w:rPr>
          <w:rFonts w:asciiTheme="majorEastAsia" w:hAnsiTheme="majorEastAsia" w:eastAsiaTheme="majorEastAsia"/>
          <w:kern w:val="0"/>
          <w:sz w:val="20"/>
        </w:rPr>
      </w:pPr>
    </w:p>
    <w:p>
      <w:pPr>
        <w:tabs>
          <w:tab w:val="left" w:pos="5760"/>
        </w:tabs>
        <w:autoSpaceDE w:val="0"/>
        <w:autoSpaceDN w:val="0"/>
        <w:adjustRightInd w:val="0"/>
        <w:spacing w:line="400" w:lineRule="exact"/>
        <w:ind w:right="11"/>
        <w:rPr>
          <w:rFonts w:cs="MingLiU" w:asciiTheme="majorEastAsia" w:hAnsiTheme="majorEastAsia" w:eastAsiaTheme="majorEastAsia"/>
          <w:kern w:val="0"/>
          <w:sz w:val="20"/>
        </w:rPr>
      </w:pPr>
      <w:r>
        <w:rPr>
          <w:rFonts w:hint="eastAsia" w:cs="MingLiU" w:asciiTheme="majorEastAsia" w:hAnsiTheme="majorEastAsia" w:eastAsiaTheme="majorEastAsia"/>
          <w:kern w:val="0"/>
          <w:sz w:val="20"/>
        </w:rPr>
        <w:t>注：1、法定代表人参加竞标活动并签署文件的不需要授权委托书，只需提供法定代表人身份证明；还有委托代理人参加的除提供法定代表人身份证明外还须提供授权委托书。</w:t>
      </w:r>
    </w:p>
    <w:p>
      <w:pPr>
        <w:spacing w:line="360" w:lineRule="auto"/>
        <w:ind w:firstLine="400" w:firstLineChars="200"/>
        <w:rPr>
          <w:rFonts w:cs="MingLiU" w:asciiTheme="majorEastAsia" w:hAnsiTheme="majorEastAsia" w:eastAsiaTheme="majorEastAsia"/>
          <w:kern w:val="0"/>
          <w:sz w:val="20"/>
        </w:rPr>
      </w:pPr>
      <w:r>
        <w:rPr>
          <w:rFonts w:hint="eastAsia" w:cs="MingLiU" w:asciiTheme="majorEastAsia" w:hAnsiTheme="majorEastAsia" w:eastAsiaTheme="majorEastAsia"/>
          <w:kern w:val="0"/>
          <w:sz w:val="20"/>
        </w:rPr>
        <w:t>2、法定代表人身份证明及授权委托书原件装入比选申请文件一并递交。另外须准备一份在开标现场出具。</w:t>
      </w:r>
    </w:p>
    <w:p>
      <w:pPr>
        <w:spacing w:line="360" w:lineRule="auto"/>
        <w:ind w:firstLine="420" w:firstLineChars="200"/>
        <w:rPr>
          <w:rFonts w:cs="宋体" w:asciiTheme="majorEastAsia" w:hAnsiTheme="majorEastAsia" w:eastAsiaTheme="majorEastAsia"/>
          <w:kern w:val="0"/>
          <w:szCs w:val="21"/>
        </w:rPr>
      </w:pPr>
      <w:r>
        <w:rPr>
          <w:rFonts w:cs="宋体" w:asciiTheme="majorEastAsia" w:hAnsiTheme="majorEastAsia" w:eastAsiaTheme="majorEastAsia"/>
          <w:kern w:val="0"/>
          <w:szCs w:val="21"/>
        </w:rPr>
        <w:br w:type="page"/>
      </w:r>
    </w:p>
    <w:bookmarkEnd w:id="538"/>
    <w:bookmarkEnd w:id="550"/>
    <w:bookmarkEnd w:id="551"/>
    <w:p>
      <w:pPr>
        <w:spacing w:line="360" w:lineRule="auto"/>
        <w:jc w:val="center"/>
        <w:outlineLvl w:val="2"/>
        <w:rPr>
          <w:rFonts w:asciiTheme="majorEastAsia" w:hAnsiTheme="majorEastAsia" w:eastAsiaTheme="majorEastAsia"/>
          <w:snapToGrid w:val="0"/>
          <w:sz w:val="28"/>
        </w:rPr>
      </w:pPr>
      <w:bookmarkStart w:id="552" w:name="_Toc17202"/>
      <w:bookmarkStart w:id="553" w:name="_Toc507402437"/>
      <w:bookmarkStart w:id="554" w:name="_Toc16714"/>
      <w:bookmarkStart w:id="555" w:name="_Toc8469"/>
      <w:bookmarkStart w:id="556" w:name="_Toc502846072"/>
      <w:r>
        <w:rPr>
          <w:rFonts w:hint="eastAsia" w:asciiTheme="majorEastAsia" w:hAnsiTheme="majorEastAsia" w:eastAsiaTheme="majorEastAsia"/>
          <w:b/>
          <w:sz w:val="28"/>
        </w:rPr>
        <w:t>（二）比选申请人基本情况表</w:t>
      </w:r>
      <w:bookmarkEnd w:id="552"/>
      <w:bookmarkEnd w:id="553"/>
      <w:bookmarkEnd w:id="554"/>
      <w:bookmarkEnd w:id="555"/>
      <w:bookmarkEnd w:id="556"/>
    </w:p>
    <w:tbl>
      <w:tblPr>
        <w:tblStyle w:val="57"/>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9"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比选申请人名称</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1"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注册地址</w:t>
            </w:r>
          </w:p>
        </w:tc>
        <w:tc>
          <w:tcPr>
            <w:tcW w:w="3205" w:type="dxa"/>
            <w:gridSpan w:val="5"/>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93"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邮政编码</w:t>
            </w:r>
          </w:p>
        </w:tc>
        <w:tc>
          <w:tcPr>
            <w:tcW w:w="3334"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exact"/>
          <w:jc w:val="center"/>
        </w:trPr>
        <w:tc>
          <w:tcPr>
            <w:tcW w:w="1728" w:type="dxa"/>
            <w:vMerge w:val="restart"/>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联系方式</w:t>
            </w:r>
          </w:p>
        </w:tc>
        <w:tc>
          <w:tcPr>
            <w:tcW w:w="89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联系人</w:t>
            </w:r>
          </w:p>
        </w:tc>
        <w:tc>
          <w:tcPr>
            <w:tcW w:w="2307"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93"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电</w:t>
            </w:r>
            <w:r>
              <w:rPr>
                <w:rFonts w:asciiTheme="majorEastAsia" w:hAnsiTheme="majorEastAsia" w:eastAsiaTheme="majorEastAsia"/>
                <w:kern w:val="0"/>
                <w:sz w:val="22"/>
                <w:szCs w:val="21"/>
              </w:rPr>
              <w:t xml:space="preserve"> </w:t>
            </w:r>
            <w:r>
              <w:rPr>
                <w:rFonts w:asciiTheme="majorEastAsia" w:hAnsiTheme="majorEastAsia" w:eastAsiaTheme="majorEastAsia"/>
                <w:spacing w:val="1"/>
                <w:kern w:val="0"/>
                <w:sz w:val="22"/>
                <w:szCs w:val="21"/>
              </w:rPr>
              <w:t xml:space="preserve"> </w:t>
            </w:r>
            <w:r>
              <w:rPr>
                <w:rFonts w:hint="eastAsia" w:asciiTheme="majorEastAsia" w:hAnsiTheme="majorEastAsia" w:eastAsiaTheme="majorEastAsia"/>
                <w:kern w:val="0"/>
                <w:sz w:val="22"/>
                <w:szCs w:val="21"/>
              </w:rPr>
              <w:t>话</w:t>
            </w:r>
          </w:p>
        </w:tc>
        <w:tc>
          <w:tcPr>
            <w:tcW w:w="3334"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8" w:hRule="exact"/>
          <w:jc w:val="center"/>
        </w:trPr>
        <w:tc>
          <w:tcPr>
            <w:tcW w:w="1728"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98" w:type="dxa"/>
            <w:vAlign w:val="center"/>
          </w:tcPr>
          <w:p>
            <w:pPr>
              <w:tabs>
                <w:tab w:val="left" w:pos="540"/>
              </w:tabs>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传</w:t>
            </w:r>
            <w:r>
              <w:rPr>
                <w:rFonts w:asciiTheme="majorEastAsia" w:hAnsiTheme="majorEastAsia" w:eastAsiaTheme="majorEastAsia"/>
                <w:kern w:val="0"/>
                <w:sz w:val="22"/>
                <w:szCs w:val="21"/>
              </w:rPr>
              <w:tab/>
            </w:r>
            <w:r>
              <w:rPr>
                <w:rFonts w:hint="eastAsia" w:asciiTheme="majorEastAsia" w:hAnsiTheme="majorEastAsia" w:eastAsiaTheme="majorEastAsia"/>
                <w:kern w:val="0"/>
                <w:sz w:val="22"/>
                <w:szCs w:val="21"/>
              </w:rPr>
              <w:t>真</w:t>
            </w:r>
          </w:p>
        </w:tc>
        <w:tc>
          <w:tcPr>
            <w:tcW w:w="2307"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93"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网</w:t>
            </w:r>
            <w:r>
              <w:rPr>
                <w:rFonts w:asciiTheme="majorEastAsia" w:hAnsiTheme="majorEastAsia" w:eastAsiaTheme="majorEastAsia"/>
                <w:kern w:val="0"/>
                <w:sz w:val="22"/>
                <w:szCs w:val="21"/>
              </w:rPr>
              <w:t xml:space="preserve"> </w:t>
            </w:r>
            <w:r>
              <w:rPr>
                <w:rFonts w:asciiTheme="majorEastAsia" w:hAnsiTheme="majorEastAsia" w:eastAsiaTheme="majorEastAsia"/>
                <w:spacing w:val="1"/>
                <w:kern w:val="0"/>
                <w:sz w:val="22"/>
                <w:szCs w:val="21"/>
              </w:rPr>
              <w:t xml:space="preserve"> </w:t>
            </w:r>
            <w:r>
              <w:rPr>
                <w:rFonts w:hint="eastAsia" w:asciiTheme="majorEastAsia" w:hAnsiTheme="majorEastAsia" w:eastAsiaTheme="majorEastAsia"/>
                <w:kern w:val="0"/>
                <w:sz w:val="22"/>
                <w:szCs w:val="21"/>
              </w:rPr>
              <w:t>址</w:t>
            </w:r>
          </w:p>
        </w:tc>
        <w:tc>
          <w:tcPr>
            <w:tcW w:w="3334"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1"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组织结构</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法定代表人</w:t>
            </w:r>
          </w:p>
        </w:tc>
        <w:tc>
          <w:tcPr>
            <w:tcW w:w="89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姓名</w:t>
            </w:r>
          </w:p>
        </w:tc>
        <w:tc>
          <w:tcPr>
            <w:tcW w:w="951"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60"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技术职称</w:t>
            </w:r>
          </w:p>
        </w:tc>
        <w:tc>
          <w:tcPr>
            <w:tcW w:w="1880"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59"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电话</w:t>
            </w:r>
          </w:p>
        </w:tc>
        <w:tc>
          <w:tcPr>
            <w:tcW w:w="1984"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技术负责人</w:t>
            </w:r>
          </w:p>
        </w:tc>
        <w:tc>
          <w:tcPr>
            <w:tcW w:w="89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姓名</w:t>
            </w:r>
          </w:p>
        </w:tc>
        <w:tc>
          <w:tcPr>
            <w:tcW w:w="951"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60"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技术职称</w:t>
            </w:r>
          </w:p>
        </w:tc>
        <w:tc>
          <w:tcPr>
            <w:tcW w:w="1880"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59"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电话</w:t>
            </w:r>
          </w:p>
        </w:tc>
        <w:tc>
          <w:tcPr>
            <w:tcW w:w="1984"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成立时间</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5983" w:type="dxa"/>
            <w:gridSpan w:val="7"/>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2"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企业资质等级</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restart"/>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其中</w:t>
            </w: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项目设计负责人</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营业执照号</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高级职称人员</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注册资金</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中级职称人员</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开户银行</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初级职称人员</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账号</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tabs>
                <w:tab w:val="left" w:pos="1240"/>
              </w:tabs>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w:t>
            </w:r>
            <w:r>
              <w:rPr>
                <w:rFonts w:asciiTheme="majorEastAsia" w:hAnsiTheme="majorEastAsia" w:eastAsiaTheme="majorEastAsia"/>
                <w:kern w:val="0"/>
                <w:sz w:val="22"/>
                <w:szCs w:val="21"/>
              </w:rPr>
              <w:tab/>
            </w:r>
            <w:r>
              <w:rPr>
                <w:rFonts w:hint="eastAsia" w:asciiTheme="majorEastAsia" w:hAnsiTheme="majorEastAsia" w:eastAsiaTheme="majorEastAsia"/>
                <w:kern w:val="0"/>
                <w:sz w:val="22"/>
                <w:szCs w:val="21"/>
              </w:rPr>
              <w:t>工</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9"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经营范围</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备注</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bl>
    <w:p>
      <w:pPr>
        <w:spacing w:line="276" w:lineRule="auto"/>
        <w:rPr>
          <w:rFonts w:asciiTheme="majorEastAsia" w:hAnsiTheme="majorEastAsia" w:eastAsiaTheme="majorEastAsia"/>
          <w:snapToGrid w:val="0"/>
          <w:kern w:val="0"/>
          <w:sz w:val="22"/>
          <w:szCs w:val="24"/>
        </w:rPr>
      </w:pPr>
      <w:r>
        <w:rPr>
          <w:rFonts w:asciiTheme="majorEastAsia" w:hAnsiTheme="majorEastAsia" w:eastAsiaTheme="majorEastAsia"/>
          <w:sz w:val="22"/>
          <w:szCs w:val="24"/>
        </w:rPr>
        <w:pict>
          <v:line id="Line 4" o:spid="_x0000_s1111" o:spt="20" style="position:absolute;left:0pt;margin-left:5.25pt;margin-top:584.2pt;height:0.05pt;width:225.75pt;z-index:251658240;mso-width-relative:page;mso-height-relative:page;" coordsize="21600,21600" o:gfxdata="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UDAZ2gAAAAwBAAAPAAAAAAAAAAEAIAAAACIAAABkcnMvZG93bnJl&#10;di54bWxQSwECFAAUAAAACACHTuJAoVdADMIBAACNAwAADgAAAAAAAAABACAAAAApAQAAZHJzL2Uy&#10;b0RvYy54bWxQSwUGAAAAAAYABgBZAQAAXQUAAAAA&#10;">
            <v:path arrowok="t"/>
            <v:fill focussize="0,0"/>
            <v:stroke weight="0.25pt"/>
            <v:imagedata o:title=""/>
            <o:lock v:ext="edit"/>
          </v:line>
        </w:pict>
      </w:r>
      <w:r>
        <w:rPr>
          <w:rFonts w:hint="eastAsia" w:cs="MingLiU_x0004_falt" w:asciiTheme="majorEastAsia" w:hAnsiTheme="majorEastAsia" w:eastAsiaTheme="majorEastAsia"/>
          <w:snapToGrid w:val="0"/>
          <w:kern w:val="0"/>
          <w:sz w:val="22"/>
          <w:szCs w:val="24"/>
        </w:rPr>
        <w:t>注：应附比选申请人有效的营业执照、资质证书副本的复印件</w:t>
      </w:r>
      <w:r>
        <w:rPr>
          <w:rFonts w:hint="eastAsia" w:asciiTheme="majorEastAsia" w:hAnsiTheme="majorEastAsia" w:eastAsiaTheme="majorEastAsia"/>
          <w:snapToGrid w:val="0"/>
          <w:kern w:val="0"/>
          <w:sz w:val="22"/>
          <w:szCs w:val="24"/>
        </w:rPr>
        <w:t>等。</w:t>
      </w:r>
    </w:p>
    <w:p>
      <w:pPr>
        <w:spacing w:line="360" w:lineRule="auto"/>
        <w:rPr>
          <w:rFonts w:asciiTheme="majorEastAsia" w:hAnsiTheme="majorEastAsia" w:eastAsiaTheme="majorEastAsia"/>
        </w:rPr>
      </w:pPr>
    </w:p>
    <w:p>
      <w:pPr>
        <w:keepNext/>
        <w:keepLines/>
        <w:spacing w:before="120" w:line="360" w:lineRule="auto"/>
        <w:jc w:val="center"/>
        <w:outlineLvl w:val="2"/>
        <w:rPr>
          <w:rFonts w:asciiTheme="majorEastAsia" w:hAnsiTheme="majorEastAsia" w:eastAsiaTheme="majorEastAsia"/>
          <w:b/>
          <w:bCs/>
          <w:snapToGrid w:val="0"/>
          <w:sz w:val="28"/>
          <w:szCs w:val="28"/>
        </w:rPr>
      </w:pPr>
      <w:bookmarkStart w:id="557" w:name="_Toc507402438"/>
      <w:bookmarkStart w:id="558" w:name="_Toc501704639"/>
      <w:bookmarkStart w:id="559" w:name="_Toc502846073"/>
      <w:bookmarkStart w:id="560" w:name="_Toc18440"/>
      <w:r>
        <w:rPr>
          <w:rFonts w:hint="eastAsia" w:asciiTheme="majorEastAsia" w:hAnsiTheme="majorEastAsia" w:eastAsiaTheme="majorEastAsia"/>
          <w:b/>
          <w:bCs/>
          <w:snapToGrid w:val="0"/>
          <w:sz w:val="28"/>
          <w:szCs w:val="28"/>
        </w:rPr>
        <w:t>（三）</w:t>
      </w:r>
      <w:bookmarkStart w:id="561" w:name="_Toc501704640"/>
      <w:bookmarkStart w:id="562" w:name="_Toc507402439"/>
      <w:bookmarkStart w:id="563" w:name="_Toc502846074"/>
      <w:bookmarkEnd w:id="557"/>
      <w:bookmarkEnd w:id="558"/>
      <w:bookmarkEnd w:id="559"/>
      <w:r>
        <w:rPr>
          <w:rFonts w:hint="eastAsia" w:asciiTheme="majorEastAsia" w:hAnsiTheme="majorEastAsia" w:eastAsiaTheme="majorEastAsia"/>
          <w:b/>
          <w:bCs/>
          <w:snapToGrid w:val="0"/>
          <w:sz w:val="28"/>
          <w:szCs w:val="28"/>
        </w:rPr>
        <w:t>项目人员配备</w:t>
      </w:r>
      <w:bookmarkEnd w:id="561"/>
      <w:r>
        <w:rPr>
          <w:rFonts w:hint="eastAsia" w:asciiTheme="majorEastAsia" w:hAnsiTheme="majorEastAsia" w:eastAsiaTheme="majorEastAsia"/>
          <w:b/>
          <w:bCs/>
          <w:snapToGrid w:val="0"/>
          <w:sz w:val="28"/>
          <w:szCs w:val="28"/>
        </w:rPr>
        <w:t>表</w:t>
      </w:r>
      <w:bookmarkEnd w:id="560"/>
      <w:bookmarkEnd w:id="562"/>
      <w:bookmarkEnd w:id="563"/>
    </w:p>
    <w:p>
      <w:pPr>
        <w:autoSpaceDE w:val="0"/>
        <w:autoSpaceDN w:val="0"/>
        <w:adjustRightInd w:val="0"/>
        <w:snapToGrid w:val="0"/>
        <w:spacing w:line="360" w:lineRule="auto"/>
        <w:jc w:val="center"/>
        <w:rPr>
          <w:rFonts w:cs="MingLiU" w:asciiTheme="majorEastAsia" w:hAnsiTheme="majorEastAsia" w:eastAsiaTheme="majorEastAsia"/>
          <w:b/>
          <w:kern w:val="0"/>
          <w:sz w:val="28"/>
          <w:szCs w:val="28"/>
        </w:rPr>
      </w:pPr>
      <w:r>
        <w:rPr>
          <w:rFonts w:hint="eastAsia" w:cs="MingLiU" w:asciiTheme="majorEastAsia" w:hAnsiTheme="majorEastAsia" w:eastAsiaTheme="majorEastAsia"/>
          <w:b/>
          <w:kern w:val="0"/>
          <w:sz w:val="28"/>
          <w:szCs w:val="28"/>
        </w:rPr>
        <w:t>拟派本项目人员配备表</w:t>
      </w:r>
    </w:p>
    <w:tbl>
      <w:tblPr>
        <w:tblStyle w:val="57"/>
        <w:tblW w:w="9365" w:type="dxa"/>
        <w:jc w:val="center"/>
        <w:tblInd w:w="0" w:type="dxa"/>
        <w:tblLayout w:type="fixed"/>
        <w:tblCellMar>
          <w:top w:w="0" w:type="dxa"/>
          <w:left w:w="0" w:type="dxa"/>
          <w:bottom w:w="0" w:type="dxa"/>
          <w:right w:w="0" w:type="dxa"/>
        </w:tblCellMar>
      </w:tblPr>
      <w:tblGrid>
        <w:gridCol w:w="4188"/>
        <w:gridCol w:w="2693"/>
        <w:gridCol w:w="1417"/>
        <w:gridCol w:w="1067"/>
      </w:tblGrid>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r>
              <w:rPr>
                <w:rFonts w:hint="eastAsia" w:cs="MingLiU" w:asciiTheme="majorEastAsia" w:hAnsiTheme="majorEastAsia" w:eastAsiaTheme="majorEastAsia"/>
                <w:b/>
                <w:kern w:val="0"/>
                <w:szCs w:val="21"/>
              </w:rPr>
              <w:t>拟派本次设计中担任的职务</w:t>
            </w:r>
          </w:p>
        </w:tc>
        <w:tc>
          <w:tcPr>
            <w:tcW w:w="26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r>
              <w:rPr>
                <w:rFonts w:hint="eastAsia" w:asciiTheme="majorEastAsia" w:hAnsiTheme="majorEastAsia" w:eastAsiaTheme="majorEastAsia"/>
                <w:b/>
                <w:kern w:val="0"/>
                <w:szCs w:val="21"/>
              </w:rPr>
              <w:t>姓名</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r>
              <w:rPr>
                <w:rFonts w:hint="eastAsia" w:asciiTheme="majorEastAsia" w:hAnsiTheme="majorEastAsia" w:eastAsiaTheme="majorEastAsia"/>
                <w:b/>
                <w:kern w:val="0"/>
                <w:szCs w:val="21"/>
              </w:rPr>
              <w:t>职称</w:t>
            </w:r>
          </w:p>
        </w:tc>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r>
              <w:rPr>
                <w:rFonts w:hint="eastAsia" w:asciiTheme="majorEastAsia" w:hAnsiTheme="majorEastAsia" w:eastAsiaTheme="majorEastAsia"/>
                <w:b/>
                <w:kern w:val="0"/>
                <w:szCs w:val="21"/>
              </w:rPr>
              <w:t>备注</w:t>
            </w: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autoSpaceDE w:val="0"/>
              <w:autoSpaceDN w:val="0"/>
              <w:adjustRightInd w:val="0"/>
              <w:snapToGrid w:val="0"/>
              <w:spacing w:line="360" w:lineRule="auto"/>
              <w:rPr>
                <w:rFonts w:asciiTheme="majorEastAsia" w:hAnsiTheme="majorEastAsia" w:eastAsiaTheme="majorEastAsia"/>
                <w:kern w:val="0"/>
                <w:szCs w:val="21"/>
              </w:rPr>
            </w:pPr>
          </w:p>
        </w:tc>
        <w:tc>
          <w:tcPr>
            <w:tcW w:w="26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kern w:val="0"/>
                <w:szCs w:val="21"/>
              </w:rPr>
            </w:pPr>
          </w:p>
        </w:tc>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autoSpaceDE w:val="0"/>
              <w:autoSpaceDN w:val="0"/>
              <w:adjustRightInd w:val="0"/>
              <w:snapToGrid w:val="0"/>
              <w:spacing w:line="360" w:lineRule="auto"/>
              <w:rPr>
                <w:rFonts w:asciiTheme="majorEastAsia" w:hAnsiTheme="majorEastAsia" w:eastAsiaTheme="majorEastAsia"/>
                <w:kern w:val="0"/>
                <w:szCs w:val="21"/>
              </w:rPr>
            </w:pPr>
          </w:p>
        </w:tc>
        <w:tc>
          <w:tcPr>
            <w:tcW w:w="26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kern w:val="0"/>
                <w:szCs w:val="21"/>
              </w:rPr>
            </w:pPr>
          </w:p>
        </w:tc>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r>
        <w:tblPrEx>
          <w:tblLayout w:type="fixed"/>
          <w:tblCellMar>
            <w:top w:w="0" w:type="dxa"/>
            <w:left w:w="0" w:type="dxa"/>
            <w:bottom w:w="0" w:type="dxa"/>
            <w:right w:w="0" w:type="dxa"/>
          </w:tblCellMar>
        </w:tblPrEx>
        <w:trPr>
          <w:trHeight w:val="680" w:hRule="exact"/>
          <w:jc w:val="center"/>
        </w:trPr>
        <w:tc>
          <w:tcPr>
            <w:tcW w:w="4188" w:type="dxa"/>
            <w:tcBorders>
              <w:top w:val="single" w:color="000000" w:sz="4" w:space="0"/>
              <w:left w:val="single" w:color="000000" w:sz="4" w:space="0"/>
              <w:bottom w:val="single" w:color="000000" w:sz="4" w:space="0"/>
            </w:tcBorders>
            <w:vAlign w:val="center"/>
          </w:tcPr>
          <w:p>
            <w:pPr>
              <w:tabs>
                <w:tab w:val="left" w:pos="1080"/>
              </w:tabs>
              <w:snapToGrid w:val="0"/>
              <w:spacing w:line="360" w:lineRule="auto"/>
              <w:rPr>
                <w:rFonts w:cs="宋体" w:asciiTheme="majorEastAsia" w:hAnsiTheme="majorEastAsia" w:eastAsiaTheme="majorEastAsia"/>
                <w:szCs w:val="21"/>
              </w:rPr>
            </w:pP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c>
          <w:tcPr>
            <w:tcW w:w="106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heme="majorEastAsia" w:hAnsiTheme="majorEastAsia" w:eastAsiaTheme="majorEastAsia"/>
                <w:b/>
                <w:kern w:val="0"/>
                <w:szCs w:val="21"/>
              </w:rPr>
            </w:pPr>
          </w:p>
        </w:tc>
      </w:tr>
    </w:tbl>
    <w:p>
      <w:pPr>
        <w:adjustRightInd w:val="0"/>
        <w:snapToGrid w:val="0"/>
        <w:spacing w:line="360" w:lineRule="auto"/>
        <w:ind w:firstLine="880" w:firstLineChars="200"/>
        <w:rPr>
          <w:rFonts w:cs="MingLiU" w:asciiTheme="majorEastAsia" w:hAnsiTheme="majorEastAsia" w:eastAsiaTheme="majorEastAsia"/>
          <w:snapToGrid w:val="0"/>
          <w:kern w:val="0"/>
          <w:sz w:val="44"/>
          <w:szCs w:val="44"/>
        </w:rPr>
      </w:pPr>
    </w:p>
    <w:p>
      <w:pPr>
        <w:spacing w:line="360" w:lineRule="auto"/>
        <w:jc w:val="center"/>
        <w:rPr>
          <w:rFonts w:cs="MingLiU" w:asciiTheme="majorEastAsia" w:hAnsiTheme="majorEastAsia" w:eastAsiaTheme="majorEastAsia"/>
          <w:snapToGrid w:val="0"/>
          <w:kern w:val="0"/>
          <w:sz w:val="44"/>
          <w:szCs w:val="44"/>
        </w:rPr>
      </w:pPr>
      <w:r>
        <w:rPr>
          <w:rFonts w:asciiTheme="majorEastAsia" w:hAnsiTheme="majorEastAsia" w:eastAsiaTheme="majorEastAsia"/>
          <w:sz w:val="44"/>
          <w:szCs w:val="44"/>
        </w:rPr>
        <w:br w:type="page"/>
      </w:r>
    </w:p>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bCs/>
          <w:sz w:val="28"/>
          <w:szCs w:val="28"/>
        </w:rPr>
        <w:t>项目配备人员简历表</w:t>
      </w:r>
    </w:p>
    <w:tbl>
      <w:tblPr>
        <w:tblStyle w:val="57"/>
        <w:tblW w:w="9087" w:type="dxa"/>
        <w:jc w:val="center"/>
        <w:tblInd w:w="0" w:type="dxa"/>
        <w:tblLayout w:type="fixed"/>
        <w:tblCellMar>
          <w:top w:w="0" w:type="dxa"/>
          <w:left w:w="108" w:type="dxa"/>
          <w:bottom w:w="0" w:type="dxa"/>
          <w:right w:w="108" w:type="dxa"/>
        </w:tblCellMar>
      </w:tblPr>
      <w:tblGrid>
        <w:gridCol w:w="1080"/>
        <w:gridCol w:w="1080"/>
        <w:gridCol w:w="1940"/>
        <w:gridCol w:w="960"/>
        <w:gridCol w:w="2560"/>
        <w:gridCol w:w="1467"/>
      </w:tblGrid>
      <w:tr>
        <w:tblPrEx>
          <w:tblLayout w:type="fixed"/>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姓  名</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9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年  龄</w:t>
            </w:r>
          </w:p>
        </w:tc>
        <w:tc>
          <w:tcPr>
            <w:tcW w:w="9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学历</w:t>
            </w:r>
          </w:p>
        </w:tc>
        <w:tc>
          <w:tcPr>
            <w:tcW w:w="14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职  称</w:t>
            </w:r>
          </w:p>
        </w:tc>
        <w:tc>
          <w:tcPr>
            <w:tcW w:w="1080"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940"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职  务</w:t>
            </w:r>
          </w:p>
        </w:tc>
        <w:tc>
          <w:tcPr>
            <w:tcW w:w="960"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560"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拟在本合同任职</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毕业学校</w:t>
            </w:r>
          </w:p>
        </w:tc>
        <w:tc>
          <w:tcPr>
            <w:tcW w:w="8007" w:type="dxa"/>
            <w:gridSpan w:val="5"/>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年毕业于            学校    专业</w:t>
            </w:r>
          </w:p>
        </w:tc>
      </w:tr>
      <w:tr>
        <w:tblPrEx>
          <w:tblLayout w:type="fixed"/>
          <w:tblCellMar>
            <w:top w:w="0" w:type="dxa"/>
            <w:left w:w="108" w:type="dxa"/>
            <w:bottom w:w="0" w:type="dxa"/>
            <w:right w:w="108" w:type="dxa"/>
          </w:tblCellMar>
        </w:tblPrEx>
        <w:trPr>
          <w:trHeight w:val="360" w:hRule="atLeast"/>
          <w:jc w:val="center"/>
        </w:trPr>
        <w:tc>
          <w:tcPr>
            <w:tcW w:w="9087" w:type="dxa"/>
            <w:gridSpan w:val="6"/>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主要工作经历</w:t>
            </w:r>
          </w:p>
        </w:tc>
      </w:tr>
      <w:tr>
        <w:tblPrEx>
          <w:tblLayout w:type="fixed"/>
          <w:tblCellMar>
            <w:top w:w="0" w:type="dxa"/>
            <w:left w:w="108" w:type="dxa"/>
            <w:bottom w:w="0" w:type="dxa"/>
            <w:right w:w="108" w:type="dxa"/>
          </w:tblCellMar>
        </w:tblPrEx>
        <w:trPr>
          <w:trHeight w:val="570"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时间</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参加过的类似项目</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担任职务</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发包人及联系电话</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bottom"/>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Layout w:type="fixed"/>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467" w:type="dxa"/>
            <w:tcBorders>
              <w:top w:val="nil"/>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bl>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autoSpaceDE w:val="0"/>
        <w:autoSpaceDN w:val="0"/>
        <w:adjustRightInd w:val="0"/>
        <w:spacing w:before="74" w:line="360" w:lineRule="auto"/>
        <w:ind w:right="-29"/>
        <w:rPr>
          <w:rFonts w:cs="宋体" w:asciiTheme="majorEastAsia" w:hAnsiTheme="majorEastAsia" w:eastAsiaTheme="majorEastAsia"/>
          <w:szCs w:val="21"/>
        </w:rPr>
      </w:pPr>
      <w:r>
        <w:rPr>
          <w:rFonts w:cs="宋体" w:asciiTheme="majorEastAsia" w:hAnsiTheme="majorEastAsia" w:eastAsiaTheme="majorEastAsia"/>
          <w:szCs w:val="21"/>
        </w:rPr>
        <w:pict>
          <v:line id="直接连接符 1" o:spid="_x0000_s1110" o:spt="20" style="position:absolute;left:0pt;margin-left:-3pt;margin-top:9.85pt;height:0.05pt;width:288pt;z-index:251657216;mso-width-relative:page;mso-height-relative:page;" coordsize="21600,21600" o:gfxdata="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bOrW3WAAAACAEAAA8AAAAAAAAA&#10;AQAgAAAAIgAAAGRycy9kb3ducmV2LnhtbFBLAQIUABQAAAAIAIdO4kCP3KX32gEAAJgDAAAOAAAA&#10;AAAAAAEAIAAAACUBAABkcnMvZTJvRG9jLnhtbFBLBQYAAAAABgAGAFkBAABxBQAAAAA=&#10;">
            <v:path arrowok="t"/>
            <v:fill focussize="0,0"/>
            <v:stroke/>
            <v:imagedata o:title=""/>
            <o:lock v:ext="edit"/>
          </v:line>
        </w:pict>
      </w:r>
    </w:p>
    <w:p>
      <w:pPr>
        <w:autoSpaceDE w:val="0"/>
        <w:autoSpaceDN w:val="0"/>
        <w:adjustRightInd w:val="0"/>
        <w:spacing w:before="74" w:line="360" w:lineRule="auto"/>
        <w:ind w:right="-29"/>
        <w:rPr>
          <w:rFonts w:cs="宋体" w:asciiTheme="majorEastAsia" w:hAnsiTheme="majorEastAsia" w:eastAsiaTheme="majorEastAsia"/>
          <w:szCs w:val="21"/>
        </w:rPr>
      </w:pPr>
      <w:r>
        <w:rPr>
          <w:rFonts w:hint="eastAsia" w:cs="宋体" w:asciiTheme="majorEastAsia" w:hAnsiTheme="majorEastAsia" w:eastAsiaTheme="majorEastAsia"/>
          <w:szCs w:val="21"/>
        </w:rPr>
        <w:t>注：本表一人一表，应按第二章比选申请人须知前附表1.4.1要求提供相关资料。</w:t>
      </w:r>
    </w:p>
    <w:p>
      <w:pPr>
        <w:autoSpaceDE w:val="0"/>
        <w:autoSpaceDN w:val="0"/>
        <w:adjustRightInd w:val="0"/>
        <w:spacing w:before="74" w:line="360" w:lineRule="auto"/>
        <w:ind w:left="120" w:right="-29" w:firstLine="420"/>
        <w:rPr>
          <w:rFonts w:cs="宋体" w:asciiTheme="majorEastAsia" w:hAnsiTheme="majorEastAsia" w:eastAsiaTheme="majorEastAsia"/>
          <w:b/>
          <w:sz w:val="44"/>
          <w:szCs w:val="44"/>
        </w:rPr>
      </w:pPr>
    </w:p>
    <w:p>
      <w:pPr>
        <w:keepNext/>
        <w:keepLines/>
        <w:spacing w:before="120" w:line="360" w:lineRule="auto"/>
        <w:jc w:val="center"/>
        <w:outlineLvl w:val="2"/>
        <w:rPr>
          <w:rFonts w:asciiTheme="majorEastAsia" w:hAnsiTheme="majorEastAsia" w:eastAsiaTheme="majorEastAsia"/>
          <w:b/>
          <w:bCs/>
          <w:snapToGrid w:val="0"/>
          <w:sz w:val="28"/>
          <w:szCs w:val="28"/>
        </w:rPr>
      </w:pPr>
      <w:bookmarkStart w:id="564" w:name="_Toc507402440"/>
      <w:bookmarkStart w:id="565" w:name="_Toc501704641"/>
      <w:bookmarkStart w:id="566" w:name="_Toc502846075"/>
      <w:bookmarkStart w:id="567" w:name="_Toc16545"/>
      <w:r>
        <w:rPr>
          <w:rFonts w:hint="eastAsia" w:asciiTheme="majorEastAsia" w:hAnsiTheme="majorEastAsia" w:eastAsiaTheme="majorEastAsia"/>
          <w:b/>
          <w:bCs/>
          <w:snapToGrid w:val="0"/>
          <w:sz w:val="28"/>
          <w:szCs w:val="28"/>
        </w:rPr>
        <w:t>（四）</w:t>
      </w:r>
      <w:bookmarkEnd w:id="564"/>
      <w:bookmarkEnd w:id="565"/>
      <w:bookmarkEnd w:id="566"/>
      <w:r>
        <w:rPr>
          <w:rFonts w:hint="eastAsia" w:asciiTheme="majorEastAsia" w:hAnsiTheme="majorEastAsia" w:eastAsiaTheme="majorEastAsia"/>
          <w:b/>
          <w:bCs/>
          <w:snapToGrid w:val="0"/>
          <w:sz w:val="28"/>
          <w:szCs w:val="28"/>
        </w:rPr>
        <w:t>信誉要求</w:t>
      </w:r>
      <w:bookmarkEnd w:id="567"/>
    </w:p>
    <w:p>
      <w:pPr>
        <w:rPr>
          <w:rFonts w:asciiTheme="majorEastAsia" w:hAnsiTheme="majorEastAsia" w:eastAsiaTheme="majorEastAsia"/>
          <w:b/>
          <w:bCs/>
          <w:snapToGrid w:val="0"/>
          <w:sz w:val="28"/>
          <w:szCs w:val="28"/>
        </w:rPr>
      </w:pPr>
    </w:p>
    <w:p>
      <w:pPr>
        <w:jc w:val="center"/>
        <w:rPr>
          <w:rFonts w:asciiTheme="majorEastAsia" w:hAnsiTheme="majorEastAsia" w:eastAsiaTheme="majorEastAsia"/>
          <w:bCs/>
          <w:snapToGrid w:val="0"/>
          <w:sz w:val="28"/>
          <w:szCs w:val="28"/>
        </w:rPr>
      </w:pPr>
      <w:r>
        <w:rPr>
          <w:rFonts w:hint="eastAsia" w:asciiTheme="majorEastAsia" w:hAnsiTheme="majorEastAsia" w:eastAsiaTheme="majorEastAsia"/>
          <w:bCs/>
          <w:snapToGrid w:val="0"/>
          <w:sz w:val="28"/>
          <w:szCs w:val="28"/>
        </w:rPr>
        <w:t>（格式自拟）</w:t>
      </w:r>
    </w:p>
    <w:p>
      <w:pPr>
        <w:spacing w:line="360" w:lineRule="auto"/>
        <w:rPr>
          <w:rFonts w:asciiTheme="majorEastAsia" w:hAnsiTheme="majorEastAsia" w:eastAsiaTheme="majorEastAsia"/>
          <w:sz w:val="44"/>
          <w:szCs w:val="44"/>
        </w:rPr>
      </w:pPr>
    </w:p>
    <w:p>
      <w:pPr>
        <w:spacing w:line="360" w:lineRule="auto"/>
        <w:rPr>
          <w:rFonts w:asciiTheme="majorEastAsia" w:hAnsiTheme="majorEastAsia" w:eastAsiaTheme="majorEastAsia"/>
          <w:szCs w:val="21"/>
        </w:rPr>
      </w:pPr>
    </w:p>
    <w:p>
      <w:pPr>
        <w:keepNext/>
        <w:keepLines/>
        <w:spacing w:before="120" w:line="360" w:lineRule="auto"/>
        <w:jc w:val="center"/>
        <w:outlineLvl w:val="2"/>
        <w:rPr>
          <w:rFonts w:asciiTheme="majorEastAsia" w:hAnsiTheme="majorEastAsia" w:eastAsiaTheme="majorEastAsia"/>
          <w:b/>
          <w:bCs/>
          <w:snapToGrid w:val="0"/>
          <w:sz w:val="28"/>
          <w:szCs w:val="28"/>
        </w:rPr>
        <w:sectPr>
          <w:pgSz w:w="11906" w:h="16838"/>
          <w:pgMar w:top="1440" w:right="1416" w:bottom="1440" w:left="1797" w:header="993" w:footer="992" w:gutter="0"/>
          <w:cols w:space="720" w:num="1"/>
          <w:docGrid w:linePitch="312" w:charSpace="0"/>
        </w:sectPr>
      </w:pPr>
      <w:r>
        <w:rPr>
          <w:rFonts w:cs="宋体" w:asciiTheme="majorEastAsia" w:hAnsiTheme="majorEastAsia" w:eastAsiaTheme="majorEastAsia"/>
          <w:sz w:val="44"/>
          <w:szCs w:val="44"/>
        </w:rPr>
        <w:br w:type="page"/>
      </w:r>
      <w:bookmarkStart w:id="568" w:name="_Toc502846076"/>
      <w:bookmarkStart w:id="569" w:name="_Toc507402441"/>
      <w:bookmarkStart w:id="570" w:name="_Toc501704642"/>
      <w:bookmarkStart w:id="571" w:name="_Toc12661"/>
      <w:r>
        <w:rPr>
          <w:rFonts w:hint="eastAsia" w:asciiTheme="majorEastAsia" w:hAnsiTheme="majorEastAsia" w:eastAsiaTheme="majorEastAsia"/>
          <w:b/>
          <w:bCs/>
          <w:snapToGrid w:val="0"/>
          <w:sz w:val="28"/>
          <w:szCs w:val="28"/>
        </w:rPr>
        <w:t>（五）</w:t>
      </w:r>
      <w:bookmarkStart w:id="572" w:name="_Toc501704643"/>
      <w:bookmarkStart w:id="573" w:name="_Toc507402442"/>
      <w:bookmarkStart w:id="574" w:name="_Toc502846077"/>
      <w:bookmarkEnd w:id="568"/>
      <w:bookmarkEnd w:id="569"/>
      <w:bookmarkEnd w:id="570"/>
      <w:r>
        <w:rPr>
          <w:rFonts w:hint="eastAsia" w:asciiTheme="majorEastAsia" w:hAnsiTheme="majorEastAsia" w:eastAsiaTheme="majorEastAsia"/>
          <w:b/>
          <w:bCs/>
          <w:snapToGrid w:val="0"/>
          <w:sz w:val="28"/>
          <w:szCs w:val="28"/>
        </w:rPr>
        <w:t>其他资料</w:t>
      </w:r>
      <w:bookmarkEnd w:id="571"/>
      <w:bookmarkEnd w:id="572"/>
      <w:bookmarkEnd w:id="573"/>
      <w:bookmarkEnd w:id="574"/>
    </w:p>
    <w:p>
      <w:pPr>
        <w:pStyle w:val="4"/>
        <w:jc w:val="center"/>
        <w:rPr>
          <w:rFonts w:cs="宋体" w:asciiTheme="majorEastAsia" w:hAnsiTheme="majorEastAsia" w:eastAsiaTheme="majorEastAsia"/>
          <w:sz w:val="32"/>
          <w:szCs w:val="44"/>
        </w:rPr>
      </w:pPr>
      <w:bookmarkStart w:id="575" w:name="_Toc72829696"/>
      <w:bookmarkStart w:id="576" w:name="_Toc16205"/>
      <w:r>
        <w:rPr>
          <w:rFonts w:hint="eastAsia" w:cs="宋体" w:asciiTheme="majorEastAsia" w:hAnsiTheme="majorEastAsia" w:eastAsiaTheme="majorEastAsia"/>
          <w:sz w:val="32"/>
          <w:szCs w:val="44"/>
        </w:rPr>
        <w:t>三</w:t>
      </w:r>
      <w:r>
        <w:rPr>
          <w:rFonts w:cs="宋体" w:asciiTheme="majorEastAsia" w:hAnsiTheme="majorEastAsia" w:eastAsiaTheme="majorEastAsia"/>
          <w:sz w:val="32"/>
          <w:szCs w:val="44"/>
        </w:rPr>
        <w:t>、比选方案</w:t>
      </w:r>
      <w:bookmarkEnd w:id="575"/>
      <w:bookmarkEnd w:id="576"/>
    </w:p>
    <w:p>
      <w:pPr>
        <w:jc w:val="center"/>
      </w:pPr>
      <w:r>
        <w:rPr>
          <w:rFonts w:hint="eastAsia"/>
        </w:rPr>
        <w:t>（封面</w:t>
      </w:r>
      <w:r>
        <w:t>、目录自拟，</w:t>
      </w:r>
      <w:r>
        <w:rPr>
          <w:rFonts w:hint="eastAsia"/>
        </w:rPr>
        <w:t>格式</w:t>
      </w:r>
      <w:r>
        <w:t>自</w:t>
      </w:r>
      <w:r>
        <w:rPr>
          <w:rFonts w:hint="eastAsia"/>
        </w:rPr>
        <w:t>拟）</w:t>
      </w:r>
    </w:p>
    <w:p>
      <w:pPr>
        <w:keepNext/>
        <w:keepLines/>
        <w:spacing w:before="120" w:line="360" w:lineRule="auto"/>
        <w:jc w:val="center"/>
        <w:outlineLvl w:val="2"/>
        <w:rPr>
          <w:rFonts w:asciiTheme="majorEastAsia" w:hAnsiTheme="majorEastAsia" w:eastAsiaTheme="majorEastAsia"/>
          <w:b/>
          <w:bCs/>
          <w:snapToGrid w:val="0"/>
          <w:sz w:val="28"/>
          <w:szCs w:val="28"/>
        </w:rPr>
      </w:pPr>
    </w:p>
    <w:sectPr>
      <w:footerReference r:id="rId9" w:type="default"/>
      <w:pgSz w:w="11906" w:h="16838"/>
      <w:pgMar w:top="1440" w:right="1416" w:bottom="1440" w:left="1797" w:header="993"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1002AFF" w:usb1="C0000002" w:usb2="00000008" w:usb3="00000000" w:csb0="200101FF" w:csb1="20280000"/>
  </w:font>
  <w:font w:name="Courier 10 Pitch">
    <w:altName w:val="微软雅黑"/>
    <w:panose1 w:val="00000000000000000000"/>
    <w:charset w:val="00"/>
    <w:family w:val="auto"/>
    <w:pitch w:val="default"/>
    <w:sig w:usb0="00000000" w:usb1="00000000" w:usb2="00000000" w:usb3="00000000" w:csb0="00040001" w:csb1="00000000"/>
  </w:font>
  <w:font w:name="MingLiU_x0004_falt">
    <w:altName w:val="MingLiU-ExtB"/>
    <w:panose1 w:val="00000000000000000000"/>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80F3C52"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675"/>
        <w:tab w:val="clear" w:pos="4153"/>
        <w:tab w:val="clear" w:pos="8306"/>
      </w:tabs>
      <w:snapToGr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73</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japaneseCounting"/>
      <w:lvlText w:val="第%1节"/>
      <w:lvlJc w:val="left"/>
      <w:pPr>
        <w:tabs>
          <w:tab w:val="left" w:pos="1125"/>
        </w:tabs>
        <w:ind w:left="1125" w:hanging="1125"/>
      </w:pPr>
      <w:rPr>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DBD31"/>
    <w:multiLevelType w:val="singleLevel"/>
    <w:tmpl w:val="60ADBD31"/>
    <w:lvl w:ilvl="0" w:tentative="0">
      <w:start w:val="1"/>
      <w:numFmt w:val="decimal"/>
      <w:suff w:val="nothing"/>
      <w:lvlText w:val="%1、"/>
      <w:lvlJc w:val="left"/>
    </w:lvl>
  </w:abstractNum>
  <w:abstractNum w:abstractNumId="2">
    <w:nsid w:val="60ADF002"/>
    <w:multiLevelType w:val="singleLevel"/>
    <w:tmpl w:val="60ADF002"/>
    <w:lvl w:ilvl="0" w:tentative="0">
      <w:start w:val="4"/>
      <w:numFmt w:val="decimal"/>
      <w:suff w:val="nothing"/>
      <w:lvlText w:val="%1）"/>
      <w:lvlJc w:val="left"/>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11"/>
    <w:rsid w:val="00000354"/>
    <w:rsid w:val="000009F6"/>
    <w:rsid w:val="0000196F"/>
    <w:rsid w:val="00001C7C"/>
    <w:rsid w:val="00001CC4"/>
    <w:rsid w:val="00002157"/>
    <w:rsid w:val="00002593"/>
    <w:rsid w:val="000026F0"/>
    <w:rsid w:val="000030AD"/>
    <w:rsid w:val="00003305"/>
    <w:rsid w:val="00003ADD"/>
    <w:rsid w:val="000041CD"/>
    <w:rsid w:val="00004529"/>
    <w:rsid w:val="00004B2D"/>
    <w:rsid w:val="00004B34"/>
    <w:rsid w:val="00005456"/>
    <w:rsid w:val="00005850"/>
    <w:rsid w:val="00006D78"/>
    <w:rsid w:val="00006F4E"/>
    <w:rsid w:val="000076BB"/>
    <w:rsid w:val="0001052C"/>
    <w:rsid w:val="000113D0"/>
    <w:rsid w:val="00011582"/>
    <w:rsid w:val="00011E47"/>
    <w:rsid w:val="000122FA"/>
    <w:rsid w:val="000123EF"/>
    <w:rsid w:val="00012D67"/>
    <w:rsid w:val="00012F9B"/>
    <w:rsid w:val="000135D6"/>
    <w:rsid w:val="00013855"/>
    <w:rsid w:val="000138C4"/>
    <w:rsid w:val="00013DC6"/>
    <w:rsid w:val="000142B9"/>
    <w:rsid w:val="0001448F"/>
    <w:rsid w:val="000152BC"/>
    <w:rsid w:val="00015B4E"/>
    <w:rsid w:val="00015E17"/>
    <w:rsid w:val="00016B93"/>
    <w:rsid w:val="00016DA3"/>
    <w:rsid w:val="00016EA1"/>
    <w:rsid w:val="00017D6E"/>
    <w:rsid w:val="000201F2"/>
    <w:rsid w:val="000202C8"/>
    <w:rsid w:val="0002040E"/>
    <w:rsid w:val="00021008"/>
    <w:rsid w:val="00021480"/>
    <w:rsid w:val="00021598"/>
    <w:rsid w:val="0002187A"/>
    <w:rsid w:val="00021899"/>
    <w:rsid w:val="000218B9"/>
    <w:rsid w:val="00021AEE"/>
    <w:rsid w:val="000224F5"/>
    <w:rsid w:val="00022991"/>
    <w:rsid w:val="00022B2F"/>
    <w:rsid w:val="00022F59"/>
    <w:rsid w:val="000231DD"/>
    <w:rsid w:val="00023469"/>
    <w:rsid w:val="000236DF"/>
    <w:rsid w:val="00023805"/>
    <w:rsid w:val="00023DB9"/>
    <w:rsid w:val="00023F87"/>
    <w:rsid w:val="00024F55"/>
    <w:rsid w:val="000252E3"/>
    <w:rsid w:val="000255F3"/>
    <w:rsid w:val="00025BE3"/>
    <w:rsid w:val="00025C52"/>
    <w:rsid w:val="000263FF"/>
    <w:rsid w:val="00026B8A"/>
    <w:rsid w:val="00027121"/>
    <w:rsid w:val="000275F0"/>
    <w:rsid w:val="00027918"/>
    <w:rsid w:val="0003051E"/>
    <w:rsid w:val="0003074A"/>
    <w:rsid w:val="00030F31"/>
    <w:rsid w:val="00032094"/>
    <w:rsid w:val="00032110"/>
    <w:rsid w:val="0003215E"/>
    <w:rsid w:val="0003248A"/>
    <w:rsid w:val="00032CEC"/>
    <w:rsid w:val="00032FAA"/>
    <w:rsid w:val="000334AD"/>
    <w:rsid w:val="0003424E"/>
    <w:rsid w:val="000343BD"/>
    <w:rsid w:val="000345FF"/>
    <w:rsid w:val="00035384"/>
    <w:rsid w:val="000359B0"/>
    <w:rsid w:val="00035B6E"/>
    <w:rsid w:val="00035D3A"/>
    <w:rsid w:val="00036574"/>
    <w:rsid w:val="00036FF8"/>
    <w:rsid w:val="00037B11"/>
    <w:rsid w:val="00037CBA"/>
    <w:rsid w:val="00037D5B"/>
    <w:rsid w:val="000405BE"/>
    <w:rsid w:val="0004085F"/>
    <w:rsid w:val="00040CF8"/>
    <w:rsid w:val="00040E44"/>
    <w:rsid w:val="0004132A"/>
    <w:rsid w:val="00041A0E"/>
    <w:rsid w:val="00041D53"/>
    <w:rsid w:val="00041FE3"/>
    <w:rsid w:val="0004203A"/>
    <w:rsid w:val="000423BD"/>
    <w:rsid w:val="000425AC"/>
    <w:rsid w:val="00042E7A"/>
    <w:rsid w:val="000430A5"/>
    <w:rsid w:val="000432CF"/>
    <w:rsid w:val="0004397B"/>
    <w:rsid w:val="000439AA"/>
    <w:rsid w:val="000439D3"/>
    <w:rsid w:val="00043BAD"/>
    <w:rsid w:val="00044F46"/>
    <w:rsid w:val="0004506E"/>
    <w:rsid w:val="000451D2"/>
    <w:rsid w:val="000458B2"/>
    <w:rsid w:val="00046087"/>
    <w:rsid w:val="0004618B"/>
    <w:rsid w:val="00046AD9"/>
    <w:rsid w:val="00046E69"/>
    <w:rsid w:val="000472B5"/>
    <w:rsid w:val="0004755B"/>
    <w:rsid w:val="0005009F"/>
    <w:rsid w:val="000504D5"/>
    <w:rsid w:val="00050709"/>
    <w:rsid w:val="00050C6F"/>
    <w:rsid w:val="00050E02"/>
    <w:rsid w:val="00051A63"/>
    <w:rsid w:val="00051C19"/>
    <w:rsid w:val="00051C74"/>
    <w:rsid w:val="00051F50"/>
    <w:rsid w:val="00051F8C"/>
    <w:rsid w:val="00052AFD"/>
    <w:rsid w:val="00052F9E"/>
    <w:rsid w:val="000531DE"/>
    <w:rsid w:val="00053F8E"/>
    <w:rsid w:val="000548C9"/>
    <w:rsid w:val="00056378"/>
    <w:rsid w:val="00056902"/>
    <w:rsid w:val="00056910"/>
    <w:rsid w:val="00056D0E"/>
    <w:rsid w:val="00056D83"/>
    <w:rsid w:val="0005700D"/>
    <w:rsid w:val="000571D5"/>
    <w:rsid w:val="000572CD"/>
    <w:rsid w:val="000573C1"/>
    <w:rsid w:val="00057495"/>
    <w:rsid w:val="00057657"/>
    <w:rsid w:val="00057E18"/>
    <w:rsid w:val="00057F78"/>
    <w:rsid w:val="00060385"/>
    <w:rsid w:val="00060BFF"/>
    <w:rsid w:val="00061BE8"/>
    <w:rsid w:val="000621A8"/>
    <w:rsid w:val="0006257C"/>
    <w:rsid w:val="00062944"/>
    <w:rsid w:val="00062D3C"/>
    <w:rsid w:val="00062D6C"/>
    <w:rsid w:val="00062E9A"/>
    <w:rsid w:val="0006305C"/>
    <w:rsid w:val="00064895"/>
    <w:rsid w:val="00064B01"/>
    <w:rsid w:val="00064D67"/>
    <w:rsid w:val="00064DFA"/>
    <w:rsid w:val="000657CD"/>
    <w:rsid w:val="00065925"/>
    <w:rsid w:val="00066645"/>
    <w:rsid w:val="0006669D"/>
    <w:rsid w:val="000669AD"/>
    <w:rsid w:val="00066FAD"/>
    <w:rsid w:val="0006738B"/>
    <w:rsid w:val="00067704"/>
    <w:rsid w:val="0007008B"/>
    <w:rsid w:val="000701E3"/>
    <w:rsid w:val="000703F5"/>
    <w:rsid w:val="0007051F"/>
    <w:rsid w:val="000706D7"/>
    <w:rsid w:val="00070EDD"/>
    <w:rsid w:val="000710FA"/>
    <w:rsid w:val="000714A1"/>
    <w:rsid w:val="000718B2"/>
    <w:rsid w:val="00071E4B"/>
    <w:rsid w:val="000722B5"/>
    <w:rsid w:val="0007267E"/>
    <w:rsid w:val="0007271D"/>
    <w:rsid w:val="00072C45"/>
    <w:rsid w:val="0007336D"/>
    <w:rsid w:val="00073449"/>
    <w:rsid w:val="0007487F"/>
    <w:rsid w:val="00074B24"/>
    <w:rsid w:val="00074BF2"/>
    <w:rsid w:val="00075331"/>
    <w:rsid w:val="00075825"/>
    <w:rsid w:val="000764D7"/>
    <w:rsid w:val="00077372"/>
    <w:rsid w:val="000773D3"/>
    <w:rsid w:val="000774E4"/>
    <w:rsid w:val="0007785E"/>
    <w:rsid w:val="00081483"/>
    <w:rsid w:val="000816C9"/>
    <w:rsid w:val="000820B1"/>
    <w:rsid w:val="0008231A"/>
    <w:rsid w:val="0008274F"/>
    <w:rsid w:val="00082A09"/>
    <w:rsid w:val="00082B58"/>
    <w:rsid w:val="000832BF"/>
    <w:rsid w:val="00083637"/>
    <w:rsid w:val="000837E0"/>
    <w:rsid w:val="0008394F"/>
    <w:rsid w:val="00083F61"/>
    <w:rsid w:val="00084223"/>
    <w:rsid w:val="00084967"/>
    <w:rsid w:val="00084ADF"/>
    <w:rsid w:val="00084FA1"/>
    <w:rsid w:val="00084FEF"/>
    <w:rsid w:val="000851FE"/>
    <w:rsid w:val="0008551B"/>
    <w:rsid w:val="000863EC"/>
    <w:rsid w:val="000864BB"/>
    <w:rsid w:val="0008669B"/>
    <w:rsid w:val="00086B86"/>
    <w:rsid w:val="00086BCA"/>
    <w:rsid w:val="00086BE3"/>
    <w:rsid w:val="00087DC5"/>
    <w:rsid w:val="000901C1"/>
    <w:rsid w:val="000907C5"/>
    <w:rsid w:val="00090EBA"/>
    <w:rsid w:val="000915BB"/>
    <w:rsid w:val="00091755"/>
    <w:rsid w:val="0009195E"/>
    <w:rsid w:val="00091C6A"/>
    <w:rsid w:val="00091E16"/>
    <w:rsid w:val="00091EC3"/>
    <w:rsid w:val="00091EEB"/>
    <w:rsid w:val="00091F87"/>
    <w:rsid w:val="00092DCB"/>
    <w:rsid w:val="00094AE5"/>
    <w:rsid w:val="0009534E"/>
    <w:rsid w:val="00095676"/>
    <w:rsid w:val="00095B44"/>
    <w:rsid w:val="00095E37"/>
    <w:rsid w:val="00095F92"/>
    <w:rsid w:val="00096E29"/>
    <w:rsid w:val="00097449"/>
    <w:rsid w:val="00097C1E"/>
    <w:rsid w:val="00097CF4"/>
    <w:rsid w:val="000A0C93"/>
    <w:rsid w:val="000A0E08"/>
    <w:rsid w:val="000A1421"/>
    <w:rsid w:val="000A1691"/>
    <w:rsid w:val="000A1D22"/>
    <w:rsid w:val="000A34E6"/>
    <w:rsid w:val="000A3693"/>
    <w:rsid w:val="000A36B6"/>
    <w:rsid w:val="000A38B4"/>
    <w:rsid w:val="000A4354"/>
    <w:rsid w:val="000A48EB"/>
    <w:rsid w:val="000A4E9E"/>
    <w:rsid w:val="000A577C"/>
    <w:rsid w:val="000A6610"/>
    <w:rsid w:val="000A685E"/>
    <w:rsid w:val="000A6BF1"/>
    <w:rsid w:val="000A7981"/>
    <w:rsid w:val="000B0E57"/>
    <w:rsid w:val="000B1416"/>
    <w:rsid w:val="000B1FD0"/>
    <w:rsid w:val="000B2334"/>
    <w:rsid w:val="000B2A2E"/>
    <w:rsid w:val="000B3237"/>
    <w:rsid w:val="000B32FF"/>
    <w:rsid w:val="000B3992"/>
    <w:rsid w:val="000B4D4A"/>
    <w:rsid w:val="000B4E33"/>
    <w:rsid w:val="000B5052"/>
    <w:rsid w:val="000B548F"/>
    <w:rsid w:val="000B5638"/>
    <w:rsid w:val="000B5D72"/>
    <w:rsid w:val="000B5ECE"/>
    <w:rsid w:val="000B6A21"/>
    <w:rsid w:val="000B6F11"/>
    <w:rsid w:val="000B6F2D"/>
    <w:rsid w:val="000B700E"/>
    <w:rsid w:val="000B7555"/>
    <w:rsid w:val="000B7606"/>
    <w:rsid w:val="000B76D1"/>
    <w:rsid w:val="000B7A04"/>
    <w:rsid w:val="000C00E7"/>
    <w:rsid w:val="000C10AD"/>
    <w:rsid w:val="000C1A96"/>
    <w:rsid w:val="000C1DF8"/>
    <w:rsid w:val="000C1E08"/>
    <w:rsid w:val="000C1E53"/>
    <w:rsid w:val="000C2110"/>
    <w:rsid w:val="000C3302"/>
    <w:rsid w:val="000C392A"/>
    <w:rsid w:val="000C3A01"/>
    <w:rsid w:val="000C429B"/>
    <w:rsid w:val="000C4AEF"/>
    <w:rsid w:val="000C4FC8"/>
    <w:rsid w:val="000C56C2"/>
    <w:rsid w:val="000C5F50"/>
    <w:rsid w:val="000C644C"/>
    <w:rsid w:val="000C72CB"/>
    <w:rsid w:val="000C74F7"/>
    <w:rsid w:val="000C7F11"/>
    <w:rsid w:val="000D0B37"/>
    <w:rsid w:val="000D10E3"/>
    <w:rsid w:val="000D1583"/>
    <w:rsid w:val="000D1A94"/>
    <w:rsid w:val="000D2554"/>
    <w:rsid w:val="000D31CC"/>
    <w:rsid w:val="000D3333"/>
    <w:rsid w:val="000D33B6"/>
    <w:rsid w:val="000D3876"/>
    <w:rsid w:val="000D3FB1"/>
    <w:rsid w:val="000D54DF"/>
    <w:rsid w:val="000D550B"/>
    <w:rsid w:val="000D5FEF"/>
    <w:rsid w:val="000D7546"/>
    <w:rsid w:val="000D7A02"/>
    <w:rsid w:val="000E070E"/>
    <w:rsid w:val="000E0A77"/>
    <w:rsid w:val="000E15C6"/>
    <w:rsid w:val="000E15D4"/>
    <w:rsid w:val="000E170A"/>
    <w:rsid w:val="000E1D07"/>
    <w:rsid w:val="000E2289"/>
    <w:rsid w:val="000E235D"/>
    <w:rsid w:val="000E245D"/>
    <w:rsid w:val="000E25B5"/>
    <w:rsid w:val="000E2A06"/>
    <w:rsid w:val="000E2BA4"/>
    <w:rsid w:val="000E3344"/>
    <w:rsid w:val="000E3477"/>
    <w:rsid w:val="000E49CA"/>
    <w:rsid w:val="000E509B"/>
    <w:rsid w:val="000E53C9"/>
    <w:rsid w:val="000E5451"/>
    <w:rsid w:val="000E5853"/>
    <w:rsid w:val="000E59BE"/>
    <w:rsid w:val="000E6311"/>
    <w:rsid w:val="000E665D"/>
    <w:rsid w:val="000E68D6"/>
    <w:rsid w:val="000E6C18"/>
    <w:rsid w:val="000E6F5A"/>
    <w:rsid w:val="000E7E6F"/>
    <w:rsid w:val="000F0948"/>
    <w:rsid w:val="000F1015"/>
    <w:rsid w:val="000F1641"/>
    <w:rsid w:val="000F1B5A"/>
    <w:rsid w:val="000F1CEB"/>
    <w:rsid w:val="000F1DC4"/>
    <w:rsid w:val="000F224D"/>
    <w:rsid w:val="000F2256"/>
    <w:rsid w:val="000F25CA"/>
    <w:rsid w:val="000F2697"/>
    <w:rsid w:val="000F2948"/>
    <w:rsid w:val="000F2B7D"/>
    <w:rsid w:val="000F350F"/>
    <w:rsid w:val="000F3974"/>
    <w:rsid w:val="000F44B1"/>
    <w:rsid w:val="000F4878"/>
    <w:rsid w:val="000F532F"/>
    <w:rsid w:val="000F56C2"/>
    <w:rsid w:val="000F5719"/>
    <w:rsid w:val="000F69B8"/>
    <w:rsid w:val="000F69C9"/>
    <w:rsid w:val="000F69CB"/>
    <w:rsid w:val="000F6D79"/>
    <w:rsid w:val="000F75D0"/>
    <w:rsid w:val="000F7972"/>
    <w:rsid w:val="000F7BB2"/>
    <w:rsid w:val="000F7DB7"/>
    <w:rsid w:val="000F7F91"/>
    <w:rsid w:val="00101376"/>
    <w:rsid w:val="00101DC4"/>
    <w:rsid w:val="001029AA"/>
    <w:rsid w:val="00103078"/>
    <w:rsid w:val="001032C2"/>
    <w:rsid w:val="001038DC"/>
    <w:rsid w:val="00103CF9"/>
    <w:rsid w:val="0010404D"/>
    <w:rsid w:val="00104270"/>
    <w:rsid w:val="001043F7"/>
    <w:rsid w:val="0010498D"/>
    <w:rsid w:val="00104DF0"/>
    <w:rsid w:val="0010542C"/>
    <w:rsid w:val="001055EF"/>
    <w:rsid w:val="00105837"/>
    <w:rsid w:val="00105961"/>
    <w:rsid w:val="00106715"/>
    <w:rsid w:val="00106E42"/>
    <w:rsid w:val="00106F22"/>
    <w:rsid w:val="00107EB8"/>
    <w:rsid w:val="001108C2"/>
    <w:rsid w:val="00110C9F"/>
    <w:rsid w:val="00110E9A"/>
    <w:rsid w:val="001113EB"/>
    <w:rsid w:val="001114ED"/>
    <w:rsid w:val="001115E1"/>
    <w:rsid w:val="00111820"/>
    <w:rsid w:val="00111EFF"/>
    <w:rsid w:val="001123C2"/>
    <w:rsid w:val="001123CE"/>
    <w:rsid w:val="00112573"/>
    <w:rsid w:val="00112A37"/>
    <w:rsid w:val="00113029"/>
    <w:rsid w:val="0011342C"/>
    <w:rsid w:val="0011351E"/>
    <w:rsid w:val="0011396A"/>
    <w:rsid w:val="00113A57"/>
    <w:rsid w:val="00113BF9"/>
    <w:rsid w:val="001149D7"/>
    <w:rsid w:val="00114DAD"/>
    <w:rsid w:val="00114F4E"/>
    <w:rsid w:val="0011500F"/>
    <w:rsid w:val="001152CA"/>
    <w:rsid w:val="001152FC"/>
    <w:rsid w:val="0011618A"/>
    <w:rsid w:val="0011640B"/>
    <w:rsid w:val="00116935"/>
    <w:rsid w:val="00116978"/>
    <w:rsid w:val="00116EB5"/>
    <w:rsid w:val="00117129"/>
    <w:rsid w:val="0011724B"/>
    <w:rsid w:val="0011757E"/>
    <w:rsid w:val="00117600"/>
    <w:rsid w:val="00117620"/>
    <w:rsid w:val="00117625"/>
    <w:rsid w:val="00117854"/>
    <w:rsid w:val="00117B0F"/>
    <w:rsid w:val="0012025D"/>
    <w:rsid w:val="00120522"/>
    <w:rsid w:val="00120F53"/>
    <w:rsid w:val="00121366"/>
    <w:rsid w:val="00121FDF"/>
    <w:rsid w:val="001220E2"/>
    <w:rsid w:val="0012253D"/>
    <w:rsid w:val="0012450E"/>
    <w:rsid w:val="001247E8"/>
    <w:rsid w:val="001258DC"/>
    <w:rsid w:val="0012781B"/>
    <w:rsid w:val="001301E6"/>
    <w:rsid w:val="001301EC"/>
    <w:rsid w:val="001307C3"/>
    <w:rsid w:val="00130E28"/>
    <w:rsid w:val="00131361"/>
    <w:rsid w:val="00131DA1"/>
    <w:rsid w:val="00132D79"/>
    <w:rsid w:val="00132F1E"/>
    <w:rsid w:val="001339C9"/>
    <w:rsid w:val="00133DC9"/>
    <w:rsid w:val="00134290"/>
    <w:rsid w:val="001344F4"/>
    <w:rsid w:val="00134BEF"/>
    <w:rsid w:val="00135054"/>
    <w:rsid w:val="0013522E"/>
    <w:rsid w:val="001352E8"/>
    <w:rsid w:val="0013639D"/>
    <w:rsid w:val="00137476"/>
    <w:rsid w:val="00137A88"/>
    <w:rsid w:val="0014059C"/>
    <w:rsid w:val="00140D63"/>
    <w:rsid w:val="00140DA0"/>
    <w:rsid w:val="0014145C"/>
    <w:rsid w:val="00141E9E"/>
    <w:rsid w:val="0014206A"/>
    <w:rsid w:val="00142186"/>
    <w:rsid w:val="00143B0D"/>
    <w:rsid w:val="00143F40"/>
    <w:rsid w:val="00144C78"/>
    <w:rsid w:val="00145394"/>
    <w:rsid w:val="001453BB"/>
    <w:rsid w:val="00145502"/>
    <w:rsid w:val="0014588B"/>
    <w:rsid w:val="00145BCF"/>
    <w:rsid w:val="001463A2"/>
    <w:rsid w:val="00146B33"/>
    <w:rsid w:val="00147043"/>
    <w:rsid w:val="00147278"/>
    <w:rsid w:val="001503A3"/>
    <w:rsid w:val="001509C3"/>
    <w:rsid w:val="00150B9A"/>
    <w:rsid w:val="00150CD6"/>
    <w:rsid w:val="00150D1E"/>
    <w:rsid w:val="0015156D"/>
    <w:rsid w:val="001515E0"/>
    <w:rsid w:val="00151603"/>
    <w:rsid w:val="00151E1B"/>
    <w:rsid w:val="00151F75"/>
    <w:rsid w:val="00152121"/>
    <w:rsid w:val="00152F80"/>
    <w:rsid w:val="00153511"/>
    <w:rsid w:val="00153A9D"/>
    <w:rsid w:val="00153AB4"/>
    <w:rsid w:val="001544BB"/>
    <w:rsid w:val="00154901"/>
    <w:rsid w:val="00154A76"/>
    <w:rsid w:val="00154B30"/>
    <w:rsid w:val="0015558D"/>
    <w:rsid w:val="001555D0"/>
    <w:rsid w:val="00155818"/>
    <w:rsid w:val="00155A9C"/>
    <w:rsid w:val="00155DBB"/>
    <w:rsid w:val="00155F2C"/>
    <w:rsid w:val="00156925"/>
    <w:rsid w:val="00156BB7"/>
    <w:rsid w:val="00156C03"/>
    <w:rsid w:val="00156F48"/>
    <w:rsid w:val="00157297"/>
    <w:rsid w:val="001603CA"/>
    <w:rsid w:val="00160B0C"/>
    <w:rsid w:val="00160FDF"/>
    <w:rsid w:val="001622D6"/>
    <w:rsid w:val="00162ACC"/>
    <w:rsid w:val="00162C41"/>
    <w:rsid w:val="00162E65"/>
    <w:rsid w:val="001630A5"/>
    <w:rsid w:val="001631E6"/>
    <w:rsid w:val="0016334F"/>
    <w:rsid w:val="001635A2"/>
    <w:rsid w:val="00163D8D"/>
    <w:rsid w:val="00164729"/>
    <w:rsid w:val="00164FF7"/>
    <w:rsid w:val="001651E2"/>
    <w:rsid w:val="001668E5"/>
    <w:rsid w:val="001669B5"/>
    <w:rsid w:val="001669E7"/>
    <w:rsid w:val="00166F10"/>
    <w:rsid w:val="00167082"/>
    <w:rsid w:val="001673C2"/>
    <w:rsid w:val="00170351"/>
    <w:rsid w:val="0017051A"/>
    <w:rsid w:val="001705E1"/>
    <w:rsid w:val="001715D2"/>
    <w:rsid w:val="0017181E"/>
    <w:rsid w:val="00171B6B"/>
    <w:rsid w:val="00172A27"/>
    <w:rsid w:val="00173066"/>
    <w:rsid w:val="00173F87"/>
    <w:rsid w:val="001745A5"/>
    <w:rsid w:val="00175979"/>
    <w:rsid w:val="00175C0C"/>
    <w:rsid w:val="00175EB0"/>
    <w:rsid w:val="00176072"/>
    <w:rsid w:val="00176084"/>
    <w:rsid w:val="00176A39"/>
    <w:rsid w:val="00177558"/>
    <w:rsid w:val="001775EE"/>
    <w:rsid w:val="00177619"/>
    <w:rsid w:val="0017777D"/>
    <w:rsid w:val="00177F82"/>
    <w:rsid w:val="0018023F"/>
    <w:rsid w:val="00180EED"/>
    <w:rsid w:val="00180F86"/>
    <w:rsid w:val="00181679"/>
    <w:rsid w:val="0018192B"/>
    <w:rsid w:val="001825DC"/>
    <w:rsid w:val="00183243"/>
    <w:rsid w:val="0018357D"/>
    <w:rsid w:val="001845FC"/>
    <w:rsid w:val="00184A07"/>
    <w:rsid w:val="00184A54"/>
    <w:rsid w:val="00184B35"/>
    <w:rsid w:val="001867A1"/>
    <w:rsid w:val="0018744D"/>
    <w:rsid w:val="00187679"/>
    <w:rsid w:val="00187C99"/>
    <w:rsid w:val="00190625"/>
    <w:rsid w:val="0019138F"/>
    <w:rsid w:val="00192D10"/>
    <w:rsid w:val="00192F2C"/>
    <w:rsid w:val="00192F75"/>
    <w:rsid w:val="00192F9D"/>
    <w:rsid w:val="0019384B"/>
    <w:rsid w:val="001946C4"/>
    <w:rsid w:val="0019483B"/>
    <w:rsid w:val="001949C1"/>
    <w:rsid w:val="00194A5E"/>
    <w:rsid w:val="00194D25"/>
    <w:rsid w:val="001955C4"/>
    <w:rsid w:val="00195FAF"/>
    <w:rsid w:val="0019618D"/>
    <w:rsid w:val="00196A1F"/>
    <w:rsid w:val="00196D5A"/>
    <w:rsid w:val="00196EC2"/>
    <w:rsid w:val="001970DB"/>
    <w:rsid w:val="0019765B"/>
    <w:rsid w:val="001A0E5B"/>
    <w:rsid w:val="001A11D6"/>
    <w:rsid w:val="001A19D3"/>
    <w:rsid w:val="001A2F10"/>
    <w:rsid w:val="001A32E5"/>
    <w:rsid w:val="001A34B6"/>
    <w:rsid w:val="001A3D6B"/>
    <w:rsid w:val="001A4CC1"/>
    <w:rsid w:val="001A4D1E"/>
    <w:rsid w:val="001A4F4F"/>
    <w:rsid w:val="001A60A5"/>
    <w:rsid w:val="001A6576"/>
    <w:rsid w:val="001A6721"/>
    <w:rsid w:val="001A6824"/>
    <w:rsid w:val="001A6C0D"/>
    <w:rsid w:val="001A6CD3"/>
    <w:rsid w:val="001A6D3A"/>
    <w:rsid w:val="001A7E7E"/>
    <w:rsid w:val="001B03CE"/>
    <w:rsid w:val="001B0997"/>
    <w:rsid w:val="001B0AC4"/>
    <w:rsid w:val="001B0D12"/>
    <w:rsid w:val="001B0FF3"/>
    <w:rsid w:val="001B11FC"/>
    <w:rsid w:val="001B1394"/>
    <w:rsid w:val="001B1807"/>
    <w:rsid w:val="001B1CFE"/>
    <w:rsid w:val="001B2182"/>
    <w:rsid w:val="001B2185"/>
    <w:rsid w:val="001B2D80"/>
    <w:rsid w:val="001B34F7"/>
    <w:rsid w:val="001B37EF"/>
    <w:rsid w:val="001B40B2"/>
    <w:rsid w:val="001B420E"/>
    <w:rsid w:val="001B42E9"/>
    <w:rsid w:val="001B4486"/>
    <w:rsid w:val="001B4800"/>
    <w:rsid w:val="001B4942"/>
    <w:rsid w:val="001B4B9D"/>
    <w:rsid w:val="001B55D4"/>
    <w:rsid w:val="001B5DCE"/>
    <w:rsid w:val="001B6644"/>
    <w:rsid w:val="001B6700"/>
    <w:rsid w:val="001B730D"/>
    <w:rsid w:val="001B7498"/>
    <w:rsid w:val="001B7635"/>
    <w:rsid w:val="001B7C22"/>
    <w:rsid w:val="001B7DEA"/>
    <w:rsid w:val="001C0972"/>
    <w:rsid w:val="001C140B"/>
    <w:rsid w:val="001C1AAE"/>
    <w:rsid w:val="001C2305"/>
    <w:rsid w:val="001C2882"/>
    <w:rsid w:val="001C3401"/>
    <w:rsid w:val="001C3420"/>
    <w:rsid w:val="001C369F"/>
    <w:rsid w:val="001C39F3"/>
    <w:rsid w:val="001C3DE1"/>
    <w:rsid w:val="001C4415"/>
    <w:rsid w:val="001C4886"/>
    <w:rsid w:val="001C5185"/>
    <w:rsid w:val="001C5780"/>
    <w:rsid w:val="001C5B1A"/>
    <w:rsid w:val="001C5E29"/>
    <w:rsid w:val="001C6302"/>
    <w:rsid w:val="001C6E31"/>
    <w:rsid w:val="001C6F20"/>
    <w:rsid w:val="001C7822"/>
    <w:rsid w:val="001C7D8A"/>
    <w:rsid w:val="001D0427"/>
    <w:rsid w:val="001D0893"/>
    <w:rsid w:val="001D1192"/>
    <w:rsid w:val="001D13A4"/>
    <w:rsid w:val="001D1959"/>
    <w:rsid w:val="001D2058"/>
    <w:rsid w:val="001D2082"/>
    <w:rsid w:val="001D27FF"/>
    <w:rsid w:val="001D2850"/>
    <w:rsid w:val="001D2DC7"/>
    <w:rsid w:val="001D33B9"/>
    <w:rsid w:val="001D3462"/>
    <w:rsid w:val="001D3A34"/>
    <w:rsid w:val="001D4283"/>
    <w:rsid w:val="001D452C"/>
    <w:rsid w:val="001D47F8"/>
    <w:rsid w:val="001D5325"/>
    <w:rsid w:val="001D5794"/>
    <w:rsid w:val="001D6006"/>
    <w:rsid w:val="001D602B"/>
    <w:rsid w:val="001D6054"/>
    <w:rsid w:val="001D66FD"/>
    <w:rsid w:val="001D77FD"/>
    <w:rsid w:val="001E00F4"/>
    <w:rsid w:val="001E043E"/>
    <w:rsid w:val="001E14E9"/>
    <w:rsid w:val="001E191E"/>
    <w:rsid w:val="001E1C24"/>
    <w:rsid w:val="001E21ED"/>
    <w:rsid w:val="001E2AB2"/>
    <w:rsid w:val="001E2D96"/>
    <w:rsid w:val="001E2E2B"/>
    <w:rsid w:val="001E2E95"/>
    <w:rsid w:val="001E3348"/>
    <w:rsid w:val="001E394E"/>
    <w:rsid w:val="001E3C8A"/>
    <w:rsid w:val="001E426B"/>
    <w:rsid w:val="001E52B6"/>
    <w:rsid w:val="001E5554"/>
    <w:rsid w:val="001E5676"/>
    <w:rsid w:val="001E5D88"/>
    <w:rsid w:val="001E6872"/>
    <w:rsid w:val="001E6E68"/>
    <w:rsid w:val="001E6EF1"/>
    <w:rsid w:val="001E74EC"/>
    <w:rsid w:val="001E7548"/>
    <w:rsid w:val="001E795C"/>
    <w:rsid w:val="001E7C71"/>
    <w:rsid w:val="001F0A7B"/>
    <w:rsid w:val="001F0D00"/>
    <w:rsid w:val="001F19DA"/>
    <w:rsid w:val="001F1D58"/>
    <w:rsid w:val="001F216C"/>
    <w:rsid w:val="001F2A4E"/>
    <w:rsid w:val="001F2A71"/>
    <w:rsid w:val="001F2B3A"/>
    <w:rsid w:val="001F353D"/>
    <w:rsid w:val="001F41DA"/>
    <w:rsid w:val="001F430A"/>
    <w:rsid w:val="001F4397"/>
    <w:rsid w:val="001F47A2"/>
    <w:rsid w:val="001F4A52"/>
    <w:rsid w:val="001F4ABE"/>
    <w:rsid w:val="001F507B"/>
    <w:rsid w:val="001F5135"/>
    <w:rsid w:val="001F5144"/>
    <w:rsid w:val="001F5925"/>
    <w:rsid w:val="001F6040"/>
    <w:rsid w:val="001F6A2E"/>
    <w:rsid w:val="001F7625"/>
    <w:rsid w:val="0020058A"/>
    <w:rsid w:val="002009E6"/>
    <w:rsid w:val="00200A74"/>
    <w:rsid w:val="00200CD6"/>
    <w:rsid w:val="0020117D"/>
    <w:rsid w:val="0020157A"/>
    <w:rsid w:val="002017E5"/>
    <w:rsid w:val="00201896"/>
    <w:rsid w:val="00201B1D"/>
    <w:rsid w:val="00202281"/>
    <w:rsid w:val="00202440"/>
    <w:rsid w:val="00202ADC"/>
    <w:rsid w:val="00202EAB"/>
    <w:rsid w:val="002043BB"/>
    <w:rsid w:val="00204508"/>
    <w:rsid w:val="002047F3"/>
    <w:rsid w:val="00205940"/>
    <w:rsid w:val="00205B05"/>
    <w:rsid w:val="00206287"/>
    <w:rsid w:val="00206B88"/>
    <w:rsid w:val="0020764F"/>
    <w:rsid w:val="0020795D"/>
    <w:rsid w:val="00207A16"/>
    <w:rsid w:val="00207D84"/>
    <w:rsid w:val="00207EB8"/>
    <w:rsid w:val="00207EE9"/>
    <w:rsid w:val="00210066"/>
    <w:rsid w:val="002104C0"/>
    <w:rsid w:val="002107B1"/>
    <w:rsid w:val="002113C2"/>
    <w:rsid w:val="0021158F"/>
    <w:rsid w:val="00211E5A"/>
    <w:rsid w:val="002121B4"/>
    <w:rsid w:val="00212662"/>
    <w:rsid w:val="002126B0"/>
    <w:rsid w:val="002129FA"/>
    <w:rsid w:val="00212AC7"/>
    <w:rsid w:val="00212D53"/>
    <w:rsid w:val="00213B6C"/>
    <w:rsid w:val="00213C83"/>
    <w:rsid w:val="002140CC"/>
    <w:rsid w:val="00214A57"/>
    <w:rsid w:val="00214D49"/>
    <w:rsid w:val="002156FB"/>
    <w:rsid w:val="002158C0"/>
    <w:rsid w:val="0021602F"/>
    <w:rsid w:val="0021669B"/>
    <w:rsid w:val="0021683F"/>
    <w:rsid w:val="00217471"/>
    <w:rsid w:val="00217B79"/>
    <w:rsid w:val="00217ECB"/>
    <w:rsid w:val="00217FEC"/>
    <w:rsid w:val="0022055E"/>
    <w:rsid w:val="00220A44"/>
    <w:rsid w:val="00221563"/>
    <w:rsid w:val="0022192E"/>
    <w:rsid w:val="00221A0A"/>
    <w:rsid w:val="00221C1B"/>
    <w:rsid w:val="00221C9D"/>
    <w:rsid w:val="00221CC0"/>
    <w:rsid w:val="002223D1"/>
    <w:rsid w:val="00222858"/>
    <w:rsid w:val="00222F5B"/>
    <w:rsid w:val="00223720"/>
    <w:rsid w:val="00223723"/>
    <w:rsid w:val="002238CF"/>
    <w:rsid w:val="00223A7B"/>
    <w:rsid w:val="00224323"/>
    <w:rsid w:val="00224895"/>
    <w:rsid w:val="00224938"/>
    <w:rsid w:val="00225619"/>
    <w:rsid w:val="00225E09"/>
    <w:rsid w:val="00226907"/>
    <w:rsid w:val="0022698D"/>
    <w:rsid w:val="00226A5E"/>
    <w:rsid w:val="00226DEF"/>
    <w:rsid w:val="002271A5"/>
    <w:rsid w:val="002275FF"/>
    <w:rsid w:val="0022764A"/>
    <w:rsid w:val="0023024A"/>
    <w:rsid w:val="00231085"/>
    <w:rsid w:val="0023159B"/>
    <w:rsid w:val="002315B2"/>
    <w:rsid w:val="00231C2A"/>
    <w:rsid w:val="002323CB"/>
    <w:rsid w:val="00232A54"/>
    <w:rsid w:val="00232AAD"/>
    <w:rsid w:val="002331DA"/>
    <w:rsid w:val="002331F1"/>
    <w:rsid w:val="00233A3B"/>
    <w:rsid w:val="002342D9"/>
    <w:rsid w:val="00234D24"/>
    <w:rsid w:val="00234FCA"/>
    <w:rsid w:val="002350CC"/>
    <w:rsid w:val="0023542F"/>
    <w:rsid w:val="00235CCA"/>
    <w:rsid w:val="00236870"/>
    <w:rsid w:val="002369B4"/>
    <w:rsid w:val="00237146"/>
    <w:rsid w:val="002374A0"/>
    <w:rsid w:val="002379F5"/>
    <w:rsid w:val="00240139"/>
    <w:rsid w:val="00240EE9"/>
    <w:rsid w:val="002416F5"/>
    <w:rsid w:val="0024211C"/>
    <w:rsid w:val="00242571"/>
    <w:rsid w:val="00242C0C"/>
    <w:rsid w:val="00243E18"/>
    <w:rsid w:val="00244051"/>
    <w:rsid w:val="002441F9"/>
    <w:rsid w:val="002444FB"/>
    <w:rsid w:val="0024477B"/>
    <w:rsid w:val="00244B9E"/>
    <w:rsid w:val="002451EE"/>
    <w:rsid w:val="00245B38"/>
    <w:rsid w:val="00245D85"/>
    <w:rsid w:val="00246341"/>
    <w:rsid w:val="00246403"/>
    <w:rsid w:val="002466DC"/>
    <w:rsid w:val="00246A19"/>
    <w:rsid w:val="00246EBD"/>
    <w:rsid w:val="00250726"/>
    <w:rsid w:val="0025138D"/>
    <w:rsid w:val="00251887"/>
    <w:rsid w:val="00251B3A"/>
    <w:rsid w:val="00251D77"/>
    <w:rsid w:val="00252B3A"/>
    <w:rsid w:val="00252FC5"/>
    <w:rsid w:val="00253312"/>
    <w:rsid w:val="0025337B"/>
    <w:rsid w:val="00253C05"/>
    <w:rsid w:val="00254609"/>
    <w:rsid w:val="00254BC5"/>
    <w:rsid w:val="002550CC"/>
    <w:rsid w:val="00255858"/>
    <w:rsid w:val="00255CC1"/>
    <w:rsid w:val="00256827"/>
    <w:rsid w:val="00257062"/>
    <w:rsid w:val="0025722B"/>
    <w:rsid w:val="002574B5"/>
    <w:rsid w:val="0025767E"/>
    <w:rsid w:val="00260048"/>
    <w:rsid w:val="00260C9E"/>
    <w:rsid w:val="00260E59"/>
    <w:rsid w:val="00260F4E"/>
    <w:rsid w:val="00261E53"/>
    <w:rsid w:val="00262432"/>
    <w:rsid w:val="0026278B"/>
    <w:rsid w:val="0026279B"/>
    <w:rsid w:val="00262869"/>
    <w:rsid w:val="002628C4"/>
    <w:rsid w:val="00262D97"/>
    <w:rsid w:val="002630A6"/>
    <w:rsid w:val="00263417"/>
    <w:rsid w:val="00263C49"/>
    <w:rsid w:val="00264F51"/>
    <w:rsid w:val="002660C5"/>
    <w:rsid w:val="0026674F"/>
    <w:rsid w:val="00266EC4"/>
    <w:rsid w:val="002674CE"/>
    <w:rsid w:val="00267FB5"/>
    <w:rsid w:val="00270366"/>
    <w:rsid w:val="00270514"/>
    <w:rsid w:val="002712DC"/>
    <w:rsid w:val="00271323"/>
    <w:rsid w:val="00271BF7"/>
    <w:rsid w:val="00271D7D"/>
    <w:rsid w:val="00272330"/>
    <w:rsid w:val="00273081"/>
    <w:rsid w:val="00273595"/>
    <w:rsid w:val="00273645"/>
    <w:rsid w:val="00273C1D"/>
    <w:rsid w:val="00273CDA"/>
    <w:rsid w:val="00273D43"/>
    <w:rsid w:val="002747F7"/>
    <w:rsid w:val="002751B2"/>
    <w:rsid w:val="0027523A"/>
    <w:rsid w:val="00276801"/>
    <w:rsid w:val="0027705F"/>
    <w:rsid w:val="002779A7"/>
    <w:rsid w:val="00277CF2"/>
    <w:rsid w:val="00280554"/>
    <w:rsid w:val="002806D7"/>
    <w:rsid w:val="00280DC5"/>
    <w:rsid w:val="00280EEC"/>
    <w:rsid w:val="0028147A"/>
    <w:rsid w:val="00281B5E"/>
    <w:rsid w:val="002824EC"/>
    <w:rsid w:val="0028257F"/>
    <w:rsid w:val="00282ED0"/>
    <w:rsid w:val="00283E65"/>
    <w:rsid w:val="002842B4"/>
    <w:rsid w:val="00284C28"/>
    <w:rsid w:val="00284DCC"/>
    <w:rsid w:val="00285971"/>
    <w:rsid w:val="0028599F"/>
    <w:rsid w:val="00285B6D"/>
    <w:rsid w:val="002864CC"/>
    <w:rsid w:val="00287207"/>
    <w:rsid w:val="00287250"/>
    <w:rsid w:val="00287734"/>
    <w:rsid w:val="00287BEB"/>
    <w:rsid w:val="002902C3"/>
    <w:rsid w:val="0029065B"/>
    <w:rsid w:val="00290C89"/>
    <w:rsid w:val="002916AB"/>
    <w:rsid w:val="00291E0A"/>
    <w:rsid w:val="0029221F"/>
    <w:rsid w:val="002923BB"/>
    <w:rsid w:val="002928E4"/>
    <w:rsid w:val="00292FF9"/>
    <w:rsid w:val="002931CB"/>
    <w:rsid w:val="002932B7"/>
    <w:rsid w:val="0029388E"/>
    <w:rsid w:val="00293F02"/>
    <w:rsid w:val="002942E9"/>
    <w:rsid w:val="00294437"/>
    <w:rsid w:val="00294556"/>
    <w:rsid w:val="0029462B"/>
    <w:rsid w:val="00294844"/>
    <w:rsid w:val="00295596"/>
    <w:rsid w:val="002955D8"/>
    <w:rsid w:val="002956EC"/>
    <w:rsid w:val="002959B2"/>
    <w:rsid w:val="00295F7E"/>
    <w:rsid w:val="00296433"/>
    <w:rsid w:val="00296682"/>
    <w:rsid w:val="002971A0"/>
    <w:rsid w:val="0029775E"/>
    <w:rsid w:val="002978A4"/>
    <w:rsid w:val="00297BE5"/>
    <w:rsid w:val="00297CFE"/>
    <w:rsid w:val="002A0A0B"/>
    <w:rsid w:val="002A0B39"/>
    <w:rsid w:val="002A0D5A"/>
    <w:rsid w:val="002A1343"/>
    <w:rsid w:val="002A1878"/>
    <w:rsid w:val="002A1CDA"/>
    <w:rsid w:val="002A28B3"/>
    <w:rsid w:val="002A2BF5"/>
    <w:rsid w:val="002A327A"/>
    <w:rsid w:val="002A34D9"/>
    <w:rsid w:val="002A3589"/>
    <w:rsid w:val="002A36D9"/>
    <w:rsid w:val="002A3896"/>
    <w:rsid w:val="002A3BE7"/>
    <w:rsid w:val="002A3F78"/>
    <w:rsid w:val="002A40A1"/>
    <w:rsid w:val="002A412D"/>
    <w:rsid w:val="002A58C3"/>
    <w:rsid w:val="002A59BD"/>
    <w:rsid w:val="002A5C93"/>
    <w:rsid w:val="002A5EE4"/>
    <w:rsid w:val="002A6919"/>
    <w:rsid w:val="002A6CF6"/>
    <w:rsid w:val="002A6EF1"/>
    <w:rsid w:val="002A71BE"/>
    <w:rsid w:val="002A7BD4"/>
    <w:rsid w:val="002B060B"/>
    <w:rsid w:val="002B0913"/>
    <w:rsid w:val="002B0B21"/>
    <w:rsid w:val="002B0DFE"/>
    <w:rsid w:val="002B1084"/>
    <w:rsid w:val="002B1DF8"/>
    <w:rsid w:val="002B22E6"/>
    <w:rsid w:val="002B3255"/>
    <w:rsid w:val="002B3CC5"/>
    <w:rsid w:val="002B4320"/>
    <w:rsid w:val="002B4B72"/>
    <w:rsid w:val="002B5FC6"/>
    <w:rsid w:val="002B673C"/>
    <w:rsid w:val="002B71D1"/>
    <w:rsid w:val="002B758A"/>
    <w:rsid w:val="002B7737"/>
    <w:rsid w:val="002C0CAB"/>
    <w:rsid w:val="002C0FED"/>
    <w:rsid w:val="002C13D3"/>
    <w:rsid w:val="002C1C6A"/>
    <w:rsid w:val="002C2212"/>
    <w:rsid w:val="002C2545"/>
    <w:rsid w:val="002C2648"/>
    <w:rsid w:val="002C2DA5"/>
    <w:rsid w:val="002C371B"/>
    <w:rsid w:val="002C3AD9"/>
    <w:rsid w:val="002C3FB3"/>
    <w:rsid w:val="002C45EA"/>
    <w:rsid w:val="002C4877"/>
    <w:rsid w:val="002C53BF"/>
    <w:rsid w:val="002C5481"/>
    <w:rsid w:val="002C54D1"/>
    <w:rsid w:val="002C5808"/>
    <w:rsid w:val="002C5B72"/>
    <w:rsid w:val="002C663A"/>
    <w:rsid w:val="002C6E58"/>
    <w:rsid w:val="002C76D8"/>
    <w:rsid w:val="002C77F2"/>
    <w:rsid w:val="002C7CAC"/>
    <w:rsid w:val="002C7DC4"/>
    <w:rsid w:val="002D0071"/>
    <w:rsid w:val="002D0409"/>
    <w:rsid w:val="002D15A9"/>
    <w:rsid w:val="002D2797"/>
    <w:rsid w:val="002D2AFB"/>
    <w:rsid w:val="002D2F8A"/>
    <w:rsid w:val="002D36B5"/>
    <w:rsid w:val="002D3C62"/>
    <w:rsid w:val="002D42E3"/>
    <w:rsid w:val="002D44C2"/>
    <w:rsid w:val="002D485D"/>
    <w:rsid w:val="002D4902"/>
    <w:rsid w:val="002D5939"/>
    <w:rsid w:val="002D5945"/>
    <w:rsid w:val="002D6C72"/>
    <w:rsid w:val="002D7084"/>
    <w:rsid w:val="002D7652"/>
    <w:rsid w:val="002D7B11"/>
    <w:rsid w:val="002E0026"/>
    <w:rsid w:val="002E011A"/>
    <w:rsid w:val="002E10C2"/>
    <w:rsid w:val="002E1107"/>
    <w:rsid w:val="002E1660"/>
    <w:rsid w:val="002E1AF8"/>
    <w:rsid w:val="002E23F0"/>
    <w:rsid w:val="002E2A38"/>
    <w:rsid w:val="002E2C09"/>
    <w:rsid w:val="002E40AD"/>
    <w:rsid w:val="002E4352"/>
    <w:rsid w:val="002E507F"/>
    <w:rsid w:val="002E5496"/>
    <w:rsid w:val="002E5506"/>
    <w:rsid w:val="002E583C"/>
    <w:rsid w:val="002E59E9"/>
    <w:rsid w:val="002E5BB4"/>
    <w:rsid w:val="002E5D45"/>
    <w:rsid w:val="002E5D73"/>
    <w:rsid w:val="002E5E11"/>
    <w:rsid w:val="002E5E7E"/>
    <w:rsid w:val="002E6D8C"/>
    <w:rsid w:val="002E7177"/>
    <w:rsid w:val="002E7358"/>
    <w:rsid w:val="002E770C"/>
    <w:rsid w:val="002E7A92"/>
    <w:rsid w:val="002E7E6E"/>
    <w:rsid w:val="002F0CFE"/>
    <w:rsid w:val="002F10ED"/>
    <w:rsid w:val="002F11CE"/>
    <w:rsid w:val="002F1363"/>
    <w:rsid w:val="002F254D"/>
    <w:rsid w:val="002F2800"/>
    <w:rsid w:val="002F2895"/>
    <w:rsid w:val="002F2A81"/>
    <w:rsid w:val="002F318A"/>
    <w:rsid w:val="002F328C"/>
    <w:rsid w:val="002F338C"/>
    <w:rsid w:val="002F4565"/>
    <w:rsid w:val="002F4A84"/>
    <w:rsid w:val="002F4C37"/>
    <w:rsid w:val="002F4F77"/>
    <w:rsid w:val="002F5120"/>
    <w:rsid w:val="002F5DB6"/>
    <w:rsid w:val="002F60FE"/>
    <w:rsid w:val="002F61C1"/>
    <w:rsid w:val="002F7645"/>
    <w:rsid w:val="002F784F"/>
    <w:rsid w:val="002F78C4"/>
    <w:rsid w:val="002F79B1"/>
    <w:rsid w:val="002F7B2F"/>
    <w:rsid w:val="002F7E04"/>
    <w:rsid w:val="002F7E74"/>
    <w:rsid w:val="00300566"/>
    <w:rsid w:val="003006BB"/>
    <w:rsid w:val="00300CA2"/>
    <w:rsid w:val="00300E60"/>
    <w:rsid w:val="0030137E"/>
    <w:rsid w:val="00301C79"/>
    <w:rsid w:val="00301E20"/>
    <w:rsid w:val="00301FAD"/>
    <w:rsid w:val="0030209E"/>
    <w:rsid w:val="003023F9"/>
    <w:rsid w:val="003028DB"/>
    <w:rsid w:val="00303213"/>
    <w:rsid w:val="003034C2"/>
    <w:rsid w:val="003034F4"/>
    <w:rsid w:val="00303538"/>
    <w:rsid w:val="00303565"/>
    <w:rsid w:val="0030412E"/>
    <w:rsid w:val="0030486F"/>
    <w:rsid w:val="00304BB6"/>
    <w:rsid w:val="003054E6"/>
    <w:rsid w:val="003059AF"/>
    <w:rsid w:val="00305D6F"/>
    <w:rsid w:val="0030615F"/>
    <w:rsid w:val="003061A5"/>
    <w:rsid w:val="00306B5C"/>
    <w:rsid w:val="00306BD4"/>
    <w:rsid w:val="00306C46"/>
    <w:rsid w:val="00306DE9"/>
    <w:rsid w:val="00306F80"/>
    <w:rsid w:val="003071A1"/>
    <w:rsid w:val="0030746D"/>
    <w:rsid w:val="003078AC"/>
    <w:rsid w:val="00307DA6"/>
    <w:rsid w:val="00307DC8"/>
    <w:rsid w:val="00307E06"/>
    <w:rsid w:val="0031075A"/>
    <w:rsid w:val="003113C8"/>
    <w:rsid w:val="00311978"/>
    <w:rsid w:val="00311C77"/>
    <w:rsid w:val="00311F01"/>
    <w:rsid w:val="003121CF"/>
    <w:rsid w:val="00312CC0"/>
    <w:rsid w:val="00312E87"/>
    <w:rsid w:val="00312FAD"/>
    <w:rsid w:val="00313703"/>
    <w:rsid w:val="00313CE8"/>
    <w:rsid w:val="00313EA7"/>
    <w:rsid w:val="003148AE"/>
    <w:rsid w:val="0031543B"/>
    <w:rsid w:val="00315492"/>
    <w:rsid w:val="003156C0"/>
    <w:rsid w:val="003157C3"/>
    <w:rsid w:val="00316D40"/>
    <w:rsid w:val="0031782D"/>
    <w:rsid w:val="00317CF0"/>
    <w:rsid w:val="003201AE"/>
    <w:rsid w:val="00320B12"/>
    <w:rsid w:val="00320DC1"/>
    <w:rsid w:val="0032156A"/>
    <w:rsid w:val="0032260E"/>
    <w:rsid w:val="00322D4A"/>
    <w:rsid w:val="00324963"/>
    <w:rsid w:val="00324CEC"/>
    <w:rsid w:val="00324DE3"/>
    <w:rsid w:val="00324F92"/>
    <w:rsid w:val="00325141"/>
    <w:rsid w:val="0032541B"/>
    <w:rsid w:val="00325457"/>
    <w:rsid w:val="00325E0E"/>
    <w:rsid w:val="0032616A"/>
    <w:rsid w:val="00326BDF"/>
    <w:rsid w:val="0032722F"/>
    <w:rsid w:val="003272FB"/>
    <w:rsid w:val="00327A8A"/>
    <w:rsid w:val="00327C67"/>
    <w:rsid w:val="003302FC"/>
    <w:rsid w:val="00330ADB"/>
    <w:rsid w:val="00331B87"/>
    <w:rsid w:val="00331CC5"/>
    <w:rsid w:val="00331EA4"/>
    <w:rsid w:val="00331FDD"/>
    <w:rsid w:val="00332E95"/>
    <w:rsid w:val="00332FDD"/>
    <w:rsid w:val="0033313B"/>
    <w:rsid w:val="003331CD"/>
    <w:rsid w:val="00333317"/>
    <w:rsid w:val="003335BB"/>
    <w:rsid w:val="003335C4"/>
    <w:rsid w:val="00333A4D"/>
    <w:rsid w:val="00333C8B"/>
    <w:rsid w:val="00334003"/>
    <w:rsid w:val="003352E7"/>
    <w:rsid w:val="00335438"/>
    <w:rsid w:val="00335A17"/>
    <w:rsid w:val="00335F45"/>
    <w:rsid w:val="003366EE"/>
    <w:rsid w:val="0033681A"/>
    <w:rsid w:val="00336CE3"/>
    <w:rsid w:val="00336DAA"/>
    <w:rsid w:val="00337463"/>
    <w:rsid w:val="00340051"/>
    <w:rsid w:val="00340BFB"/>
    <w:rsid w:val="00340F1C"/>
    <w:rsid w:val="0034125D"/>
    <w:rsid w:val="0034153A"/>
    <w:rsid w:val="003418F2"/>
    <w:rsid w:val="00342A85"/>
    <w:rsid w:val="00342AB6"/>
    <w:rsid w:val="00342E75"/>
    <w:rsid w:val="00342F14"/>
    <w:rsid w:val="0034312B"/>
    <w:rsid w:val="003431DF"/>
    <w:rsid w:val="00343A3D"/>
    <w:rsid w:val="00344621"/>
    <w:rsid w:val="00344FB9"/>
    <w:rsid w:val="00345091"/>
    <w:rsid w:val="003451E4"/>
    <w:rsid w:val="0034554D"/>
    <w:rsid w:val="00345B6E"/>
    <w:rsid w:val="00345D6F"/>
    <w:rsid w:val="00345D93"/>
    <w:rsid w:val="00346174"/>
    <w:rsid w:val="003474E0"/>
    <w:rsid w:val="003476A0"/>
    <w:rsid w:val="00347C88"/>
    <w:rsid w:val="00347D7A"/>
    <w:rsid w:val="0035043F"/>
    <w:rsid w:val="003505A6"/>
    <w:rsid w:val="00350859"/>
    <w:rsid w:val="0035141B"/>
    <w:rsid w:val="00351668"/>
    <w:rsid w:val="00352060"/>
    <w:rsid w:val="003524CA"/>
    <w:rsid w:val="00352503"/>
    <w:rsid w:val="0035261E"/>
    <w:rsid w:val="00352D93"/>
    <w:rsid w:val="00353444"/>
    <w:rsid w:val="003536E5"/>
    <w:rsid w:val="00353EB2"/>
    <w:rsid w:val="00355E87"/>
    <w:rsid w:val="003602DA"/>
    <w:rsid w:val="0036096B"/>
    <w:rsid w:val="00360A03"/>
    <w:rsid w:val="003612F1"/>
    <w:rsid w:val="00362678"/>
    <w:rsid w:val="00362F56"/>
    <w:rsid w:val="003630F2"/>
    <w:rsid w:val="00363115"/>
    <w:rsid w:val="003632C8"/>
    <w:rsid w:val="003632D9"/>
    <w:rsid w:val="003633C7"/>
    <w:rsid w:val="00363402"/>
    <w:rsid w:val="00363509"/>
    <w:rsid w:val="00363D8D"/>
    <w:rsid w:val="00363E88"/>
    <w:rsid w:val="00364905"/>
    <w:rsid w:val="00364C71"/>
    <w:rsid w:val="003657F6"/>
    <w:rsid w:val="00366B06"/>
    <w:rsid w:val="003674A7"/>
    <w:rsid w:val="003675FA"/>
    <w:rsid w:val="00367B10"/>
    <w:rsid w:val="00367B53"/>
    <w:rsid w:val="00367CA4"/>
    <w:rsid w:val="00370301"/>
    <w:rsid w:val="003703B4"/>
    <w:rsid w:val="00371E56"/>
    <w:rsid w:val="00372D3C"/>
    <w:rsid w:val="00372F58"/>
    <w:rsid w:val="003735F5"/>
    <w:rsid w:val="00373857"/>
    <w:rsid w:val="00374E30"/>
    <w:rsid w:val="00374E8B"/>
    <w:rsid w:val="0037602B"/>
    <w:rsid w:val="003763A7"/>
    <w:rsid w:val="00376774"/>
    <w:rsid w:val="00376A90"/>
    <w:rsid w:val="003774BB"/>
    <w:rsid w:val="00377AFD"/>
    <w:rsid w:val="00377C2C"/>
    <w:rsid w:val="0038066A"/>
    <w:rsid w:val="00380888"/>
    <w:rsid w:val="003808DB"/>
    <w:rsid w:val="00380AD5"/>
    <w:rsid w:val="0038115F"/>
    <w:rsid w:val="003813C3"/>
    <w:rsid w:val="00381A77"/>
    <w:rsid w:val="00382069"/>
    <w:rsid w:val="003822E8"/>
    <w:rsid w:val="00382EB1"/>
    <w:rsid w:val="0038301F"/>
    <w:rsid w:val="00383226"/>
    <w:rsid w:val="0038393F"/>
    <w:rsid w:val="00383A5E"/>
    <w:rsid w:val="00383FF8"/>
    <w:rsid w:val="00384D69"/>
    <w:rsid w:val="00385908"/>
    <w:rsid w:val="00386961"/>
    <w:rsid w:val="00386CF6"/>
    <w:rsid w:val="00387433"/>
    <w:rsid w:val="003900EF"/>
    <w:rsid w:val="00390324"/>
    <w:rsid w:val="003903B8"/>
    <w:rsid w:val="0039066E"/>
    <w:rsid w:val="00390B33"/>
    <w:rsid w:val="003911F7"/>
    <w:rsid w:val="003912BA"/>
    <w:rsid w:val="00391465"/>
    <w:rsid w:val="00391D6F"/>
    <w:rsid w:val="00391E7C"/>
    <w:rsid w:val="0039200C"/>
    <w:rsid w:val="00392017"/>
    <w:rsid w:val="0039210C"/>
    <w:rsid w:val="003921BB"/>
    <w:rsid w:val="00392982"/>
    <w:rsid w:val="003929F1"/>
    <w:rsid w:val="00392A2B"/>
    <w:rsid w:val="00392C3C"/>
    <w:rsid w:val="00393F82"/>
    <w:rsid w:val="00393FCA"/>
    <w:rsid w:val="003951CB"/>
    <w:rsid w:val="00395569"/>
    <w:rsid w:val="0039629D"/>
    <w:rsid w:val="00396CB0"/>
    <w:rsid w:val="003972EB"/>
    <w:rsid w:val="003976A7"/>
    <w:rsid w:val="00397A55"/>
    <w:rsid w:val="003A09E5"/>
    <w:rsid w:val="003A0E58"/>
    <w:rsid w:val="003A14E9"/>
    <w:rsid w:val="003A172F"/>
    <w:rsid w:val="003A17B8"/>
    <w:rsid w:val="003A1816"/>
    <w:rsid w:val="003A1EEF"/>
    <w:rsid w:val="003A238D"/>
    <w:rsid w:val="003A2840"/>
    <w:rsid w:val="003A31C7"/>
    <w:rsid w:val="003A31E9"/>
    <w:rsid w:val="003A3B5F"/>
    <w:rsid w:val="003A3E32"/>
    <w:rsid w:val="003A4604"/>
    <w:rsid w:val="003A4BDF"/>
    <w:rsid w:val="003A4C95"/>
    <w:rsid w:val="003A4EC7"/>
    <w:rsid w:val="003A53EA"/>
    <w:rsid w:val="003A57F5"/>
    <w:rsid w:val="003A5A3A"/>
    <w:rsid w:val="003A6046"/>
    <w:rsid w:val="003A627D"/>
    <w:rsid w:val="003A6469"/>
    <w:rsid w:val="003A64E3"/>
    <w:rsid w:val="003A6B0E"/>
    <w:rsid w:val="003A72CF"/>
    <w:rsid w:val="003A7B56"/>
    <w:rsid w:val="003A7CD9"/>
    <w:rsid w:val="003B04CA"/>
    <w:rsid w:val="003B0D0D"/>
    <w:rsid w:val="003B0D26"/>
    <w:rsid w:val="003B0D5F"/>
    <w:rsid w:val="003B0D98"/>
    <w:rsid w:val="003B2042"/>
    <w:rsid w:val="003B2FE7"/>
    <w:rsid w:val="003B34E2"/>
    <w:rsid w:val="003B37B5"/>
    <w:rsid w:val="003B3F63"/>
    <w:rsid w:val="003B4726"/>
    <w:rsid w:val="003B55C2"/>
    <w:rsid w:val="003B57AD"/>
    <w:rsid w:val="003B5D66"/>
    <w:rsid w:val="003B5F05"/>
    <w:rsid w:val="003B68FF"/>
    <w:rsid w:val="003B69F0"/>
    <w:rsid w:val="003B6C2E"/>
    <w:rsid w:val="003B6E57"/>
    <w:rsid w:val="003B7B6F"/>
    <w:rsid w:val="003B7EAA"/>
    <w:rsid w:val="003C012B"/>
    <w:rsid w:val="003C04E3"/>
    <w:rsid w:val="003C0C29"/>
    <w:rsid w:val="003C1F9A"/>
    <w:rsid w:val="003C23D1"/>
    <w:rsid w:val="003C2EDA"/>
    <w:rsid w:val="003C2EEA"/>
    <w:rsid w:val="003C35F3"/>
    <w:rsid w:val="003C3998"/>
    <w:rsid w:val="003C3C6B"/>
    <w:rsid w:val="003C433A"/>
    <w:rsid w:val="003C57B7"/>
    <w:rsid w:val="003C5DA1"/>
    <w:rsid w:val="003C610F"/>
    <w:rsid w:val="003C65C0"/>
    <w:rsid w:val="003C7314"/>
    <w:rsid w:val="003C736F"/>
    <w:rsid w:val="003C7CA4"/>
    <w:rsid w:val="003D05DF"/>
    <w:rsid w:val="003D06E5"/>
    <w:rsid w:val="003D10A9"/>
    <w:rsid w:val="003D179B"/>
    <w:rsid w:val="003D1B47"/>
    <w:rsid w:val="003D1F57"/>
    <w:rsid w:val="003D25FE"/>
    <w:rsid w:val="003D275D"/>
    <w:rsid w:val="003D2C9B"/>
    <w:rsid w:val="003D2CC6"/>
    <w:rsid w:val="003D2EDE"/>
    <w:rsid w:val="003D2EEB"/>
    <w:rsid w:val="003D30A6"/>
    <w:rsid w:val="003D3295"/>
    <w:rsid w:val="003D36A4"/>
    <w:rsid w:val="003D388C"/>
    <w:rsid w:val="003D3A6A"/>
    <w:rsid w:val="003D3C27"/>
    <w:rsid w:val="003D3DF5"/>
    <w:rsid w:val="003D4571"/>
    <w:rsid w:val="003D4823"/>
    <w:rsid w:val="003D4837"/>
    <w:rsid w:val="003D4F11"/>
    <w:rsid w:val="003D5047"/>
    <w:rsid w:val="003D5536"/>
    <w:rsid w:val="003D5953"/>
    <w:rsid w:val="003D5A00"/>
    <w:rsid w:val="003D5D86"/>
    <w:rsid w:val="003D63C2"/>
    <w:rsid w:val="003D6815"/>
    <w:rsid w:val="003D76BB"/>
    <w:rsid w:val="003D7B86"/>
    <w:rsid w:val="003D7CD2"/>
    <w:rsid w:val="003E003F"/>
    <w:rsid w:val="003E0189"/>
    <w:rsid w:val="003E0CCA"/>
    <w:rsid w:val="003E1135"/>
    <w:rsid w:val="003E123C"/>
    <w:rsid w:val="003E1517"/>
    <w:rsid w:val="003E1B6C"/>
    <w:rsid w:val="003E2334"/>
    <w:rsid w:val="003E266E"/>
    <w:rsid w:val="003E281B"/>
    <w:rsid w:val="003E29A2"/>
    <w:rsid w:val="003E3102"/>
    <w:rsid w:val="003E3DDC"/>
    <w:rsid w:val="003E4140"/>
    <w:rsid w:val="003E4D9D"/>
    <w:rsid w:val="003E4FF8"/>
    <w:rsid w:val="003E52CA"/>
    <w:rsid w:val="003E57A6"/>
    <w:rsid w:val="003E59E9"/>
    <w:rsid w:val="003E68E3"/>
    <w:rsid w:val="003E6C26"/>
    <w:rsid w:val="003E702A"/>
    <w:rsid w:val="003E7FA5"/>
    <w:rsid w:val="003F08F2"/>
    <w:rsid w:val="003F120F"/>
    <w:rsid w:val="003F1B01"/>
    <w:rsid w:val="003F1FA5"/>
    <w:rsid w:val="003F29EF"/>
    <w:rsid w:val="003F2E0E"/>
    <w:rsid w:val="003F31C0"/>
    <w:rsid w:val="003F395A"/>
    <w:rsid w:val="003F4154"/>
    <w:rsid w:val="003F4274"/>
    <w:rsid w:val="003F476E"/>
    <w:rsid w:val="003F5E3D"/>
    <w:rsid w:val="003F64D6"/>
    <w:rsid w:val="003F6597"/>
    <w:rsid w:val="003F7DE2"/>
    <w:rsid w:val="003F7F91"/>
    <w:rsid w:val="00400CFB"/>
    <w:rsid w:val="00401001"/>
    <w:rsid w:val="00401C97"/>
    <w:rsid w:val="004028F8"/>
    <w:rsid w:val="00403690"/>
    <w:rsid w:val="00403769"/>
    <w:rsid w:val="004039B7"/>
    <w:rsid w:val="00403AB7"/>
    <w:rsid w:val="00403B0B"/>
    <w:rsid w:val="0040435B"/>
    <w:rsid w:val="00404484"/>
    <w:rsid w:val="00404A9E"/>
    <w:rsid w:val="00405216"/>
    <w:rsid w:val="00405890"/>
    <w:rsid w:val="0040626A"/>
    <w:rsid w:val="00406407"/>
    <w:rsid w:val="00406E7C"/>
    <w:rsid w:val="00407501"/>
    <w:rsid w:val="0041007F"/>
    <w:rsid w:val="004104A4"/>
    <w:rsid w:val="0041144D"/>
    <w:rsid w:val="0041192A"/>
    <w:rsid w:val="00412EA7"/>
    <w:rsid w:val="00413BF0"/>
    <w:rsid w:val="00414290"/>
    <w:rsid w:val="004149FE"/>
    <w:rsid w:val="00415069"/>
    <w:rsid w:val="00415257"/>
    <w:rsid w:val="0041538A"/>
    <w:rsid w:val="0041543F"/>
    <w:rsid w:val="00415521"/>
    <w:rsid w:val="0041630A"/>
    <w:rsid w:val="00417D65"/>
    <w:rsid w:val="00420604"/>
    <w:rsid w:val="00420CB9"/>
    <w:rsid w:val="00420F42"/>
    <w:rsid w:val="00421DD4"/>
    <w:rsid w:val="00422027"/>
    <w:rsid w:val="004225CF"/>
    <w:rsid w:val="0042290A"/>
    <w:rsid w:val="004233DA"/>
    <w:rsid w:val="0042469A"/>
    <w:rsid w:val="0042529D"/>
    <w:rsid w:val="004252AF"/>
    <w:rsid w:val="00425942"/>
    <w:rsid w:val="0042656E"/>
    <w:rsid w:val="00426856"/>
    <w:rsid w:val="004269FB"/>
    <w:rsid w:val="004276D6"/>
    <w:rsid w:val="004279AE"/>
    <w:rsid w:val="00427DC2"/>
    <w:rsid w:val="004301E4"/>
    <w:rsid w:val="004304C1"/>
    <w:rsid w:val="00430A26"/>
    <w:rsid w:val="00430A53"/>
    <w:rsid w:val="00430EB2"/>
    <w:rsid w:val="00431346"/>
    <w:rsid w:val="0043150D"/>
    <w:rsid w:val="004316B0"/>
    <w:rsid w:val="00431ACF"/>
    <w:rsid w:val="0043257C"/>
    <w:rsid w:val="00432BB8"/>
    <w:rsid w:val="00432BE3"/>
    <w:rsid w:val="00433653"/>
    <w:rsid w:val="00434C72"/>
    <w:rsid w:val="00434F23"/>
    <w:rsid w:val="00435005"/>
    <w:rsid w:val="004351BD"/>
    <w:rsid w:val="00435B16"/>
    <w:rsid w:val="00436739"/>
    <w:rsid w:val="004367C1"/>
    <w:rsid w:val="00437437"/>
    <w:rsid w:val="004377CE"/>
    <w:rsid w:val="00440321"/>
    <w:rsid w:val="0044035E"/>
    <w:rsid w:val="0044083E"/>
    <w:rsid w:val="00440874"/>
    <w:rsid w:val="00441362"/>
    <w:rsid w:val="004415ED"/>
    <w:rsid w:val="00441688"/>
    <w:rsid w:val="00441701"/>
    <w:rsid w:val="0044172A"/>
    <w:rsid w:val="0044172C"/>
    <w:rsid w:val="00441BF8"/>
    <w:rsid w:val="00442C63"/>
    <w:rsid w:val="00443A7C"/>
    <w:rsid w:val="0044498A"/>
    <w:rsid w:val="00444C72"/>
    <w:rsid w:val="004450A1"/>
    <w:rsid w:val="004452B9"/>
    <w:rsid w:val="00445452"/>
    <w:rsid w:val="00445470"/>
    <w:rsid w:val="0044562F"/>
    <w:rsid w:val="004456C2"/>
    <w:rsid w:val="00446A81"/>
    <w:rsid w:val="00446AFC"/>
    <w:rsid w:val="00447215"/>
    <w:rsid w:val="00447303"/>
    <w:rsid w:val="004473A9"/>
    <w:rsid w:val="00447428"/>
    <w:rsid w:val="00447E74"/>
    <w:rsid w:val="004500BA"/>
    <w:rsid w:val="00450E4D"/>
    <w:rsid w:val="00451163"/>
    <w:rsid w:val="00451231"/>
    <w:rsid w:val="004524F8"/>
    <w:rsid w:val="00452513"/>
    <w:rsid w:val="00452630"/>
    <w:rsid w:val="004526E1"/>
    <w:rsid w:val="00452738"/>
    <w:rsid w:val="0045293A"/>
    <w:rsid w:val="00453033"/>
    <w:rsid w:val="004534CA"/>
    <w:rsid w:val="0045362B"/>
    <w:rsid w:val="004537DD"/>
    <w:rsid w:val="00453B3B"/>
    <w:rsid w:val="0045437F"/>
    <w:rsid w:val="0045454F"/>
    <w:rsid w:val="00454615"/>
    <w:rsid w:val="0045474D"/>
    <w:rsid w:val="00455618"/>
    <w:rsid w:val="0045638B"/>
    <w:rsid w:val="004564AD"/>
    <w:rsid w:val="00456504"/>
    <w:rsid w:val="004568E1"/>
    <w:rsid w:val="00456EBF"/>
    <w:rsid w:val="00456EC6"/>
    <w:rsid w:val="004571A0"/>
    <w:rsid w:val="0045746D"/>
    <w:rsid w:val="00457626"/>
    <w:rsid w:val="00457E81"/>
    <w:rsid w:val="0046005A"/>
    <w:rsid w:val="0046067E"/>
    <w:rsid w:val="00460AEF"/>
    <w:rsid w:val="0046103E"/>
    <w:rsid w:val="00461105"/>
    <w:rsid w:val="0046115F"/>
    <w:rsid w:val="00461507"/>
    <w:rsid w:val="004635DB"/>
    <w:rsid w:val="0046364E"/>
    <w:rsid w:val="0046378E"/>
    <w:rsid w:val="00463E8F"/>
    <w:rsid w:val="004648BC"/>
    <w:rsid w:val="00464A5B"/>
    <w:rsid w:val="00464EFA"/>
    <w:rsid w:val="00465070"/>
    <w:rsid w:val="0046512E"/>
    <w:rsid w:val="00465F70"/>
    <w:rsid w:val="004661AA"/>
    <w:rsid w:val="00466747"/>
    <w:rsid w:val="00466A7A"/>
    <w:rsid w:val="00467AA2"/>
    <w:rsid w:val="00467B6B"/>
    <w:rsid w:val="0047033B"/>
    <w:rsid w:val="00470729"/>
    <w:rsid w:val="00470CF7"/>
    <w:rsid w:val="00470D42"/>
    <w:rsid w:val="00470DDA"/>
    <w:rsid w:val="004714A5"/>
    <w:rsid w:val="00472207"/>
    <w:rsid w:val="0047238D"/>
    <w:rsid w:val="004725E8"/>
    <w:rsid w:val="004727C2"/>
    <w:rsid w:val="00472DB4"/>
    <w:rsid w:val="004734F1"/>
    <w:rsid w:val="004737EE"/>
    <w:rsid w:val="0047395C"/>
    <w:rsid w:val="004741D6"/>
    <w:rsid w:val="00474C43"/>
    <w:rsid w:val="00474DEB"/>
    <w:rsid w:val="004751DA"/>
    <w:rsid w:val="00475D39"/>
    <w:rsid w:val="00476042"/>
    <w:rsid w:val="004767E9"/>
    <w:rsid w:val="00476D9D"/>
    <w:rsid w:val="00477086"/>
    <w:rsid w:val="00477213"/>
    <w:rsid w:val="004773DF"/>
    <w:rsid w:val="00480298"/>
    <w:rsid w:val="004809ED"/>
    <w:rsid w:val="0048192D"/>
    <w:rsid w:val="00481DE5"/>
    <w:rsid w:val="00481EFB"/>
    <w:rsid w:val="00482255"/>
    <w:rsid w:val="004826E0"/>
    <w:rsid w:val="004828CA"/>
    <w:rsid w:val="00482AD4"/>
    <w:rsid w:val="004839CB"/>
    <w:rsid w:val="00483BD2"/>
    <w:rsid w:val="00484B61"/>
    <w:rsid w:val="00484B94"/>
    <w:rsid w:val="00485070"/>
    <w:rsid w:val="004855CB"/>
    <w:rsid w:val="004856FC"/>
    <w:rsid w:val="00485947"/>
    <w:rsid w:val="004860AB"/>
    <w:rsid w:val="004861BB"/>
    <w:rsid w:val="004862B2"/>
    <w:rsid w:val="00486617"/>
    <w:rsid w:val="0048694C"/>
    <w:rsid w:val="004870F2"/>
    <w:rsid w:val="00487382"/>
    <w:rsid w:val="004873DD"/>
    <w:rsid w:val="004875F7"/>
    <w:rsid w:val="00487811"/>
    <w:rsid w:val="00487C03"/>
    <w:rsid w:val="00490177"/>
    <w:rsid w:val="00490393"/>
    <w:rsid w:val="004904AC"/>
    <w:rsid w:val="0049064F"/>
    <w:rsid w:val="00490B4D"/>
    <w:rsid w:val="004910F5"/>
    <w:rsid w:val="004911E5"/>
    <w:rsid w:val="00491309"/>
    <w:rsid w:val="00491EE0"/>
    <w:rsid w:val="00491FD2"/>
    <w:rsid w:val="0049230A"/>
    <w:rsid w:val="00492E4F"/>
    <w:rsid w:val="0049328F"/>
    <w:rsid w:val="004937E1"/>
    <w:rsid w:val="00493DEB"/>
    <w:rsid w:val="00494331"/>
    <w:rsid w:val="00494C57"/>
    <w:rsid w:val="00495756"/>
    <w:rsid w:val="00495943"/>
    <w:rsid w:val="00495B1B"/>
    <w:rsid w:val="00495DA6"/>
    <w:rsid w:val="004961BA"/>
    <w:rsid w:val="00496585"/>
    <w:rsid w:val="00496633"/>
    <w:rsid w:val="00497032"/>
    <w:rsid w:val="00497B22"/>
    <w:rsid w:val="00497B3C"/>
    <w:rsid w:val="004A013A"/>
    <w:rsid w:val="004A047D"/>
    <w:rsid w:val="004A0D33"/>
    <w:rsid w:val="004A0DAA"/>
    <w:rsid w:val="004A11CE"/>
    <w:rsid w:val="004A12D5"/>
    <w:rsid w:val="004A13A7"/>
    <w:rsid w:val="004A14FD"/>
    <w:rsid w:val="004A187C"/>
    <w:rsid w:val="004A19AD"/>
    <w:rsid w:val="004A28E5"/>
    <w:rsid w:val="004A370D"/>
    <w:rsid w:val="004A38C3"/>
    <w:rsid w:val="004A4481"/>
    <w:rsid w:val="004A465D"/>
    <w:rsid w:val="004A46A3"/>
    <w:rsid w:val="004A4C15"/>
    <w:rsid w:val="004A4E93"/>
    <w:rsid w:val="004A5175"/>
    <w:rsid w:val="004A5509"/>
    <w:rsid w:val="004A5B85"/>
    <w:rsid w:val="004A5CAC"/>
    <w:rsid w:val="004A7380"/>
    <w:rsid w:val="004A777C"/>
    <w:rsid w:val="004B02A5"/>
    <w:rsid w:val="004B16FC"/>
    <w:rsid w:val="004B17B9"/>
    <w:rsid w:val="004B17D5"/>
    <w:rsid w:val="004B19DC"/>
    <w:rsid w:val="004B2382"/>
    <w:rsid w:val="004B2996"/>
    <w:rsid w:val="004B3948"/>
    <w:rsid w:val="004B4010"/>
    <w:rsid w:val="004B4180"/>
    <w:rsid w:val="004B4F2E"/>
    <w:rsid w:val="004B51B3"/>
    <w:rsid w:val="004B5543"/>
    <w:rsid w:val="004B55FA"/>
    <w:rsid w:val="004B58C7"/>
    <w:rsid w:val="004B61FB"/>
    <w:rsid w:val="004B6728"/>
    <w:rsid w:val="004B692D"/>
    <w:rsid w:val="004B7354"/>
    <w:rsid w:val="004B7A6E"/>
    <w:rsid w:val="004B7ABC"/>
    <w:rsid w:val="004C04C4"/>
    <w:rsid w:val="004C0E77"/>
    <w:rsid w:val="004C1204"/>
    <w:rsid w:val="004C1656"/>
    <w:rsid w:val="004C1747"/>
    <w:rsid w:val="004C175A"/>
    <w:rsid w:val="004C25CC"/>
    <w:rsid w:val="004C36FF"/>
    <w:rsid w:val="004C399B"/>
    <w:rsid w:val="004C3B96"/>
    <w:rsid w:val="004C420B"/>
    <w:rsid w:val="004C427B"/>
    <w:rsid w:val="004C44B4"/>
    <w:rsid w:val="004C44F5"/>
    <w:rsid w:val="004C495E"/>
    <w:rsid w:val="004C4979"/>
    <w:rsid w:val="004C4E5B"/>
    <w:rsid w:val="004C6133"/>
    <w:rsid w:val="004C6346"/>
    <w:rsid w:val="004C6706"/>
    <w:rsid w:val="004C68C2"/>
    <w:rsid w:val="004C744F"/>
    <w:rsid w:val="004C798E"/>
    <w:rsid w:val="004D079B"/>
    <w:rsid w:val="004D0A9E"/>
    <w:rsid w:val="004D0AEA"/>
    <w:rsid w:val="004D1106"/>
    <w:rsid w:val="004D1693"/>
    <w:rsid w:val="004D1A4C"/>
    <w:rsid w:val="004D1B9A"/>
    <w:rsid w:val="004D1D60"/>
    <w:rsid w:val="004D20D5"/>
    <w:rsid w:val="004D2696"/>
    <w:rsid w:val="004D3821"/>
    <w:rsid w:val="004D397B"/>
    <w:rsid w:val="004D4D63"/>
    <w:rsid w:val="004D4D6A"/>
    <w:rsid w:val="004D4E25"/>
    <w:rsid w:val="004D4E6F"/>
    <w:rsid w:val="004D52F6"/>
    <w:rsid w:val="004D5F07"/>
    <w:rsid w:val="004D6A68"/>
    <w:rsid w:val="004D7299"/>
    <w:rsid w:val="004D72A0"/>
    <w:rsid w:val="004D7A9C"/>
    <w:rsid w:val="004D7B37"/>
    <w:rsid w:val="004E0000"/>
    <w:rsid w:val="004E094E"/>
    <w:rsid w:val="004E09A7"/>
    <w:rsid w:val="004E09CF"/>
    <w:rsid w:val="004E0A06"/>
    <w:rsid w:val="004E0FB7"/>
    <w:rsid w:val="004E1203"/>
    <w:rsid w:val="004E1679"/>
    <w:rsid w:val="004E2049"/>
    <w:rsid w:val="004E2154"/>
    <w:rsid w:val="004E221C"/>
    <w:rsid w:val="004E2ADD"/>
    <w:rsid w:val="004E2AE4"/>
    <w:rsid w:val="004E309E"/>
    <w:rsid w:val="004E34C4"/>
    <w:rsid w:val="004E350A"/>
    <w:rsid w:val="004E3AA7"/>
    <w:rsid w:val="004E3B33"/>
    <w:rsid w:val="004E3D11"/>
    <w:rsid w:val="004E46C2"/>
    <w:rsid w:val="004E48C7"/>
    <w:rsid w:val="004E48DF"/>
    <w:rsid w:val="004E48F9"/>
    <w:rsid w:val="004E4CAE"/>
    <w:rsid w:val="004E4F9B"/>
    <w:rsid w:val="004E50DE"/>
    <w:rsid w:val="004E556E"/>
    <w:rsid w:val="004E58F8"/>
    <w:rsid w:val="004E6826"/>
    <w:rsid w:val="004E70DC"/>
    <w:rsid w:val="004E785D"/>
    <w:rsid w:val="004E7ACF"/>
    <w:rsid w:val="004F015C"/>
    <w:rsid w:val="004F0711"/>
    <w:rsid w:val="004F07A0"/>
    <w:rsid w:val="004F0C3B"/>
    <w:rsid w:val="004F0C7F"/>
    <w:rsid w:val="004F0F6B"/>
    <w:rsid w:val="004F1134"/>
    <w:rsid w:val="004F1187"/>
    <w:rsid w:val="004F15C2"/>
    <w:rsid w:val="004F166E"/>
    <w:rsid w:val="004F16CF"/>
    <w:rsid w:val="004F1AB7"/>
    <w:rsid w:val="004F1F8B"/>
    <w:rsid w:val="004F225E"/>
    <w:rsid w:val="004F26A1"/>
    <w:rsid w:val="004F2951"/>
    <w:rsid w:val="004F3359"/>
    <w:rsid w:val="004F3F52"/>
    <w:rsid w:val="004F3FE2"/>
    <w:rsid w:val="004F4044"/>
    <w:rsid w:val="004F42A9"/>
    <w:rsid w:val="004F45A7"/>
    <w:rsid w:val="004F6519"/>
    <w:rsid w:val="004F65B4"/>
    <w:rsid w:val="004F66F8"/>
    <w:rsid w:val="004F673D"/>
    <w:rsid w:val="004F6AFE"/>
    <w:rsid w:val="004F6CBD"/>
    <w:rsid w:val="004F6D84"/>
    <w:rsid w:val="004F6F9C"/>
    <w:rsid w:val="004F72CA"/>
    <w:rsid w:val="004F7824"/>
    <w:rsid w:val="004F7C38"/>
    <w:rsid w:val="0050064C"/>
    <w:rsid w:val="00500AFC"/>
    <w:rsid w:val="00500FE4"/>
    <w:rsid w:val="0050102A"/>
    <w:rsid w:val="0050166B"/>
    <w:rsid w:val="00502068"/>
    <w:rsid w:val="0050254C"/>
    <w:rsid w:val="005027B5"/>
    <w:rsid w:val="0050281F"/>
    <w:rsid w:val="00502F67"/>
    <w:rsid w:val="0050395F"/>
    <w:rsid w:val="005045CE"/>
    <w:rsid w:val="00504AD0"/>
    <w:rsid w:val="005052E9"/>
    <w:rsid w:val="005057E9"/>
    <w:rsid w:val="00505BE0"/>
    <w:rsid w:val="00505CDE"/>
    <w:rsid w:val="005070E1"/>
    <w:rsid w:val="00507540"/>
    <w:rsid w:val="005102B4"/>
    <w:rsid w:val="00510433"/>
    <w:rsid w:val="00510877"/>
    <w:rsid w:val="00510BB2"/>
    <w:rsid w:val="00510F4E"/>
    <w:rsid w:val="005111EA"/>
    <w:rsid w:val="00511590"/>
    <w:rsid w:val="0051194B"/>
    <w:rsid w:val="005129C9"/>
    <w:rsid w:val="00512F97"/>
    <w:rsid w:val="00513252"/>
    <w:rsid w:val="00513841"/>
    <w:rsid w:val="00514719"/>
    <w:rsid w:val="0051518F"/>
    <w:rsid w:val="0051526E"/>
    <w:rsid w:val="0051562C"/>
    <w:rsid w:val="0051637D"/>
    <w:rsid w:val="00516702"/>
    <w:rsid w:val="00516DB4"/>
    <w:rsid w:val="00517463"/>
    <w:rsid w:val="0052051B"/>
    <w:rsid w:val="00520932"/>
    <w:rsid w:val="00520D6F"/>
    <w:rsid w:val="00521068"/>
    <w:rsid w:val="00521187"/>
    <w:rsid w:val="005211F5"/>
    <w:rsid w:val="00521AAD"/>
    <w:rsid w:val="0052257B"/>
    <w:rsid w:val="0052288C"/>
    <w:rsid w:val="005234CA"/>
    <w:rsid w:val="00523941"/>
    <w:rsid w:val="00524724"/>
    <w:rsid w:val="00524A17"/>
    <w:rsid w:val="0052588C"/>
    <w:rsid w:val="00525C01"/>
    <w:rsid w:val="00525EB8"/>
    <w:rsid w:val="00526234"/>
    <w:rsid w:val="00526A8B"/>
    <w:rsid w:val="00526FFC"/>
    <w:rsid w:val="005279DB"/>
    <w:rsid w:val="00527B36"/>
    <w:rsid w:val="00530D2E"/>
    <w:rsid w:val="0053135C"/>
    <w:rsid w:val="00531521"/>
    <w:rsid w:val="005317A8"/>
    <w:rsid w:val="00531895"/>
    <w:rsid w:val="00532693"/>
    <w:rsid w:val="005326AE"/>
    <w:rsid w:val="00532710"/>
    <w:rsid w:val="00532BF9"/>
    <w:rsid w:val="0053328F"/>
    <w:rsid w:val="005334E9"/>
    <w:rsid w:val="00534148"/>
    <w:rsid w:val="005346EB"/>
    <w:rsid w:val="00535472"/>
    <w:rsid w:val="00536B03"/>
    <w:rsid w:val="0054003B"/>
    <w:rsid w:val="005407D8"/>
    <w:rsid w:val="00540804"/>
    <w:rsid w:val="005408F8"/>
    <w:rsid w:val="0054135E"/>
    <w:rsid w:val="00541AE9"/>
    <w:rsid w:val="00542CD5"/>
    <w:rsid w:val="00542F88"/>
    <w:rsid w:val="005435F8"/>
    <w:rsid w:val="00543A67"/>
    <w:rsid w:val="00543FD1"/>
    <w:rsid w:val="00544160"/>
    <w:rsid w:val="00544AD9"/>
    <w:rsid w:val="0054544E"/>
    <w:rsid w:val="005463A4"/>
    <w:rsid w:val="00546A2E"/>
    <w:rsid w:val="00546EB1"/>
    <w:rsid w:val="00547559"/>
    <w:rsid w:val="00547EB9"/>
    <w:rsid w:val="00547EEE"/>
    <w:rsid w:val="005501F9"/>
    <w:rsid w:val="005504C9"/>
    <w:rsid w:val="005506FC"/>
    <w:rsid w:val="005507E5"/>
    <w:rsid w:val="0055097E"/>
    <w:rsid w:val="00550986"/>
    <w:rsid w:val="00550FD6"/>
    <w:rsid w:val="005516C7"/>
    <w:rsid w:val="0055263C"/>
    <w:rsid w:val="0055282D"/>
    <w:rsid w:val="0055289E"/>
    <w:rsid w:val="00552CF7"/>
    <w:rsid w:val="005535D0"/>
    <w:rsid w:val="00553766"/>
    <w:rsid w:val="00554678"/>
    <w:rsid w:val="005547A3"/>
    <w:rsid w:val="00554BE2"/>
    <w:rsid w:val="00555032"/>
    <w:rsid w:val="00555316"/>
    <w:rsid w:val="0055560C"/>
    <w:rsid w:val="00555F8B"/>
    <w:rsid w:val="00556228"/>
    <w:rsid w:val="0055628C"/>
    <w:rsid w:val="0055684B"/>
    <w:rsid w:val="00556A45"/>
    <w:rsid w:val="00557C17"/>
    <w:rsid w:val="0056016E"/>
    <w:rsid w:val="00561517"/>
    <w:rsid w:val="00561C5A"/>
    <w:rsid w:val="00562E44"/>
    <w:rsid w:val="00562EBE"/>
    <w:rsid w:val="005630E2"/>
    <w:rsid w:val="005637EC"/>
    <w:rsid w:val="005640CB"/>
    <w:rsid w:val="0056410D"/>
    <w:rsid w:val="00564BB7"/>
    <w:rsid w:val="00564D4C"/>
    <w:rsid w:val="005658C6"/>
    <w:rsid w:val="00566D04"/>
    <w:rsid w:val="00566F96"/>
    <w:rsid w:val="005672E2"/>
    <w:rsid w:val="00567887"/>
    <w:rsid w:val="005678EF"/>
    <w:rsid w:val="0056797F"/>
    <w:rsid w:val="00567C41"/>
    <w:rsid w:val="00570BCA"/>
    <w:rsid w:val="005726FB"/>
    <w:rsid w:val="00572826"/>
    <w:rsid w:val="00572839"/>
    <w:rsid w:val="0057284A"/>
    <w:rsid w:val="0057296B"/>
    <w:rsid w:val="00572A8F"/>
    <w:rsid w:val="00573638"/>
    <w:rsid w:val="005738BA"/>
    <w:rsid w:val="005738F5"/>
    <w:rsid w:val="00573B49"/>
    <w:rsid w:val="00574600"/>
    <w:rsid w:val="00574D83"/>
    <w:rsid w:val="00575147"/>
    <w:rsid w:val="00575A9A"/>
    <w:rsid w:val="00575C7D"/>
    <w:rsid w:val="0057642B"/>
    <w:rsid w:val="00576DFB"/>
    <w:rsid w:val="00576E1B"/>
    <w:rsid w:val="005772F9"/>
    <w:rsid w:val="00577AE6"/>
    <w:rsid w:val="00577CDC"/>
    <w:rsid w:val="0058038B"/>
    <w:rsid w:val="00580ADC"/>
    <w:rsid w:val="00580E56"/>
    <w:rsid w:val="00581079"/>
    <w:rsid w:val="0058157A"/>
    <w:rsid w:val="00581CEA"/>
    <w:rsid w:val="00582272"/>
    <w:rsid w:val="00582C40"/>
    <w:rsid w:val="0058337E"/>
    <w:rsid w:val="005839CE"/>
    <w:rsid w:val="00583CC6"/>
    <w:rsid w:val="00583E68"/>
    <w:rsid w:val="005842AD"/>
    <w:rsid w:val="00584561"/>
    <w:rsid w:val="0058496D"/>
    <w:rsid w:val="00585527"/>
    <w:rsid w:val="0058583F"/>
    <w:rsid w:val="00585A65"/>
    <w:rsid w:val="00585E29"/>
    <w:rsid w:val="00586295"/>
    <w:rsid w:val="005874DA"/>
    <w:rsid w:val="005877D4"/>
    <w:rsid w:val="00587AC7"/>
    <w:rsid w:val="005902ED"/>
    <w:rsid w:val="00590DB9"/>
    <w:rsid w:val="0059102D"/>
    <w:rsid w:val="0059182B"/>
    <w:rsid w:val="005919C6"/>
    <w:rsid w:val="00591FF7"/>
    <w:rsid w:val="0059234E"/>
    <w:rsid w:val="00592368"/>
    <w:rsid w:val="0059287E"/>
    <w:rsid w:val="0059290F"/>
    <w:rsid w:val="00593315"/>
    <w:rsid w:val="0059376C"/>
    <w:rsid w:val="00593771"/>
    <w:rsid w:val="00593B2F"/>
    <w:rsid w:val="00593FCF"/>
    <w:rsid w:val="00594A1E"/>
    <w:rsid w:val="00594E8A"/>
    <w:rsid w:val="005955BD"/>
    <w:rsid w:val="00595AD5"/>
    <w:rsid w:val="0059613D"/>
    <w:rsid w:val="005967E2"/>
    <w:rsid w:val="0059740D"/>
    <w:rsid w:val="00597DD3"/>
    <w:rsid w:val="00597FE0"/>
    <w:rsid w:val="005A0528"/>
    <w:rsid w:val="005A0653"/>
    <w:rsid w:val="005A0BE1"/>
    <w:rsid w:val="005A0D13"/>
    <w:rsid w:val="005A0F3F"/>
    <w:rsid w:val="005A1535"/>
    <w:rsid w:val="005A19CD"/>
    <w:rsid w:val="005A1D26"/>
    <w:rsid w:val="005A23F4"/>
    <w:rsid w:val="005A310E"/>
    <w:rsid w:val="005A43C6"/>
    <w:rsid w:val="005A44CA"/>
    <w:rsid w:val="005A4A00"/>
    <w:rsid w:val="005A4A4F"/>
    <w:rsid w:val="005A54C3"/>
    <w:rsid w:val="005A5874"/>
    <w:rsid w:val="005A587D"/>
    <w:rsid w:val="005A5B9E"/>
    <w:rsid w:val="005A615E"/>
    <w:rsid w:val="005A67E2"/>
    <w:rsid w:val="005A6B8D"/>
    <w:rsid w:val="005A6CF2"/>
    <w:rsid w:val="005A78EA"/>
    <w:rsid w:val="005A7917"/>
    <w:rsid w:val="005A7C13"/>
    <w:rsid w:val="005A7D3A"/>
    <w:rsid w:val="005B00CF"/>
    <w:rsid w:val="005B02C7"/>
    <w:rsid w:val="005B086F"/>
    <w:rsid w:val="005B0D49"/>
    <w:rsid w:val="005B16DB"/>
    <w:rsid w:val="005B205B"/>
    <w:rsid w:val="005B292E"/>
    <w:rsid w:val="005B2F2A"/>
    <w:rsid w:val="005B3539"/>
    <w:rsid w:val="005B365F"/>
    <w:rsid w:val="005B3AF3"/>
    <w:rsid w:val="005B44C1"/>
    <w:rsid w:val="005B44C6"/>
    <w:rsid w:val="005B490F"/>
    <w:rsid w:val="005B4BF8"/>
    <w:rsid w:val="005B5F0A"/>
    <w:rsid w:val="005B6088"/>
    <w:rsid w:val="005B60A7"/>
    <w:rsid w:val="005B6210"/>
    <w:rsid w:val="005B64B4"/>
    <w:rsid w:val="005B6777"/>
    <w:rsid w:val="005B71FB"/>
    <w:rsid w:val="005B72C7"/>
    <w:rsid w:val="005B75FB"/>
    <w:rsid w:val="005B79CF"/>
    <w:rsid w:val="005B7B63"/>
    <w:rsid w:val="005B7B76"/>
    <w:rsid w:val="005B7EC9"/>
    <w:rsid w:val="005C0387"/>
    <w:rsid w:val="005C0533"/>
    <w:rsid w:val="005C09B8"/>
    <w:rsid w:val="005C0A60"/>
    <w:rsid w:val="005C11BD"/>
    <w:rsid w:val="005C1372"/>
    <w:rsid w:val="005C1606"/>
    <w:rsid w:val="005C17A8"/>
    <w:rsid w:val="005C181F"/>
    <w:rsid w:val="005C1FF4"/>
    <w:rsid w:val="005C247C"/>
    <w:rsid w:val="005C2725"/>
    <w:rsid w:val="005C320E"/>
    <w:rsid w:val="005C3EAB"/>
    <w:rsid w:val="005C42AE"/>
    <w:rsid w:val="005C43DB"/>
    <w:rsid w:val="005C4588"/>
    <w:rsid w:val="005C4BBB"/>
    <w:rsid w:val="005C50E9"/>
    <w:rsid w:val="005C55D4"/>
    <w:rsid w:val="005C5C2E"/>
    <w:rsid w:val="005C6639"/>
    <w:rsid w:val="005C6D37"/>
    <w:rsid w:val="005C715F"/>
    <w:rsid w:val="005C71B4"/>
    <w:rsid w:val="005D0140"/>
    <w:rsid w:val="005D03D4"/>
    <w:rsid w:val="005D0781"/>
    <w:rsid w:val="005D09DE"/>
    <w:rsid w:val="005D1067"/>
    <w:rsid w:val="005D1841"/>
    <w:rsid w:val="005D186C"/>
    <w:rsid w:val="005D1F84"/>
    <w:rsid w:val="005D227D"/>
    <w:rsid w:val="005D234D"/>
    <w:rsid w:val="005D239C"/>
    <w:rsid w:val="005D2506"/>
    <w:rsid w:val="005D30C3"/>
    <w:rsid w:val="005D3176"/>
    <w:rsid w:val="005D3714"/>
    <w:rsid w:val="005D3905"/>
    <w:rsid w:val="005D3CED"/>
    <w:rsid w:val="005D4813"/>
    <w:rsid w:val="005D4A91"/>
    <w:rsid w:val="005D4CA7"/>
    <w:rsid w:val="005D4CD7"/>
    <w:rsid w:val="005D5578"/>
    <w:rsid w:val="005D5D60"/>
    <w:rsid w:val="005D5D87"/>
    <w:rsid w:val="005D63E2"/>
    <w:rsid w:val="005D657E"/>
    <w:rsid w:val="005D662A"/>
    <w:rsid w:val="005D6928"/>
    <w:rsid w:val="005D6B2E"/>
    <w:rsid w:val="005D6D34"/>
    <w:rsid w:val="005D72A9"/>
    <w:rsid w:val="005E0E51"/>
    <w:rsid w:val="005E145D"/>
    <w:rsid w:val="005E1A45"/>
    <w:rsid w:val="005E2066"/>
    <w:rsid w:val="005E2224"/>
    <w:rsid w:val="005E2861"/>
    <w:rsid w:val="005E2A9B"/>
    <w:rsid w:val="005E2D3E"/>
    <w:rsid w:val="005E2E17"/>
    <w:rsid w:val="005E2E92"/>
    <w:rsid w:val="005E3530"/>
    <w:rsid w:val="005E399A"/>
    <w:rsid w:val="005E4099"/>
    <w:rsid w:val="005E4529"/>
    <w:rsid w:val="005E4C40"/>
    <w:rsid w:val="005E57A3"/>
    <w:rsid w:val="005E5B2A"/>
    <w:rsid w:val="005E63F1"/>
    <w:rsid w:val="005E6710"/>
    <w:rsid w:val="005E6925"/>
    <w:rsid w:val="005E6F0F"/>
    <w:rsid w:val="005E706C"/>
    <w:rsid w:val="005E7149"/>
    <w:rsid w:val="005E73E6"/>
    <w:rsid w:val="005E7633"/>
    <w:rsid w:val="005E79E3"/>
    <w:rsid w:val="005E7B48"/>
    <w:rsid w:val="005E7B91"/>
    <w:rsid w:val="005E7DDE"/>
    <w:rsid w:val="005F00FE"/>
    <w:rsid w:val="005F0612"/>
    <w:rsid w:val="005F07D0"/>
    <w:rsid w:val="005F0C45"/>
    <w:rsid w:val="005F0E4D"/>
    <w:rsid w:val="005F0FA3"/>
    <w:rsid w:val="005F0FE1"/>
    <w:rsid w:val="005F149E"/>
    <w:rsid w:val="005F1812"/>
    <w:rsid w:val="005F18BE"/>
    <w:rsid w:val="005F1A4E"/>
    <w:rsid w:val="005F1B53"/>
    <w:rsid w:val="005F254F"/>
    <w:rsid w:val="005F2815"/>
    <w:rsid w:val="005F3000"/>
    <w:rsid w:val="005F3091"/>
    <w:rsid w:val="005F322E"/>
    <w:rsid w:val="005F336E"/>
    <w:rsid w:val="005F3730"/>
    <w:rsid w:val="005F3E4D"/>
    <w:rsid w:val="005F43C7"/>
    <w:rsid w:val="005F4B48"/>
    <w:rsid w:val="005F5151"/>
    <w:rsid w:val="005F57A4"/>
    <w:rsid w:val="005F59B8"/>
    <w:rsid w:val="005F5B1B"/>
    <w:rsid w:val="005F6005"/>
    <w:rsid w:val="005F6398"/>
    <w:rsid w:val="005F6BEB"/>
    <w:rsid w:val="005F7261"/>
    <w:rsid w:val="005F7A41"/>
    <w:rsid w:val="005F7B42"/>
    <w:rsid w:val="005F7D9A"/>
    <w:rsid w:val="00600546"/>
    <w:rsid w:val="006018DC"/>
    <w:rsid w:val="00601BC9"/>
    <w:rsid w:val="00602BB1"/>
    <w:rsid w:val="00602CA3"/>
    <w:rsid w:val="00602EE8"/>
    <w:rsid w:val="00603223"/>
    <w:rsid w:val="0060338D"/>
    <w:rsid w:val="006038A1"/>
    <w:rsid w:val="006039E8"/>
    <w:rsid w:val="00603A53"/>
    <w:rsid w:val="00603BE5"/>
    <w:rsid w:val="006053B3"/>
    <w:rsid w:val="0060623B"/>
    <w:rsid w:val="00606A11"/>
    <w:rsid w:val="0060703D"/>
    <w:rsid w:val="006070B5"/>
    <w:rsid w:val="00607557"/>
    <w:rsid w:val="00607FD7"/>
    <w:rsid w:val="006100F6"/>
    <w:rsid w:val="00610536"/>
    <w:rsid w:val="00611E2C"/>
    <w:rsid w:val="0061209A"/>
    <w:rsid w:val="0061219B"/>
    <w:rsid w:val="00612736"/>
    <w:rsid w:val="00613573"/>
    <w:rsid w:val="006144D9"/>
    <w:rsid w:val="0061462C"/>
    <w:rsid w:val="006147C9"/>
    <w:rsid w:val="00615598"/>
    <w:rsid w:val="0061588E"/>
    <w:rsid w:val="00615D30"/>
    <w:rsid w:val="00615EDD"/>
    <w:rsid w:val="006160AD"/>
    <w:rsid w:val="006166D3"/>
    <w:rsid w:val="0061700F"/>
    <w:rsid w:val="00617B6B"/>
    <w:rsid w:val="00617C5E"/>
    <w:rsid w:val="00620A3C"/>
    <w:rsid w:val="00620E64"/>
    <w:rsid w:val="00621CD0"/>
    <w:rsid w:val="00621CE3"/>
    <w:rsid w:val="006224D1"/>
    <w:rsid w:val="00624283"/>
    <w:rsid w:val="0062468D"/>
    <w:rsid w:val="006250A2"/>
    <w:rsid w:val="0062529B"/>
    <w:rsid w:val="0062584F"/>
    <w:rsid w:val="00625BE6"/>
    <w:rsid w:val="006262B3"/>
    <w:rsid w:val="006263D1"/>
    <w:rsid w:val="0062640A"/>
    <w:rsid w:val="00626412"/>
    <w:rsid w:val="00627186"/>
    <w:rsid w:val="00627C66"/>
    <w:rsid w:val="00627CA7"/>
    <w:rsid w:val="00630A15"/>
    <w:rsid w:val="00630A7D"/>
    <w:rsid w:val="00630C28"/>
    <w:rsid w:val="006311EF"/>
    <w:rsid w:val="0063191F"/>
    <w:rsid w:val="00631A56"/>
    <w:rsid w:val="00631CE7"/>
    <w:rsid w:val="006324B5"/>
    <w:rsid w:val="00632C22"/>
    <w:rsid w:val="006333BE"/>
    <w:rsid w:val="00633571"/>
    <w:rsid w:val="006336B3"/>
    <w:rsid w:val="00633BA1"/>
    <w:rsid w:val="00633D7C"/>
    <w:rsid w:val="0063462F"/>
    <w:rsid w:val="00634C01"/>
    <w:rsid w:val="00634FBD"/>
    <w:rsid w:val="00635D08"/>
    <w:rsid w:val="00635E8E"/>
    <w:rsid w:val="00635EAC"/>
    <w:rsid w:val="006368A1"/>
    <w:rsid w:val="00636AE8"/>
    <w:rsid w:val="00636DF8"/>
    <w:rsid w:val="006374ED"/>
    <w:rsid w:val="00637A47"/>
    <w:rsid w:val="00637EE1"/>
    <w:rsid w:val="00637F9D"/>
    <w:rsid w:val="00640202"/>
    <w:rsid w:val="00640B3C"/>
    <w:rsid w:val="00640B7E"/>
    <w:rsid w:val="00640BC9"/>
    <w:rsid w:val="00640D33"/>
    <w:rsid w:val="00640DDF"/>
    <w:rsid w:val="00641236"/>
    <w:rsid w:val="00641503"/>
    <w:rsid w:val="00642467"/>
    <w:rsid w:val="00642D2A"/>
    <w:rsid w:val="00643D24"/>
    <w:rsid w:val="00643D68"/>
    <w:rsid w:val="006442B5"/>
    <w:rsid w:val="00644ECD"/>
    <w:rsid w:val="0064515B"/>
    <w:rsid w:val="006458C1"/>
    <w:rsid w:val="006465E7"/>
    <w:rsid w:val="0065000C"/>
    <w:rsid w:val="0065056B"/>
    <w:rsid w:val="00650BCB"/>
    <w:rsid w:val="00650CB0"/>
    <w:rsid w:val="00651319"/>
    <w:rsid w:val="00651A0A"/>
    <w:rsid w:val="00651A92"/>
    <w:rsid w:val="0065208E"/>
    <w:rsid w:val="006524DF"/>
    <w:rsid w:val="00652CE9"/>
    <w:rsid w:val="00653100"/>
    <w:rsid w:val="0065383E"/>
    <w:rsid w:val="00653B08"/>
    <w:rsid w:val="00653E72"/>
    <w:rsid w:val="0065477E"/>
    <w:rsid w:val="00655CD9"/>
    <w:rsid w:val="00656121"/>
    <w:rsid w:val="00656147"/>
    <w:rsid w:val="0065682F"/>
    <w:rsid w:val="00657529"/>
    <w:rsid w:val="00657893"/>
    <w:rsid w:val="006600D6"/>
    <w:rsid w:val="00660112"/>
    <w:rsid w:val="00660122"/>
    <w:rsid w:val="006604C6"/>
    <w:rsid w:val="00661027"/>
    <w:rsid w:val="0066113E"/>
    <w:rsid w:val="0066157D"/>
    <w:rsid w:val="0066170C"/>
    <w:rsid w:val="0066181E"/>
    <w:rsid w:val="006631AD"/>
    <w:rsid w:val="00663AB0"/>
    <w:rsid w:val="00663DBB"/>
    <w:rsid w:val="00663DBC"/>
    <w:rsid w:val="006640ED"/>
    <w:rsid w:val="00664F6A"/>
    <w:rsid w:val="00664F99"/>
    <w:rsid w:val="0066526A"/>
    <w:rsid w:val="00665D29"/>
    <w:rsid w:val="0066759C"/>
    <w:rsid w:val="00667851"/>
    <w:rsid w:val="00667C25"/>
    <w:rsid w:val="0067099A"/>
    <w:rsid w:val="00670F68"/>
    <w:rsid w:val="006712E0"/>
    <w:rsid w:val="0067140D"/>
    <w:rsid w:val="00671818"/>
    <w:rsid w:val="00671975"/>
    <w:rsid w:val="00671CB6"/>
    <w:rsid w:val="00671E72"/>
    <w:rsid w:val="00671F69"/>
    <w:rsid w:val="00672F15"/>
    <w:rsid w:val="0067333D"/>
    <w:rsid w:val="00673506"/>
    <w:rsid w:val="00673972"/>
    <w:rsid w:val="00673AA6"/>
    <w:rsid w:val="00673F07"/>
    <w:rsid w:val="00674035"/>
    <w:rsid w:val="0067419F"/>
    <w:rsid w:val="006759DC"/>
    <w:rsid w:val="00675D13"/>
    <w:rsid w:val="00675FB0"/>
    <w:rsid w:val="0067658A"/>
    <w:rsid w:val="0067659F"/>
    <w:rsid w:val="006770AB"/>
    <w:rsid w:val="0067710E"/>
    <w:rsid w:val="006771E7"/>
    <w:rsid w:val="00677C41"/>
    <w:rsid w:val="006811A8"/>
    <w:rsid w:val="00681546"/>
    <w:rsid w:val="00681E8E"/>
    <w:rsid w:val="00682565"/>
    <w:rsid w:val="006825BB"/>
    <w:rsid w:val="0068280E"/>
    <w:rsid w:val="00683152"/>
    <w:rsid w:val="0068344D"/>
    <w:rsid w:val="006835C2"/>
    <w:rsid w:val="006839DD"/>
    <w:rsid w:val="00684230"/>
    <w:rsid w:val="0068432A"/>
    <w:rsid w:val="0068456D"/>
    <w:rsid w:val="00684612"/>
    <w:rsid w:val="00684A62"/>
    <w:rsid w:val="00685867"/>
    <w:rsid w:val="00685A9A"/>
    <w:rsid w:val="00686261"/>
    <w:rsid w:val="006867F6"/>
    <w:rsid w:val="00686AD6"/>
    <w:rsid w:val="00686B02"/>
    <w:rsid w:val="0068762A"/>
    <w:rsid w:val="006876F5"/>
    <w:rsid w:val="006879FC"/>
    <w:rsid w:val="00687BF3"/>
    <w:rsid w:val="00690C68"/>
    <w:rsid w:val="00691514"/>
    <w:rsid w:val="00691F9D"/>
    <w:rsid w:val="00692976"/>
    <w:rsid w:val="00692D22"/>
    <w:rsid w:val="00693970"/>
    <w:rsid w:val="0069408D"/>
    <w:rsid w:val="006949F8"/>
    <w:rsid w:val="00694E85"/>
    <w:rsid w:val="00695CAF"/>
    <w:rsid w:val="00695EE6"/>
    <w:rsid w:val="006962C0"/>
    <w:rsid w:val="00697CBA"/>
    <w:rsid w:val="00697EC0"/>
    <w:rsid w:val="006A0584"/>
    <w:rsid w:val="006A09D7"/>
    <w:rsid w:val="006A09F6"/>
    <w:rsid w:val="006A0D93"/>
    <w:rsid w:val="006A21B7"/>
    <w:rsid w:val="006A25F2"/>
    <w:rsid w:val="006A3150"/>
    <w:rsid w:val="006A3256"/>
    <w:rsid w:val="006A3287"/>
    <w:rsid w:val="006A3574"/>
    <w:rsid w:val="006A3C43"/>
    <w:rsid w:val="006A4F8E"/>
    <w:rsid w:val="006A55F5"/>
    <w:rsid w:val="006A6935"/>
    <w:rsid w:val="006A73B5"/>
    <w:rsid w:val="006A7811"/>
    <w:rsid w:val="006A7EDA"/>
    <w:rsid w:val="006B0A38"/>
    <w:rsid w:val="006B24EC"/>
    <w:rsid w:val="006B2D45"/>
    <w:rsid w:val="006B312A"/>
    <w:rsid w:val="006B33E0"/>
    <w:rsid w:val="006B363A"/>
    <w:rsid w:val="006B443F"/>
    <w:rsid w:val="006B4CA4"/>
    <w:rsid w:val="006B4D69"/>
    <w:rsid w:val="006B4E97"/>
    <w:rsid w:val="006B5907"/>
    <w:rsid w:val="006B5C52"/>
    <w:rsid w:val="006B5E11"/>
    <w:rsid w:val="006B6042"/>
    <w:rsid w:val="006B60A0"/>
    <w:rsid w:val="006B69D5"/>
    <w:rsid w:val="006B6ED8"/>
    <w:rsid w:val="006B72D5"/>
    <w:rsid w:val="006B7541"/>
    <w:rsid w:val="006B7FA2"/>
    <w:rsid w:val="006C02FE"/>
    <w:rsid w:val="006C152F"/>
    <w:rsid w:val="006C15B3"/>
    <w:rsid w:val="006C1C47"/>
    <w:rsid w:val="006C203F"/>
    <w:rsid w:val="006C2140"/>
    <w:rsid w:val="006C2C6F"/>
    <w:rsid w:val="006C2EEC"/>
    <w:rsid w:val="006C315B"/>
    <w:rsid w:val="006C41DA"/>
    <w:rsid w:val="006C565A"/>
    <w:rsid w:val="006C594B"/>
    <w:rsid w:val="006C59D5"/>
    <w:rsid w:val="006C6042"/>
    <w:rsid w:val="006C60F0"/>
    <w:rsid w:val="006C6802"/>
    <w:rsid w:val="006C6960"/>
    <w:rsid w:val="006C6A18"/>
    <w:rsid w:val="006C6E96"/>
    <w:rsid w:val="006C6FDC"/>
    <w:rsid w:val="006C7744"/>
    <w:rsid w:val="006C7BAE"/>
    <w:rsid w:val="006D084E"/>
    <w:rsid w:val="006D0E12"/>
    <w:rsid w:val="006D1897"/>
    <w:rsid w:val="006D2AA8"/>
    <w:rsid w:val="006D2BC7"/>
    <w:rsid w:val="006D2FA5"/>
    <w:rsid w:val="006D3816"/>
    <w:rsid w:val="006D43CF"/>
    <w:rsid w:val="006D4674"/>
    <w:rsid w:val="006D46A8"/>
    <w:rsid w:val="006D48E4"/>
    <w:rsid w:val="006D48F5"/>
    <w:rsid w:val="006D4AF6"/>
    <w:rsid w:val="006D4D2B"/>
    <w:rsid w:val="006D554B"/>
    <w:rsid w:val="006D5835"/>
    <w:rsid w:val="006D5A69"/>
    <w:rsid w:val="006D6279"/>
    <w:rsid w:val="006D6657"/>
    <w:rsid w:val="006D708C"/>
    <w:rsid w:val="006D71B4"/>
    <w:rsid w:val="006D796D"/>
    <w:rsid w:val="006D7D88"/>
    <w:rsid w:val="006E0342"/>
    <w:rsid w:val="006E04EB"/>
    <w:rsid w:val="006E0983"/>
    <w:rsid w:val="006E0CFC"/>
    <w:rsid w:val="006E0D9A"/>
    <w:rsid w:val="006E0F0D"/>
    <w:rsid w:val="006E1BC4"/>
    <w:rsid w:val="006E21F6"/>
    <w:rsid w:val="006E2A2C"/>
    <w:rsid w:val="006E35E5"/>
    <w:rsid w:val="006E4B6E"/>
    <w:rsid w:val="006E50E4"/>
    <w:rsid w:val="006E5CCB"/>
    <w:rsid w:val="006E5E02"/>
    <w:rsid w:val="006E6035"/>
    <w:rsid w:val="006E61AE"/>
    <w:rsid w:val="006E6912"/>
    <w:rsid w:val="006E73C9"/>
    <w:rsid w:val="006E7F1E"/>
    <w:rsid w:val="006F06CD"/>
    <w:rsid w:val="006F0D6C"/>
    <w:rsid w:val="006F13FF"/>
    <w:rsid w:val="006F192E"/>
    <w:rsid w:val="006F23E5"/>
    <w:rsid w:val="006F2984"/>
    <w:rsid w:val="006F2CC9"/>
    <w:rsid w:val="006F3CCA"/>
    <w:rsid w:val="006F3E06"/>
    <w:rsid w:val="006F5146"/>
    <w:rsid w:val="006F5618"/>
    <w:rsid w:val="006F5A18"/>
    <w:rsid w:val="006F5A66"/>
    <w:rsid w:val="006F662C"/>
    <w:rsid w:val="006F79B9"/>
    <w:rsid w:val="006F7BCE"/>
    <w:rsid w:val="007012ED"/>
    <w:rsid w:val="007016C9"/>
    <w:rsid w:val="0070198E"/>
    <w:rsid w:val="00701D4B"/>
    <w:rsid w:val="00701E89"/>
    <w:rsid w:val="007022C3"/>
    <w:rsid w:val="007023B6"/>
    <w:rsid w:val="00703650"/>
    <w:rsid w:val="00704B89"/>
    <w:rsid w:val="007053E7"/>
    <w:rsid w:val="007053F8"/>
    <w:rsid w:val="0070567C"/>
    <w:rsid w:val="00705779"/>
    <w:rsid w:val="007059CF"/>
    <w:rsid w:val="00705AF0"/>
    <w:rsid w:val="00705F19"/>
    <w:rsid w:val="00707500"/>
    <w:rsid w:val="00707964"/>
    <w:rsid w:val="00707CDB"/>
    <w:rsid w:val="007104FE"/>
    <w:rsid w:val="00710842"/>
    <w:rsid w:val="00711083"/>
    <w:rsid w:val="0071159C"/>
    <w:rsid w:val="00711ABD"/>
    <w:rsid w:val="00712D00"/>
    <w:rsid w:val="00714187"/>
    <w:rsid w:val="0071443B"/>
    <w:rsid w:val="0071466F"/>
    <w:rsid w:val="00714992"/>
    <w:rsid w:val="00714E37"/>
    <w:rsid w:val="0071653E"/>
    <w:rsid w:val="007165A8"/>
    <w:rsid w:val="00716AEC"/>
    <w:rsid w:val="00716D3F"/>
    <w:rsid w:val="00716D90"/>
    <w:rsid w:val="0071758B"/>
    <w:rsid w:val="00717E19"/>
    <w:rsid w:val="0072001B"/>
    <w:rsid w:val="007201B7"/>
    <w:rsid w:val="00720A2E"/>
    <w:rsid w:val="00720A90"/>
    <w:rsid w:val="00720B2F"/>
    <w:rsid w:val="00720C04"/>
    <w:rsid w:val="007211A9"/>
    <w:rsid w:val="00721673"/>
    <w:rsid w:val="007221F4"/>
    <w:rsid w:val="00722367"/>
    <w:rsid w:val="00722A7A"/>
    <w:rsid w:val="00722AD8"/>
    <w:rsid w:val="00723148"/>
    <w:rsid w:val="00723598"/>
    <w:rsid w:val="00723656"/>
    <w:rsid w:val="00723AD6"/>
    <w:rsid w:val="00723F0D"/>
    <w:rsid w:val="007248FD"/>
    <w:rsid w:val="00724A03"/>
    <w:rsid w:val="00724AF2"/>
    <w:rsid w:val="00724CFC"/>
    <w:rsid w:val="00725079"/>
    <w:rsid w:val="0072522D"/>
    <w:rsid w:val="007255DF"/>
    <w:rsid w:val="00725A47"/>
    <w:rsid w:val="0072605E"/>
    <w:rsid w:val="007263CA"/>
    <w:rsid w:val="0072646E"/>
    <w:rsid w:val="0072647C"/>
    <w:rsid w:val="0072653E"/>
    <w:rsid w:val="007268FC"/>
    <w:rsid w:val="00726BAB"/>
    <w:rsid w:val="00726FEB"/>
    <w:rsid w:val="00730061"/>
    <w:rsid w:val="007302FC"/>
    <w:rsid w:val="00730515"/>
    <w:rsid w:val="00730518"/>
    <w:rsid w:val="0073065B"/>
    <w:rsid w:val="00732602"/>
    <w:rsid w:val="00732869"/>
    <w:rsid w:val="00732E8A"/>
    <w:rsid w:val="007336A5"/>
    <w:rsid w:val="0073404C"/>
    <w:rsid w:val="00734154"/>
    <w:rsid w:val="00734E72"/>
    <w:rsid w:val="0073522F"/>
    <w:rsid w:val="0073567C"/>
    <w:rsid w:val="007359E0"/>
    <w:rsid w:val="00735C79"/>
    <w:rsid w:val="007369D2"/>
    <w:rsid w:val="00736B81"/>
    <w:rsid w:val="0073779D"/>
    <w:rsid w:val="00737ED3"/>
    <w:rsid w:val="00740151"/>
    <w:rsid w:val="00740A80"/>
    <w:rsid w:val="00740AC2"/>
    <w:rsid w:val="00740B2B"/>
    <w:rsid w:val="007411F7"/>
    <w:rsid w:val="00741BC4"/>
    <w:rsid w:val="00742503"/>
    <w:rsid w:val="00742CF6"/>
    <w:rsid w:val="00742DC5"/>
    <w:rsid w:val="00743868"/>
    <w:rsid w:val="007439CA"/>
    <w:rsid w:val="00743A9D"/>
    <w:rsid w:val="00743CA2"/>
    <w:rsid w:val="0074406D"/>
    <w:rsid w:val="00744EC1"/>
    <w:rsid w:val="00745471"/>
    <w:rsid w:val="007454E4"/>
    <w:rsid w:val="00745DAD"/>
    <w:rsid w:val="00745E32"/>
    <w:rsid w:val="00746A69"/>
    <w:rsid w:val="00746C1F"/>
    <w:rsid w:val="00747326"/>
    <w:rsid w:val="0074763E"/>
    <w:rsid w:val="00747BDF"/>
    <w:rsid w:val="00750A1E"/>
    <w:rsid w:val="00750E9F"/>
    <w:rsid w:val="00751519"/>
    <w:rsid w:val="00751B20"/>
    <w:rsid w:val="00751CA0"/>
    <w:rsid w:val="00751F34"/>
    <w:rsid w:val="007527A4"/>
    <w:rsid w:val="00752917"/>
    <w:rsid w:val="00752943"/>
    <w:rsid w:val="007536DC"/>
    <w:rsid w:val="0075448A"/>
    <w:rsid w:val="007546B7"/>
    <w:rsid w:val="0075579B"/>
    <w:rsid w:val="007558BA"/>
    <w:rsid w:val="00755B39"/>
    <w:rsid w:val="007568A7"/>
    <w:rsid w:val="007579E4"/>
    <w:rsid w:val="00757A2A"/>
    <w:rsid w:val="00757C63"/>
    <w:rsid w:val="00760269"/>
    <w:rsid w:val="0076136F"/>
    <w:rsid w:val="0076139F"/>
    <w:rsid w:val="007614FF"/>
    <w:rsid w:val="007616AE"/>
    <w:rsid w:val="00761779"/>
    <w:rsid w:val="007623B0"/>
    <w:rsid w:val="0076253E"/>
    <w:rsid w:val="007627CA"/>
    <w:rsid w:val="00762A46"/>
    <w:rsid w:val="00762AA5"/>
    <w:rsid w:val="00764335"/>
    <w:rsid w:val="00764637"/>
    <w:rsid w:val="00764904"/>
    <w:rsid w:val="00765972"/>
    <w:rsid w:val="00765D76"/>
    <w:rsid w:val="007665E5"/>
    <w:rsid w:val="00767477"/>
    <w:rsid w:val="007675EA"/>
    <w:rsid w:val="00770025"/>
    <w:rsid w:val="007703BC"/>
    <w:rsid w:val="00770780"/>
    <w:rsid w:val="00770DED"/>
    <w:rsid w:val="007711FA"/>
    <w:rsid w:val="00771A34"/>
    <w:rsid w:val="00771D6F"/>
    <w:rsid w:val="00772097"/>
    <w:rsid w:val="00772301"/>
    <w:rsid w:val="007729D2"/>
    <w:rsid w:val="00773250"/>
    <w:rsid w:val="00773436"/>
    <w:rsid w:val="0077403C"/>
    <w:rsid w:val="0077448A"/>
    <w:rsid w:val="00775D6E"/>
    <w:rsid w:val="00776005"/>
    <w:rsid w:val="00776159"/>
    <w:rsid w:val="0077647B"/>
    <w:rsid w:val="00776D28"/>
    <w:rsid w:val="00777074"/>
    <w:rsid w:val="0077738C"/>
    <w:rsid w:val="00777595"/>
    <w:rsid w:val="007775FF"/>
    <w:rsid w:val="00777ABB"/>
    <w:rsid w:val="007806FF"/>
    <w:rsid w:val="00780EE7"/>
    <w:rsid w:val="007818ED"/>
    <w:rsid w:val="00781A1B"/>
    <w:rsid w:val="00781A97"/>
    <w:rsid w:val="00781C47"/>
    <w:rsid w:val="00781E2D"/>
    <w:rsid w:val="007824B0"/>
    <w:rsid w:val="00782D95"/>
    <w:rsid w:val="00782E1A"/>
    <w:rsid w:val="00783004"/>
    <w:rsid w:val="007831B5"/>
    <w:rsid w:val="007842A9"/>
    <w:rsid w:val="00784A86"/>
    <w:rsid w:val="00784D7F"/>
    <w:rsid w:val="00784EC2"/>
    <w:rsid w:val="0078505B"/>
    <w:rsid w:val="007850AA"/>
    <w:rsid w:val="00785586"/>
    <w:rsid w:val="00785A9B"/>
    <w:rsid w:val="00785E7E"/>
    <w:rsid w:val="00786DE0"/>
    <w:rsid w:val="00786F09"/>
    <w:rsid w:val="007879A0"/>
    <w:rsid w:val="00787DA6"/>
    <w:rsid w:val="00791078"/>
    <w:rsid w:val="007917EB"/>
    <w:rsid w:val="0079198D"/>
    <w:rsid w:val="00791A85"/>
    <w:rsid w:val="00791DF3"/>
    <w:rsid w:val="00792179"/>
    <w:rsid w:val="00793827"/>
    <w:rsid w:val="00794171"/>
    <w:rsid w:val="00794399"/>
    <w:rsid w:val="007956B0"/>
    <w:rsid w:val="007957B4"/>
    <w:rsid w:val="00795C6F"/>
    <w:rsid w:val="00795CAB"/>
    <w:rsid w:val="00795E7F"/>
    <w:rsid w:val="00795FAF"/>
    <w:rsid w:val="007965A8"/>
    <w:rsid w:val="007969A1"/>
    <w:rsid w:val="00796D1D"/>
    <w:rsid w:val="007974FF"/>
    <w:rsid w:val="00797990"/>
    <w:rsid w:val="007A064B"/>
    <w:rsid w:val="007A0E0F"/>
    <w:rsid w:val="007A1069"/>
    <w:rsid w:val="007A13E8"/>
    <w:rsid w:val="007A1B43"/>
    <w:rsid w:val="007A1BCE"/>
    <w:rsid w:val="007A3218"/>
    <w:rsid w:val="007A381E"/>
    <w:rsid w:val="007A39CB"/>
    <w:rsid w:val="007A39F9"/>
    <w:rsid w:val="007A3BF3"/>
    <w:rsid w:val="007A432F"/>
    <w:rsid w:val="007A4373"/>
    <w:rsid w:val="007A52E1"/>
    <w:rsid w:val="007A5405"/>
    <w:rsid w:val="007A5B05"/>
    <w:rsid w:val="007A61BA"/>
    <w:rsid w:val="007A6D4D"/>
    <w:rsid w:val="007A71F0"/>
    <w:rsid w:val="007A7907"/>
    <w:rsid w:val="007B08BC"/>
    <w:rsid w:val="007B1F5E"/>
    <w:rsid w:val="007B2681"/>
    <w:rsid w:val="007B26E2"/>
    <w:rsid w:val="007B273F"/>
    <w:rsid w:val="007B3EE1"/>
    <w:rsid w:val="007B3FA0"/>
    <w:rsid w:val="007B407D"/>
    <w:rsid w:val="007B4263"/>
    <w:rsid w:val="007B433C"/>
    <w:rsid w:val="007B43C9"/>
    <w:rsid w:val="007B452B"/>
    <w:rsid w:val="007B46B5"/>
    <w:rsid w:val="007B47ED"/>
    <w:rsid w:val="007B4B78"/>
    <w:rsid w:val="007B60D7"/>
    <w:rsid w:val="007B6607"/>
    <w:rsid w:val="007B6EE9"/>
    <w:rsid w:val="007B6F2C"/>
    <w:rsid w:val="007B7133"/>
    <w:rsid w:val="007B72FE"/>
    <w:rsid w:val="007B7446"/>
    <w:rsid w:val="007B75B9"/>
    <w:rsid w:val="007B7864"/>
    <w:rsid w:val="007C0E2B"/>
    <w:rsid w:val="007C1E29"/>
    <w:rsid w:val="007C2298"/>
    <w:rsid w:val="007C2E6B"/>
    <w:rsid w:val="007C3172"/>
    <w:rsid w:val="007C359D"/>
    <w:rsid w:val="007C3865"/>
    <w:rsid w:val="007C4232"/>
    <w:rsid w:val="007C4502"/>
    <w:rsid w:val="007C50FA"/>
    <w:rsid w:val="007C5C1D"/>
    <w:rsid w:val="007C5EC1"/>
    <w:rsid w:val="007C66B2"/>
    <w:rsid w:val="007C69B7"/>
    <w:rsid w:val="007C6D39"/>
    <w:rsid w:val="007C6F20"/>
    <w:rsid w:val="007D09D5"/>
    <w:rsid w:val="007D1071"/>
    <w:rsid w:val="007D1304"/>
    <w:rsid w:val="007D137D"/>
    <w:rsid w:val="007D1666"/>
    <w:rsid w:val="007D1EDD"/>
    <w:rsid w:val="007D21C5"/>
    <w:rsid w:val="007D2839"/>
    <w:rsid w:val="007D312C"/>
    <w:rsid w:val="007D3F26"/>
    <w:rsid w:val="007D4191"/>
    <w:rsid w:val="007D443F"/>
    <w:rsid w:val="007D5855"/>
    <w:rsid w:val="007D5C67"/>
    <w:rsid w:val="007D6D8C"/>
    <w:rsid w:val="007D73CA"/>
    <w:rsid w:val="007E0246"/>
    <w:rsid w:val="007E074F"/>
    <w:rsid w:val="007E0A71"/>
    <w:rsid w:val="007E0AE1"/>
    <w:rsid w:val="007E0CA3"/>
    <w:rsid w:val="007E0D6B"/>
    <w:rsid w:val="007E13D2"/>
    <w:rsid w:val="007E13F1"/>
    <w:rsid w:val="007E1BB5"/>
    <w:rsid w:val="007E1E45"/>
    <w:rsid w:val="007E1E46"/>
    <w:rsid w:val="007E2405"/>
    <w:rsid w:val="007E258E"/>
    <w:rsid w:val="007E2960"/>
    <w:rsid w:val="007E35AD"/>
    <w:rsid w:val="007E3993"/>
    <w:rsid w:val="007E3B4D"/>
    <w:rsid w:val="007E4922"/>
    <w:rsid w:val="007E4D9A"/>
    <w:rsid w:val="007E4F58"/>
    <w:rsid w:val="007E5718"/>
    <w:rsid w:val="007E5FF3"/>
    <w:rsid w:val="007E65DF"/>
    <w:rsid w:val="007E687B"/>
    <w:rsid w:val="007E6C38"/>
    <w:rsid w:val="007E6C60"/>
    <w:rsid w:val="007E71B4"/>
    <w:rsid w:val="007E725E"/>
    <w:rsid w:val="007E7DBA"/>
    <w:rsid w:val="007F0379"/>
    <w:rsid w:val="007F0588"/>
    <w:rsid w:val="007F0E28"/>
    <w:rsid w:val="007F155E"/>
    <w:rsid w:val="007F1DDA"/>
    <w:rsid w:val="007F2123"/>
    <w:rsid w:val="007F2725"/>
    <w:rsid w:val="007F27B7"/>
    <w:rsid w:val="007F29ED"/>
    <w:rsid w:val="007F4B66"/>
    <w:rsid w:val="007F50A9"/>
    <w:rsid w:val="007F544E"/>
    <w:rsid w:val="007F5DA3"/>
    <w:rsid w:val="007F5E4B"/>
    <w:rsid w:val="007F6206"/>
    <w:rsid w:val="007F68C2"/>
    <w:rsid w:val="007F6BA4"/>
    <w:rsid w:val="007F713A"/>
    <w:rsid w:val="007F7242"/>
    <w:rsid w:val="007F7B12"/>
    <w:rsid w:val="00800EE5"/>
    <w:rsid w:val="0080204B"/>
    <w:rsid w:val="00802107"/>
    <w:rsid w:val="00802214"/>
    <w:rsid w:val="008022B6"/>
    <w:rsid w:val="008023EB"/>
    <w:rsid w:val="00802543"/>
    <w:rsid w:val="00802980"/>
    <w:rsid w:val="00802D77"/>
    <w:rsid w:val="00803EFD"/>
    <w:rsid w:val="008042F5"/>
    <w:rsid w:val="00804641"/>
    <w:rsid w:val="00804813"/>
    <w:rsid w:val="00804BD9"/>
    <w:rsid w:val="00804D71"/>
    <w:rsid w:val="00804F78"/>
    <w:rsid w:val="0080577F"/>
    <w:rsid w:val="00805DD8"/>
    <w:rsid w:val="00806640"/>
    <w:rsid w:val="00806D94"/>
    <w:rsid w:val="00807349"/>
    <w:rsid w:val="00807851"/>
    <w:rsid w:val="00807A41"/>
    <w:rsid w:val="00810086"/>
    <w:rsid w:val="008106A0"/>
    <w:rsid w:val="00810703"/>
    <w:rsid w:val="00810DDA"/>
    <w:rsid w:val="00810F6F"/>
    <w:rsid w:val="0081115F"/>
    <w:rsid w:val="00812530"/>
    <w:rsid w:val="00813761"/>
    <w:rsid w:val="00816E6C"/>
    <w:rsid w:val="00816F75"/>
    <w:rsid w:val="00817539"/>
    <w:rsid w:val="00817A99"/>
    <w:rsid w:val="00817C6D"/>
    <w:rsid w:val="00820381"/>
    <w:rsid w:val="00820A29"/>
    <w:rsid w:val="00820A38"/>
    <w:rsid w:val="0082188A"/>
    <w:rsid w:val="00821BD4"/>
    <w:rsid w:val="00821F8A"/>
    <w:rsid w:val="00822510"/>
    <w:rsid w:val="00822562"/>
    <w:rsid w:val="008225C3"/>
    <w:rsid w:val="00823D5E"/>
    <w:rsid w:val="00823FB2"/>
    <w:rsid w:val="008240E2"/>
    <w:rsid w:val="008242EE"/>
    <w:rsid w:val="00824761"/>
    <w:rsid w:val="00825AD1"/>
    <w:rsid w:val="008267D0"/>
    <w:rsid w:val="00827309"/>
    <w:rsid w:val="00830A00"/>
    <w:rsid w:val="00830EC6"/>
    <w:rsid w:val="00831A0D"/>
    <w:rsid w:val="00832D82"/>
    <w:rsid w:val="00832D8E"/>
    <w:rsid w:val="00833096"/>
    <w:rsid w:val="008337A2"/>
    <w:rsid w:val="008341D7"/>
    <w:rsid w:val="00834519"/>
    <w:rsid w:val="00834670"/>
    <w:rsid w:val="00834E4C"/>
    <w:rsid w:val="00836C4D"/>
    <w:rsid w:val="0083700D"/>
    <w:rsid w:val="00837145"/>
    <w:rsid w:val="00837C29"/>
    <w:rsid w:val="00840D20"/>
    <w:rsid w:val="00841006"/>
    <w:rsid w:val="008413AF"/>
    <w:rsid w:val="00842013"/>
    <w:rsid w:val="0084218E"/>
    <w:rsid w:val="00842909"/>
    <w:rsid w:val="00842BC5"/>
    <w:rsid w:val="00845222"/>
    <w:rsid w:val="00845282"/>
    <w:rsid w:val="00845C8E"/>
    <w:rsid w:val="00845D82"/>
    <w:rsid w:val="00845DAA"/>
    <w:rsid w:val="00845DD1"/>
    <w:rsid w:val="00846130"/>
    <w:rsid w:val="0084640C"/>
    <w:rsid w:val="008470BA"/>
    <w:rsid w:val="0084724E"/>
    <w:rsid w:val="00847566"/>
    <w:rsid w:val="00850547"/>
    <w:rsid w:val="00850689"/>
    <w:rsid w:val="008508D4"/>
    <w:rsid w:val="00850B76"/>
    <w:rsid w:val="00850CA4"/>
    <w:rsid w:val="00850D3A"/>
    <w:rsid w:val="00850FC2"/>
    <w:rsid w:val="008513A0"/>
    <w:rsid w:val="00851864"/>
    <w:rsid w:val="00851D94"/>
    <w:rsid w:val="00852102"/>
    <w:rsid w:val="0085212D"/>
    <w:rsid w:val="008521AE"/>
    <w:rsid w:val="008524AF"/>
    <w:rsid w:val="00852519"/>
    <w:rsid w:val="0085287A"/>
    <w:rsid w:val="0085292E"/>
    <w:rsid w:val="008529CC"/>
    <w:rsid w:val="00852FC9"/>
    <w:rsid w:val="0085340A"/>
    <w:rsid w:val="00854451"/>
    <w:rsid w:val="00854471"/>
    <w:rsid w:val="008546F9"/>
    <w:rsid w:val="008549CF"/>
    <w:rsid w:val="00854B84"/>
    <w:rsid w:val="00854BD4"/>
    <w:rsid w:val="008551E2"/>
    <w:rsid w:val="00855AFF"/>
    <w:rsid w:val="00855E37"/>
    <w:rsid w:val="008560FD"/>
    <w:rsid w:val="00856551"/>
    <w:rsid w:val="00856617"/>
    <w:rsid w:val="0085678A"/>
    <w:rsid w:val="00856B7C"/>
    <w:rsid w:val="00856CA1"/>
    <w:rsid w:val="00856FC8"/>
    <w:rsid w:val="008574D6"/>
    <w:rsid w:val="00857602"/>
    <w:rsid w:val="008576B5"/>
    <w:rsid w:val="00857E7A"/>
    <w:rsid w:val="00860560"/>
    <w:rsid w:val="008606DC"/>
    <w:rsid w:val="00860885"/>
    <w:rsid w:val="00860992"/>
    <w:rsid w:val="0086178E"/>
    <w:rsid w:val="00862096"/>
    <w:rsid w:val="00862147"/>
    <w:rsid w:val="0086214F"/>
    <w:rsid w:val="00862441"/>
    <w:rsid w:val="0086279E"/>
    <w:rsid w:val="00864155"/>
    <w:rsid w:val="008646F3"/>
    <w:rsid w:val="00864BF7"/>
    <w:rsid w:val="00865341"/>
    <w:rsid w:val="0086573F"/>
    <w:rsid w:val="00865A28"/>
    <w:rsid w:val="00866622"/>
    <w:rsid w:val="00867418"/>
    <w:rsid w:val="00867B5D"/>
    <w:rsid w:val="00867F31"/>
    <w:rsid w:val="00870141"/>
    <w:rsid w:val="00870221"/>
    <w:rsid w:val="008707B7"/>
    <w:rsid w:val="008709DD"/>
    <w:rsid w:val="0087163B"/>
    <w:rsid w:val="0087170D"/>
    <w:rsid w:val="008717EB"/>
    <w:rsid w:val="008718D4"/>
    <w:rsid w:val="0087219C"/>
    <w:rsid w:val="00872A12"/>
    <w:rsid w:val="00873216"/>
    <w:rsid w:val="008735F4"/>
    <w:rsid w:val="008737C2"/>
    <w:rsid w:val="00873E19"/>
    <w:rsid w:val="00874144"/>
    <w:rsid w:val="0087455D"/>
    <w:rsid w:val="00874B3D"/>
    <w:rsid w:val="00874F49"/>
    <w:rsid w:val="0087521A"/>
    <w:rsid w:val="008752DB"/>
    <w:rsid w:val="0087598D"/>
    <w:rsid w:val="00876074"/>
    <w:rsid w:val="0087615E"/>
    <w:rsid w:val="008771C0"/>
    <w:rsid w:val="00877478"/>
    <w:rsid w:val="008774CF"/>
    <w:rsid w:val="008777A4"/>
    <w:rsid w:val="008778EA"/>
    <w:rsid w:val="00877B31"/>
    <w:rsid w:val="008801A1"/>
    <w:rsid w:val="0088052F"/>
    <w:rsid w:val="008807D4"/>
    <w:rsid w:val="00880C7E"/>
    <w:rsid w:val="00880D24"/>
    <w:rsid w:val="00881363"/>
    <w:rsid w:val="00881553"/>
    <w:rsid w:val="0088262D"/>
    <w:rsid w:val="00882BF5"/>
    <w:rsid w:val="008833E8"/>
    <w:rsid w:val="00883528"/>
    <w:rsid w:val="00883BD0"/>
    <w:rsid w:val="00883DC4"/>
    <w:rsid w:val="00883DF2"/>
    <w:rsid w:val="00884215"/>
    <w:rsid w:val="00884451"/>
    <w:rsid w:val="00884738"/>
    <w:rsid w:val="00884A16"/>
    <w:rsid w:val="00884ACE"/>
    <w:rsid w:val="0088529C"/>
    <w:rsid w:val="00885795"/>
    <w:rsid w:val="008857E5"/>
    <w:rsid w:val="00885DB9"/>
    <w:rsid w:val="00886182"/>
    <w:rsid w:val="008864D5"/>
    <w:rsid w:val="00886505"/>
    <w:rsid w:val="00886684"/>
    <w:rsid w:val="00886C78"/>
    <w:rsid w:val="00886D5C"/>
    <w:rsid w:val="00886EA3"/>
    <w:rsid w:val="00886EAF"/>
    <w:rsid w:val="00886F9C"/>
    <w:rsid w:val="00887499"/>
    <w:rsid w:val="00887539"/>
    <w:rsid w:val="0088762F"/>
    <w:rsid w:val="00887D51"/>
    <w:rsid w:val="00887E1E"/>
    <w:rsid w:val="008903AC"/>
    <w:rsid w:val="008907B5"/>
    <w:rsid w:val="00890CA6"/>
    <w:rsid w:val="00891060"/>
    <w:rsid w:val="00891116"/>
    <w:rsid w:val="0089111C"/>
    <w:rsid w:val="008911F6"/>
    <w:rsid w:val="0089150C"/>
    <w:rsid w:val="00891593"/>
    <w:rsid w:val="0089162E"/>
    <w:rsid w:val="00891E0E"/>
    <w:rsid w:val="00892113"/>
    <w:rsid w:val="00892272"/>
    <w:rsid w:val="008927FF"/>
    <w:rsid w:val="00892C51"/>
    <w:rsid w:val="00893021"/>
    <w:rsid w:val="00893AFA"/>
    <w:rsid w:val="00893F5D"/>
    <w:rsid w:val="008940D0"/>
    <w:rsid w:val="008945B4"/>
    <w:rsid w:val="00894E53"/>
    <w:rsid w:val="00895164"/>
    <w:rsid w:val="00895378"/>
    <w:rsid w:val="0089539F"/>
    <w:rsid w:val="00896136"/>
    <w:rsid w:val="00896490"/>
    <w:rsid w:val="008964DD"/>
    <w:rsid w:val="00896BC1"/>
    <w:rsid w:val="00896D9F"/>
    <w:rsid w:val="00897880"/>
    <w:rsid w:val="0089796C"/>
    <w:rsid w:val="008A00DD"/>
    <w:rsid w:val="008A02FE"/>
    <w:rsid w:val="008A05A6"/>
    <w:rsid w:val="008A07AB"/>
    <w:rsid w:val="008A12DE"/>
    <w:rsid w:val="008A199A"/>
    <w:rsid w:val="008A1B8F"/>
    <w:rsid w:val="008A1DAF"/>
    <w:rsid w:val="008A23A6"/>
    <w:rsid w:val="008A245C"/>
    <w:rsid w:val="008A3173"/>
    <w:rsid w:val="008A31C0"/>
    <w:rsid w:val="008A38F2"/>
    <w:rsid w:val="008A4837"/>
    <w:rsid w:val="008A4F8E"/>
    <w:rsid w:val="008A501D"/>
    <w:rsid w:val="008A52CD"/>
    <w:rsid w:val="008A5362"/>
    <w:rsid w:val="008A5F66"/>
    <w:rsid w:val="008A630C"/>
    <w:rsid w:val="008A649B"/>
    <w:rsid w:val="008A64A0"/>
    <w:rsid w:val="008A68FF"/>
    <w:rsid w:val="008A7201"/>
    <w:rsid w:val="008A7609"/>
    <w:rsid w:val="008A7E4E"/>
    <w:rsid w:val="008A7F19"/>
    <w:rsid w:val="008A7F2A"/>
    <w:rsid w:val="008B0142"/>
    <w:rsid w:val="008B036F"/>
    <w:rsid w:val="008B0513"/>
    <w:rsid w:val="008B05A9"/>
    <w:rsid w:val="008B05B8"/>
    <w:rsid w:val="008B082D"/>
    <w:rsid w:val="008B0C7D"/>
    <w:rsid w:val="008B0E41"/>
    <w:rsid w:val="008B141D"/>
    <w:rsid w:val="008B19DD"/>
    <w:rsid w:val="008B1B73"/>
    <w:rsid w:val="008B266D"/>
    <w:rsid w:val="008B2ABD"/>
    <w:rsid w:val="008B2BCB"/>
    <w:rsid w:val="008B2D10"/>
    <w:rsid w:val="008B308C"/>
    <w:rsid w:val="008B4083"/>
    <w:rsid w:val="008B4817"/>
    <w:rsid w:val="008B501C"/>
    <w:rsid w:val="008B5649"/>
    <w:rsid w:val="008B5705"/>
    <w:rsid w:val="008B5968"/>
    <w:rsid w:val="008B5D53"/>
    <w:rsid w:val="008B5F7B"/>
    <w:rsid w:val="008B63E2"/>
    <w:rsid w:val="008B6969"/>
    <w:rsid w:val="008B6CBE"/>
    <w:rsid w:val="008B6D29"/>
    <w:rsid w:val="008B6D54"/>
    <w:rsid w:val="008B7657"/>
    <w:rsid w:val="008B7B1D"/>
    <w:rsid w:val="008C0151"/>
    <w:rsid w:val="008C074B"/>
    <w:rsid w:val="008C07CD"/>
    <w:rsid w:val="008C099F"/>
    <w:rsid w:val="008C1361"/>
    <w:rsid w:val="008C18DB"/>
    <w:rsid w:val="008C1B0F"/>
    <w:rsid w:val="008C1FA9"/>
    <w:rsid w:val="008C27AE"/>
    <w:rsid w:val="008C2D0E"/>
    <w:rsid w:val="008C3119"/>
    <w:rsid w:val="008C41A2"/>
    <w:rsid w:val="008C44A1"/>
    <w:rsid w:val="008C49F4"/>
    <w:rsid w:val="008C4B05"/>
    <w:rsid w:val="008C4B31"/>
    <w:rsid w:val="008C52E1"/>
    <w:rsid w:val="008C5F92"/>
    <w:rsid w:val="008C6231"/>
    <w:rsid w:val="008C681D"/>
    <w:rsid w:val="008C7542"/>
    <w:rsid w:val="008C7871"/>
    <w:rsid w:val="008C7C8F"/>
    <w:rsid w:val="008C7E0F"/>
    <w:rsid w:val="008D09F9"/>
    <w:rsid w:val="008D0D8C"/>
    <w:rsid w:val="008D18C3"/>
    <w:rsid w:val="008D1E7D"/>
    <w:rsid w:val="008D22D9"/>
    <w:rsid w:val="008D32F3"/>
    <w:rsid w:val="008D3A22"/>
    <w:rsid w:val="008D3A43"/>
    <w:rsid w:val="008D3AF1"/>
    <w:rsid w:val="008D3D19"/>
    <w:rsid w:val="008D3EE8"/>
    <w:rsid w:val="008D4478"/>
    <w:rsid w:val="008D44E6"/>
    <w:rsid w:val="008D471C"/>
    <w:rsid w:val="008D5057"/>
    <w:rsid w:val="008D5088"/>
    <w:rsid w:val="008D5288"/>
    <w:rsid w:val="008D5390"/>
    <w:rsid w:val="008D58FC"/>
    <w:rsid w:val="008D5DC0"/>
    <w:rsid w:val="008D5EC9"/>
    <w:rsid w:val="008D6032"/>
    <w:rsid w:val="008D605D"/>
    <w:rsid w:val="008D68FA"/>
    <w:rsid w:val="008D6C21"/>
    <w:rsid w:val="008D7EB2"/>
    <w:rsid w:val="008E0347"/>
    <w:rsid w:val="008E042F"/>
    <w:rsid w:val="008E1A70"/>
    <w:rsid w:val="008E1ABA"/>
    <w:rsid w:val="008E1EF5"/>
    <w:rsid w:val="008E2063"/>
    <w:rsid w:val="008E27D2"/>
    <w:rsid w:val="008E27E0"/>
    <w:rsid w:val="008E27ED"/>
    <w:rsid w:val="008E2A81"/>
    <w:rsid w:val="008E3428"/>
    <w:rsid w:val="008E3525"/>
    <w:rsid w:val="008E3E35"/>
    <w:rsid w:val="008E3FA6"/>
    <w:rsid w:val="008E53EE"/>
    <w:rsid w:val="008E5B1A"/>
    <w:rsid w:val="008E6198"/>
    <w:rsid w:val="008E65F5"/>
    <w:rsid w:val="008E706E"/>
    <w:rsid w:val="008E7643"/>
    <w:rsid w:val="008F05D9"/>
    <w:rsid w:val="008F0849"/>
    <w:rsid w:val="008F0F73"/>
    <w:rsid w:val="008F1018"/>
    <w:rsid w:val="008F145C"/>
    <w:rsid w:val="008F173E"/>
    <w:rsid w:val="008F1886"/>
    <w:rsid w:val="008F189E"/>
    <w:rsid w:val="008F1BC5"/>
    <w:rsid w:val="008F2526"/>
    <w:rsid w:val="008F2E40"/>
    <w:rsid w:val="008F2EEB"/>
    <w:rsid w:val="008F36D6"/>
    <w:rsid w:val="008F36E2"/>
    <w:rsid w:val="008F3EA3"/>
    <w:rsid w:val="008F4463"/>
    <w:rsid w:val="008F46D1"/>
    <w:rsid w:val="008F4D3D"/>
    <w:rsid w:val="008F514A"/>
    <w:rsid w:val="008F597B"/>
    <w:rsid w:val="008F63BC"/>
    <w:rsid w:val="008F6DC9"/>
    <w:rsid w:val="008F70F1"/>
    <w:rsid w:val="008F720C"/>
    <w:rsid w:val="008F7C5E"/>
    <w:rsid w:val="008F7D66"/>
    <w:rsid w:val="008F7FA3"/>
    <w:rsid w:val="0090015B"/>
    <w:rsid w:val="009002D5"/>
    <w:rsid w:val="00900365"/>
    <w:rsid w:val="009003B4"/>
    <w:rsid w:val="009003EB"/>
    <w:rsid w:val="00900606"/>
    <w:rsid w:val="009008F8"/>
    <w:rsid w:val="00901206"/>
    <w:rsid w:val="00901275"/>
    <w:rsid w:val="009020ED"/>
    <w:rsid w:val="00903150"/>
    <w:rsid w:val="009032E5"/>
    <w:rsid w:val="00903462"/>
    <w:rsid w:val="009036BE"/>
    <w:rsid w:val="0090453C"/>
    <w:rsid w:val="00904B9D"/>
    <w:rsid w:val="009051E5"/>
    <w:rsid w:val="00905374"/>
    <w:rsid w:val="00905552"/>
    <w:rsid w:val="00905582"/>
    <w:rsid w:val="0090572E"/>
    <w:rsid w:val="0090585F"/>
    <w:rsid w:val="00905B4E"/>
    <w:rsid w:val="00905C20"/>
    <w:rsid w:val="00905F81"/>
    <w:rsid w:val="00907085"/>
    <w:rsid w:val="00907355"/>
    <w:rsid w:val="0090742D"/>
    <w:rsid w:val="00907478"/>
    <w:rsid w:val="009076BE"/>
    <w:rsid w:val="00907B29"/>
    <w:rsid w:val="00907D62"/>
    <w:rsid w:val="00910028"/>
    <w:rsid w:val="009103C9"/>
    <w:rsid w:val="009109C4"/>
    <w:rsid w:val="00910F51"/>
    <w:rsid w:val="009112A7"/>
    <w:rsid w:val="00911824"/>
    <w:rsid w:val="0091191D"/>
    <w:rsid w:val="00911E99"/>
    <w:rsid w:val="00911F2B"/>
    <w:rsid w:val="0091296F"/>
    <w:rsid w:val="00913AA5"/>
    <w:rsid w:val="00913DA7"/>
    <w:rsid w:val="00914968"/>
    <w:rsid w:val="00914F65"/>
    <w:rsid w:val="009150D7"/>
    <w:rsid w:val="009157EB"/>
    <w:rsid w:val="00915975"/>
    <w:rsid w:val="009160F8"/>
    <w:rsid w:val="0091614A"/>
    <w:rsid w:val="00917465"/>
    <w:rsid w:val="00917567"/>
    <w:rsid w:val="009178E9"/>
    <w:rsid w:val="00917BD4"/>
    <w:rsid w:val="00917C92"/>
    <w:rsid w:val="00917D76"/>
    <w:rsid w:val="0092001D"/>
    <w:rsid w:val="00920774"/>
    <w:rsid w:val="00920B34"/>
    <w:rsid w:val="00921787"/>
    <w:rsid w:val="00921F36"/>
    <w:rsid w:val="009224E5"/>
    <w:rsid w:val="00922A39"/>
    <w:rsid w:val="00922C39"/>
    <w:rsid w:val="00922C74"/>
    <w:rsid w:val="00923B7E"/>
    <w:rsid w:val="0092443E"/>
    <w:rsid w:val="009247DA"/>
    <w:rsid w:val="009249C8"/>
    <w:rsid w:val="00924D0E"/>
    <w:rsid w:val="00925941"/>
    <w:rsid w:val="00926924"/>
    <w:rsid w:val="00927D3D"/>
    <w:rsid w:val="0093023A"/>
    <w:rsid w:val="00930503"/>
    <w:rsid w:val="0093191F"/>
    <w:rsid w:val="00932432"/>
    <w:rsid w:val="00932DD0"/>
    <w:rsid w:val="00933408"/>
    <w:rsid w:val="00934119"/>
    <w:rsid w:val="00934F1A"/>
    <w:rsid w:val="00934FAE"/>
    <w:rsid w:val="00935394"/>
    <w:rsid w:val="009354E6"/>
    <w:rsid w:val="0093558F"/>
    <w:rsid w:val="0093573E"/>
    <w:rsid w:val="009369FE"/>
    <w:rsid w:val="00936D2A"/>
    <w:rsid w:val="00936E0B"/>
    <w:rsid w:val="00936F15"/>
    <w:rsid w:val="009375F8"/>
    <w:rsid w:val="0093760A"/>
    <w:rsid w:val="00937FA5"/>
    <w:rsid w:val="00940006"/>
    <w:rsid w:val="00940013"/>
    <w:rsid w:val="00940135"/>
    <w:rsid w:val="009403E4"/>
    <w:rsid w:val="00940AC2"/>
    <w:rsid w:val="00941381"/>
    <w:rsid w:val="009413E0"/>
    <w:rsid w:val="00941BD6"/>
    <w:rsid w:val="00942330"/>
    <w:rsid w:val="00942CBB"/>
    <w:rsid w:val="00942FCB"/>
    <w:rsid w:val="00943157"/>
    <w:rsid w:val="00943159"/>
    <w:rsid w:val="0094387B"/>
    <w:rsid w:val="00943AFC"/>
    <w:rsid w:val="009440FD"/>
    <w:rsid w:val="00944118"/>
    <w:rsid w:val="009446F3"/>
    <w:rsid w:val="009449F8"/>
    <w:rsid w:val="00944AE4"/>
    <w:rsid w:val="00944BA1"/>
    <w:rsid w:val="00944C33"/>
    <w:rsid w:val="00944D00"/>
    <w:rsid w:val="00945061"/>
    <w:rsid w:val="009451EA"/>
    <w:rsid w:val="00945883"/>
    <w:rsid w:val="009459B8"/>
    <w:rsid w:val="0094618A"/>
    <w:rsid w:val="009469BE"/>
    <w:rsid w:val="00946A99"/>
    <w:rsid w:val="00946C2F"/>
    <w:rsid w:val="00946DE6"/>
    <w:rsid w:val="0094736D"/>
    <w:rsid w:val="00947602"/>
    <w:rsid w:val="00947A51"/>
    <w:rsid w:val="00951343"/>
    <w:rsid w:val="00951837"/>
    <w:rsid w:val="0095227E"/>
    <w:rsid w:val="00952B6D"/>
    <w:rsid w:val="009534C5"/>
    <w:rsid w:val="00953769"/>
    <w:rsid w:val="00953CBC"/>
    <w:rsid w:val="00954666"/>
    <w:rsid w:val="00954B46"/>
    <w:rsid w:val="00954D74"/>
    <w:rsid w:val="00954D9C"/>
    <w:rsid w:val="00954F02"/>
    <w:rsid w:val="009558C7"/>
    <w:rsid w:val="00955923"/>
    <w:rsid w:val="00956253"/>
    <w:rsid w:val="009562F7"/>
    <w:rsid w:val="00956399"/>
    <w:rsid w:val="009563FA"/>
    <w:rsid w:val="009565CF"/>
    <w:rsid w:val="009567F2"/>
    <w:rsid w:val="00956952"/>
    <w:rsid w:val="00957979"/>
    <w:rsid w:val="00957F90"/>
    <w:rsid w:val="00960900"/>
    <w:rsid w:val="0096094A"/>
    <w:rsid w:val="0096129F"/>
    <w:rsid w:val="009615A7"/>
    <w:rsid w:val="0096162D"/>
    <w:rsid w:val="00961A88"/>
    <w:rsid w:val="009622AA"/>
    <w:rsid w:val="00962602"/>
    <w:rsid w:val="00962BA9"/>
    <w:rsid w:val="00962BF4"/>
    <w:rsid w:val="00962ECA"/>
    <w:rsid w:val="00962F8D"/>
    <w:rsid w:val="00963107"/>
    <w:rsid w:val="0096332D"/>
    <w:rsid w:val="00963A3B"/>
    <w:rsid w:val="00963FEE"/>
    <w:rsid w:val="00965537"/>
    <w:rsid w:val="0096563E"/>
    <w:rsid w:val="0096629B"/>
    <w:rsid w:val="00966B42"/>
    <w:rsid w:val="00966CFD"/>
    <w:rsid w:val="00966D09"/>
    <w:rsid w:val="00966FDD"/>
    <w:rsid w:val="009676B3"/>
    <w:rsid w:val="009677E9"/>
    <w:rsid w:val="00967A4F"/>
    <w:rsid w:val="0097025D"/>
    <w:rsid w:val="0097069F"/>
    <w:rsid w:val="00971199"/>
    <w:rsid w:val="00971373"/>
    <w:rsid w:val="009714EE"/>
    <w:rsid w:val="00971D23"/>
    <w:rsid w:val="00972736"/>
    <w:rsid w:val="00972C54"/>
    <w:rsid w:val="00972CF8"/>
    <w:rsid w:val="0097316A"/>
    <w:rsid w:val="009733FD"/>
    <w:rsid w:val="009734F4"/>
    <w:rsid w:val="00973892"/>
    <w:rsid w:val="00973B78"/>
    <w:rsid w:val="009740E3"/>
    <w:rsid w:val="009749AC"/>
    <w:rsid w:val="009759D7"/>
    <w:rsid w:val="00975F60"/>
    <w:rsid w:val="0097632D"/>
    <w:rsid w:val="009767C5"/>
    <w:rsid w:val="00976F7D"/>
    <w:rsid w:val="00977C9A"/>
    <w:rsid w:val="00977E0E"/>
    <w:rsid w:val="00980C97"/>
    <w:rsid w:val="00981980"/>
    <w:rsid w:val="009822B3"/>
    <w:rsid w:val="00982BBF"/>
    <w:rsid w:val="00982C38"/>
    <w:rsid w:val="0098318B"/>
    <w:rsid w:val="00983E42"/>
    <w:rsid w:val="009844A7"/>
    <w:rsid w:val="0098464D"/>
    <w:rsid w:val="00984753"/>
    <w:rsid w:val="00985ED3"/>
    <w:rsid w:val="00986051"/>
    <w:rsid w:val="00986432"/>
    <w:rsid w:val="00987303"/>
    <w:rsid w:val="009878CC"/>
    <w:rsid w:val="009879E1"/>
    <w:rsid w:val="00987B1B"/>
    <w:rsid w:val="00987B31"/>
    <w:rsid w:val="00987BA5"/>
    <w:rsid w:val="0099070C"/>
    <w:rsid w:val="00990720"/>
    <w:rsid w:val="009908E1"/>
    <w:rsid w:val="009908E3"/>
    <w:rsid w:val="009909D3"/>
    <w:rsid w:val="00990C22"/>
    <w:rsid w:val="00990CD2"/>
    <w:rsid w:val="0099110D"/>
    <w:rsid w:val="00991C04"/>
    <w:rsid w:val="00991D9C"/>
    <w:rsid w:val="009920EB"/>
    <w:rsid w:val="00992260"/>
    <w:rsid w:val="0099238C"/>
    <w:rsid w:val="0099258F"/>
    <w:rsid w:val="00992BD4"/>
    <w:rsid w:val="009934DF"/>
    <w:rsid w:val="00993E8A"/>
    <w:rsid w:val="009941C1"/>
    <w:rsid w:val="009941EE"/>
    <w:rsid w:val="00994375"/>
    <w:rsid w:val="00994849"/>
    <w:rsid w:val="00994C2D"/>
    <w:rsid w:val="0099615C"/>
    <w:rsid w:val="00996431"/>
    <w:rsid w:val="00997077"/>
    <w:rsid w:val="00997169"/>
    <w:rsid w:val="009975A6"/>
    <w:rsid w:val="00997966"/>
    <w:rsid w:val="00997AE2"/>
    <w:rsid w:val="00997C7F"/>
    <w:rsid w:val="00997E49"/>
    <w:rsid w:val="00997EA4"/>
    <w:rsid w:val="009A0936"/>
    <w:rsid w:val="009A0C9B"/>
    <w:rsid w:val="009A126C"/>
    <w:rsid w:val="009A12B9"/>
    <w:rsid w:val="009A164D"/>
    <w:rsid w:val="009A17A2"/>
    <w:rsid w:val="009A183C"/>
    <w:rsid w:val="009A185B"/>
    <w:rsid w:val="009A190C"/>
    <w:rsid w:val="009A1AAE"/>
    <w:rsid w:val="009A23C6"/>
    <w:rsid w:val="009A23DA"/>
    <w:rsid w:val="009A2A9C"/>
    <w:rsid w:val="009A2CFD"/>
    <w:rsid w:val="009A2E16"/>
    <w:rsid w:val="009A2FCA"/>
    <w:rsid w:val="009A301C"/>
    <w:rsid w:val="009A363F"/>
    <w:rsid w:val="009A490B"/>
    <w:rsid w:val="009A50EC"/>
    <w:rsid w:val="009A657C"/>
    <w:rsid w:val="009A6658"/>
    <w:rsid w:val="009A6D1F"/>
    <w:rsid w:val="009A6F85"/>
    <w:rsid w:val="009A7713"/>
    <w:rsid w:val="009B006F"/>
    <w:rsid w:val="009B01DF"/>
    <w:rsid w:val="009B02B8"/>
    <w:rsid w:val="009B0D76"/>
    <w:rsid w:val="009B11DE"/>
    <w:rsid w:val="009B1484"/>
    <w:rsid w:val="009B1F0C"/>
    <w:rsid w:val="009B1FB6"/>
    <w:rsid w:val="009B2BDA"/>
    <w:rsid w:val="009B2E22"/>
    <w:rsid w:val="009B3053"/>
    <w:rsid w:val="009B3994"/>
    <w:rsid w:val="009B44FC"/>
    <w:rsid w:val="009B4804"/>
    <w:rsid w:val="009B4C4D"/>
    <w:rsid w:val="009B500C"/>
    <w:rsid w:val="009B5118"/>
    <w:rsid w:val="009B5F86"/>
    <w:rsid w:val="009B7D1D"/>
    <w:rsid w:val="009B7F0A"/>
    <w:rsid w:val="009C0D3A"/>
    <w:rsid w:val="009C1520"/>
    <w:rsid w:val="009C1583"/>
    <w:rsid w:val="009C15DE"/>
    <w:rsid w:val="009C1BE0"/>
    <w:rsid w:val="009C2862"/>
    <w:rsid w:val="009C2C62"/>
    <w:rsid w:val="009C2CE3"/>
    <w:rsid w:val="009C2D8F"/>
    <w:rsid w:val="009C2E8B"/>
    <w:rsid w:val="009C409C"/>
    <w:rsid w:val="009C462A"/>
    <w:rsid w:val="009C4C52"/>
    <w:rsid w:val="009C5CA4"/>
    <w:rsid w:val="009C5E82"/>
    <w:rsid w:val="009C5FD6"/>
    <w:rsid w:val="009C6EB1"/>
    <w:rsid w:val="009C7009"/>
    <w:rsid w:val="009C7349"/>
    <w:rsid w:val="009C773F"/>
    <w:rsid w:val="009D0201"/>
    <w:rsid w:val="009D0719"/>
    <w:rsid w:val="009D09FB"/>
    <w:rsid w:val="009D0A9A"/>
    <w:rsid w:val="009D0AA5"/>
    <w:rsid w:val="009D0BF1"/>
    <w:rsid w:val="009D0F5F"/>
    <w:rsid w:val="009D1818"/>
    <w:rsid w:val="009D1B9E"/>
    <w:rsid w:val="009D203A"/>
    <w:rsid w:val="009D2AC6"/>
    <w:rsid w:val="009D3029"/>
    <w:rsid w:val="009D30A4"/>
    <w:rsid w:val="009D33CC"/>
    <w:rsid w:val="009D3738"/>
    <w:rsid w:val="009D383F"/>
    <w:rsid w:val="009D3A82"/>
    <w:rsid w:val="009D4A4F"/>
    <w:rsid w:val="009D4BDD"/>
    <w:rsid w:val="009D512A"/>
    <w:rsid w:val="009D514B"/>
    <w:rsid w:val="009D55E2"/>
    <w:rsid w:val="009D579E"/>
    <w:rsid w:val="009D6275"/>
    <w:rsid w:val="009D793E"/>
    <w:rsid w:val="009D7F18"/>
    <w:rsid w:val="009E030D"/>
    <w:rsid w:val="009E07B3"/>
    <w:rsid w:val="009E086E"/>
    <w:rsid w:val="009E0973"/>
    <w:rsid w:val="009E0CEF"/>
    <w:rsid w:val="009E12B3"/>
    <w:rsid w:val="009E19D2"/>
    <w:rsid w:val="009E1AEF"/>
    <w:rsid w:val="009E1B50"/>
    <w:rsid w:val="009E2AA9"/>
    <w:rsid w:val="009E3260"/>
    <w:rsid w:val="009E3A92"/>
    <w:rsid w:val="009E3E9E"/>
    <w:rsid w:val="009E42C5"/>
    <w:rsid w:val="009E4523"/>
    <w:rsid w:val="009E4C17"/>
    <w:rsid w:val="009E4CFB"/>
    <w:rsid w:val="009E57AF"/>
    <w:rsid w:val="009E58F9"/>
    <w:rsid w:val="009E6CAB"/>
    <w:rsid w:val="009E6CBD"/>
    <w:rsid w:val="009E76DA"/>
    <w:rsid w:val="009F021D"/>
    <w:rsid w:val="009F0265"/>
    <w:rsid w:val="009F0D9C"/>
    <w:rsid w:val="009F0F70"/>
    <w:rsid w:val="009F12FE"/>
    <w:rsid w:val="009F1C03"/>
    <w:rsid w:val="009F1C54"/>
    <w:rsid w:val="009F20C3"/>
    <w:rsid w:val="009F2481"/>
    <w:rsid w:val="009F271C"/>
    <w:rsid w:val="009F28A8"/>
    <w:rsid w:val="009F4B60"/>
    <w:rsid w:val="009F4BCC"/>
    <w:rsid w:val="009F4C87"/>
    <w:rsid w:val="009F515D"/>
    <w:rsid w:val="009F629C"/>
    <w:rsid w:val="009F63D7"/>
    <w:rsid w:val="009F7777"/>
    <w:rsid w:val="00A00B4F"/>
    <w:rsid w:val="00A011C6"/>
    <w:rsid w:val="00A01259"/>
    <w:rsid w:val="00A0126E"/>
    <w:rsid w:val="00A0208D"/>
    <w:rsid w:val="00A0216B"/>
    <w:rsid w:val="00A024F0"/>
    <w:rsid w:val="00A025A0"/>
    <w:rsid w:val="00A025A4"/>
    <w:rsid w:val="00A028D0"/>
    <w:rsid w:val="00A029F1"/>
    <w:rsid w:val="00A02E34"/>
    <w:rsid w:val="00A037EA"/>
    <w:rsid w:val="00A03850"/>
    <w:rsid w:val="00A03994"/>
    <w:rsid w:val="00A04583"/>
    <w:rsid w:val="00A04B4A"/>
    <w:rsid w:val="00A04F68"/>
    <w:rsid w:val="00A04F78"/>
    <w:rsid w:val="00A0607A"/>
    <w:rsid w:val="00A0649B"/>
    <w:rsid w:val="00A06544"/>
    <w:rsid w:val="00A06968"/>
    <w:rsid w:val="00A06BBA"/>
    <w:rsid w:val="00A07547"/>
    <w:rsid w:val="00A07EF0"/>
    <w:rsid w:val="00A10070"/>
    <w:rsid w:val="00A10367"/>
    <w:rsid w:val="00A10A67"/>
    <w:rsid w:val="00A10DAA"/>
    <w:rsid w:val="00A11825"/>
    <w:rsid w:val="00A11C20"/>
    <w:rsid w:val="00A12778"/>
    <w:rsid w:val="00A13055"/>
    <w:rsid w:val="00A13087"/>
    <w:rsid w:val="00A130E8"/>
    <w:rsid w:val="00A13133"/>
    <w:rsid w:val="00A13296"/>
    <w:rsid w:val="00A13EA7"/>
    <w:rsid w:val="00A14285"/>
    <w:rsid w:val="00A14936"/>
    <w:rsid w:val="00A14B17"/>
    <w:rsid w:val="00A150FB"/>
    <w:rsid w:val="00A154ED"/>
    <w:rsid w:val="00A16503"/>
    <w:rsid w:val="00A16ED6"/>
    <w:rsid w:val="00A16F76"/>
    <w:rsid w:val="00A17F15"/>
    <w:rsid w:val="00A21312"/>
    <w:rsid w:val="00A21E66"/>
    <w:rsid w:val="00A2255F"/>
    <w:rsid w:val="00A228EF"/>
    <w:rsid w:val="00A229DB"/>
    <w:rsid w:val="00A23989"/>
    <w:rsid w:val="00A239F1"/>
    <w:rsid w:val="00A23C89"/>
    <w:rsid w:val="00A23E8A"/>
    <w:rsid w:val="00A24184"/>
    <w:rsid w:val="00A24541"/>
    <w:rsid w:val="00A24817"/>
    <w:rsid w:val="00A24834"/>
    <w:rsid w:val="00A24A59"/>
    <w:rsid w:val="00A24E56"/>
    <w:rsid w:val="00A25A65"/>
    <w:rsid w:val="00A26F73"/>
    <w:rsid w:val="00A276C9"/>
    <w:rsid w:val="00A277D3"/>
    <w:rsid w:val="00A27A27"/>
    <w:rsid w:val="00A27B28"/>
    <w:rsid w:val="00A27E55"/>
    <w:rsid w:val="00A27F27"/>
    <w:rsid w:val="00A302E2"/>
    <w:rsid w:val="00A316AF"/>
    <w:rsid w:val="00A316EE"/>
    <w:rsid w:val="00A31AEF"/>
    <w:rsid w:val="00A31BD3"/>
    <w:rsid w:val="00A32ABE"/>
    <w:rsid w:val="00A330B2"/>
    <w:rsid w:val="00A3314C"/>
    <w:rsid w:val="00A332EE"/>
    <w:rsid w:val="00A34839"/>
    <w:rsid w:val="00A35090"/>
    <w:rsid w:val="00A350D5"/>
    <w:rsid w:val="00A354A1"/>
    <w:rsid w:val="00A3550D"/>
    <w:rsid w:val="00A35880"/>
    <w:rsid w:val="00A35AA5"/>
    <w:rsid w:val="00A35B12"/>
    <w:rsid w:val="00A36287"/>
    <w:rsid w:val="00A362A1"/>
    <w:rsid w:val="00A367C7"/>
    <w:rsid w:val="00A36809"/>
    <w:rsid w:val="00A369BA"/>
    <w:rsid w:val="00A36A12"/>
    <w:rsid w:val="00A36A5C"/>
    <w:rsid w:val="00A36B14"/>
    <w:rsid w:val="00A374A1"/>
    <w:rsid w:val="00A37507"/>
    <w:rsid w:val="00A37A37"/>
    <w:rsid w:val="00A37EEC"/>
    <w:rsid w:val="00A40169"/>
    <w:rsid w:val="00A40626"/>
    <w:rsid w:val="00A40995"/>
    <w:rsid w:val="00A40AA5"/>
    <w:rsid w:val="00A41567"/>
    <w:rsid w:val="00A418F0"/>
    <w:rsid w:val="00A421F3"/>
    <w:rsid w:val="00A4272C"/>
    <w:rsid w:val="00A430DC"/>
    <w:rsid w:val="00A432F7"/>
    <w:rsid w:val="00A43AF6"/>
    <w:rsid w:val="00A4429B"/>
    <w:rsid w:val="00A4546A"/>
    <w:rsid w:val="00A457C9"/>
    <w:rsid w:val="00A457F3"/>
    <w:rsid w:val="00A459AC"/>
    <w:rsid w:val="00A46A7B"/>
    <w:rsid w:val="00A46DB1"/>
    <w:rsid w:val="00A46F46"/>
    <w:rsid w:val="00A477A8"/>
    <w:rsid w:val="00A50190"/>
    <w:rsid w:val="00A5028D"/>
    <w:rsid w:val="00A51661"/>
    <w:rsid w:val="00A51EA1"/>
    <w:rsid w:val="00A52183"/>
    <w:rsid w:val="00A53D81"/>
    <w:rsid w:val="00A5437C"/>
    <w:rsid w:val="00A54F88"/>
    <w:rsid w:val="00A55059"/>
    <w:rsid w:val="00A551D7"/>
    <w:rsid w:val="00A557D1"/>
    <w:rsid w:val="00A55DAD"/>
    <w:rsid w:val="00A56A16"/>
    <w:rsid w:val="00A56BE2"/>
    <w:rsid w:val="00A570AA"/>
    <w:rsid w:val="00A57632"/>
    <w:rsid w:val="00A5796F"/>
    <w:rsid w:val="00A60106"/>
    <w:rsid w:val="00A6024A"/>
    <w:rsid w:val="00A6037C"/>
    <w:rsid w:val="00A605AD"/>
    <w:rsid w:val="00A60703"/>
    <w:rsid w:val="00A6095F"/>
    <w:rsid w:val="00A61942"/>
    <w:rsid w:val="00A62E84"/>
    <w:rsid w:val="00A64125"/>
    <w:rsid w:val="00A64191"/>
    <w:rsid w:val="00A64310"/>
    <w:rsid w:val="00A64FC1"/>
    <w:rsid w:val="00A6508C"/>
    <w:rsid w:val="00A658F2"/>
    <w:rsid w:val="00A6597F"/>
    <w:rsid w:val="00A67A6B"/>
    <w:rsid w:val="00A67DDD"/>
    <w:rsid w:val="00A67DFE"/>
    <w:rsid w:val="00A705EB"/>
    <w:rsid w:val="00A70711"/>
    <w:rsid w:val="00A715D9"/>
    <w:rsid w:val="00A71AA2"/>
    <w:rsid w:val="00A71B2E"/>
    <w:rsid w:val="00A722E4"/>
    <w:rsid w:val="00A72CAB"/>
    <w:rsid w:val="00A72E71"/>
    <w:rsid w:val="00A731EF"/>
    <w:rsid w:val="00A73F0A"/>
    <w:rsid w:val="00A7400B"/>
    <w:rsid w:val="00A74600"/>
    <w:rsid w:val="00A748E4"/>
    <w:rsid w:val="00A74CC5"/>
    <w:rsid w:val="00A75E01"/>
    <w:rsid w:val="00A75E94"/>
    <w:rsid w:val="00A771A6"/>
    <w:rsid w:val="00A80037"/>
    <w:rsid w:val="00A8048F"/>
    <w:rsid w:val="00A80B01"/>
    <w:rsid w:val="00A80DEA"/>
    <w:rsid w:val="00A82049"/>
    <w:rsid w:val="00A821EC"/>
    <w:rsid w:val="00A82FB8"/>
    <w:rsid w:val="00A82FD9"/>
    <w:rsid w:val="00A836D8"/>
    <w:rsid w:val="00A83883"/>
    <w:rsid w:val="00A83B8A"/>
    <w:rsid w:val="00A84AC9"/>
    <w:rsid w:val="00A84BBE"/>
    <w:rsid w:val="00A84DC7"/>
    <w:rsid w:val="00A85366"/>
    <w:rsid w:val="00A859E4"/>
    <w:rsid w:val="00A86826"/>
    <w:rsid w:val="00A86A85"/>
    <w:rsid w:val="00A87698"/>
    <w:rsid w:val="00A876CC"/>
    <w:rsid w:val="00A9041F"/>
    <w:rsid w:val="00A9044E"/>
    <w:rsid w:val="00A912A2"/>
    <w:rsid w:val="00A91527"/>
    <w:rsid w:val="00A92426"/>
    <w:rsid w:val="00A92700"/>
    <w:rsid w:val="00A927D2"/>
    <w:rsid w:val="00A92B71"/>
    <w:rsid w:val="00A92FC9"/>
    <w:rsid w:val="00A93123"/>
    <w:rsid w:val="00A9364B"/>
    <w:rsid w:val="00A93901"/>
    <w:rsid w:val="00A93DC7"/>
    <w:rsid w:val="00A93E10"/>
    <w:rsid w:val="00A94058"/>
    <w:rsid w:val="00A949E5"/>
    <w:rsid w:val="00A94EAA"/>
    <w:rsid w:val="00A963D5"/>
    <w:rsid w:val="00A96DCF"/>
    <w:rsid w:val="00A96E85"/>
    <w:rsid w:val="00A9717B"/>
    <w:rsid w:val="00A972C2"/>
    <w:rsid w:val="00A97A03"/>
    <w:rsid w:val="00A97DE4"/>
    <w:rsid w:val="00AA0C68"/>
    <w:rsid w:val="00AA15BC"/>
    <w:rsid w:val="00AA1A9B"/>
    <w:rsid w:val="00AA1C5D"/>
    <w:rsid w:val="00AA1E19"/>
    <w:rsid w:val="00AA2D65"/>
    <w:rsid w:val="00AA2DDB"/>
    <w:rsid w:val="00AA32BA"/>
    <w:rsid w:val="00AA3A42"/>
    <w:rsid w:val="00AA41FD"/>
    <w:rsid w:val="00AA43E0"/>
    <w:rsid w:val="00AA4CA5"/>
    <w:rsid w:val="00AA4D52"/>
    <w:rsid w:val="00AA5283"/>
    <w:rsid w:val="00AA5F09"/>
    <w:rsid w:val="00AA6014"/>
    <w:rsid w:val="00AA6499"/>
    <w:rsid w:val="00AA64CE"/>
    <w:rsid w:val="00AA67DC"/>
    <w:rsid w:val="00AA721F"/>
    <w:rsid w:val="00AA7621"/>
    <w:rsid w:val="00AA78B3"/>
    <w:rsid w:val="00AA7CAE"/>
    <w:rsid w:val="00AB1833"/>
    <w:rsid w:val="00AB18CE"/>
    <w:rsid w:val="00AB1974"/>
    <w:rsid w:val="00AB1E1F"/>
    <w:rsid w:val="00AB2317"/>
    <w:rsid w:val="00AB28AD"/>
    <w:rsid w:val="00AB3198"/>
    <w:rsid w:val="00AB397E"/>
    <w:rsid w:val="00AB3E2D"/>
    <w:rsid w:val="00AB3EF5"/>
    <w:rsid w:val="00AB3F71"/>
    <w:rsid w:val="00AB4254"/>
    <w:rsid w:val="00AB4429"/>
    <w:rsid w:val="00AB45D3"/>
    <w:rsid w:val="00AB4807"/>
    <w:rsid w:val="00AB4AFF"/>
    <w:rsid w:val="00AB4FC4"/>
    <w:rsid w:val="00AB4FFE"/>
    <w:rsid w:val="00AB5545"/>
    <w:rsid w:val="00AB5D3C"/>
    <w:rsid w:val="00AB7D2F"/>
    <w:rsid w:val="00AB7F61"/>
    <w:rsid w:val="00AC0AFE"/>
    <w:rsid w:val="00AC0BF9"/>
    <w:rsid w:val="00AC107B"/>
    <w:rsid w:val="00AC11A0"/>
    <w:rsid w:val="00AC254C"/>
    <w:rsid w:val="00AC2783"/>
    <w:rsid w:val="00AC2DF3"/>
    <w:rsid w:val="00AC32DD"/>
    <w:rsid w:val="00AC3C8F"/>
    <w:rsid w:val="00AC3F89"/>
    <w:rsid w:val="00AC4614"/>
    <w:rsid w:val="00AC4880"/>
    <w:rsid w:val="00AC53AE"/>
    <w:rsid w:val="00AC6498"/>
    <w:rsid w:val="00AC66CF"/>
    <w:rsid w:val="00AC68FC"/>
    <w:rsid w:val="00AC7204"/>
    <w:rsid w:val="00AC746B"/>
    <w:rsid w:val="00AC76D1"/>
    <w:rsid w:val="00AC7772"/>
    <w:rsid w:val="00AD0C73"/>
    <w:rsid w:val="00AD16CD"/>
    <w:rsid w:val="00AD1FDC"/>
    <w:rsid w:val="00AD272F"/>
    <w:rsid w:val="00AD2B20"/>
    <w:rsid w:val="00AD2BFC"/>
    <w:rsid w:val="00AD2CFC"/>
    <w:rsid w:val="00AD2D58"/>
    <w:rsid w:val="00AD2F20"/>
    <w:rsid w:val="00AD3450"/>
    <w:rsid w:val="00AD372C"/>
    <w:rsid w:val="00AD45FD"/>
    <w:rsid w:val="00AD47C6"/>
    <w:rsid w:val="00AD544B"/>
    <w:rsid w:val="00AD5A45"/>
    <w:rsid w:val="00AD5FF2"/>
    <w:rsid w:val="00AD63DC"/>
    <w:rsid w:val="00AD71B3"/>
    <w:rsid w:val="00AD72B0"/>
    <w:rsid w:val="00AD7A9F"/>
    <w:rsid w:val="00AD7BE9"/>
    <w:rsid w:val="00AE01F9"/>
    <w:rsid w:val="00AE0A26"/>
    <w:rsid w:val="00AE0BDE"/>
    <w:rsid w:val="00AE0C40"/>
    <w:rsid w:val="00AE0D92"/>
    <w:rsid w:val="00AE0E2D"/>
    <w:rsid w:val="00AE0F3F"/>
    <w:rsid w:val="00AE1496"/>
    <w:rsid w:val="00AE19C6"/>
    <w:rsid w:val="00AE1D4E"/>
    <w:rsid w:val="00AE1FD3"/>
    <w:rsid w:val="00AE315C"/>
    <w:rsid w:val="00AE38D4"/>
    <w:rsid w:val="00AE3F95"/>
    <w:rsid w:val="00AE409F"/>
    <w:rsid w:val="00AE45B1"/>
    <w:rsid w:val="00AE4A02"/>
    <w:rsid w:val="00AE4A37"/>
    <w:rsid w:val="00AE519E"/>
    <w:rsid w:val="00AE5288"/>
    <w:rsid w:val="00AE5505"/>
    <w:rsid w:val="00AE5584"/>
    <w:rsid w:val="00AE55F4"/>
    <w:rsid w:val="00AE5C7A"/>
    <w:rsid w:val="00AE6D79"/>
    <w:rsid w:val="00AE724C"/>
    <w:rsid w:val="00AE76B1"/>
    <w:rsid w:val="00AE7BC3"/>
    <w:rsid w:val="00AF012D"/>
    <w:rsid w:val="00AF0164"/>
    <w:rsid w:val="00AF0568"/>
    <w:rsid w:val="00AF0E02"/>
    <w:rsid w:val="00AF0FF9"/>
    <w:rsid w:val="00AF100B"/>
    <w:rsid w:val="00AF1A2D"/>
    <w:rsid w:val="00AF1E2D"/>
    <w:rsid w:val="00AF206D"/>
    <w:rsid w:val="00AF23C5"/>
    <w:rsid w:val="00AF2C97"/>
    <w:rsid w:val="00AF2D0B"/>
    <w:rsid w:val="00AF346D"/>
    <w:rsid w:val="00AF367C"/>
    <w:rsid w:val="00AF37DF"/>
    <w:rsid w:val="00AF3932"/>
    <w:rsid w:val="00AF3BAF"/>
    <w:rsid w:val="00AF4563"/>
    <w:rsid w:val="00AF4686"/>
    <w:rsid w:val="00AF4BA7"/>
    <w:rsid w:val="00AF4D44"/>
    <w:rsid w:val="00AF516A"/>
    <w:rsid w:val="00AF5293"/>
    <w:rsid w:val="00AF52EF"/>
    <w:rsid w:val="00AF64A2"/>
    <w:rsid w:val="00AF6EC1"/>
    <w:rsid w:val="00AF7254"/>
    <w:rsid w:val="00AF7448"/>
    <w:rsid w:val="00AF7A3B"/>
    <w:rsid w:val="00AF7B0E"/>
    <w:rsid w:val="00AF7FF1"/>
    <w:rsid w:val="00AF7FFC"/>
    <w:rsid w:val="00B00CC1"/>
    <w:rsid w:val="00B016BE"/>
    <w:rsid w:val="00B0175E"/>
    <w:rsid w:val="00B0225A"/>
    <w:rsid w:val="00B028A2"/>
    <w:rsid w:val="00B029EC"/>
    <w:rsid w:val="00B03365"/>
    <w:rsid w:val="00B033B6"/>
    <w:rsid w:val="00B03822"/>
    <w:rsid w:val="00B03D18"/>
    <w:rsid w:val="00B04A29"/>
    <w:rsid w:val="00B05054"/>
    <w:rsid w:val="00B05A5B"/>
    <w:rsid w:val="00B10B99"/>
    <w:rsid w:val="00B1129F"/>
    <w:rsid w:val="00B1147A"/>
    <w:rsid w:val="00B11B51"/>
    <w:rsid w:val="00B12017"/>
    <w:rsid w:val="00B125A9"/>
    <w:rsid w:val="00B12C1F"/>
    <w:rsid w:val="00B12CA6"/>
    <w:rsid w:val="00B130E7"/>
    <w:rsid w:val="00B1315B"/>
    <w:rsid w:val="00B13D5B"/>
    <w:rsid w:val="00B13D6A"/>
    <w:rsid w:val="00B1514F"/>
    <w:rsid w:val="00B155B9"/>
    <w:rsid w:val="00B15818"/>
    <w:rsid w:val="00B1606F"/>
    <w:rsid w:val="00B166E7"/>
    <w:rsid w:val="00B16AE3"/>
    <w:rsid w:val="00B171CF"/>
    <w:rsid w:val="00B17457"/>
    <w:rsid w:val="00B17BBA"/>
    <w:rsid w:val="00B21090"/>
    <w:rsid w:val="00B21BB0"/>
    <w:rsid w:val="00B21EAA"/>
    <w:rsid w:val="00B2226B"/>
    <w:rsid w:val="00B22501"/>
    <w:rsid w:val="00B22651"/>
    <w:rsid w:val="00B23264"/>
    <w:rsid w:val="00B23483"/>
    <w:rsid w:val="00B2379F"/>
    <w:rsid w:val="00B23A74"/>
    <w:rsid w:val="00B24E46"/>
    <w:rsid w:val="00B251E0"/>
    <w:rsid w:val="00B25518"/>
    <w:rsid w:val="00B25B8B"/>
    <w:rsid w:val="00B25EAF"/>
    <w:rsid w:val="00B260D4"/>
    <w:rsid w:val="00B26999"/>
    <w:rsid w:val="00B26A1C"/>
    <w:rsid w:val="00B26A42"/>
    <w:rsid w:val="00B272DA"/>
    <w:rsid w:val="00B27507"/>
    <w:rsid w:val="00B27673"/>
    <w:rsid w:val="00B279AA"/>
    <w:rsid w:val="00B27D5B"/>
    <w:rsid w:val="00B27D88"/>
    <w:rsid w:val="00B30A0B"/>
    <w:rsid w:val="00B313F2"/>
    <w:rsid w:val="00B3198C"/>
    <w:rsid w:val="00B32336"/>
    <w:rsid w:val="00B32370"/>
    <w:rsid w:val="00B32878"/>
    <w:rsid w:val="00B335D2"/>
    <w:rsid w:val="00B33B3D"/>
    <w:rsid w:val="00B33F7C"/>
    <w:rsid w:val="00B33FCE"/>
    <w:rsid w:val="00B34685"/>
    <w:rsid w:val="00B34A28"/>
    <w:rsid w:val="00B34A6B"/>
    <w:rsid w:val="00B34C08"/>
    <w:rsid w:val="00B34CBB"/>
    <w:rsid w:val="00B351AE"/>
    <w:rsid w:val="00B3528A"/>
    <w:rsid w:val="00B36603"/>
    <w:rsid w:val="00B36BC5"/>
    <w:rsid w:val="00B36FDA"/>
    <w:rsid w:val="00B370A3"/>
    <w:rsid w:val="00B403BC"/>
    <w:rsid w:val="00B414EE"/>
    <w:rsid w:val="00B426FF"/>
    <w:rsid w:val="00B428A0"/>
    <w:rsid w:val="00B42AD7"/>
    <w:rsid w:val="00B42D4E"/>
    <w:rsid w:val="00B4300A"/>
    <w:rsid w:val="00B430C0"/>
    <w:rsid w:val="00B43231"/>
    <w:rsid w:val="00B432E5"/>
    <w:rsid w:val="00B433A1"/>
    <w:rsid w:val="00B44FE9"/>
    <w:rsid w:val="00B46226"/>
    <w:rsid w:val="00B466A9"/>
    <w:rsid w:val="00B46FA6"/>
    <w:rsid w:val="00B474FB"/>
    <w:rsid w:val="00B4750C"/>
    <w:rsid w:val="00B47565"/>
    <w:rsid w:val="00B4791F"/>
    <w:rsid w:val="00B50518"/>
    <w:rsid w:val="00B50B31"/>
    <w:rsid w:val="00B50C48"/>
    <w:rsid w:val="00B51182"/>
    <w:rsid w:val="00B514D1"/>
    <w:rsid w:val="00B515BE"/>
    <w:rsid w:val="00B515C2"/>
    <w:rsid w:val="00B51A5D"/>
    <w:rsid w:val="00B51B5C"/>
    <w:rsid w:val="00B51BCD"/>
    <w:rsid w:val="00B51C9D"/>
    <w:rsid w:val="00B51E57"/>
    <w:rsid w:val="00B521B0"/>
    <w:rsid w:val="00B5262D"/>
    <w:rsid w:val="00B52CDD"/>
    <w:rsid w:val="00B530C5"/>
    <w:rsid w:val="00B533A4"/>
    <w:rsid w:val="00B54563"/>
    <w:rsid w:val="00B545D3"/>
    <w:rsid w:val="00B55C4A"/>
    <w:rsid w:val="00B563F7"/>
    <w:rsid w:val="00B5656A"/>
    <w:rsid w:val="00B567DB"/>
    <w:rsid w:val="00B568B6"/>
    <w:rsid w:val="00B56908"/>
    <w:rsid w:val="00B569AB"/>
    <w:rsid w:val="00B56BEC"/>
    <w:rsid w:val="00B56E0A"/>
    <w:rsid w:val="00B56F26"/>
    <w:rsid w:val="00B574EB"/>
    <w:rsid w:val="00B57F1F"/>
    <w:rsid w:val="00B57FD8"/>
    <w:rsid w:val="00B6082E"/>
    <w:rsid w:val="00B60D37"/>
    <w:rsid w:val="00B6113D"/>
    <w:rsid w:val="00B61856"/>
    <w:rsid w:val="00B620E1"/>
    <w:rsid w:val="00B6220B"/>
    <w:rsid w:val="00B6256A"/>
    <w:rsid w:val="00B63805"/>
    <w:rsid w:val="00B63A25"/>
    <w:rsid w:val="00B63C8B"/>
    <w:rsid w:val="00B64295"/>
    <w:rsid w:val="00B642F3"/>
    <w:rsid w:val="00B644FA"/>
    <w:rsid w:val="00B64B6C"/>
    <w:rsid w:val="00B64BB8"/>
    <w:rsid w:val="00B64DB6"/>
    <w:rsid w:val="00B65194"/>
    <w:rsid w:val="00B655BA"/>
    <w:rsid w:val="00B6582D"/>
    <w:rsid w:val="00B65EBA"/>
    <w:rsid w:val="00B66829"/>
    <w:rsid w:val="00B66A7B"/>
    <w:rsid w:val="00B66EFE"/>
    <w:rsid w:val="00B6755F"/>
    <w:rsid w:val="00B703B8"/>
    <w:rsid w:val="00B704F1"/>
    <w:rsid w:val="00B70525"/>
    <w:rsid w:val="00B70605"/>
    <w:rsid w:val="00B71710"/>
    <w:rsid w:val="00B71AF7"/>
    <w:rsid w:val="00B71E17"/>
    <w:rsid w:val="00B71F27"/>
    <w:rsid w:val="00B72189"/>
    <w:rsid w:val="00B721FB"/>
    <w:rsid w:val="00B72D95"/>
    <w:rsid w:val="00B73B13"/>
    <w:rsid w:val="00B73F75"/>
    <w:rsid w:val="00B7415E"/>
    <w:rsid w:val="00B741E7"/>
    <w:rsid w:val="00B74268"/>
    <w:rsid w:val="00B74803"/>
    <w:rsid w:val="00B74851"/>
    <w:rsid w:val="00B74A09"/>
    <w:rsid w:val="00B74F1B"/>
    <w:rsid w:val="00B75047"/>
    <w:rsid w:val="00B751A1"/>
    <w:rsid w:val="00B756F7"/>
    <w:rsid w:val="00B75736"/>
    <w:rsid w:val="00B758A2"/>
    <w:rsid w:val="00B75A82"/>
    <w:rsid w:val="00B76118"/>
    <w:rsid w:val="00B763D1"/>
    <w:rsid w:val="00B767E3"/>
    <w:rsid w:val="00B76FBE"/>
    <w:rsid w:val="00B7711E"/>
    <w:rsid w:val="00B7768A"/>
    <w:rsid w:val="00B800A7"/>
    <w:rsid w:val="00B80481"/>
    <w:rsid w:val="00B805B7"/>
    <w:rsid w:val="00B8061D"/>
    <w:rsid w:val="00B8080A"/>
    <w:rsid w:val="00B80E81"/>
    <w:rsid w:val="00B8128B"/>
    <w:rsid w:val="00B818FB"/>
    <w:rsid w:val="00B81D2C"/>
    <w:rsid w:val="00B8201F"/>
    <w:rsid w:val="00B82883"/>
    <w:rsid w:val="00B83058"/>
    <w:rsid w:val="00B8363C"/>
    <w:rsid w:val="00B83DD4"/>
    <w:rsid w:val="00B84241"/>
    <w:rsid w:val="00B8431C"/>
    <w:rsid w:val="00B84913"/>
    <w:rsid w:val="00B84D1A"/>
    <w:rsid w:val="00B85147"/>
    <w:rsid w:val="00B85CD2"/>
    <w:rsid w:val="00B85D43"/>
    <w:rsid w:val="00B873CA"/>
    <w:rsid w:val="00B9009B"/>
    <w:rsid w:val="00B904E1"/>
    <w:rsid w:val="00B909F6"/>
    <w:rsid w:val="00B90C3F"/>
    <w:rsid w:val="00B911BB"/>
    <w:rsid w:val="00B9153C"/>
    <w:rsid w:val="00B915D8"/>
    <w:rsid w:val="00B9162C"/>
    <w:rsid w:val="00B91692"/>
    <w:rsid w:val="00B91A07"/>
    <w:rsid w:val="00B91C34"/>
    <w:rsid w:val="00B91F61"/>
    <w:rsid w:val="00B9223A"/>
    <w:rsid w:val="00B93302"/>
    <w:rsid w:val="00B93388"/>
    <w:rsid w:val="00B9345C"/>
    <w:rsid w:val="00B94139"/>
    <w:rsid w:val="00B94660"/>
    <w:rsid w:val="00B946A4"/>
    <w:rsid w:val="00B94842"/>
    <w:rsid w:val="00B94D87"/>
    <w:rsid w:val="00B950AF"/>
    <w:rsid w:val="00B951E9"/>
    <w:rsid w:val="00B954A0"/>
    <w:rsid w:val="00B95C79"/>
    <w:rsid w:val="00B966EB"/>
    <w:rsid w:val="00B96DD5"/>
    <w:rsid w:val="00B96E01"/>
    <w:rsid w:val="00B96E25"/>
    <w:rsid w:val="00BA0233"/>
    <w:rsid w:val="00BA0701"/>
    <w:rsid w:val="00BA0AC1"/>
    <w:rsid w:val="00BA107F"/>
    <w:rsid w:val="00BA10B1"/>
    <w:rsid w:val="00BA1667"/>
    <w:rsid w:val="00BA2160"/>
    <w:rsid w:val="00BA276A"/>
    <w:rsid w:val="00BA29C5"/>
    <w:rsid w:val="00BA2A52"/>
    <w:rsid w:val="00BA2E92"/>
    <w:rsid w:val="00BA2EEB"/>
    <w:rsid w:val="00BA2FE0"/>
    <w:rsid w:val="00BA3C45"/>
    <w:rsid w:val="00BA3EDF"/>
    <w:rsid w:val="00BA4AAA"/>
    <w:rsid w:val="00BA4BA9"/>
    <w:rsid w:val="00BA4BC0"/>
    <w:rsid w:val="00BA52BC"/>
    <w:rsid w:val="00BA6D4D"/>
    <w:rsid w:val="00BA7703"/>
    <w:rsid w:val="00BB0FB7"/>
    <w:rsid w:val="00BB1661"/>
    <w:rsid w:val="00BB1703"/>
    <w:rsid w:val="00BB18DA"/>
    <w:rsid w:val="00BB1ABE"/>
    <w:rsid w:val="00BB1F16"/>
    <w:rsid w:val="00BB2396"/>
    <w:rsid w:val="00BB2F6A"/>
    <w:rsid w:val="00BB42B8"/>
    <w:rsid w:val="00BB4320"/>
    <w:rsid w:val="00BB4A9C"/>
    <w:rsid w:val="00BB6251"/>
    <w:rsid w:val="00BB6890"/>
    <w:rsid w:val="00BB699F"/>
    <w:rsid w:val="00BB6CBA"/>
    <w:rsid w:val="00BB6EFD"/>
    <w:rsid w:val="00BB7054"/>
    <w:rsid w:val="00BB74D8"/>
    <w:rsid w:val="00BB7A31"/>
    <w:rsid w:val="00BB7DFF"/>
    <w:rsid w:val="00BB7FB0"/>
    <w:rsid w:val="00BC0344"/>
    <w:rsid w:val="00BC2293"/>
    <w:rsid w:val="00BC28C7"/>
    <w:rsid w:val="00BC311D"/>
    <w:rsid w:val="00BC3CD6"/>
    <w:rsid w:val="00BC5084"/>
    <w:rsid w:val="00BC514C"/>
    <w:rsid w:val="00BC51BB"/>
    <w:rsid w:val="00BC55EF"/>
    <w:rsid w:val="00BC5856"/>
    <w:rsid w:val="00BC5AF8"/>
    <w:rsid w:val="00BC6A7F"/>
    <w:rsid w:val="00BC6B94"/>
    <w:rsid w:val="00BC6CF4"/>
    <w:rsid w:val="00BC72E4"/>
    <w:rsid w:val="00BC7D4C"/>
    <w:rsid w:val="00BD00A7"/>
    <w:rsid w:val="00BD0732"/>
    <w:rsid w:val="00BD0A44"/>
    <w:rsid w:val="00BD0FCB"/>
    <w:rsid w:val="00BD17A1"/>
    <w:rsid w:val="00BD1EAC"/>
    <w:rsid w:val="00BD29AD"/>
    <w:rsid w:val="00BD29B1"/>
    <w:rsid w:val="00BD2CC4"/>
    <w:rsid w:val="00BD2E10"/>
    <w:rsid w:val="00BD3048"/>
    <w:rsid w:val="00BD3370"/>
    <w:rsid w:val="00BD33C9"/>
    <w:rsid w:val="00BD378B"/>
    <w:rsid w:val="00BD3D7A"/>
    <w:rsid w:val="00BD48BB"/>
    <w:rsid w:val="00BD4978"/>
    <w:rsid w:val="00BD4CE4"/>
    <w:rsid w:val="00BD547B"/>
    <w:rsid w:val="00BD55B8"/>
    <w:rsid w:val="00BD5820"/>
    <w:rsid w:val="00BD5E06"/>
    <w:rsid w:val="00BD6238"/>
    <w:rsid w:val="00BD63A0"/>
    <w:rsid w:val="00BD7195"/>
    <w:rsid w:val="00BD7478"/>
    <w:rsid w:val="00BD76F2"/>
    <w:rsid w:val="00BD7F7A"/>
    <w:rsid w:val="00BE09F4"/>
    <w:rsid w:val="00BE1060"/>
    <w:rsid w:val="00BE1A4F"/>
    <w:rsid w:val="00BE22E3"/>
    <w:rsid w:val="00BE23DC"/>
    <w:rsid w:val="00BE2A24"/>
    <w:rsid w:val="00BE3287"/>
    <w:rsid w:val="00BE32EA"/>
    <w:rsid w:val="00BE3DD5"/>
    <w:rsid w:val="00BE400C"/>
    <w:rsid w:val="00BE4E94"/>
    <w:rsid w:val="00BE505A"/>
    <w:rsid w:val="00BE6590"/>
    <w:rsid w:val="00BE6AE3"/>
    <w:rsid w:val="00BE6E89"/>
    <w:rsid w:val="00BE7BD6"/>
    <w:rsid w:val="00BE7D9E"/>
    <w:rsid w:val="00BF004C"/>
    <w:rsid w:val="00BF0586"/>
    <w:rsid w:val="00BF0999"/>
    <w:rsid w:val="00BF11A9"/>
    <w:rsid w:val="00BF1DA3"/>
    <w:rsid w:val="00BF2397"/>
    <w:rsid w:val="00BF24D4"/>
    <w:rsid w:val="00BF2518"/>
    <w:rsid w:val="00BF3128"/>
    <w:rsid w:val="00BF3B6D"/>
    <w:rsid w:val="00BF5101"/>
    <w:rsid w:val="00BF53B3"/>
    <w:rsid w:val="00BF6876"/>
    <w:rsid w:val="00BF6A59"/>
    <w:rsid w:val="00BF7BE4"/>
    <w:rsid w:val="00C00587"/>
    <w:rsid w:val="00C008E2"/>
    <w:rsid w:val="00C00D40"/>
    <w:rsid w:val="00C00DB5"/>
    <w:rsid w:val="00C011E9"/>
    <w:rsid w:val="00C01A70"/>
    <w:rsid w:val="00C0207F"/>
    <w:rsid w:val="00C0215C"/>
    <w:rsid w:val="00C03523"/>
    <w:rsid w:val="00C0375C"/>
    <w:rsid w:val="00C03936"/>
    <w:rsid w:val="00C03942"/>
    <w:rsid w:val="00C03A3A"/>
    <w:rsid w:val="00C03AEE"/>
    <w:rsid w:val="00C03F59"/>
    <w:rsid w:val="00C04242"/>
    <w:rsid w:val="00C04254"/>
    <w:rsid w:val="00C048C8"/>
    <w:rsid w:val="00C04A1D"/>
    <w:rsid w:val="00C05191"/>
    <w:rsid w:val="00C05560"/>
    <w:rsid w:val="00C058E6"/>
    <w:rsid w:val="00C0594B"/>
    <w:rsid w:val="00C05DDA"/>
    <w:rsid w:val="00C061AC"/>
    <w:rsid w:val="00C06224"/>
    <w:rsid w:val="00C064F8"/>
    <w:rsid w:val="00C066FC"/>
    <w:rsid w:val="00C076CB"/>
    <w:rsid w:val="00C1015B"/>
    <w:rsid w:val="00C10401"/>
    <w:rsid w:val="00C108D7"/>
    <w:rsid w:val="00C10AD3"/>
    <w:rsid w:val="00C10D37"/>
    <w:rsid w:val="00C10E51"/>
    <w:rsid w:val="00C11992"/>
    <w:rsid w:val="00C12197"/>
    <w:rsid w:val="00C121FC"/>
    <w:rsid w:val="00C12A19"/>
    <w:rsid w:val="00C133F6"/>
    <w:rsid w:val="00C13C28"/>
    <w:rsid w:val="00C13D23"/>
    <w:rsid w:val="00C14468"/>
    <w:rsid w:val="00C149EB"/>
    <w:rsid w:val="00C14B61"/>
    <w:rsid w:val="00C14CC1"/>
    <w:rsid w:val="00C14FA1"/>
    <w:rsid w:val="00C15155"/>
    <w:rsid w:val="00C158CD"/>
    <w:rsid w:val="00C15FCD"/>
    <w:rsid w:val="00C16280"/>
    <w:rsid w:val="00C16D75"/>
    <w:rsid w:val="00C17030"/>
    <w:rsid w:val="00C17094"/>
    <w:rsid w:val="00C171B1"/>
    <w:rsid w:val="00C17253"/>
    <w:rsid w:val="00C176CF"/>
    <w:rsid w:val="00C20764"/>
    <w:rsid w:val="00C20BB5"/>
    <w:rsid w:val="00C213D5"/>
    <w:rsid w:val="00C215E5"/>
    <w:rsid w:val="00C21699"/>
    <w:rsid w:val="00C21933"/>
    <w:rsid w:val="00C21C36"/>
    <w:rsid w:val="00C21D9A"/>
    <w:rsid w:val="00C223C2"/>
    <w:rsid w:val="00C227F9"/>
    <w:rsid w:val="00C22C26"/>
    <w:rsid w:val="00C23C18"/>
    <w:rsid w:val="00C241B9"/>
    <w:rsid w:val="00C24742"/>
    <w:rsid w:val="00C258D0"/>
    <w:rsid w:val="00C26167"/>
    <w:rsid w:val="00C26664"/>
    <w:rsid w:val="00C271DB"/>
    <w:rsid w:val="00C2760C"/>
    <w:rsid w:val="00C27A3F"/>
    <w:rsid w:val="00C27DC7"/>
    <w:rsid w:val="00C27F9F"/>
    <w:rsid w:val="00C30150"/>
    <w:rsid w:val="00C30A9F"/>
    <w:rsid w:val="00C31DB3"/>
    <w:rsid w:val="00C3240D"/>
    <w:rsid w:val="00C32465"/>
    <w:rsid w:val="00C324AF"/>
    <w:rsid w:val="00C32596"/>
    <w:rsid w:val="00C32665"/>
    <w:rsid w:val="00C328CB"/>
    <w:rsid w:val="00C32D00"/>
    <w:rsid w:val="00C32D79"/>
    <w:rsid w:val="00C33031"/>
    <w:rsid w:val="00C336F4"/>
    <w:rsid w:val="00C3401B"/>
    <w:rsid w:val="00C34736"/>
    <w:rsid w:val="00C34817"/>
    <w:rsid w:val="00C34E7A"/>
    <w:rsid w:val="00C353DC"/>
    <w:rsid w:val="00C3566E"/>
    <w:rsid w:val="00C35951"/>
    <w:rsid w:val="00C36702"/>
    <w:rsid w:val="00C36889"/>
    <w:rsid w:val="00C36ACF"/>
    <w:rsid w:val="00C36AD9"/>
    <w:rsid w:val="00C37050"/>
    <w:rsid w:val="00C37C63"/>
    <w:rsid w:val="00C410CF"/>
    <w:rsid w:val="00C41399"/>
    <w:rsid w:val="00C41A70"/>
    <w:rsid w:val="00C41CDA"/>
    <w:rsid w:val="00C41EE4"/>
    <w:rsid w:val="00C41F63"/>
    <w:rsid w:val="00C4258B"/>
    <w:rsid w:val="00C42AB7"/>
    <w:rsid w:val="00C42C3D"/>
    <w:rsid w:val="00C42FB5"/>
    <w:rsid w:val="00C4393D"/>
    <w:rsid w:val="00C43D6B"/>
    <w:rsid w:val="00C43FD7"/>
    <w:rsid w:val="00C443C7"/>
    <w:rsid w:val="00C44498"/>
    <w:rsid w:val="00C452D7"/>
    <w:rsid w:val="00C4532C"/>
    <w:rsid w:val="00C4579A"/>
    <w:rsid w:val="00C457BD"/>
    <w:rsid w:val="00C4719B"/>
    <w:rsid w:val="00C47255"/>
    <w:rsid w:val="00C47466"/>
    <w:rsid w:val="00C47C75"/>
    <w:rsid w:val="00C504E0"/>
    <w:rsid w:val="00C5073A"/>
    <w:rsid w:val="00C50C6A"/>
    <w:rsid w:val="00C51C99"/>
    <w:rsid w:val="00C53355"/>
    <w:rsid w:val="00C53430"/>
    <w:rsid w:val="00C534B9"/>
    <w:rsid w:val="00C53646"/>
    <w:rsid w:val="00C5385C"/>
    <w:rsid w:val="00C53990"/>
    <w:rsid w:val="00C53E6C"/>
    <w:rsid w:val="00C54174"/>
    <w:rsid w:val="00C54576"/>
    <w:rsid w:val="00C54582"/>
    <w:rsid w:val="00C5477B"/>
    <w:rsid w:val="00C55044"/>
    <w:rsid w:val="00C55993"/>
    <w:rsid w:val="00C55A69"/>
    <w:rsid w:val="00C55FBA"/>
    <w:rsid w:val="00C60506"/>
    <w:rsid w:val="00C60E11"/>
    <w:rsid w:val="00C61AF1"/>
    <w:rsid w:val="00C62AAF"/>
    <w:rsid w:val="00C6331C"/>
    <w:rsid w:val="00C63768"/>
    <w:rsid w:val="00C63878"/>
    <w:rsid w:val="00C63BFB"/>
    <w:rsid w:val="00C64A23"/>
    <w:rsid w:val="00C652E3"/>
    <w:rsid w:val="00C655A3"/>
    <w:rsid w:val="00C655E5"/>
    <w:rsid w:val="00C65722"/>
    <w:rsid w:val="00C659BD"/>
    <w:rsid w:val="00C65BE2"/>
    <w:rsid w:val="00C6646D"/>
    <w:rsid w:val="00C66C3A"/>
    <w:rsid w:val="00C676D7"/>
    <w:rsid w:val="00C67734"/>
    <w:rsid w:val="00C679ED"/>
    <w:rsid w:val="00C702D9"/>
    <w:rsid w:val="00C70375"/>
    <w:rsid w:val="00C705AA"/>
    <w:rsid w:val="00C7092C"/>
    <w:rsid w:val="00C70DC5"/>
    <w:rsid w:val="00C70F7D"/>
    <w:rsid w:val="00C71078"/>
    <w:rsid w:val="00C71CF5"/>
    <w:rsid w:val="00C720F7"/>
    <w:rsid w:val="00C72789"/>
    <w:rsid w:val="00C72BC8"/>
    <w:rsid w:val="00C72C5B"/>
    <w:rsid w:val="00C7300A"/>
    <w:rsid w:val="00C73AEA"/>
    <w:rsid w:val="00C73EAA"/>
    <w:rsid w:val="00C74076"/>
    <w:rsid w:val="00C74607"/>
    <w:rsid w:val="00C748CA"/>
    <w:rsid w:val="00C74FA0"/>
    <w:rsid w:val="00C7518E"/>
    <w:rsid w:val="00C7568D"/>
    <w:rsid w:val="00C757B1"/>
    <w:rsid w:val="00C75883"/>
    <w:rsid w:val="00C75E30"/>
    <w:rsid w:val="00C75EFF"/>
    <w:rsid w:val="00C76354"/>
    <w:rsid w:val="00C763D0"/>
    <w:rsid w:val="00C765D1"/>
    <w:rsid w:val="00C76C76"/>
    <w:rsid w:val="00C76D74"/>
    <w:rsid w:val="00C76E50"/>
    <w:rsid w:val="00C76EC1"/>
    <w:rsid w:val="00C77708"/>
    <w:rsid w:val="00C77B6F"/>
    <w:rsid w:val="00C80065"/>
    <w:rsid w:val="00C813D5"/>
    <w:rsid w:val="00C81875"/>
    <w:rsid w:val="00C81E49"/>
    <w:rsid w:val="00C81F1D"/>
    <w:rsid w:val="00C81F4E"/>
    <w:rsid w:val="00C82980"/>
    <w:rsid w:val="00C83561"/>
    <w:rsid w:val="00C836D6"/>
    <w:rsid w:val="00C83AD4"/>
    <w:rsid w:val="00C83D3C"/>
    <w:rsid w:val="00C83EB2"/>
    <w:rsid w:val="00C841C6"/>
    <w:rsid w:val="00C84591"/>
    <w:rsid w:val="00C849D8"/>
    <w:rsid w:val="00C84CF6"/>
    <w:rsid w:val="00C858C6"/>
    <w:rsid w:val="00C85CAB"/>
    <w:rsid w:val="00C85DFC"/>
    <w:rsid w:val="00C85ED3"/>
    <w:rsid w:val="00C86ADC"/>
    <w:rsid w:val="00C87127"/>
    <w:rsid w:val="00C874F8"/>
    <w:rsid w:val="00C8776D"/>
    <w:rsid w:val="00C87E48"/>
    <w:rsid w:val="00C87F1F"/>
    <w:rsid w:val="00C903AD"/>
    <w:rsid w:val="00C90A0E"/>
    <w:rsid w:val="00C912F9"/>
    <w:rsid w:val="00C918EF"/>
    <w:rsid w:val="00C91A9E"/>
    <w:rsid w:val="00C91BF9"/>
    <w:rsid w:val="00C92611"/>
    <w:rsid w:val="00C929BA"/>
    <w:rsid w:val="00C92B33"/>
    <w:rsid w:val="00C93AD6"/>
    <w:rsid w:val="00C94D01"/>
    <w:rsid w:val="00C95951"/>
    <w:rsid w:val="00C95BF7"/>
    <w:rsid w:val="00C95C10"/>
    <w:rsid w:val="00C95FBA"/>
    <w:rsid w:val="00C96C6C"/>
    <w:rsid w:val="00C975F7"/>
    <w:rsid w:val="00CA091D"/>
    <w:rsid w:val="00CA0AB7"/>
    <w:rsid w:val="00CA1450"/>
    <w:rsid w:val="00CA1ED7"/>
    <w:rsid w:val="00CA2AB6"/>
    <w:rsid w:val="00CA2B2A"/>
    <w:rsid w:val="00CA3300"/>
    <w:rsid w:val="00CA422F"/>
    <w:rsid w:val="00CA4F29"/>
    <w:rsid w:val="00CA5A5F"/>
    <w:rsid w:val="00CA650B"/>
    <w:rsid w:val="00CA6B82"/>
    <w:rsid w:val="00CA6EA4"/>
    <w:rsid w:val="00CA786D"/>
    <w:rsid w:val="00CA7942"/>
    <w:rsid w:val="00CA7FC1"/>
    <w:rsid w:val="00CB0407"/>
    <w:rsid w:val="00CB0776"/>
    <w:rsid w:val="00CB0998"/>
    <w:rsid w:val="00CB0C52"/>
    <w:rsid w:val="00CB0F51"/>
    <w:rsid w:val="00CB1001"/>
    <w:rsid w:val="00CB1D17"/>
    <w:rsid w:val="00CB1DF1"/>
    <w:rsid w:val="00CB1FA8"/>
    <w:rsid w:val="00CB2B55"/>
    <w:rsid w:val="00CB2E3E"/>
    <w:rsid w:val="00CB2FE2"/>
    <w:rsid w:val="00CB327B"/>
    <w:rsid w:val="00CB36E0"/>
    <w:rsid w:val="00CB44C5"/>
    <w:rsid w:val="00CB456F"/>
    <w:rsid w:val="00CB465A"/>
    <w:rsid w:val="00CB49C0"/>
    <w:rsid w:val="00CB4B88"/>
    <w:rsid w:val="00CB4D71"/>
    <w:rsid w:val="00CB5009"/>
    <w:rsid w:val="00CB5E89"/>
    <w:rsid w:val="00CB5F33"/>
    <w:rsid w:val="00CB618D"/>
    <w:rsid w:val="00CB61EB"/>
    <w:rsid w:val="00CB6336"/>
    <w:rsid w:val="00CB634C"/>
    <w:rsid w:val="00CB636F"/>
    <w:rsid w:val="00CB695A"/>
    <w:rsid w:val="00CB6B2A"/>
    <w:rsid w:val="00CB6C3F"/>
    <w:rsid w:val="00CB6CB8"/>
    <w:rsid w:val="00CB7AF9"/>
    <w:rsid w:val="00CB7C73"/>
    <w:rsid w:val="00CC0A72"/>
    <w:rsid w:val="00CC0E58"/>
    <w:rsid w:val="00CC1886"/>
    <w:rsid w:val="00CC1A07"/>
    <w:rsid w:val="00CC1D93"/>
    <w:rsid w:val="00CC21F8"/>
    <w:rsid w:val="00CC2421"/>
    <w:rsid w:val="00CC34E6"/>
    <w:rsid w:val="00CC4127"/>
    <w:rsid w:val="00CC43FE"/>
    <w:rsid w:val="00CC4C68"/>
    <w:rsid w:val="00CC5233"/>
    <w:rsid w:val="00CC607D"/>
    <w:rsid w:val="00CC6636"/>
    <w:rsid w:val="00CC6B64"/>
    <w:rsid w:val="00CC712D"/>
    <w:rsid w:val="00CC7758"/>
    <w:rsid w:val="00CC7EF1"/>
    <w:rsid w:val="00CD020E"/>
    <w:rsid w:val="00CD03B1"/>
    <w:rsid w:val="00CD09DB"/>
    <w:rsid w:val="00CD0EE4"/>
    <w:rsid w:val="00CD10F6"/>
    <w:rsid w:val="00CD15F4"/>
    <w:rsid w:val="00CD1C46"/>
    <w:rsid w:val="00CD1F08"/>
    <w:rsid w:val="00CD29EC"/>
    <w:rsid w:val="00CD2F93"/>
    <w:rsid w:val="00CD2FCB"/>
    <w:rsid w:val="00CD337C"/>
    <w:rsid w:val="00CD3648"/>
    <w:rsid w:val="00CD3990"/>
    <w:rsid w:val="00CD3F72"/>
    <w:rsid w:val="00CD4A1B"/>
    <w:rsid w:val="00CD4FA2"/>
    <w:rsid w:val="00CD594D"/>
    <w:rsid w:val="00CD5A88"/>
    <w:rsid w:val="00CD6308"/>
    <w:rsid w:val="00CD6A3C"/>
    <w:rsid w:val="00CD6CD7"/>
    <w:rsid w:val="00CD6D5B"/>
    <w:rsid w:val="00CD6ED5"/>
    <w:rsid w:val="00CD728A"/>
    <w:rsid w:val="00CD7609"/>
    <w:rsid w:val="00CD7753"/>
    <w:rsid w:val="00CD78E9"/>
    <w:rsid w:val="00CD7C4F"/>
    <w:rsid w:val="00CD7E74"/>
    <w:rsid w:val="00CD7FA0"/>
    <w:rsid w:val="00CE024B"/>
    <w:rsid w:val="00CE082C"/>
    <w:rsid w:val="00CE251F"/>
    <w:rsid w:val="00CE267B"/>
    <w:rsid w:val="00CE26BF"/>
    <w:rsid w:val="00CE2CE9"/>
    <w:rsid w:val="00CE2E92"/>
    <w:rsid w:val="00CE3786"/>
    <w:rsid w:val="00CE3F02"/>
    <w:rsid w:val="00CE4370"/>
    <w:rsid w:val="00CE49DB"/>
    <w:rsid w:val="00CE4D0A"/>
    <w:rsid w:val="00CE566A"/>
    <w:rsid w:val="00CE5C52"/>
    <w:rsid w:val="00CE603E"/>
    <w:rsid w:val="00CE63D2"/>
    <w:rsid w:val="00CE640B"/>
    <w:rsid w:val="00CE6DAE"/>
    <w:rsid w:val="00CE6EFF"/>
    <w:rsid w:val="00CF0770"/>
    <w:rsid w:val="00CF0FC1"/>
    <w:rsid w:val="00CF1E8A"/>
    <w:rsid w:val="00CF24FC"/>
    <w:rsid w:val="00CF2717"/>
    <w:rsid w:val="00CF273E"/>
    <w:rsid w:val="00CF313F"/>
    <w:rsid w:val="00CF344D"/>
    <w:rsid w:val="00CF3604"/>
    <w:rsid w:val="00CF3ACD"/>
    <w:rsid w:val="00CF40CF"/>
    <w:rsid w:val="00CF47EF"/>
    <w:rsid w:val="00CF48ED"/>
    <w:rsid w:val="00CF5515"/>
    <w:rsid w:val="00CF5F47"/>
    <w:rsid w:val="00CF5FC8"/>
    <w:rsid w:val="00CF62C8"/>
    <w:rsid w:val="00CF6C1A"/>
    <w:rsid w:val="00CF6EB3"/>
    <w:rsid w:val="00CF7450"/>
    <w:rsid w:val="00CF7CF3"/>
    <w:rsid w:val="00D00015"/>
    <w:rsid w:val="00D00307"/>
    <w:rsid w:val="00D00C80"/>
    <w:rsid w:val="00D00D33"/>
    <w:rsid w:val="00D0127E"/>
    <w:rsid w:val="00D01511"/>
    <w:rsid w:val="00D01B9D"/>
    <w:rsid w:val="00D02767"/>
    <w:rsid w:val="00D0284F"/>
    <w:rsid w:val="00D0290C"/>
    <w:rsid w:val="00D02EFE"/>
    <w:rsid w:val="00D03462"/>
    <w:rsid w:val="00D03753"/>
    <w:rsid w:val="00D03A4D"/>
    <w:rsid w:val="00D03AC3"/>
    <w:rsid w:val="00D03B44"/>
    <w:rsid w:val="00D03D0F"/>
    <w:rsid w:val="00D03DF4"/>
    <w:rsid w:val="00D043F0"/>
    <w:rsid w:val="00D04A3F"/>
    <w:rsid w:val="00D04F14"/>
    <w:rsid w:val="00D055E4"/>
    <w:rsid w:val="00D05623"/>
    <w:rsid w:val="00D061F8"/>
    <w:rsid w:val="00D06B4D"/>
    <w:rsid w:val="00D06BC1"/>
    <w:rsid w:val="00D06DC2"/>
    <w:rsid w:val="00D07208"/>
    <w:rsid w:val="00D07C47"/>
    <w:rsid w:val="00D103E5"/>
    <w:rsid w:val="00D107FD"/>
    <w:rsid w:val="00D119CF"/>
    <w:rsid w:val="00D12CE8"/>
    <w:rsid w:val="00D14066"/>
    <w:rsid w:val="00D14809"/>
    <w:rsid w:val="00D14970"/>
    <w:rsid w:val="00D14E33"/>
    <w:rsid w:val="00D1507C"/>
    <w:rsid w:val="00D1546F"/>
    <w:rsid w:val="00D1571F"/>
    <w:rsid w:val="00D15CB7"/>
    <w:rsid w:val="00D15FE0"/>
    <w:rsid w:val="00D16032"/>
    <w:rsid w:val="00D16471"/>
    <w:rsid w:val="00D1685F"/>
    <w:rsid w:val="00D16950"/>
    <w:rsid w:val="00D16A3F"/>
    <w:rsid w:val="00D16BC6"/>
    <w:rsid w:val="00D16DB8"/>
    <w:rsid w:val="00D173D4"/>
    <w:rsid w:val="00D174D0"/>
    <w:rsid w:val="00D179A2"/>
    <w:rsid w:val="00D17A65"/>
    <w:rsid w:val="00D17D3D"/>
    <w:rsid w:val="00D17FE5"/>
    <w:rsid w:val="00D203CB"/>
    <w:rsid w:val="00D206E2"/>
    <w:rsid w:val="00D2082C"/>
    <w:rsid w:val="00D2176F"/>
    <w:rsid w:val="00D21C4C"/>
    <w:rsid w:val="00D22137"/>
    <w:rsid w:val="00D22272"/>
    <w:rsid w:val="00D22927"/>
    <w:rsid w:val="00D22CB5"/>
    <w:rsid w:val="00D22FD8"/>
    <w:rsid w:val="00D23560"/>
    <w:rsid w:val="00D238AC"/>
    <w:rsid w:val="00D2390F"/>
    <w:rsid w:val="00D2403B"/>
    <w:rsid w:val="00D24A89"/>
    <w:rsid w:val="00D25360"/>
    <w:rsid w:val="00D25480"/>
    <w:rsid w:val="00D25C93"/>
    <w:rsid w:val="00D25F30"/>
    <w:rsid w:val="00D2639C"/>
    <w:rsid w:val="00D26492"/>
    <w:rsid w:val="00D27CD7"/>
    <w:rsid w:val="00D30B1A"/>
    <w:rsid w:val="00D31674"/>
    <w:rsid w:val="00D31750"/>
    <w:rsid w:val="00D31828"/>
    <w:rsid w:val="00D31C6B"/>
    <w:rsid w:val="00D3218E"/>
    <w:rsid w:val="00D35092"/>
    <w:rsid w:val="00D3522C"/>
    <w:rsid w:val="00D35308"/>
    <w:rsid w:val="00D3552A"/>
    <w:rsid w:val="00D36199"/>
    <w:rsid w:val="00D36301"/>
    <w:rsid w:val="00D36625"/>
    <w:rsid w:val="00D36C9B"/>
    <w:rsid w:val="00D36CB1"/>
    <w:rsid w:val="00D36CD7"/>
    <w:rsid w:val="00D373C4"/>
    <w:rsid w:val="00D374A4"/>
    <w:rsid w:val="00D400E5"/>
    <w:rsid w:val="00D4027C"/>
    <w:rsid w:val="00D40A50"/>
    <w:rsid w:val="00D41D2A"/>
    <w:rsid w:val="00D42293"/>
    <w:rsid w:val="00D43F31"/>
    <w:rsid w:val="00D43FE8"/>
    <w:rsid w:val="00D44AD3"/>
    <w:rsid w:val="00D45271"/>
    <w:rsid w:val="00D456BC"/>
    <w:rsid w:val="00D457DC"/>
    <w:rsid w:val="00D45A05"/>
    <w:rsid w:val="00D45BE3"/>
    <w:rsid w:val="00D47353"/>
    <w:rsid w:val="00D475B8"/>
    <w:rsid w:val="00D47E0E"/>
    <w:rsid w:val="00D503EC"/>
    <w:rsid w:val="00D50C91"/>
    <w:rsid w:val="00D51F7B"/>
    <w:rsid w:val="00D524C0"/>
    <w:rsid w:val="00D5257E"/>
    <w:rsid w:val="00D52590"/>
    <w:rsid w:val="00D5276C"/>
    <w:rsid w:val="00D527A5"/>
    <w:rsid w:val="00D536B9"/>
    <w:rsid w:val="00D53724"/>
    <w:rsid w:val="00D53C61"/>
    <w:rsid w:val="00D53E89"/>
    <w:rsid w:val="00D53FFE"/>
    <w:rsid w:val="00D54A51"/>
    <w:rsid w:val="00D54A91"/>
    <w:rsid w:val="00D54B30"/>
    <w:rsid w:val="00D55000"/>
    <w:rsid w:val="00D5549F"/>
    <w:rsid w:val="00D5564A"/>
    <w:rsid w:val="00D558C5"/>
    <w:rsid w:val="00D566E0"/>
    <w:rsid w:val="00D571DD"/>
    <w:rsid w:val="00D57C2D"/>
    <w:rsid w:val="00D57F39"/>
    <w:rsid w:val="00D600DA"/>
    <w:rsid w:val="00D601E0"/>
    <w:rsid w:val="00D60254"/>
    <w:rsid w:val="00D60599"/>
    <w:rsid w:val="00D60CA1"/>
    <w:rsid w:val="00D61BCA"/>
    <w:rsid w:val="00D61F2F"/>
    <w:rsid w:val="00D62344"/>
    <w:rsid w:val="00D62EBE"/>
    <w:rsid w:val="00D63B1D"/>
    <w:rsid w:val="00D640A1"/>
    <w:rsid w:val="00D65421"/>
    <w:rsid w:val="00D6551E"/>
    <w:rsid w:val="00D658A4"/>
    <w:rsid w:val="00D65A2D"/>
    <w:rsid w:val="00D65E51"/>
    <w:rsid w:val="00D66200"/>
    <w:rsid w:val="00D66686"/>
    <w:rsid w:val="00D67011"/>
    <w:rsid w:val="00D67276"/>
    <w:rsid w:val="00D67380"/>
    <w:rsid w:val="00D67546"/>
    <w:rsid w:val="00D675B8"/>
    <w:rsid w:val="00D67B09"/>
    <w:rsid w:val="00D70DE8"/>
    <w:rsid w:val="00D711C7"/>
    <w:rsid w:val="00D71337"/>
    <w:rsid w:val="00D7155B"/>
    <w:rsid w:val="00D71D22"/>
    <w:rsid w:val="00D723F2"/>
    <w:rsid w:val="00D72532"/>
    <w:rsid w:val="00D72882"/>
    <w:rsid w:val="00D72A19"/>
    <w:rsid w:val="00D73235"/>
    <w:rsid w:val="00D732C7"/>
    <w:rsid w:val="00D740E3"/>
    <w:rsid w:val="00D7460B"/>
    <w:rsid w:val="00D746DA"/>
    <w:rsid w:val="00D75039"/>
    <w:rsid w:val="00D75795"/>
    <w:rsid w:val="00D75CD8"/>
    <w:rsid w:val="00D75F2D"/>
    <w:rsid w:val="00D75FAE"/>
    <w:rsid w:val="00D7639F"/>
    <w:rsid w:val="00D80252"/>
    <w:rsid w:val="00D808B9"/>
    <w:rsid w:val="00D80C86"/>
    <w:rsid w:val="00D80EBA"/>
    <w:rsid w:val="00D81D73"/>
    <w:rsid w:val="00D81D8B"/>
    <w:rsid w:val="00D82175"/>
    <w:rsid w:val="00D821BD"/>
    <w:rsid w:val="00D821C0"/>
    <w:rsid w:val="00D82869"/>
    <w:rsid w:val="00D82963"/>
    <w:rsid w:val="00D82DDC"/>
    <w:rsid w:val="00D82DE9"/>
    <w:rsid w:val="00D82FC7"/>
    <w:rsid w:val="00D83009"/>
    <w:rsid w:val="00D830DE"/>
    <w:rsid w:val="00D83D6E"/>
    <w:rsid w:val="00D83FC0"/>
    <w:rsid w:val="00D84879"/>
    <w:rsid w:val="00D85149"/>
    <w:rsid w:val="00D851DB"/>
    <w:rsid w:val="00D85491"/>
    <w:rsid w:val="00D85B01"/>
    <w:rsid w:val="00D85D9C"/>
    <w:rsid w:val="00D85FFD"/>
    <w:rsid w:val="00D86092"/>
    <w:rsid w:val="00D862E7"/>
    <w:rsid w:val="00D86515"/>
    <w:rsid w:val="00D866CD"/>
    <w:rsid w:val="00D86B41"/>
    <w:rsid w:val="00D87319"/>
    <w:rsid w:val="00D87CB7"/>
    <w:rsid w:val="00D90218"/>
    <w:rsid w:val="00D90884"/>
    <w:rsid w:val="00D908AE"/>
    <w:rsid w:val="00D90CDF"/>
    <w:rsid w:val="00D90DB3"/>
    <w:rsid w:val="00D9105D"/>
    <w:rsid w:val="00D917EF"/>
    <w:rsid w:val="00D91856"/>
    <w:rsid w:val="00D92059"/>
    <w:rsid w:val="00D923CE"/>
    <w:rsid w:val="00D92574"/>
    <w:rsid w:val="00D92829"/>
    <w:rsid w:val="00D92AE0"/>
    <w:rsid w:val="00D92E7D"/>
    <w:rsid w:val="00D93267"/>
    <w:rsid w:val="00D93BF8"/>
    <w:rsid w:val="00D94D95"/>
    <w:rsid w:val="00D94DD5"/>
    <w:rsid w:val="00D94EB3"/>
    <w:rsid w:val="00D9550B"/>
    <w:rsid w:val="00D959B3"/>
    <w:rsid w:val="00D95AB4"/>
    <w:rsid w:val="00D95B97"/>
    <w:rsid w:val="00D964CF"/>
    <w:rsid w:val="00D97690"/>
    <w:rsid w:val="00D97BC2"/>
    <w:rsid w:val="00DA0480"/>
    <w:rsid w:val="00DA07AA"/>
    <w:rsid w:val="00DA092B"/>
    <w:rsid w:val="00DA0E44"/>
    <w:rsid w:val="00DA1209"/>
    <w:rsid w:val="00DA214D"/>
    <w:rsid w:val="00DA26D3"/>
    <w:rsid w:val="00DA289B"/>
    <w:rsid w:val="00DA3411"/>
    <w:rsid w:val="00DA349F"/>
    <w:rsid w:val="00DA3F94"/>
    <w:rsid w:val="00DA4A59"/>
    <w:rsid w:val="00DA569B"/>
    <w:rsid w:val="00DA633C"/>
    <w:rsid w:val="00DA6937"/>
    <w:rsid w:val="00DA75BF"/>
    <w:rsid w:val="00DB188C"/>
    <w:rsid w:val="00DB194E"/>
    <w:rsid w:val="00DB1FBC"/>
    <w:rsid w:val="00DB2389"/>
    <w:rsid w:val="00DB2AA8"/>
    <w:rsid w:val="00DB406F"/>
    <w:rsid w:val="00DB411F"/>
    <w:rsid w:val="00DB438A"/>
    <w:rsid w:val="00DB4B00"/>
    <w:rsid w:val="00DB4D27"/>
    <w:rsid w:val="00DB52C0"/>
    <w:rsid w:val="00DB560A"/>
    <w:rsid w:val="00DB602C"/>
    <w:rsid w:val="00DB61F7"/>
    <w:rsid w:val="00DB62FB"/>
    <w:rsid w:val="00DB63C3"/>
    <w:rsid w:val="00DB68F7"/>
    <w:rsid w:val="00DB728C"/>
    <w:rsid w:val="00DB7571"/>
    <w:rsid w:val="00DB7B7E"/>
    <w:rsid w:val="00DB7BF9"/>
    <w:rsid w:val="00DB7C3B"/>
    <w:rsid w:val="00DC01B7"/>
    <w:rsid w:val="00DC0BBF"/>
    <w:rsid w:val="00DC0C1A"/>
    <w:rsid w:val="00DC1089"/>
    <w:rsid w:val="00DC13C2"/>
    <w:rsid w:val="00DC16F2"/>
    <w:rsid w:val="00DC174E"/>
    <w:rsid w:val="00DC18B8"/>
    <w:rsid w:val="00DC1C4D"/>
    <w:rsid w:val="00DC248E"/>
    <w:rsid w:val="00DC2572"/>
    <w:rsid w:val="00DC305F"/>
    <w:rsid w:val="00DC30EA"/>
    <w:rsid w:val="00DC38C9"/>
    <w:rsid w:val="00DC4298"/>
    <w:rsid w:val="00DC45FD"/>
    <w:rsid w:val="00DC4B3D"/>
    <w:rsid w:val="00DC4ECA"/>
    <w:rsid w:val="00DC502A"/>
    <w:rsid w:val="00DC547B"/>
    <w:rsid w:val="00DC5A47"/>
    <w:rsid w:val="00DC5E3A"/>
    <w:rsid w:val="00DC72DA"/>
    <w:rsid w:val="00DC7309"/>
    <w:rsid w:val="00DC78DF"/>
    <w:rsid w:val="00DC7C01"/>
    <w:rsid w:val="00DC7DE6"/>
    <w:rsid w:val="00DC7DF9"/>
    <w:rsid w:val="00DC7FE2"/>
    <w:rsid w:val="00DD0800"/>
    <w:rsid w:val="00DD0899"/>
    <w:rsid w:val="00DD1005"/>
    <w:rsid w:val="00DD11AD"/>
    <w:rsid w:val="00DD13BA"/>
    <w:rsid w:val="00DD13BE"/>
    <w:rsid w:val="00DD26A4"/>
    <w:rsid w:val="00DD271D"/>
    <w:rsid w:val="00DD29C6"/>
    <w:rsid w:val="00DD2E58"/>
    <w:rsid w:val="00DD3254"/>
    <w:rsid w:val="00DD3338"/>
    <w:rsid w:val="00DD4D3F"/>
    <w:rsid w:val="00DD51F9"/>
    <w:rsid w:val="00DD5717"/>
    <w:rsid w:val="00DD5992"/>
    <w:rsid w:val="00DD6C06"/>
    <w:rsid w:val="00DD715C"/>
    <w:rsid w:val="00DD7251"/>
    <w:rsid w:val="00DD7526"/>
    <w:rsid w:val="00DD78E1"/>
    <w:rsid w:val="00DE040D"/>
    <w:rsid w:val="00DE0F3F"/>
    <w:rsid w:val="00DE21B7"/>
    <w:rsid w:val="00DE259A"/>
    <w:rsid w:val="00DE2717"/>
    <w:rsid w:val="00DE27E7"/>
    <w:rsid w:val="00DE2899"/>
    <w:rsid w:val="00DE2A3B"/>
    <w:rsid w:val="00DE2C01"/>
    <w:rsid w:val="00DE2CC9"/>
    <w:rsid w:val="00DE324E"/>
    <w:rsid w:val="00DE33A6"/>
    <w:rsid w:val="00DE35AF"/>
    <w:rsid w:val="00DE3A51"/>
    <w:rsid w:val="00DE42C6"/>
    <w:rsid w:val="00DE4588"/>
    <w:rsid w:val="00DE4D53"/>
    <w:rsid w:val="00DE560C"/>
    <w:rsid w:val="00DE5B93"/>
    <w:rsid w:val="00DE6231"/>
    <w:rsid w:val="00DE64DE"/>
    <w:rsid w:val="00DE6A41"/>
    <w:rsid w:val="00DE6AD4"/>
    <w:rsid w:val="00DE6E72"/>
    <w:rsid w:val="00DE7245"/>
    <w:rsid w:val="00DE7868"/>
    <w:rsid w:val="00DE7B5A"/>
    <w:rsid w:val="00DF04B3"/>
    <w:rsid w:val="00DF1591"/>
    <w:rsid w:val="00DF1C0F"/>
    <w:rsid w:val="00DF1D4F"/>
    <w:rsid w:val="00DF1DC7"/>
    <w:rsid w:val="00DF2768"/>
    <w:rsid w:val="00DF29E5"/>
    <w:rsid w:val="00DF2C25"/>
    <w:rsid w:val="00DF2D43"/>
    <w:rsid w:val="00DF30DC"/>
    <w:rsid w:val="00DF314A"/>
    <w:rsid w:val="00DF3478"/>
    <w:rsid w:val="00DF3786"/>
    <w:rsid w:val="00DF3FE1"/>
    <w:rsid w:val="00DF4396"/>
    <w:rsid w:val="00DF45E0"/>
    <w:rsid w:val="00DF490D"/>
    <w:rsid w:val="00DF4B2F"/>
    <w:rsid w:val="00DF6492"/>
    <w:rsid w:val="00DF6B16"/>
    <w:rsid w:val="00DF6BAA"/>
    <w:rsid w:val="00E003A1"/>
    <w:rsid w:val="00E00779"/>
    <w:rsid w:val="00E00CD7"/>
    <w:rsid w:val="00E00E13"/>
    <w:rsid w:val="00E00FB7"/>
    <w:rsid w:val="00E01248"/>
    <w:rsid w:val="00E01508"/>
    <w:rsid w:val="00E016E9"/>
    <w:rsid w:val="00E01BD6"/>
    <w:rsid w:val="00E01DD6"/>
    <w:rsid w:val="00E02045"/>
    <w:rsid w:val="00E027DB"/>
    <w:rsid w:val="00E0280A"/>
    <w:rsid w:val="00E02BDC"/>
    <w:rsid w:val="00E02EEB"/>
    <w:rsid w:val="00E03095"/>
    <w:rsid w:val="00E0369F"/>
    <w:rsid w:val="00E03D7A"/>
    <w:rsid w:val="00E04352"/>
    <w:rsid w:val="00E04D68"/>
    <w:rsid w:val="00E05302"/>
    <w:rsid w:val="00E06721"/>
    <w:rsid w:val="00E06936"/>
    <w:rsid w:val="00E07554"/>
    <w:rsid w:val="00E07673"/>
    <w:rsid w:val="00E101BB"/>
    <w:rsid w:val="00E10232"/>
    <w:rsid w:val="00E106BC"/>
    <w:rsid w:val="00E11E98"/>
    <w:rsid w:val="00E120D6"/>
    <w:rsid w:val="00E120F8"/>
    <w:rsid w:val="00E127E9"/>
    <w:rsid w:val="00E12C53"/>
    <w:rsid w:val="00E12DC9"/>
    <w:rsid w:val="00E13215"/>
    <w:rsid w:val="00E14F5D"/>
    <w:rsid w:val="00E14FBA"/>
    <w:rsid w:val="00E159F5"/>
    <w:rsid w:val="00E15E06"/>
    <w:rsid w:val="00E163F4"/>
    <w:rsid w:val="00E16542"/>
    <w:rsid w:val="00E16A46"/>
    <w:rsid w:val="00E16BEE"/>
    <w:rsid w:val="00E16CF9"/>
    <w:rsid w:val="00E17081"/>
    <w:rsid w:val="00E20300"/>
    <w:rsid w:val="00E20730"/>
    <w:rsid w:val="00E20A6A"/>
    <w:rsid w:val="00E20B86"/>
    <w:rsid w:val="00E21F76"/>
    <w:rsid w:val="00E22294"/>
    <w:rsid w:val="00E22A32"/>
    <w:rsid w:val="00E23A09"/>
    <w:rsid w:val="00E23B40"/>
    <w:rsid w:val="00E24DD4"/>
    <w:rsid w:val="00E25EB4"/>
    <w:rsid w:val="00E25F0E"/>
    <w:rsid w:val="00E2644C"/>
    <w:rsid w:val="00E26990"/>
    <w:rsid w:val="00E26C8A"/>
    <w:rsid w:val="00E27534"/>
    <w:rsid w:val="00E279EA"/>
    <w:rsid w:val="00E27AD0"/>
    <w:rsid w:val="00E27C42"/>
    <w:rsid w:val="00E300DA"/>
    <w:rsid w:val="00E30504"/>
    <w:rsid w:val="00E315DA"/>
    <w:rsid w:val="00E3207E"/>
    <w:rsid w:val="00E33174"/>
    <w:rsid w:val="00E33276"/>
    <w:rsid w:val="00E3501A"/>
    <w:rsid w:val="00E35074"/>
    <w:rsid w:val="00E357E7"/>
    <w:rsid w:val="00E35859"/>
    <w:rsid w:val="00E35B84"/>
    <w:rsid w:val="00E35FBC"/>
    <w:rsid w:val="00E36289"/>
    <w:rsid w:val="00E366C0"/>
    <w:rsid w:val="00E37194"/>
    <w:rsid w:val="00E3758B"/>
    <w:rsid w:val="00E37602"/>
    <w:rsid w:val="00E37BED"/>
    <w:rsid w:val="00E37FA6"/>
    <w:rsid w:val="00E37FBD"/>
    <w:rsid w:val="00E401D0"/>
    <w:rsid w:val="00E4028D"/>
    <w:rsid w:val="00E4122A"/>
    <w:rsid w:val="00E4123C"/>
    <w:rsid w:val="00E41B12"/>
    <w:rsid w:val="00E41C78"/>
    <w:rsid w:val="00E420AE"/>
    <w:rsid w:val="00E42274"/>
    <w:rsid w:val="00E42B8B"/>
    <w:rsid w:val="00E4310E"/>
    <w:rsid w:val="00E43319"/>
    <w:rsid w:val="00E43463"/>
    <w:rsid w:val="00E4353F"/>
    <w:rsid w:val="00E459AB"/>
    <w:rsid w:val="00E45E3B"/>
    <w:rsid w:val="00E4629A"/>
    <w:rsid w:val="00E46B85"/>
    <w:rsid w:val="00E4722D"/>
    <w:rsid w:val="00E47C36"/>
    <w:rsid w:val="00E50F07"/>
    <w:rsid w:val="00E51226"/>
    <w:rsid w:val="00E51872"/>
    <w:rsid w:val="00E51CD0"/>
    <w:rsid w:val="00E51D2E"/>
    <w:rsid w:val="00E52341"/>
    <w:rsid w:val="00E52813"/>
    <w:rsid w:val="00E52881"/>
    <w:rsid w:val="00E52911"/>
    <w:rsid w:val="00E52DA3"/>
    <w:rsid w:val="00E52F77"/>
    <w:rsid w:val="00E53079"/>
    <w:rsid w:val="00E530B9"/>
    <w:rsid w:val="00E530D8"/>
    <w:rsid w:val="00E53360"/>
    <w:rsid w:val="00E535C3"/>
    <w:rsid w:val="00E5379F"/>
    <w:rsid w:val="00E53896"/>
    <w:rsid w:val="00E53B1B"/>
    <w:rsid w:val="00E53FA6"/>
    <w:rsid w:val="00E54ED5"/>
    <w:rsid w:val="00E55776"/>
    <w:rsid w:val="00E5622C"/>
    <w:rsid w:val="00E5647F"/>
    <w:rsid w:val="00E565AD"/>
    <w:rsid w:val="00E5680F"/>
    <w:rsid w:val="00E57447"/>
    <w:rsid w:val="00E5776F"/>
    <w:rsid w:val="00E57ABE"/>
    <w:rsid w:val="00E60100"/>
    <w:rsid w:val="00E60343"/>
    <w:rsid w:val="00E60929"/>
    <w:rsid w:val="00E6109B"/>
    <w:rsid w:val="00E614C9"/>
    <w:rsid w:val="00E61C54"/>
    <w:rsid w:val="00E62139"/>
    <w:rsid w:val="00E62574"/>
    <w:rsid w:val="00E62C45"/>
    <w:rsid w:val="00E6317E"/>
    <w:rsid w:val="00E643A5"/>
    <w:rsid w:val="00E644DD"/>
    <w:rsid w:val="00E647D6"/>
    <w:rsid w:val="00E64D45"/>
    <w:rsid w:val="00E65436"/>
    <w:rsid w:val="00E65A7A"/>
    <w:rsid w:val="00E65B0F"/>
    <w:rsid w:val="00E65C23"/>
    <w:rsid w:val="00E66033"/>
    <w:rsid w:val="00E67411"/>
    <w:rsid w:val="00E67718"/>
    <w:rsid w:val="00E70A04"/>
    <w:rsid w:val="00E710A8"/>
    <w:rsid w:val="00E716CE"/>
    <w:rsid w:val="00E716D6"/>
    <w:rsid w:val="00E71B51"/>
    <w:rsid w:val="00E71E62"/>
    <w:rsid w:val="00E72AAB"/>
    <w:rsid w:val="00E73F28"/>
    <w:rsid w:val="00E75021"/>
    <w:rsid w:val="00E75194"/>
    <w:rsid w:val="00E75407"/>
    <w:rsid w:val="00E7596B"/>
    <w:rsid w:val="00E7631F"/>
    <w:rsid w:val="00E7677E"/>
    <w:rsid w:val="00E7703D"/>
    <w:rsid w:val="00E80204"/>
    <w:rsid w:val="00E80A4C"/>
    <w:rsid w:val="00E80EC0"/>
    <w:rsid w:val="00E81385"/>
    <w:rsid w:val="00E81ACD"/>
    <w:rsid w:val="00E834A5"/>
    <w:rsid w:val="00E835E8"/>
    <w:rsid w:val="00E83AE2"/>
    <w:rsid w:val="00E8406E"/>
    <w:rsid w:val="00E84B60"/>
    <w:rsid w:val="00E8542F"/>
    <w:rsid w:val="00E8564B"/>
    <w:rsid w:val="00E85B71"/>
    <w:rsid w:val="00E85D7F"/>
    <w:rsid w:val="00E85ED1"/>
    <w:rsid w:val="00E86338"/>
    <w:rsid w:val="00E87C66"/>
    <w:rsid w:val="00E9031F"/>
    <w:rsid w:val="00E90454"/>
    <w:rsid w:val="00E906CF"/>
    <w:rsid w:val="00E90883"/>
    <w:rsid w:val="00E90C04"/>
    <w:rsid w:val="00E913D8"/>
    <w:rsid w:val="00E91DAF"/>
    <w:rsid w:val="00E92081"/>
    <w:rsid w:val="00E9263C"/>
    <w:rsid w:val="00E92899"/>
    <w:rsid w:val="00E9326B"/>
    <w:rsid w:val="00E93CA8"/>
    <w:rsid w:val="00E943FF"/>
    <w:rsid w:val="00E9472F"/>
    <w:rsid w:val="00E94843"/>
    <w:rsid w:val="00E94977"/>
    <w:rsid w:val="00E954F9"/>
    <w:rsid w:val="00E95813"/>
    <w:rsid w:val="00E9638A"/>
    <w:rsid w:val="00E9650E"/>
    <w:rsid w:val="00E96871"/>
    <w:rsid w:val="00E96B20"/>
    <w:rsid w:val="00E96DC9"/>
    <w:rsid w:val="00E972FC"/>
    <w:rsid w:val="00E97B6F"/>
    <w:rsid w:val="00E97CC3"/>
    <w:rsid w:val="00EA031A"/>
    <w:rsid w:val="00EA0C9A"/>
    <w:rsid w:val="00EA0E6A"/>
    <w:rsid w:val="00EA0F35"/>
    <w:rsid w:val="00EA11F0"/>
    <w:rsid w:val="00EA1631"/>
    <w:rsid w:val="00EA1C85"/>
    <w:rsid w:val="00EA1FD8"/>
    <w:rsid w:val="00EA201F"/>
    <w:rsid w:val="00EA25AA"/>
    <w:rsid w:val="00EA2D69"/>
    <w:rsid w:val="00EA3A77"/>
    <w:rsid w:val="00EA3C49"/>
    <w:rsid w:val="00EA3D10"/>
    <w:rsid w:val="00EA4308"/>
    <w:rsid w:val="00EA4340"/>
    <w:rsid w:val="00EA4342"/>
    <w:rsid w:val="00EA4F12"/>
    <w:rsid w:val="00EA5656"/>
    <w:rsid w:val="00EA5AA3"/>
    <w:rsid w:val="00EA6704"/>
    <w:rsid w:val="00EA67A4"/>
    <w:rsid w:val="00EA6A11"/>
    <w:rsid w:val="00EA6FAD"/>
    <w:rsid w:val="00EA7829"/>
    <w:rsid w:val="00EA79BF"/>
    <w:rsid w:val="00EB029E"/>
    <w:rsid w:val="00EB05BF"/>
    <w:rsid w:val="00EB0874"/>
    <w:rsid w:val="00EB0D39"/>
    <w:rsid w:val="00EB0FA2"/>
    <w:rsid w:val="00EB1A8E"/>
    <w:rsid w:val="00EB26FF"/>
    <w:rsid w:val="00EB2786"/>
    <w:rsid w:val="00EB32E7"/>
    <w:rsid w:val="00EB3805"/>
    <w:rsid w:val="00EB3D29"/>
    <w:rsid w:val="00EB3F43"/>
    <w:rsid w:val="00EB40DF"/>
    <w:rsid w:val="00EB4A82"/>
    <w:rsid w:val="00EB4BC0"/>
    <w:rsid w:val="00EB5E6F"/>
    <w:rsid w:val="00EB61A4"/>
    <w:rsid w:val="00EB6416"/>
    <w:rsid w:val="00EB686C"/>
    <w:rsid w:val="00EB7167"/>
    <w:rsid w:val="00EB71C7"/>
    <w:rsid w:val="00EB7346"/>
    <w:rsid w:val="00EB7607"/>
    <w:rsid w:val="00EB7FE0"/>
    <w:rsid w:val="00EC0158"/>
    <w:rsid w:val="00EC02EA"/>
    <w:rsid w:val="00EC0364"/>
    <w:rsid w:val="00EC098B"/>
    <w:rsid w:val="00EC0AE7"/>
    <w:rsid w:val="00EC0C05"/>
    <w:rsid w:val="00EC0FA4"/>
    <w:rsid w:val="00EC138E"/>
    <w:rsid w:val="00EC17AA"/>
    <w:rsid w:val="00EC230B"/>
    <w:rsid w:val="00EC295E"/>
    <w:rsid w:val="00EC3263"/>
    <w:rsid w:val="00EC3722"/>
    <w:rsid w:val="00EC3BF9"/>
    <w:rsid w:val="00EC3D97"/>
    <w:rsid w:val="00EC490B"/>
    <w:rsid w:val="00EC4ED6"/>
    <w:rsid w:val="00EC521E"/>
    <w:rsid w:val="00EC56D3"/>
    <w:rsid w:val="00EC5988"/>
    <w:rsid w:val="00EC614D"/>
    <w:rsid w:val="00EC6193"/>
    <w:rsid w:val="00EC6252"/>
    <w:rsid w:val="00EC6EF3"/>
    <w:rsid w:val="00EC78C4"/>
    <w:rsid w:val="00EC7EE0"/>
    <w:rsid w:val="00EC7F79"/>
    <w:rsid w:val="00EC7FA3"/>
    <w:rsid w:val="00ED013D"/>
    <w:rsid w:val="00ED0F3F"/>
    <w:rsid w:val="00ED0F89"/>
    <w:rsid w:val="00ED1463"/>
    <w:rsid w:val="00ED1CFB"/>
    <w:rsid w:val="00ED1E9A"/>
    <w:rsid w:val="00ED2442"/>
    <w:rsid w:val="00ED253B"/>
    <w:rsid w:val="00ED2C0E"/>
    <w:rsid w:val="00ED370F"/>
    <w:rsid w:val="00ED41EB"/>
    <w:rsid w:val="00ED529A"/>
    <w:rsid w:val="00ED568E"/>
    <w:rsid w:val="00ED58B8"/>
    <w:rsid w:val="00ED6693"/>
    <w:rsid w:val="00ED6E87"/>
    <w:rsid w:val="00ED70CE"/>
    <w:rsid w:val="00ED7687"/>
    <w:rsid w:val="00EE02B4"/>
    <w:rsid w:val="00EE0B33"/>
    <w:rsid w:val="00EE0BCC"/>
    <w:rsid w:val="00EE0E2C"/>
    <w:rsid w:val="00EE19AE"/>
    <w:rsid w:val="00EE2334"/>
    <w:rsid w:val="00EE26B8"/>
    <w:rsid w:val="00EE2771"/>
    <w:rsid w:val="00EE2AFA"/>
    <w:rsid w:val="00EE3B68"/>
    <w:rsid w:val="00EE3DA0"/>
    <w:rsid w:val="00EE4593"/>
    <w:rsid w:val="00EE45CA"/>
    <w:rsid w:val="00EE4744"/>
    <w:rsid w:val="00EE48B6"/>
    <w:rsid w:val="00EE4B67"/>
    <w:rsid w:val="00EE4B83"/>
    <w:rsid w:val="00EE4BC5"/>
    <w:rsid w:val="00EE4BDD"/>
    <w:rsid w:val="00EE4E1D"/>
    <w:rsid w:val="00EE4F11"/>
    <w:rsid w:val="00EE4F96"/>
    <w:rsid w:val="00EE5CA7"/>
    <w:rsid w:val="00EE609B"/>
    <w:rsid w:val="00EE6165"/>
    <w:rsid w:val="00EE6257"/>
    <w:rsid w:val="00EE680D"/>
    <w:rsid w:val="00EE74CB"/>
    <w:rsid w:val="00EE7794"/>
    <w:rsid w:val="00EE7822"/>
    <w:rsid w:val="00EE7D9F"/>
    <w:rsid w:val="00EF0689"/>
    <w:rsid w:val="00EF07E7"/>
    <w:rsid w:val="00EF1E92"/>
    <w:rsid w:val="00EF3142"/>
    <w:rsid w:val="00EF49D5"/>
    <w:rsid w:val="00EF4CD5"/>
    <w:rsid w:val="00EF565E"/>
    <w:rsid w:val="00EF6AD9"/>
    <w:rsid w:val="00EF6AFA"/>
    <w:rsid w:val="00EF6D36"/>
    <w:rsid w:val="00EF7561"/>
    <w:rsid w:val="00EF7600"/>
    <w:rsid w:val="00EF781B"/>
    <w:rsid w:val="00EF7DD5"/>
    <w:rsid w:val="00F001B7"/>
    <w:rsid w:val="00F00C9B"/>
    <w:rsid w:val="00F00F7D"/>
    <w:rsid w:val="00F01E37"/>
    <w:rsid w:val="00F02227"/>
    <w:rsid w:val="00F028E3"/>
    <w:rsid w:val="00F02B32"/>
    <w:rsid w:val="00F02EE8"/>
    <w:rsid w:val="00F044AE"/>
    <w:rsid w:val="00F045F0"/>
    <w:rsid w:val="00F052D9"/>
    <w:rsid w:val="00F06D12"/>
    <w:rsid w:val="00F073FA"/>
    <w:rsid w:val="00F0760A"/>
    <w:rsid w:val="00F07814"/>
    <w:rsid w:val="00F07EC3"/>
    <w:rsid w:val="00F106C7"/>
    <w:rsid w:val="00F10EBA"/>
    <w:rsid w:val="00F10F3F"/>
    <w:rsid w:val="00F111CA"/>
    <w:rsid w:val="00F11B63"/>
    <w:rsid w:val="00F1288B"/>
    <w:rsid w:val="00F12F9E"/>
    <w:rsid w:val="00F1399C"/>
    <w:rsid w:val="00F13A4A"/>
    <w:rsid w:val="00F13C9F"/>
    <w:rsid w:val="00F14733"/>
    <w:rsid w:val="00F14EE3"/>
    <w:rsid w:val="00F14FD0"/>
    <w:rsid w:val="00F151DD"/>
    <w:rsid w:val="00F15744"/>
    <w:rsid w:val="00F1585B"/>
    <w:rsid w:val="00F15CCE"/>
    <w:rsid w:val="00F15CF8"/>
    <w:rsid w:val="00F15FA9"/>
    <w:rsid w:val="00F16583"/>
    <w:rsid w:val="00F1661B"/>
    <w:rsid w:val="00F1694A"/>
    <w:rsid w:val="00F169CE"/>
    <w:rsid w:val="00F16A47"/>
    <w:rsid w:val="00F17079"/>
    <w:rsid w:val="00F17C2B"/>
    <w:rsid w:val="00F17D26"/>
    <w:rsid w:val="00F2030A"/>
    <w:rsid w:val="00F2073F"/>
    <w:rsid w:val="00F20C91"/>
    <w:rsid w:val="00F2161E"/>
    <w:rsid w:val="00F2172C"/>
    <w:rsid w:val="00F219FD"/>
    <w:rsid w:val="00F21DE8"/>
    <w:rsid w:val="00F21FFF"/>
    <w:rsid w:val="00F22F41"/>
    <w:rsid w:val="00F2341B"/>
    <w:rsid w:val="00F234DB"/>
    <w:rsid w:val="00F23596"/>
    <w:rsid w:val="00F2383D"/>
    <w:rsid w:val="00F23D6C"/>
    <w:rsid w:val="00F23DD0"/>
    <w:rsid w:val="00F24069"/>
    <w:rsid w:val="00F245E6"/>
    <w:rsid w:val="00F25010"/>
    <w:rsid w:val="00F25983"/>
    <w:rsid w:val="00F26D5B"/>
    <w:rsid w:val="00F26E4F"/>
    <w:rsid w:val="00F272F4"/>
    <w:rsid w:val="00F275D8"/>
    <w:rsid w:val="00F30096"/>
    <w:rsid w:val="00F30129"/>
    <w:rsid w:val="00F302E9"/>
    <w:rsid w:val="00F3120F"/>
    <w:rsid w:val="00F3156D"/>
    <w:rsid w:val="00F31D20"/>
    <w:rsid w:val="00F32727"/>
    <w:rsid w:val="00F32829"/>
    <w:rsid w:val="00F328DA"/>
    <w:rsid w:val="00F330D9"/>
    <w:rsid w:val="00F33C66"/>
    <w:rsid w:val="00F349E2"/>
    <w:rsid w:val="00F34EF7"/>
    <w:rsid w:val="00F3574F"/>
    <w:rsid w:val="00F375FD"/>
    <w:rsid w:val="00F37862"/>
    <w:rsid w:val="00F40A92"/>
    <w:rsid w:val="00F40B98"/>
    <w:rsid w:val="00F40E34"/>
    <w:rsid w:val="00F40F4C"/>
    <w:rsid w:val="00F40F9C"/>
    <w:rsid w:val="00F41276"/>
    <w:rsid w:val="00F41495"/>
    <w:rsid w:val="00F41790"/>
    <w:rsid w:val="00F42818"/>
    <w:rsid w:val="00F428E2"/>
    <w:rsid w:val="00F430FC"/>
    <w:rsid w:val="00F43348"/>
    <w:rsid w:val="00F43359"/>
    <w:rsid w:val="00F4370D"/>
    <w:rsid w:val="00F43E5B"/>
    <w:rsid w:val="00F44BF9"/>
    <w:rsid w:val="00F45927"/>
    <w:rsid w:val="00F45DB1"/>
    <w:rsid w:val="00F5045D"/>
    <w:rsid w:val="00F504D0"/>
    <w:rsid w:val="00F508EE"/>
    <w:rsid w:val="00F51562"/>
    <w:rsid w:val="00F519C4"/>
    <w:rsid w:val="00F528C1"/>
    <w:rsid w:val="00F52B9A"/>
    <w:rsid w:val="00F538FF"/>
    <w:rsid w:val="00F53BE2"/>
    <w:rsid w:val="00F540E2"/>
    <w:rsid w:val="00F546B3"/>
    <w:rsid w:val="00F54DB4"/>
    <w:rsid w:val="00F54FA3"/>
    <w:rsid w:val="00F55A32"/>
    <w:rsid w:val="00F55C0C"/>
    <w:rsid w:val="00F55C4E"/>
    <w:rsid w:val="00F5630C"/>
    <w:rsid w:val="00F56387"/>
    <w:rsid w:val="00F5669E"/>
    <w:rsid w:val="00F60A2E"/>
    <w:rsid w:val="00F60C03"/>
    <w:rsid w:val="00F60D1C"/>
    <w:rsid w:val="00F60EDF"/>
    <w:rsid w:val="00F61836"/>
    <w:rsid w:val="00F62412"/>
    <w:rsid w:val="00F62451"/>
    <w:rsid w:val="00F624C7"/>
    <w:rsid w:val="00F62691"/>
    <w:rsid w:val="00F6298B"/>
    <w:rsid w:val="00F63283"/>
    <w:rsid w:val="00F63631"/>
    <w:rsid w:val="00F63EB0"/>
    <w:rsid w:val="00F6456B"/>
    <w:rsid w:val="00F64B95"/>
    <w:rsid w:val="00F64CF4"/>
    <w:rsid w:val="00F65015"/>
    <w:rsid w:val="00F6565C"/>
    <w:rsid w:val="00F65B7A"/>
    <w:rsid w:val="00F65CB3"/>
    <w:rsid w:val="00F664EF"/>
    <w:rsid w:val="00F668DC"/>
    <w:rsid w:val="00F66E1C"/>
    <w:rsid w:val="00F670E2"/>
    <w:rsid w:val="00F676E9"/>
    <w:rsid w:val="00F67AB1"/>
    <w:rsid w:val="00F70D20"/>
    <w:rsid w:val="00F70ED1"/>
    <w:rsid w:val="00F71C84"/>
    <w:rsid w:val="00F71DA3"/>
    <w:rsid w:val="00F72261"/>
    <w:rsid w:val="00F73789"/>
    <w:rsid w:val="00F744F6"/>
    <w:rsid w:val="00F746F3"/>
    <w:rsid w:val="00F74896"/>
    <w:rsid w:val="00F74A3D"/>
    <w:rsid w:val="00F74D62"/>
    <w:rsid w:val="00F75072"/>
    <w:rsid w:val="00F75A33"/>
    <w:rsid w:val="00F76E9B"/>
    <w:rsid w:val="00F76F02"/>
    <w:rsid w:val="00F77031"/>
    <w:rsid w:val="00F776EA"/>
    <w:rsid w:val="00F77EC9"/>
    <w:rsid w:val="00F80178"/>
    <w:rsid w:val="00F80FBB"/>
    <w:rsid w:val="00F81293"/>
    <w:rsid w:val="00F8149E"/>
    <w:rsid w:val="00F81DA1"/>
    <w:rsid w:val="00F81DA9"/>
    <w:rsid w:val="00F8297F"/>
    <w:rsid w:val="00F82B7C"/>
    <w:rsid w:val="00F8329E"/>
    <w:rsid w:val="00F83A9B"/>
    <w:rsid w:val="00F83FFE"/>
    <w:rsid w:val="00F84002"/>
    <w:rsid w:val="00F846D3"/>
    <w:rsid w:val="00F846E5"/>
    <w:rsid w:val="00F84FB7"/>
    <w:rsid w:val="00F85620"/>
    <w:rsid w:val="00F8586E"/>
    <w:rsid w:val="00F8601B"/>
    <w:rsid w:val="00F868F0"/>
    <w:rsid w:val="00F868FF"/>
    <w:rsid w:val="00F8720F"/>
    <w:rsid w:val="00F8744E"/>
    <w:rsid w:val="00F87518"/>
    <w:rsid w:val="00F8762F"/>
    <w:rsid w:val="00F879FF"/>
    <w:rsid w:val="00F87FE2"/>
    <w:rsid w:val="00F90AB7"/>
    <w:rsid w:val="00F90EBE"/>
    <w:rsid w:val="00F913FC"/>
    <w:rsid w:val="00F9141C"/>
    <w:rsid w:val="00F914B5"/>
    <w:rsid w:val="00F91848"/>
    <w:rsid w:val="00F91946"/>
    <w:rsid w:val="00F91A3B"/>
    <w:rsid w:val="00F93B62"/>
    <w:rsid w:val="00F93C23"/>
    <w:rsid w:val="00F94643"/>
    <w:rsid w:val="00F95DE9"/>
    <w:rsid w:val="00F961D6"/>
    <w:rsid w:val="00F962D0"/>
    <w:rsid w:val="00F96D62"/>
    <w:rsid w:val="00F970FF"/>
    <w:rsid w:val="00F97A61"/>
    <w:rsid w:val="00F97E42"/>
    <w:rsid w:val="00FA13CC"/>
    <w:rsid w:val="00FA19BC"/>
    <w:rsid w:val="00FA2240"/>
    <w:rsid w:val="00FA23EC"/>
    <w:rsid w:val="00FA2679"/>
    <w:rsid w:val="00FA2693"/>
    <w:rsid w:val="00FA2724"/>
    <w:rsid w:val="00FA274D"/>
    <w:rsid w:val="00FA2832"/>
    <w:rsid w:val="00FA353E"/>
    <w:rsid w:val="00FA4FAF"/>
    <w:rsid w:val="00FA620A"/>
    <w:rsid w:val="00FA6679"/>
    <w:rsid w:val="00FA70D8"/>
    <w:rsid w:val="00FA763A"/>
    <w:rsid w:val="00FA7BE5"/>
    <w:rsid w:val="00FB0EDD"/>
    <w:rsid w:val="00FB1027"/>
    <w:rsid w:val="00FB1604"/>
    <w:rsid w:val="00FB29E8"/>
    <w:rsid w:val="00FB331A"/>
    <w:rsid w:val="00FB45EB"/>
    <w:rsid w:val="00FB4F9B"/>
    <w:rsid w:val="00FB5229"/>
    <w:rsid w:val="00FB556B"/>
    <w:rsid w:val="00FB5854"/>
    <w:rsid w:val="00FB5F8D"/>
    <w:rsid w:val="00FB5FF4"/>
    <w:rsid w:val="00FB65C6"/>
    <w:rsid w:val="00FB73DF"/>
    <w:rsid w:val="00FB759D"/>
    <w:rsid w:val="00FB7CDE"/>
    <w:rsid w:val="00FC02BC"/>
    <w:rsid w:val="00FC059D"/>
    <w:rsid w:val="00FC0A60"/>
    <w:rsid w:val="00FC0CEB"/>
    <w:rsid w:val="00FC1D6E"/>
    <w:rsid w:val="00FC20D7"/>
    <w:rsid w:val="00FC2151"/>
    <w:rsid w:val="00FC25AF"/>
    <w:rsid w:val="00FC2C2D"/>
    <w:rsid w:val="00FC3110"/>
    <w:rsid w:val="00FC392E"/>
    <w:rsid w:val="00FC3A9A"/>
    <w:rsid w:val="00FC5D9A"/>
    <w:rsid w:val="00FC6510"/>
    <w:rsid w:val="00FC6A74"/>
    <w:rsid w:val="00FC6BF6"/>
    <w:rsid w:val="00FC6E28"/>
    <w:rsid w:val="00FC6F7A"/>
    <w:rsid w:val="00FC6FEF"/>
    <w:rsid w:val="00FC7E6F"/>
    <w:rsid w:val="00FD14C9"/>
    <w:rsid w:val="00FD1E6F"/>
    <w:rsid w:val="00FD245D"/>
    <w:rsid w:val="00FD2589"/>
    <w:rsid w:val="00FD2891"/>
    <w:rsid w:val="00FD3AD4"/>
    <w:rsid w:val="00FD4078"/>
    <w:rsid w:val="00FD42AF"/>
    <w:rsid w:val="00FD5924"/>
    <w:rsid w:val="00FD6885"/>
    <w:rsid w:val="00FD6F00"/>
    <w:rsid w:val="00FD74D2"/>
    <w:rsid w:val="00FD7E54"/>
    <w:rsid w:val="00FE0186"/>
    <w:rsid w:val="00FE04C7"/>
    <w:rsid w:val="00FE0523"/>
    <w:rsid w:val="00FE1868"/>
    <w:rsid w:val="00FE1F31"/>
    <w:rsid w:val="00FE2C73"/>
    <w:rsid w:val="00FE307B"/>
    <w:rsid w:val="00FE30E1"/>
    <w:rsid w:val="00FE314B"/>
    <w:rsid w:val="00FE36F2"/>
    <w:rsid w:val="00FE4153"/>
    <w:rsid w:val="00FE4211"/>
    <w:rsid w:val="00FE462C"/>
    <w:rsid w:val="00FE46A4"/>
    <w:rsid w:val="00FE4865"/>
    <w:rsid w:val="00FE4AA5"/>
    <w:rsid w:val="00FE4CE1"/>
    <w:rsid w:val="00FE4E39"/>
    <w:rsid w:val="00FE4F3D"/>
    <w:rsid w:val="00FE5349"/>
    <w:rsid w:val="00FE5C06"/>
    <w:rsid w:val="00FE5D29"/>
    <w:rsid w:val="00FE5F5C"/>
    <w:rsid w:val="00FE6183"/>
    <w:rsid w:val="00FE6619"/>
    <w:rsid w:val="00FE6AEB"/>
    <w:rsid w:val="00FE7064"/>
    <w:rsid w:val="00FE736C"/>
    <w:rsid w:val="00FE739A"/>
    <w:rsid w:val="00FF0698"/>
    <w:rsid w:val="00FF0D9C"/>
    <w:rsid w:val="00FF11C6"/>
    <w:rsid w:val="00FF147C"/>
    <w:rsid w:val="00FF151C"/>
    <w:rsid w:val="00FF2A7B"/>
    <w:rsid w:val="00FF2E0A"/>
    <w:rsid w:val="00FF321A"/>
    <w:rsid w:val="00FF3497"/>
    <w:rsid w:val="00FF367A"/>
    <w:rsid w:val="00FF3A66"/>
    <w:rsid w:val="00FF3F88"/>
    <w:rsid w:val="00FF416D"/>
    <w:rsid w:val="00FF4262"/>
    <w:rsid w:val="00FF540F"/>
    <w:rsid w:val="00FF544E"/>
    <w:rsid w:val="00FF54C6"/>
    <w:rsid w:val="00FF565B"/>
    <w:rsid w:val="00FF5F7C"/>
    <w:rsid w:val="00FF6556"/>
    <w:rsid w:val="00FF69A9"/>
    <w:rsid w:val="00FF6B71"/>
    <w:rsid w:val="00FF6C6C"/>
    <w:rsid w:val="011D37A4"/>
    <w:rsid w:val="01854416"/>
    <w:rsid w:val="01C56093"/>
    <w:rsid w:val="01EE1C47"/>
    <w:rsid w:val="02225123"/>
    <w:rsid w:val="02981CD8"/>
    <w:rsid w:val="02BE7B53"/>
    <w:rsid w:val="043A0699"/>
    <w:rsid w:val="048C693B"/>
    <w:rsid w:val="04BB5F00"/>
    <w:rsid w:val="05113E82"/>
    <w:rsid w:val="0573709C"/>
    <w:rsid w:val="05AC0A37"/>
    <w:rsid w:val="06A21C7D"/>
    <w:rsid w:val="0746398A"/>
    <w:rsid w:val="07BB77EE"/>
    <w:rsid w:val="07D13C07"/>
    <w:rsid w:val="08026145"/>
    <w:rsid w:val="091C18CB"/>
    <w:rsid w:val="099D59EE"/>
    <w:rsid w:val="0A1E6F9D"/>
    <w:rsid w:val="0A4F6169"/>
    <w:rsid w:val="0A7B7DE4"/>
    <w:rsid w:val="0C9B341C"/>
    <w:rsid w:val="0D05158A"/>
    <w:rsid w:val="0D771634"/>
    <w:rsid w:val="0D887DA3"/>
    <w:rsid w:val="102236BD"/>
    <w:rsid w:val="10C039EA"/>
    <w:rsid w:val="1143360D"/>
    <w:rsid w:val="114823B1"/>
    <w:rsid w:val="116C792E"/>
    <w:rsid w:val="11955ACF"/>
    <w:rsid w:val="11F67512"/>
    <w:rsid w:val="11FB7FC7"/>
    <w:rsid w:val="12211CA2"/>
    <w:rsid w:val="126D7EBF"/>
    <w:rsid w:val="1323339C"/>
    <w:rsid w:val="13AC3161"/>
    <w:rsid w:val="13B7320E"/>
    <w:rsid w:val="13F426D6"/>
    <w:rsid w:val="148C24F0"/>
    <w:rsid w:val="151C3FAF"/>
    <w:rsid w:val="154F4EEF"/>
    <w:rsid w:val="15A476BB"/>
    <w:rsid w:val="15F5778D"/>
    <w:rsid w:val="167825B5"/>
    <w:rsid w:val="1687291B"/>
    <w:rsid w:val="172B1943"/>
    <w:rsid w:val="17966A2C"/>
    <w:rsid w:val="17A71CAB"/>
    <w:rsid w:val="17AA56F9"/>
    <w:rsid w:val="192E308D"/>
    <w:rsid w:val="19793885"/>
    <w:rsid w:val="19A66BBF"/>
    <w:rsid w:val="1A00183C"/>
    <w:rsid w:val="1A4D0023"/>
    <w:rsid w:val="1B1B7AF1"/>
    <w:rsid w:val="1B241AE2"/>
    <w:rsid w:val="1B4A2B8B"/>
    <w:rsid w:val="1B6C2C47"/>
    <w:rsid w:val="1B7C5461"/>
    <w:rsid w:val="1BA62700"/>
    <w:rsid w:val="1DDB4DE8"/>
    <w:rsid w:val="1E503B16"/>
    <w:rsid w:val="1EE45554"/>
    <w:rsid w:val="1F223901"/>
    <w:rsid w:val="1F4E7981"/>
    <w:rsid w:val="1F5C27B0"/>
    <w:rsid w:val="207F0B08"/>
    <w:rsid w:val="2090258A"/>
    <w:rsid w:val="20AE3791"/>
    <w:rsid w:val="20FD35EF"/>
    <w:rsid w:val="21735BD8"/>
    <w:rsid w:val="21904CE7"/>
    <w:rsid w:val="225A30F5"/>
    <w:rsid w:val="23392C33"/>
    <w:rsid w:val="234A0BA5"/>
    <w:rsid w:val="23D3150A"/>
    <w:rsid w:val="25A620D8"/>
    <w:rsid w:val="25C60106"/>
    <w:rsid w:val="25F27F51"/>
    <w:rsid w:val="270E20A3"/>
    <w:rsid w:val="272C7C0E"/>
    <w:rsid w:val="27357872"/>
    <w:rsid w:val="27795307"/>
    <w:rsid w:val="27C26AE0"/>
    <w:rsid w:val="27D97813"/>
    <w:rsid w:val="28AE60C7"/>
    <w:rsid w:val="29C370E7"/>
    <w:rsid w:val="29ED5057"/>
    <w:rsid w:val="2A502D80"/>
    <w:rsid w:val="2A694BF7"/>
    <w:rsid w:val="2A6F3970"/>
    <w:rsid w:val="2A75124B"/>
    <w:rsid w:val="2A7D61DA"/>
    <w:rsid w:val="2A8839BB"/>
    <w:rsid w:val="2ABC1347"/>
    <w:rsid w:val="2C306B75"/>
    <w:rsid w:val="2CBB11AC"/>
    <w:rsid w:val="2D092D18"/>
    <w:rsid w:val="2DAE2A74"/>
    <w:rsid w:val="2DB54F3A"/>
    <w:rsid w:val="2E192CB1"/>
    <w:rsid w:val="2E1D1FBD"/>
    <w:rsid w:val="2EC01F8E"/>
    <w:rsid w:val="2EC57584"/>
    <w:rsid w:val="2F125B2B"/>
    <w:rsid w:val="2F870ED4"/>
    <w:rsid w:val="30771349"/>
    <w:rsid w:val="307A7590"/>
    <w:rsid w:val="307E74CB"/>
    <w:rsid w:val="30831D9F"/>
    <w:rsid w:val="30BD1FC3"/>
    <w:rsid w:val="32597B34"/>
    <w:rsid w:val="332E09A4"/>
    <w:rsid w:val="33C94A8D"/>
    <w:rsid w:val="33ED787A"/>
    <w:rsid w:val="34957500"/>
    <w:rsid w:val="34F63680"/>
    <w:rsid w:val="35686F23"/>
    <w:rsid w:val="35C409B7"/>
    <w:rsid w:val="35DC42C2"/>
    <w:rsid w:val="36676389"/>
    <w:rsid w:val="37BD3255"/>
    <w:rsid w:val="383605F1"/>
    <w:rsid w:val="38743FDC"/>
    <w:rsid w:val="39343C23"/>
    <w:rsid w:val="39501D08"/>
    <w:rsid w:val="397673F0"/>
    <w:rsid w:val="3BB07BC3"/>
    <w:rsid w:val="3BB7191B"/>
    <w:rsid w:val="3C5B45C5"/>
    <w:rsid w:val="3D0E2205"/>
    <w:rsid w:val="3E02463F"/>
    <w:rsid w:val="3E6E5726"/>
    <w:rsid w:val="40C2172E"/>
    <w:rsid w:val="40E56A18"/>
    <w:rsid w:val="41506A2E"/>
    <w:rsid w:val="41620116"/>
    <w:rsid w:val="42A73411"/>
    <w:rsid w:val="44033D1B"/>
    <w:rsid w:val="44C96D76"/>
    <w:rsid w:val="45541303"/>
    <w:rsid w:val="45711B43"/>
    <w:rsid w:val="4633000D"/>
    <w:rsid w:val="465F57E7"/>
    <w:rsid w:val="46B80A68"/>
    <w:rsid w:val="470A6B5B"/>
    <w:rsid w:val="4711546A"/>
    <w:rsid w:val="474D1558"/>
    <w:rsid w:val="47BB6A1A"/>
    <w:rsid w:val="48266969"/>
    <w:rsid w:val="4877490C"/>
    <w:rsid w:val="49762AF2"/>
    <w:rsid w:val="49F41DA1"/>
    <w:rsid w:val="4A402C33"/>
    <w:rsid w:val="4AC37129"/>
    <w:rsid w:val="4B7807A7"/>
    <w:rsid w:val="4BA4581A"/>
    <w:rsid w:val="4BAA6105"/>
    <w:rsid w:val="4BE2013F"/>
    <w:rsid w:val="4C1E6FEB"/>
    <w:rsid w:val="4C831432"/>
    <w:rsid w:val="4C8F7F18"/>
    <w:rsid w:val="4CDD38C7"/>
    <w:rsid w:val="4D3152C2"/>
    <w:rsid w:val="4D5721AC"/>
    <w:rsid w:val="4D5E2DE2"/>
    <w:rsid w:val="4D6F4A78"/>
    <w:rsid w:val="4D7173C9"/>
    <w:rsid w:val="4D912F79"/>
    <w:rsid w:val="4DBC2C09"/>
    <w:rsid w:val="4E163A6F"/>
    <w:rsid w:val="4E18343D"/>
    <w:rsid w:val="4E8500DC"/>
    <w:rsid w:val="4EAD1D62"/>
    <w:rsid w:val="4F667016"/>
    <w:rsid w:val="50836998"/>
    <w:rsid w:val="51940D00"/>
    <w:rsid w:val="521159CE"/>
    <w:rsid w:val="521160CF"/>
    <w:rsid w:val="52EE22C1"/>
    <w:rsid w:val="53DD4956"/>
    <w:rsid w:val="54B01374"/>
    <w:rsid w:val="550D6C1E"/>
    <w:rsid w:val="5528752E"/>
    <w:rsid w:val="552F3332"/>
    <w:rsid w:val="564B72F8"/>
    <w:rsid w:val="56FB6E83"/>
    <w:rsid w:val="570F2111"/>
    <w:rsid w:val="57271AC5"/>
    <w:rsid w:val="574D72A6"/>
    <w:rsid w:val="577F1938"/>
    <w:rsid w:val="57BD148A"/>
    <w:rsid w:val="57F65900"/>
    <w:rsid w:val="598440B4"/>
    <w:rsid w:val="59844173"/>
    <w:rsid w:val="59846EE8"/>
    <w:rsid w:val="5A644C0A"/>
    <w:rsid w:val="5A956132"/>
    <w:rsid w:val="5B55270F"/>
    <w:rsid w:val="5BF32CB7"/>
    <w:rsid w:val="5BF96AE3"/>
    <w:rsid w:val="5CE700C3"/>
    <w:rsid w:val="5D067C95"/>
    <w:rsid w:val="5DBF5D10"/>
    <w:rsid w:val="5DD33820"/>
    <w:rsid w:val="5E23174E"/>
    <w:rsid w:val="5F462644"/>
    <w:rsid w:val="5F5449B7"/>
    <w:rsid w:val="5FA559EB"/>
    <w:rsid w:val="5FAF2E92"/>
    <w:rsid w:val="5FB00FD1"/>
    <w:rsid w:val="5FD6795C"/>
    <w:rsid w:val="5FE869F4"/>
    <w:rsid w:val="603A62DF"/>
    <w:rsid w:val="604855EB"/>
    <w:rsid w:val="60560BF1"/>
    <w:rsid w:val="60632EBD"/>
    <w:rsid w:val="607D6298"/>
    <w:rsid w:val="60BD4946"/>
    <w:rsid w:val="60D119C0"/>
    <w:rsid w:val="60F621A8"/>
    <w:rsid w:val="61506381"/>
    <w:rsid w:val="61F11485"/>
    <w:rsid w:val="626A1C08"/>
    <w:rsid w:val="62705EC5"/>
    <w:rsid w:val="62720170"/>
    <w:rsid w:val="628A1F9F"/>
    <w:rsid w:val="633632AC"/>
    <w:rsid w:val="6407089B"/>
    <w:rsid w:val="655A27FC"/>
    <w:rsid w:val="655B53A5"/>
    <w:rsid w:val="657A24A3"/>
    <w:rsid w:val="65CC7EE0"/>
    <w:rsid w:val="65D85924"/>
    <w:rsid w:val="66F32B99"/>
    <w:rsid w:val="670623B1"/>
    <w:rsid w:val="675258EC"/>
    <w:rsid w:val="67BD2BF5"/>
    <w:rsid w:val="69902321"/>
    <w:rsid w:val="69A747CC"/>
    <w:rsid w:val="69C7702E"/>
    <w:rsid w:val="6AA24366"/>
    <w:rsid w:val="6ACF08F6"/>
    <w:rsid w:val="6B5A205B"/>
    <w:rsid w:val="6B7908F1"/>
    <w:rsid w:val="6C561697"/>
    <w:rsid w:val="6CBB568B"/>
    <w:rsid w:val="6D4113E2"/>
    <w:rsid w:val="6D7642BC"/>
    <w:rsid w:val="6DB532A7"/>
    <w:rsid w:val="6DED6BE1"/>
    <w:rsid w:val="6E3D74B5"/>
    <w:rsid w:val="6EA30111"/>
    <w:rsid w:val="6EB15EC0"/>
    <w:rsid w:val="701D6891"/>
    <w:rsid w:val="70EA0286"/>
    <w:rsid w:val="721E1061"/>
    <w:rsid w:val="72E67DDE"/>
    <w:rsid w:val="734321C6"/>
    <w:rsid w:val="73BE7D1C"/>
    <w:rsid w:val="74193EA6"/>
    <w:rsid w:val="74A80538"/>
    <w:rsid w:val="74C43B95"/>
    <w:rsid w:val="74C83058"/>
    <w:rsid w:val="74F37865"/>
    <w:rsid w:val="75551442"/>
    <w:rsid w:val="75707AF4"/>
    <w:rsid w:val="767769ED"/>
    <w:rsid w:val="771B31EF"/>
    <w:rsid w:val="792F2193"/>
    <w:rsid w:val="7AE0531A"/>
    <w:rsid w:val="7BA91F56"/>
    <w:rsid w:val="7BF84F3E"/>
    <w:rsid w:val="7C4E5EDB"/>
    <w:rsid w:val="7DA627A1"/>
    <w:rsid w:val="7DCA5CFD"/>
    <w:rsid w:val="7E45741A"/>
    <w:rsid w:val="7E5826E6"/>
    <w:rsid w:val="7EE349CD"/>
    <w:rsid w:val="7F280BE5"/>
    <w:rsid w:val="7FEA02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01"/>
    <w:qFormat/>
    <w:uiPriority w:val="0"/>
    <w:pPr>
      <w:autoSpaceDE w:val="0"/>
      <w:autoSpaceDN w:val="0"/>
      <w:adjustRightInd w:val="0"/>
      <w:snapToGrid w:val="0"/>
      <w:spacing w:line="360" w:lineRule="auto"/>
      <w:ind w:left="5998" w:hanging="1320"/>
      <w:jc w:val="center"/>
      <w:outlineLvl w:val="0"/>
    </w:pPr>
    <w:rPr>
      <w:rFonts w:eastAsia="黑体"/>
      <w:sz w:val="44"/>
      <w:szCs w:val="44"/>
    </w:rPr>
  </w:style>
  <w:style w:type="paragraph" w:styleId="4">
    <w:name w:val="heading 2"/>
    <w:basedOn w:val="1"/>
    <w:next w:val="1"/>
    <w:link w:val="130"/>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118"/>
    <w:qFormat/>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1"/>
    <w:next w:val="1"/>
    <w:link w:val="72"/>
    <w:qFormat/>
    <w:uiPriority w:val="0"/>
    <w:pPr>
      <w:jc w:val="center"/>
      <w:outlineLvl w:val="3"/>
    </w:pPr>
  </w:style>
  <w:style w:type="paragraph" w:styleId="7">
    <w:name w:val="heading 5"/>
    <w:basedOn w:val="1"/>
    <w:next w:val="1"/>
    <w:link w:val="140"/>
    <w:qFormat/>
    <w:uiPriority w:val="0"/>
    <w:pPr>
      <w:keepNext/>
      <w:keepLines/>
      <w:spacing w:before="280" w:after="290" w:line="374" w:lineRule="auto"/>
      <w:outlineLvl w:val="4"/>
    </w:pPr>
    <w:rPr>
      <w:b/>
      <w:bCs/>
      <w:sz w:val="28"/>
      <w:szCs w:val="28"/>
    </w:rPr>
  </w:style>
  <w:style w:type="paragraph" w:styleId="8">
    <w:name w:val="heading 6"/>
    <w:basedOn w:val="1"/>
    <w:next w:val="1"/>
    <w:link w:val="90"/>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99"/>
    <w:qFormat/>
    <w:uiPriority w:val="0"/>
    <w:pPr>
      <w:keepNext/>
      <w:keepLines/>
      <w:spacing w:before="240" w:after="64" w:line="319" w:lineRule="auto"/>
      <w:outlineLvl w:val="6"/>
    </w:pPr>
    <w:rPr>
      <w:b/>
      <w:bCs/>
      <w:sz w:val="24"/>
      <w:szCs w:val="24"/>
    </w:rPr>
  </w:style>
  <w:style w:type="paragraph" w:styleId="10">
    <w:name w:val="heading 8"/>
    <w:basedOn w:val="1"/>
    <w:next w:val="1"/>
    <w:link w:val="122"/>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24"/>
    <w:qFormat/>
    <w:uiPriority w:val="0"/>
    <w:pPr>
      <w:keepNext/>
      <w:keepLines/>
      <w:spacing w:before="240" w:after="64" w:line="319" w:lineRule="auto"/>
      <w:outlineLvl w:val="8"/>
    </w:pPr>
    <w:rPr>
      <w:rFonts w:ascii="Arial" w:hAnsi="Arial" w:eastAsia="黑体"/>
      <w:szCs w:val="21"/>
    </w:rPr>
  </w:style>
  <w:style w:type="character" w:default="1" w:styleId="49">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70"/>
    <w:qFormat/>
    <w:uiPriority w:val="0"/>
    <w:rPr>
      <w:sz w:val="26"/>
    </w:rPr>
  </w:style>
  <w:style w:type="paragraph" w:styleId="12">
    <w:name w:val="annotation subject"/>
    <w:basedOn w:val="13"/>
    <w:next w:val="13"/>
    <w:link w:val="120"/>
    <w:qFormat/>
    <w:uiPriority w:val="0"/>
    <w:pPr>
      <w:adjustRightInd/>
      <w:spacing w:line="240" w:lineRule="auto"/>
      <w:textAlignment w:val="auto"/>
    </w:pPr>
    <w:rPr>
      <w:b/>
      <w:bCs/>
      <w:kern w:val="2"/>
      <w:sz w:val="21"/>
      <w:szCs w:val="24"/>
    </w:rPr>
  </w:style>
  <w:style w:type="paragraph" w:styleId="13">
    <w:name w:val="annotation text"/>
    <w:basedOn w:val="1"/>
    <w:link w:val="88"/>
    <w:qFormat/>
    <w:uiPriority w:val="0"/>
    <w:pPr>
      <w:adjustRightInd w:val="0"/>
      <w:spacing w:line="360" w:lineRule="atLeast"/>
      <w:jc w:val="left"/>
      <w:textAlignment w:val="baseline"/>
    </w:pPr>
    <w:rPr>
      <w:kern w:val="0"/>
      <w:sz w:val="24"/>
    </w:rPr>
  </w:style>
  <w:style w:type="paragraph" w:styleId="14">
    <w:name w:val="toc 7"/>
    <w:basedOn w:val="1"/>
    <w:next w:val="1"/>
    <w:qFormat/>
    <w:uiPriority w:val="0"/>
    <w:pPr>
      <w:ind w:left="2520" w:leftChars="1200"/>
    </w:pPr>
  </w:style>
  <w:style w:type="paragraph" w:styleId="15">
    <w:name w:val="List Bullet 4"/>
    <w:basedOn w:val="1"/>
    <w:qFormat/>
    <w:uiPriority w:val="0"/>
    <w:pPr>
      <w:tabs>
        <w:tab w:val="left" w:pos="1620"/>
      </w:tabs>
      <w:ind w:left="1620" w:hanging="36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sz w:val="20"/>
    </w:rPr>
  </w:style>
  <w:style w:type="paragraph" w:styleId="18">
    <w:name w:val="List Bullet"/>
    <w:basedOn w:val="1"/>
    <w:qFormat/>
    <w:uiPriority w:val="0"/>
    <w:pPr>
      <w:tabs>
        <w:tab w:val="left" w:pos="360"/>
      </w:tabs>
      <w:ind w:left="360" w:hanging="360"/>
    </w:pPr>
  </w:style>
  <w:style w:type="paragraph" w:styleId="19">
    <w:name w:val="Document Map"/>
    <w:basedOn w:val="1"/>
    <w:link w:val="74"/>
    <w:qFormat/>
    <w:uiPriority w:val="0"/>
    <w:pPr>
      <w:shd w:val="clear" w:color="auto" w:fill="000080"/>
    </w:pPr>
    <w:rPr>
      <w:szCs w:val="24"/>
      <w:shd w:val="clear" w:color="auto" w:fill="000080"/>
    </w:rPr>
  </w:style>
  <w:style w:type="paragraph" w:styleId="20">
    <w:name w:val="Body Text 3"/>
    <w:basedOn w:val="1"/>
    <w:link w:val="60"/>
    <w:qFormat/>
    <w:uiPriority w:val="0"/>
    <w:pPr>
      <w:spacing w:after="120"/>
    </w:pPr>
    <w:rPr>
      <w:sz w:val="16"/>
      <w:szCs w:val="16"/>
    </w:rPr>
  </w:style>
  <w:style w:type="paragraph" w:styleId="21">
    <w:name w:val="List Bullet 3"/>
    <w:basedOn w:val="1"/>
    <w:qFormat/>
    <w:uiPriority w:val="0"/>
    <w:pPr>
      <w:tabs>
        <w:tab w:val="left" w:pos="1200"/>
      </w:tabs>
      <w:ind w:left="1200" w:hanging="360"/>
    </w:pPr>
  </w:style>
  <w:style w:type="paragraph" w:styleId="22">
    <w:name w:val="Body Text Indent"/>
    <w:basedOn w:val="1"/>
    <w:link w:val="79"/>
    <w:qFormat/>
    <w:uiPriority w:val="0"/>
    <w:pPr>
      <w:spacing w:line="360" w:lineRule="auto"/>
      <w:ind w:firstLine="560" w:firstLineChars="200"/>
    </w:pPr>
    <w:rPr>
      <w:rFonts w:ascii="黑体" w:hAnsi="宋体" w:eastAsia="黑体"/>
      <w:color w:val="000000"/>
      <w:sz w:val="28"/>
      <w:szCs w:val="3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4">
    <w:name w:val="List Bullet 2"/>
    <w:basedOn w:val="1"/>
    <w:qFormat/>
    <w:uiPriority w:val="0"/>
    <w:pPr>
      <w:tabs>
        <w:tab w:val="left" w:pos="780"/>
      </w:tabs>
      <w:ind w:left="780" w:hanging="360"/>
    </w:p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link w:val="81"/>
    <w:qFormat/>
    <w:uiPriority w:val="0"/>
    <w:rPr>
      <w:rFonts w:ascii="宋体" w:hAnsi="Courier New"/>
      <w:sz w:val="28"/>
      <w:szCs w:val="28"/>
    </w:rPr>
  </w:style>
  <w:style w:type="paragraph" w:styleId="29">
    <w:name w:val="List Bullet 5"/>
    <w:basedOn w:val="1"/>
    <w:qFormat/>
    <w:uiPriority w:val="0"/>
    <w:pPr>
      <w:tabs>
        <w:tab w:val="left" w:pos="2040"/>
      </w:tabs>
      <w:ind w:left="2040" w:hanging="360"/>
    </w:pPr>
  </w:style>
  <w:style w:type="paragraph" w:styleId="30">
    <w:name w:val="toc 8"/>
    <w:basedOn w:val="1"/>
    <w:next w:val="1"/>
    <w:qFormat/>
    <w:uiPriority w:val="0"/>
    <w:pPr>
      <w:ind w:left="2940" w:leftChars="1400"/>
    </w:pPr>
  </w:style>
  <w:style w:type="paragraph" w:styleId="31">
    <w:name w:val="Date"/>
    <w:basedOn w:val="1"/>
    <w:next w:val="1"/>
    <w:link w:val="103"/>
    <w:qFormat/>
    <w:uiPriority w:val="0"/>
    <w:pPr>
      <w:ind w:left="100" w:leftChars="2500"/>
    </w:pPr>
    <w:rPr>
      <w:szCs w:val="24"/>
    </w:rPr>
  </w:style>
  <w:style w:type="paragraph" w:styleId="32">
    <w:name w:val="Body Text Indent 2"/>
    <w:basedOn w:val="1"/>
    <w:link w:val="80"/>
    <w:qFormat/>
    <w:uiPriority w:val="0"/>
    <w:pPr>
      <w:ind w:left="1005" w:hanging="1005"/>
    </w:pPr>
    <w:rPr>
      <w:rFonts w:eastAsia="仿宋_GB2312"/>
      <w:sz w:val="32"/>
    </w:rPr>
  </w:style>
  <w:style w:type="paragraph" w:styleId="33">
    <w:name w:val="Balloon Text"/>
    <w:basedOn w:val="1"/>
    <w:link w:val="106"/>
    <w:qFormat/>
    <w:uiPriority w:val="0"/>
    <w:rPr>
      <w:sz w:val="18"/>
      <w:szCs w:val="18"/>
    </w:rPr>
  </w:style>
  <w:style w:type="paragraph" w:styleId="34">
    <w:name w:val="footer"/>
    <w:basedOn w:val="1"/>
    <w:link w:val="141"/>
    <w:qFormat/>
    <w:uiPriority w:val="99"/>
    <w:pPr>
      <w:tabs>
        <w:tab w:val="center" w:pos="4153"/>
        <w:tab w:val="right" w:pos="8306"/>
      </w:tabs>
      <w:snapToGrid w:val="0"/>
      <w:jc w:val="left"/>
    </w:pPr>
    <w:rPr>
      <w:sz w:val="18"/>
      <w:szCs w:val="18"/>
    </w:rPr>
  </w:style>
  <w:style w:type="paragraph" w:styleId="35">
    <w:name w:val="Body Text First Indent 2"/>
    <w:basedOn w:val="22"/>
    <w:link w:val="89"/>
    <w:qFormat/>
    <w:uiPriority w:val="0"/>
    <w:pPr>
      <w:spacing w:after="120" w:line="240" w:lineRule="auto"/>
      <w:ind w:left="420" w:leftChars="200" w:firstLine="420"/>
    </w:pPr>
  </w:style>
  <w:style w:type="paragraph" w:styleId="36">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0"/>
    <w:pPr>
      <w:ind w:left="1260" w:leftChars="600"/>
    </w:pPr>
  </w:style>
  <w:style w:type="paragraph" w:styleId="39">
    <w:name w:val="Subtitle"/>
    <w:basedOn w:val="1"/>
    <w:link w:val="105"/>
    <w:qFormat/>
    <w:uiPriority w:val="0"/>
    <w:pPr>
      <w:widowControl/>
      <w:jc w:val="center"/>
    </w:pPr>
    <w:rPr>
      <w:kern w:val="0"/>
      <w:sz w:val="20"/>
      <w:szCs w:val="24"/>
      <w:u w:val="single"/>
      <w:lang w:eastAsia="en-US"/>
    </w:rPr>
  </w:style>
  <w:style w:type="paragraph" w:styleId="40">
    <w:name w:val="footnote text"/>
    <w:basedOn w:val="1"/>
    <w:qFormat/>
    <w:uiPriority w:val="0"/>
    <w:pPr>
      <w:snapToGrid w:val="0"/>
      <w:jc w:val="left"/>
    </w:pPr>
    <w:rPr>
      <w:sz w:val="18"/>
      <w:szCs w:val="18"/>
    </w:rPr>
  </w:style>
  <w:style w:type="paragraph" w:styleId="41">
    <w:name w:val="toc 6"/>
    <w:basedOn w:val="1"/>
    <w:next w:val="1"/>
    <w:qFormat/>
    <w:uiPriority w:val="0"/>
    <w:pPr>
      <w:ind w:left="2100" w:leftChars="1000"/>
    </w:pPr>
  </w:style>
  <w:style w:type="paragraph" w:styleId="42">
    <w:name w:val="Body Text Indent 3"/>
    <w:basedOn w:val="1"/>
    <w:qFormat/>
    <w:uiPriority w:val="0"/>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0"/>
    <w:pPr>
      <w:ind w:left="3360" w:leftChars="1600"/>
    </w:pPr>
  </w:style>
  <w:style w:type="paragraph" w:styleId="45">
    <w:name w:val="Body Text 2"/>
    <w:basedOn w:val="1"/>
    <w:qFormat/>
    <w:uiPriority w:val="0"/>
    <w:rPr>
      <w:i/>
      <w:iCs/>
      <w:sz w:val="26"/>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7">
    <w:name w:val="Normal (Web)"/>
    <w:basedOn w:val="1"/>
    <w:qFormat/>
    <w:uiPriority w:val="0"/>
    <w:pPr>
      <w:widowControl/>
      <w:spacing w:before="100" w:beforeAutospacing="1" w:after="100" w:afterAutospacing="1"/>
      <w:jc w:val="left"/>
    </w:pPr>
    <w:rPr>
      <w:kern w:val="0"/>
      <w:sz w:val="24"/>
    </w:rPr>
  </w:style>
  <w:style w:type="paragraph" w:styleId="48">
    <w:name w:val="Title"/>
    <w:basedOn w:val="1"/>
    <w:next w:val="1"/>
    <w:link w:val="78"/>
    <w:qFormat/>
    <w:uiPriority w:val="0"/>
    <w:pPr>
      <w:spacing w:before="240" w:after="60"/>
      <w:jc w:val="center"/>
      <w:outlineLvl w:val="0"/>
    </w:pPr>
    <w:rPr>
      <w:rFonts w:ascii="Cambria" w:hAnsi="Cambria"/>
      <w:b/>
      <w:bCs/>
      <w:sz w:val="32"/>
      <w:szCs w:val="32"/>
    </w:r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2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9">
    <w:name w:val="页脚 Char1"/>
    <w:semiHidden/>
    <w:qFormat/>
    <w:uiPriority w:val="99"/>
    <w:rPr>
      <w:kern w:val="2"/>
      <w:sz w:val="18"/>
      <w:szCs w:val="18"/>
    </w:rPr>
  </w:style>
  <w:style w:type="character" w:customStyle="1" w:styleId="60">
    <w:name w:val="正文文本 3 Char"/>
    <w:link w:val="20"/>
    <w:qFormat/>
    <w:uiPriority w:val="0"/>
    <w:rPr>
      <w:kern w:val="2"/>
      <w:sz w:val="16"/>
      <w:szCs w:val="16"/>
    </w:rPr>
  </w:style>
  <w:style w:type="character" w:customStyle="1" w:styleId="61">
    <w:name w:val="引用 Char"/>
    <w:link w:val="62"/>
    <w:qFormat/>
    <w:uiPriority w:val="0"/>
    <w:rPr>
      <w:i/>
      <w:iCs/>
      <w:color w:val="000000"/>
      <w:kern w:val="2"/>
      <w:sz w:val="21"/>
      <w:szCs w:val="22"/>
    </w:rPr>
  </w:style>
  <w:style w:type="paragraph" w:customStyle="1" w:styleId="62">
    <w:name w:val="引用1"/>
    <w:basedOn w:val="1"/>
    <w:next w:val="1"/>
    <w:link w:val="61"/>
    <w:qFormat/>
    <w:uiPriority w:val="0"/>
    <w:rPr>
      <w:i/>
      <w:iCs/>
      <w:color w:val="000000"/>
      <w:szCs w:val="22"/>
    </w:rPr>
  </w:style>
  <w:style w:type="character" w:customStyle="1" w:styleId="63">
    <w:name w:val="正文文本 2 Char Char"/>
    <w:qFormat/>
    <w:uiPriority w:val="0"/>
    <w:rPr>
      <w:i/>
      <w:iCs/>
      <w:kern w:val="2"/>
      <w:sz w:val="26"/>
      <w:szCs w:val="24"/>
    </w:rPr>
  </w:style>
  <w:style w:type="character" w:customStyle="1" w:styleId="64">
    <w:name w:val="明显参考1"/>
    <w:qFormat/>
    <w:uiPriority w:val="0"/>
    <w:rPr>
      <w:b/>
      <w:bCs/>
      <w:smallCaps/>
      <w:color w:val="C0504D"/>
      <w:spacing w:val="5"/>
      <w:u w:val="single"/>
    </w:rPr>
  </w:style>
  <w:style w:type="character" w:customStyle="1" w:styleId="65">
    <w:name w:val="引用 Char1"/>
    <w:qFormat/>
    <w:uiPriority w:val="29"/>
    <w:rPr>
      <w:i/>
      <w:iCs/>
      <w:color w:val="000000"/>
      <w:kern w:val="2"/>
      <w:sz w:val="21"/>
    </w:rPr>
  </w:style>
  <w:style w:type="character" w:customStyle="1" w:styleId="66">
    <w:name w:val="页眉 Char1"/>
    <w:semiHidden/>
    <w:qFormat/>
    <w:uiPriority w:val="99"/>
    <w:rPr>
      <w:kern w:val="2"/>
      <w:sz w:val="18"/>
      <w:szCs w:val="18"/>
    </w:rPr>
  </w:style>
  <w:style w:type="character" w:customStyle="1" w:styleId="67">
    <w:name w:val="小标题 Char"/>
    <w:link w:val="68"/>
    <w:qFormat/>
    <w:uiPriority w:val="0"/>
    <w:rPr>
      <w:rFonts w:ascii="宋体" w:eastAsia="宋体"/>
      <w:b/>
      <w:kern w:val="2"/>
      <w:sz w:val="24"/>
      <w:szCs w:val="24"/>
      <w:lang w:val="en-US" w:eastAsia="zh-CN" w:bidi="ar-SA"/>
    </w:rPr>
  </w:style>
  <w:style w:type="paragraph" w:customStyle="1" w:styleId="68">
    <w:name w:val="小标题"/>
    <w:basedOn w:val="1"/>
    <w:next w:val="22"/>
    <w:link w:val="67"/>
    <w:qFormat/>
    <w:uiPriority w:val="0"/>
    <w:pPr>
      <w:spacing w:beforeLines="50" w:afterLines="50"/>
      <w:jc w:val="center"/>
    </w:pPr>
    <w:rPr>
      <w:rFonts w:ascii="宋体"/>
      <w:b/>
      <w:sz w:val="24"/>
      <w:szCs w:val="24"/>
    </w:rPr>
  </w:style>
  <w:style w:type="character" w:customStyle="1" w:styleId="69">
    <w:name w:val="页眉 Char Char"/>
    <w:qFormat/>
    <w:uiPriority w:val="0"/>
    <w:rPr>
      <w:kern w:val="2"/>
      <w:sz w:val="18"/>
      <w:szCs w:val="18"/>
    </w:rPr>
  </w:style>
  <w:style w:type="character" w:customStyle="1" w:styleId="70">
    <w:name w:val="正文文本 Char"/>
    <w:link w:val="2"/>
    <w:qFormat/>
    <w:uiPriority w:val="0"/>
    <w:rPr>
      <w:kern w:val="2"/>
      <w:sz w:val="26"/>
    </w:rPr>
  </w:style>
  <w:style w:type="character" w:customStyle="1" w:styleId="71">
    <w:name w:val="标题 2 Char Char"/>
    <w:qFormat/>
    <w:uiPriority w:val="0"/>
    <w:rPr>
      <w:rFonts w:ascii="仿宋_GB2312" w:eastAsia="仿宋_GB2312" w:cs="MingLiU"/>
      <w:b/>
      <w:spacing w:val="1"/>
      <w:w w:val="99"/>
      <w:sz w:val="28"/>
      <w:szCs w:val="32"/>
    </w:rPr>
  </w:style>
  <w:style w:type="character" w:customStyle="1" w:styleId="72">
    <w:name w:val="标题 4 Char"/>
    <w:link w:val="6"/>
    <w:qFormat/>
    <w:uiPriority w:val="0"/>
    <w:rPr>
      <w:rFonts w:ascii="仿宋_GB2312" w:eastAsia="仿宋_GB2312" w:cs="MingLiU"/>
      <w:b/>
      <w:sz w:val="24"/>
      <w:szCs w:val="28"/>
    </w:rPr>
  </w:style>
  <w:style w:type="character" w:customStyle="1" w:styleId="73">
    <w:name w:val="批注框文本 Char Char"/>
    <w:qFormat/>
    <w:uiPriority w:val="0"/>
    <w:rPr>
      <w:kern w:val="2"/>
      <w:sz w:val="18"/>
      <w:szCs w:val="18"/>
    </w:rPr>
  </w:style>
  <w:style w:type="character" w:customStyle="1" w:styleId="74">
    <w:name w:val="文档结构图 Char"/>
    <w:link w:val="19"/>
    <w:qFormat/>
    <w:uiPriority w:val="0"/>
    <w:rPr>
      <w:kern w:val="2"/>
      <w:sz w:val="21"/>
      <w:szCs w:val="24"/>
      <w:shd w:val="clear" w:color="auto" w:fill="000080"/>
    </w:rPr>
  </w:style>
  <w:style w:type="character" w:customStyle="1" w:styleId="75">
    <w:name w:val="正文文本 Char Char"/>
    <w:qFormat/>
    <w:uiPriority w:val="0"/>
    <w:rPr>
      <w:kern w:val="2"/>
      <w:sz w:val="26"/>
      <w:szCs w:val="24"/>
    </w:rPr>
  </w:style>
  <w:style w:type="character" w:customStyle="1" w:styleId="76">
    <w:name w:val="文档结构图 Char2"/>
    <w:semiHidden/>
    <w:qFormat/>
    <w:uiPriority w:val="99"/>
    <w:rPr>
      <w:rFonts w:ascii="宋体"/>
      <w:kern w:val="2"/>
      <w:sz w:val="18"/>
      <w:szCs w:val="18"/>
    </w:rPr>
  </w:style>
  <w:style w:type="character" w:customStyle="1" w:styleId="77">
    <w:name w:val="Document Map Char"/>
    <w:qFormat/>
    <w:locked/>
    <w:uiPriority w:val="99"/>
    <w:rPr>
      <w:rFonts w:ascii="Times New Roman" w:hAnsi="Times New Roman" w:cs="Times New Roman"/>
      <w:sz w:val="24"/>
      <w:szCs w:val="24"/>
      <w:shd w:val="clear" w:color="auto" w:fill="000080"/>
    </w:rPr>
  </w:style>
  <w:style w:type="character" w:customStyle="1" w:styleId="78">
    <w:name w:val="标题 Char"/>
    <w:link w:val="48"/>
    <w:qFormat/>
    <w:uiPriority w:val="0"/>
    <w:rPr>
      <w:rFonts w:ascii="Cambria" w:hAnsi="Cambria"/>
      <w:b/>
      <w:bCs/>
      <w:kern w:val="2"/>
      <w:sz w:val="32"/>
      <w:szCs w:val="32"/>
    </w:rPr>
  </w:style>
  <w:style w:type="character" w:customStyle="1" w:styleId="79">
    <w:name w:val="正文文本缩进 Char"/>
    <w:link w:val="22"/>
    <w:qFormat/>
    <w:uiPriority w:val="0"/>
    <w:rPr>
      <w:rFonts w:ascii="黑体" w:hAnsi="宋体" w:eastAsia="黑体"/>
      <w:color w:val="000000"/>
      <w:kern w:val="2"/>
      <w:sz w:val="28"/>
      <w:szCs w:val="32"/>
    </w:rPr>
  </w:style>
  <w:style w:type="character" w:customStyle="1" w:styleId="80">
    <w:name w:val="正文文本缩进 2 Char"/>
    <w:link w:val="32"/>
    <w:qFormat/>
    <w:uiPriority w:val="0"/>
    <w:rPr>
      <w:rFonts w:eastAsia="仿宋_GB2312"/>
      <w:kern w:val="2"/>
      <w:sz w:val="32"/>
    </w:rPr>
  </w:style>
  <w:style w:type="character" w:customStyle="1" w:styleId="81">
    <w:name w:val="纯文本 Char"/>
    <w:link w:val="28"/>
    <w:qFormat/>
    <w:uiPriority w:val="0"/>
    <w:rPr>
      <w:rFonts w:ascii="宋体" w:hAnsi="Courier New" w:eastAsia="宋体"/>
      <w:kern w:val="2"/>
      <w:sz w:val="28"/>
      <w:szCs w:val="28"/>
      <w:lang w:val="en-US" w:eastAsia="zh-CN" w:bidi="ar-SA"/>
    </w:rPr>
  </w:style>
  <w:style w:type="character" w:customStyle="1" w:styleId="82">
    <w:name w:val="批注主题 Char2"/>
    <w:semiHidden/>
    <w:qFormat/>
    <w:uiPriority w:val="99"/>
    <w:rPr>
      <w:b/>
      <w:bCs/>
      <w:kern w:val="2"/>
      <w:sz w:val="21"/>
      <w:szCs w:val="22"/>
    </w:rPr>
  </w:style>
  <w:style w:type="character" w:customStyle="1" w:styleId="83">
    <w:name w:val="批注主题 Char1"/>
    <w:qFormat/>
    <w:uiPriority w:val="0"/>
    <w:rPr>
      <w:b/>
      <w:bCs/>
      <w:kern w:val="2"/>
      <w:sz w:val="21"/>
      <w:szCs w:val="22"/>
    </w:rPr>
  </w:style>
  <w:style w:type="character" w:customStyle="1" w:styleId="84">
    <w:name w:val="批注文字 Char Char"/>
    <w:qFormat/>
    <w:uiPriority w:val="0"/>
    <w:rPr>
      <w:sz w:val="24"/>
    </w:rPr>
  </w:style>
  <w:style w:type="character" w:customStyle="1" w:styleId="85">
    <w:name w:val="不明显强调1"/>
    <w:qFormat/>
    <w:uiPriority w:val="0"/>
    <w:rPr>
      <w:i/>
      <w:iCs/>
      <w:color w:val="808080"/>
    </w:rPr>
  </w:style>
  <w:style w:type="character" w:customStyle="1" w:styleId="86">
    <w:name w:val="批注主题 Char Char"/>
    <w:basedOn w:val="84"/>
    <w:qFormat/>
    <w:uiPriority w:val="0"/>
    <w:rPr>
      <w:sz w:val="24"/>
    </w:rPr>
  </w:style>
  <w:style w:type="character" w:customStyle="1" w:styleId="87">
    <w:name w:val="明显强调1"/>
    <w:qFormat/>
    <w:uiPriority w:val="0"/>
    <w:rPr>
      <w:b/>
      <w:bCs/>
      <w:i/>
      <w:iCs/>
      <w:color w:val="4F81BD"/>
    </w:rPr>
  </w:style>
  <w:style w:type="character" w:customStyle="1" w:styleId="88">
    <w:name w:val="批注文字 Char"/>
    <w:link w:val="13"/>
    <w:qFormat/>
    <w:uiPriority w:val="0"/>
    <w:rPr>
      <w:rFonts w:eastAsia="宋体"/>
      <w:sz w:val="24"/>
      <w:lang w:val="en-US" w:eastAsia="zh-CN" w:bidi="ar-SA"/>
    </w:rPr>
  </w:style>
  <w:style w:type="character" w:customStyle="1" w:styleId="89">
    <w:name w:val="正文首行缩进 2 Char"/>
    <w:basedOn w:val="79"/>
    <w:link w:val="35"/>
    <w:qFormat/>
    <w:uiPriority w:val="0"/>
    <w:rPr>
      <w:rFonts w:ascii="黑体" w:hAnsi="宋体" w:eastAsia="黑体"/>
      <w:color w:val="000000"/>
      <w:kern w:val="2"/>
      <w:sz w:val="28"/>
      <w:szCs w:val="32"/>
    </w:rPr>
  </w:style>
  <w:style w:type="character" w:customStyle="1" w:styleId="90">
    <w:name w:val="标题 6 Char"/>
    <w:link w:val="8"/>
    <w:qFormat/>
    <w:uiPriority w:val="0"/>
    <w:rPr>
      <w:rFonts w:ascii="Arial" w:hAnsi="Arial" w:eastAsia="黑体"/>
      <w:b/>
      <w:bCs/>
      <w:kern w:val="2"/>
      <w:sz w:val="24"/>
      <w:szCs w:val="24"/>
    </w:rPr>
  </w:style>
  <w:style w:type="character" w:customStyle="1" w:styleId="91">
    <w:name w:val="脚注文本 Char Char"/>
    <w:qFormat/>
    <w:uiPriority w:val="0"/>
    <w:rPr>
      <w:kern w:val="2"/>
      <w:sz w:val="18"/>
      <w:szCs w:val="18"/>
    </w:rPr>
  </w:style>
  <w:style w:type="character" w:customStyle="1" w:styleId="92">
    <w:name w:val="5号正文 Char Char"/>
    <w:link w:val="93"/>
    <w:qFormat/>
    <w:uiPriority w:val="0"/>
    <w:rPr>
      <w:rFonts w:ascii="楷体_GB2312" w:hAnsi="宋体" w:eastAsia="楷体_GB2312"/>
      <w:snapToGrid w:val="0"/>
      <w:sz w:val="24"/>
      <w:szCs w:val="28"/>
      <w:lang w:val="en-US" w:eastAsia="zh-CN" w:bidi="ar-SA"/>
    </w:rPr>
  </w:style>
  <w:style w:type="paragraph" w:customStyle="1" w:styleId="93">
    <w:name w:val="5号正文"/>
    <w:link w:val="92"/>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5"/>
    <w:link w:val="94"/>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96">
    <w:name w:val="日期 Char1"/>
    <w:qFormat/>
    <w:uiPriority w:val="0"/>
    <w:rPr>
      <w:kern w:val="2"/>
      <w:sz w:val="21"/>
      <w:szCs w:val="22"/>
    </w:rPr>
  </w:style>
  <w:style w:type="character" w:customStyle="1" w:styleId="97">
    <w:name w:val="正文文本 Char2"/>
    <w:semiHidden/>
    <w:qFormat/>
    <w:uiPriority w:val="99"/>
    <w:rPr>
      <w:kern w:val="2"/>
      <w:sz w:val="21"/>
      <w:szCs w:val="22"/>
    </w:rPr>
  </w:style>
  <w:style w:type="character" w:customStyle="1" w:styleId="98">
    <w:name w:val="不明显参考1"/>
    <w:qFormat/>
    <w:uiPriority w:val="0"/>
    <w:rPr>
      <w:smallCaps/>
      <w:color w:val="C0504D"/>
      <w:u w:val="single"/>
    </w:rPr>
  </w:style>
  <w:style w:type="character" w:customStyle="1" w:styleId="99">
    <w:name w:val="标题 7 Char"/>
    <w:link w:val="9"/>
    <w:qFormat/>
    <w:uiPriority w:val="0"/>
    <w:rPr>
      <w:b/>
      <w:bCs/>
      <w:kern w:val="2"/>
      <w:sz w:val="24"/>
      <w:szCs w:val="24"/>
    </w:rPr>
  </w:style>
  <w:style w:type="character" w:customStyle="1" w:styleId="100">
    <w:name w:val="标题 6 Char Char"/>
    <w:qFormat/>
    <w:uiPriority w:val="0"/>
    <w:rPr>
      <w:rFonts w:ascii="Arial" w:hAnsi="Arial" w:eastAsia="黑体"/>
      <w:b/>
      <w:bCs/>
      <w:kern w:val="2"/>
      <w:sz w:val="24"/>
      <w:szCs w:val="24"/>
    </w:rPr>
  </w:style>
  <w:style w:type="character" w:customStyle="1" w:styleId="101">
    <w:name w:val="标题 1 Char"/>
    <w:link w:val="3"/>
    <w:qFormat/>
    <w:uiPriority w:val="0"/>
    <w:rPr>
      <w:rFonts w:eastAsia="黑体"/>
      <w:kern w:val="2"/>
      <w:sz w:val="44"/>
      <w:szCs w:val="44"/>
    </w:rPr>
  </w:style>
  <w:style w:type="character" w:customStyle="1" w:styleId="102">
    <w:name w:val="纯文本 Char Char"/>
    <w:qFormat/>
    <w:uiPriority w:val="0"/>
    <w:rPr>
      <w:rFonts w:ascii="宋体" w:hAnsi="Courier New"/>
      <w:kern w:val="2"/>
      <w:sz w:val="28"/>
      <w:szCs w:val="28"/>
    </w:rPr>
  </w:style>
  <w:style w:type="character" w:customStyle="1" w:styleId="103">
    <w:name w:val="日期 Char"/>
    <w:link w:val="31"/>
    <w:qFormat/>
    <w:uiPriority w:val="0"/>
    <w:rPr>
      <w:kern w:val="2"/>
      <w:sz w:val="21"/>
      <w:szCs w:val="24"/>
    </w:rPr>
  </w:style>
  <w:style w:type="character" w:customStyle="1" w:styleId="104">
    <w:name w:val="textcontents"/>
    <w:qFormat/>
    <w:uiPriority w:val="0"/>
    <w:rPr>
      <w:rFonts w:cs="Times New Roman"/>
    </w:rPr>
  </w:style>
  <w:style w:type="character" w:customStyle="1" w:styleId="105">
    <w:name w:val="副标题 Char"/>
    <w:link w:val="39"/>
    <w:qFormat/>
    <w:uiPriority w:val="0"/>
    <w:rPr>
      <w:szCs w:val="24"/>
      <w:u w:val="single"/>
      <w:lang w:eastAsia="en-US"/>
    </w:rPr>
  </w:style>
  <w:style w:type="character" w:customStyle="1" w:styleId="106">
    <w:name w:val="批注框文本 Char"/>
    <w:link w:val="33"/>
    <w:qFormat/>
    <w:uiPriority w:val="0"/>
    <w:rPr>
      <w:kern w:val="2"/>
      <w:sz w:val="18"/>
      <w:szCs w:val="18"/>
    </w:rPr>
  </w:style>
  <w:style w:type="character" w:customStyle="1" w:styleId="107">
    <w:name w:val="批注文字 Char1"/>
    <w:semiHidden/>
    <w:qFormat/>
    <w:uiPriority w:val="99"/>
    <w:rPr>
      <w:kern w:val="2"/>
      <w:sz w:val="21"/>
      <w:szCs w:val="22"/>
    </w:rPr>
  </w:style>
  <w:style w:type="character" w:customStyle="1" w:styleId="108">
    <w:name w:val="页眉 Char"/>
    <w:link w:val="36"/>
    <w:qFormat/>
    <w:uiPriority w:val="0"/>
    <w:rPr>
      <w:rFonts w:eastAsia="宋体"/>
      <w:kern w:val="2"/>
      <w:sz w:val="18"/>
      <w:szCs w:val="18"/>
      <w:lang w:val="en-US" w:eastAsia="zh-CN" w:bidi="ar-SA"/>
    </w:rPr>
  </w:style>
  <w:style w:type="character" w:customStyle="1" w:styleId="109">
    <w:name w:val="明显引用 Char"/>
    <w:link w:val="110"/>
    <w:qFormat/>
    <w:uiPriority w:val="0"/>
    <w:rPr>
      <w:b/>
      <w:bCs/>
      <w:i/>
      <w:iCs/>
      <w:color w:val="4F81BD"/>
      <w:kern w:val="2"/>
      <w:sz w:val="21"/>
      <w:szCs w:val="22"/>
    </w:rPr>
  </w:style>
  <w:style w:type="paragraph" w:customStyle="1" w:styleId="110">
    <w:name w:val="明显引用1"/>
    <w:basedOn w:val="1"/>
    <w:next w:val="1"/>
    <w:link w:val="109"/>
    <w:qFormat/>
    <w:uiPriority w:val="0"/>
    <w:pPr>
      <w:pBdr>
        <w:bottom w:val="single" w:color="4F81BD" w:sz="4" w:space="4"/>
      </w:pBdr>
      <w:spacing w:before="200" w:after="280"/>
      <w:ind w:left="936" w:right="936"/>
    </w:pPr>
    <w:rPr>
      <w:b/>
      <w:bCs/>
      <w:i/>
      <w:iCs/>
      <w:color w:val="4F81BD"/>
      <w:szCs w:val="22"/>
    </w:rPr>
  </w:style>
  <w:style w:type="character" w:customStyle="1" w:styleId="111">
    <w:name w:val="标题 4 Char Char"/>
    <w:qFormat/>
    <w:uiPriority w:val="0"/>
    <w:rPr>
      <w:rFonts w:ascii="仿宋_GB2312" w:eastAsia="仿宋_GB2312" w:cs="MingLiU"/>
      <w:b/>
      <w:sz w:val="24"/>
      <w:szCs w:val="28"/>
    </w:rPr>
  </w:style>
  <w:style w:type="character" w:customStyle="1" w:styleId="112">
    <w:name w:val="正文部分 Char"/>
    <w:link w:val="113"/>
    <w:qFormat/>
    <w:uiPriority w:val="0"/>
    <w:rPr>
      <w:rFonts w:ascii="宋体" w:hAnsi="宋体" w:eastAsia="宋体"/>
      <w:snapToGrid w:val="0"/>
      <w:kern w:val="2"/>
      <w:sz w:val="28"/>
      <w:szCs w:val="28"/>
      <w:lang w:val="en-US" w:eastAsia="zh-CN" w:bidi="ar-SA"/>
    </w:rPr>
  </w:style>
  <w:style w:type="paragraph" w:customStyle="1" w:styleId="113">
    <w:name w:val="正文部分"/>
    <w:basedOn w:val="1"/>
    <w:link w:val="112"/>
    <w:qFormat/>
    <w:uiPriority w:val="0"/>
    <w:pPr>
      <w:ind w:firstLine="200" w:firstLineChars="200"/>
    </w:pPr>
    <w:rPr>
      <w:rFonts w:ascii="宋体" w:hAnsi="宋体"/>
      <w:snapToGrid w:val="0"/>
      <w:sz w:val="28"/>
      <w:szCs w:val="28"/>
    </w:rPr>
  </w:style>
  <w:style w:type="character" w:customStyle="1" w:styleId="114">
    <w:name w:val="apple-converted-space"/>
    <w:basedOn w:val="49"/>
    <w:qFormat/>
    <w:uiPriority w:val="0"/>
  </w:style>
  <w:style w:type="character" w:customStyle="1" w:styleId="115">
    <w:name w:val="批注框文本 Char1"/>
    <w:qFormat/>
    <w:uiPriority w:val="0"/>
    <w:rPr>
      <w:kern w:val="2"/>
      <w:sz w:val="18"/>
      <w:szCs w:val="18"/>
    </w:rPr>
  </w:style>
  <w:style w:type="character" w:customStyle="1" w:styleId="116">
    <w:name w:val="样式3 Char Char"/>
    <w:basedOn w:val="117"/>
    <w:qFormat/>
    <w:uiPriority w:val="0"/>
    <w:rPr>
      <w:rFonts w:ascii="仿宋_GB2312" w:eastAsia="仿宋_GB2312" w:cs="MingLiU"/>
      <w:sz w:val="24"/>
      <w:szCs w:val="28"/>
    </w:rPr>
  </w:style>
  <w:style w:type="character" w:customStyle="1" w:styleId="117">
    <w:name w:val="标题 3 Char Char"/>
    <w:qFormat/>
    <w:uiPriority w:val="0"/>
    <w:rPr>
      <w:rFonts w:ascii="仿宋_GB2312" w:eastAsia="仿宋_GB2312" w:cs="MingLiU"/>
      <w:b/>
      <w:sz w:val="24"/>
      <w:szCs w:val="28"/>
    </w:rPr>
  </w:style>
  <w:style w:type="character" w:customStyle="1" w:styleId="118">
    <w:name w:val="标题 3 Char"/>
    <w:link w:val="5"/>
    <w:qFormat/>
    <w:uiPriority w:val="0"/>
    <w:rPr>
      <w:rFonts w:ascii="仿宋_GB2312" w:eastAsia="仿宋_GB2312" w:cs="MingLiU"/>
      <w:b/>
      <w:sz w:val="24"/>
      <w:szCs w:val="28"/>
    </w:rPr>
  </w:style>
  <w:style w:type="character" w:customStyle="1" w:styleId="119">
    <w:name w:val="文档结构图 Char1"/>
    <w:qFormat/>
    <w:uiPriority w:val="0"/>
    <w:rPr>
      <w:rFonts w:ascii="宋体"/>
      <w:kern w:val="2"/>
      <w:sz w:val="18"/>
      <w:szCs w:val="18"/>
    </w:rPr>
  </w:style>
  <w:style w:type="character" w:customStyle="1" w:styleId="120">
    <w:name w:val="批注主题 Char"/>
    <w:link w:val="12"/>
    <w:qFormat/>
    <w:uiPriority w:val="0"/>
    <w:rPr>
      <w:b/>
      <w:bCs/>
      <w:kern w:val="2"/>
      <w:sz w:val="21"/>
      <w:szCs w:val="24"/>
    </w:rPr>
  </w:style>
  <w:style w:type="character" w:customStyle="1" w:styleId="121">
    <w:name w:val="日期 Char2"/>
    <w:semiHidden/>
    <w:qFormat/>
    <w:uiPriority w:val="99"/>
    <w:rPr>
      <w:kern w:val="2"/>
      <w:sz w:val="21"/>
      <w:szCs w:val="22"/>
    </w:rPr>
  </w:style>
  <w:style w:type="character" w:customStyle="1" w:styleId="122">
    <w:name w:val="标题 8 Char"/>
    <w:link w:val="10"/>
    <w:qFormat/>
    <w:uiPriority w:val="0"/>
    <w:rPr>
      <w:rFonts w:ascii="Arial" w:hAnsi="Arial" w:eastAsia="黑体"/>
      <w:kern w:val="2"/>
      <w:sz w:val="24"/>
      <w:szCs w:val="24"/>
    </w:rPr>
  </w:style>
  <w:style w:type="character" w:customStyle="1" w:styleId="123">
    <w:name w:val="副标题 Char1"/>
    <w:qFormat/>
    <w:uiPriority w:val="11"/>
    <w:rPr>
      <w:rFonts w:ascii="Cambria" w:hAnsi="Cambria" w:cs="Times New Roman"/>
      <w:b/>
      <w:bCs/>
      <w:kern w:val="28"/>
      <w:sz w:val="32"/>
      <w:szCs w:val="32"/>
    </w:rPr>
  </w:style>
  <w:style w:type="character" w:customStyle="1" w:styleId="124">
    <w:name w:val="标题 9 Char"/>
    <w:link w:val="11"/>
    <w:qFormat/>
    <w:uiPriority w:val="0"/>
    <w:rPr>
      <w:rFonts w:ascii="Arial" w:hAnsi="Arial" w:eastAsia="黑体"/>
      <w:kern w:val="2"/>
      <w:sz w:val="21"/>
      <w:szCs w:val="21"/>
    </w:rPr>
  </w:style>
  <w:style w:type="character" w:customStyle="1" w:styleId="125">
    <w:name w:val="标题 #3_"/>
    <w:link w:val="126"/>
    <w:qFormat/>
    <w:uiPriority w:val="0"/>
    <w:rPr>
      <w:rFonts w:ascii="宋体" w:hAnsi="宋体" w:cs="宋体"/>
      <w:sz w:val="26"/>
      <w:szCs w:val="26"/>
      <w:shd w:val="clear" w:color="auto" w:fill="FFFFFF"/>
    </w:rPr>
  </w:style>
  <w:style w:type="paragraph" w:customStyle="1" w:styleId="126">
    <w:name w:val="标题 #3"/>
    <w:basedOn w:val="1"/>
    <w:link w:val="125"/>
    <w:qFormat/>
    <w:uiPriority w:val="0"/>
    <w:pPr>
      <w:shd w:val="clear" w:color="auto" w:fill="FFFFFF"/>
      <w:spacing w:after="360" w:line="0" w:lineRule="atLeast"/>
      <w:jc w:val="center"/>
      <w:outlineLvl w:val="2"/>
    </w:pPr>
    <w:rPr>
      <w:rFonts w:ascii="宋体" w:hAnsi="宋体"/>
      <w:kern w:val="0"/>
      <w:sz w:val="26"/>
      <w:szCs w:val="26"/>
    </w:rPr>
  </w:style>
  <w:style w:type="character" w:customStyle="1" w:styleId="127">
    <w:name w:val="批注框文本 Char2"/>
    <w:semiHidden/>
    <w:qFormat/>
    <w:uiPriority w:val="99"/>
    <w:rPr>
      <w:kern w:val="2"/>
      <w:sz w:val="18"/>
      <w:szCs w:val="18"/>
    </w:rPr>
  </w:style>
  <w:style w:type="character" w:customStyle="1" w:styleId="128">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29">
    <w:name w:val="页脚 Char Char"/>
    <w:qFormat/>
    <w:uiPriority w:val="0"/>
    <w:rPr>
      <w:kern w:val="2"/>
      <w:sz w:val="18"/>
      <w:szCs w:val="18"/>
    </w:rPr>
  </w:style>
  <w:style w:type="character" w:customStyle="1" w:styleId="130">
    <w:name w:val="标题 2 Char"/>
    <w:link w:val="4"/>
    <w:qFormat/>
    <w:uiPriority w:val="0"/>
    <w:rPr>
      <w:rFonts w:ascii="仿宋_GB2312" w:eastAsia="仿宋_GB2312"/>
      <w:b/>
      <w:spacing w:val="1"/>
      <w:w w:val="99"/>
      <w:sz w:val="28"/>
      <w:szCs w:val="32"/>
    </w:rPr>
  </w:style>
  <w:style w:type="character" w:customStyle="1" w:styleId="131">
    <w:name w:val="明显引用 Char1"/>
    <w:qFormat/>
    <w:uiPriority w:val="30"/>
    <w:rPr>
      <w:b/>
      <w:bCs/>
      <w:i/>
      <w:iCs/>
      <w:color w:val="4F81BD"/>
      <w:kern w:val="2"/>
      <w:sz w:val="21"/>
    </w:rPr>
  </w:style>
  <w:style w:type="character" w:customStyle="1" w:styleId="132">
    <w:name w:val="标题 #2_"/>
    <w:link w:val="133"/>
    <w:qFormat/>
    <w:uiPriority w:val="0"/>
    <w:rPr>
      <w:rFonts w:ascii="宋体" w:hAnsi="宋体" w:cs="宋体"/>
      <w:sz w:val="32"/>
      <w:szCs w:val="32"/>
      <w:shd w:val="clear" w:color="auto" w:fill="FFFFFF"/>
    </w:rPr>
  </w:style>
  <w:style w:type="paragraph" w:customStyle="1" w:styleId="133">
    <w:name w:val="标题 #2"/>
    <w:basedOn w:val="1"/>
    <w:link w:val="132"/>
    <w:qFormat/>
    <w:uiPriority w:val="0"/>
    <w:pPr>
      <w:shd w:val="clear" w:color="auto" w:fill="FFFFFF"/>
      <w:spacing w:before="780" w:after="420" w:line="0" w:lineRule="atLeast"/>
      <w:jc w:val="left"/>
      <w:outlineLvl w:val="1"/>
    </w:pPr>
    <w:rPr>
      <w:rFonts w:ascii="宋体" w:hAnsi="宋体"/>
      <w:kern w:val="0"/>
      <w:sz w:val="32"/>
      <w:szCs w:val="32"/>
    </w:rPr>
  </w:style>
  <w:style w:type="character" w:customStyle="1" w:styleId="134">
    <w:name w:val="标题 1 Char Char"/>
    <w:qFormat/>
    <w:uiPriority w:val="0"/>
    <w:rPr>
      <w:rFonts w:eastAsia="黑体"/>
      <w:kern w:val="2"/>
      <w:sz w:val="44"/>
      <w:szCs w:val="44"/>
      <w:lang w:val="en-US" w:eastAsia="zh-CN" w:bidi="ar-SA"/>
    </w:rPr>
  </w:style>
  <w:style w:type="character" w:customStyle="1" w:styleId="135">
    <w:name w:val="标题4 Char Char"/>
    <w:link w:val="136"/>
    <w:qFormat/>
    <w:uiPriority w:val="0"/>
    <w:rPr>
      <w:rFonts w:ascii="Arial" w:hAnsi="Arial"/>
      <w:b/>
      <w:bCs/>
      <w:sz w:val="24"/>
      <w:szCs w:val="32"/>
    </w:rPr>
  </w:style>
  <w:style w:type="paragraph" w:customStyle="1" w:styleId="136">
    <w:name w:val="标题4"/>
    <w:basedOn w:val="4"/>
    <w:next w:val="25"/>
    <w:link w:val="135"/>
    <w:qFormat/>
    <w:uiPriority w:val="0"/>
    <w:pPr>
      <w:keepNext/>
      <w:keepLines/>
      <w:autoSpaceDE/>
      <w:autoSpaceDN/>
      <w:adjustRightInd/>
      <w:snapToGrid/>
      <w:spacing w:before="260" w:after="260" w:line="413" w:lineRule="auto"/>
      <w:jc w:val="both"/>
    </w:pPr>
    <w:rPr>
      <w:rFonts w:ascii="Arial" w:hAnsi="Arial" w:eastAsia="宋体"/>
      <w:bCs/>
      <w:spacing w:val="0"/>
      <w:w w:val="100"/>
      <w:sz w:val="24"/>
    </w:rPr>
  </w:style>
  <w:style w:type="character" w:customStyle="1" w:styleId="137">
    <w:name w:val="正文文本 Char1"/>
    <w:qFormat/>
    <w:uiPriority w:val="0"/>
    <w:rPr>
      <w:kern w:val="2"/>
      <w:sz w:val="21"/>
      <w:szCs w:val="22"/>
    </w:rPr>
  </w:style>
  <w:style w:type="character" w:customStyle="1" w:styleId="138">
    <w:name w:val="书籍标题1"/>
    <w:qFormat/>
    <w:uiPriority w:val="0"/>
    <w:rPr>
      <w:b/>
      <w:bCs/>
      <w:smallCaps/>
      <w:spacing w:val="5"/>
    </w:rPr>
  </w:style>
  <w:style w:type="character" w:customStyle="1" w:styleId="139">
    <w:name w:val="Char Char11"/>
    <w:qFormat/>
    <w:uiPriority w:val="0"/>
    <w:rPr>
      <w:rFonts w:eastAsia="黑体"/>
      <w:kern w:val="2"/>
      <w:sz w:val="44"/>
      <w:szCs w:val="44"/>
      <w:lang w:val="en-US" w:eastAsia="zh-CN" w:bidi="ar-SA"/>
    </w:rPr>
  </w:style>
  <w:style w:type="character" w:customStyle="1" w:styleId="140">
    <w:name w:val="标题 5 Char"/>
    <w:link w:val="7"/>
    <w:qFormat/>
    <w:uiPriority w:val="0"/>
    <w:rPr>
      <w:b/>
      <w:bCs/>
      <w:kern w:val="2"/>
      <w:sz w:val="28"/>
      <w:szCs w:val="28"/>
    </w:rPr>
  </w:style>
  <w:style w:type="character" w:customStyle="1" w:styleId="141">
    <w:name w:val="页脚 Char"/>
    <w:link w:val="34"/>
    <w:qFormat/>
    <w:uiPriority w:val="99"/>
    <w:rPr>
      <w:kern w:val="2"/>
      <w:sz w:val="18"/>
      <w:szCs w:val="18"/>
    </w:rPr>
  </w:style>
  <w:style w:type="character" w:customStyle="1" w:styleId="142">
    <w:name w:val="标题 Char1"/>
    <w:qFormat/>
    <w:uiPriority w:val="10"/>
    <w:rPr>
      <w:rFonts w:ascii="Cambria" w:hAnsi="Cambria" w:cs="Times New Roman"/>
      <w:b/>
      <w:bCs/>
      <w:kern w:val="2"/>
      <w:sz w:val="32"/>
      <w:szCs w:val="32"/>
    </w:rPr>
  </w:style>
  <w:style w:type="paragraph" w:customStyle="1" w:styleId="143">
    <w:name w:val="Char Char Char Char Char Char Char"/>
    <w:basedOn w:val="1"/>
    <w:qFormat/>
    <w:uiPriority w:val="0"/>
  </w:style>
  <w:style w:type="paragraph" w:customStyle="1" w:styleId="144">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145">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szCs w:val="20"/>
    </w:rPr>
  </w:style>
  <w:style w:type="paragraph" w:customStyle="1" w:styleId="146">
    <w:name w:val="reader-word-layer reader-word-s1-3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148">
    <w:name w:val="Char"/>
    <w:basedOn w:val="1"/>
    <w:qFormat/>
    <w:uiPriority w:val="0"/>
    <w:pPr>
      <w:spacing w:beforeLines="50" w:afterLines="50"/>
      <w:ind w:firstLine="200" w:firstLineChars="200"/>
    </w:pPr>
  </w:style>
  <w:style w:type="paragraph" w:customStyle="1" w:styleId="149">
    <w:name w:val="Char1"/>
    <w:basedOn w:val="1"/>
    <w:qFormat/>
    <w:uiPriority w:val="0"/>
    <w:pPr>
      <w:spacing w:beforeLines="50" w:afterLines="50"/>
      <w:ind w:firstLine="200" w:firstLineChars="200"/>
    </w:pPr>
    <w:rPr>
      <w:rFonts w:ascii="宋体" w:hAnsi="宋体" w:cs="Courier New"/>
      <w:spacing w:val="-2"/>
      <w:sz w:val="22"/>
      <w:szCs w:val="32"/>
    </w:rPr>
  </w:style>
  <w:style w:type="paragraph" w:customStyle="1" w:styleId="150">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4">
    <w:name w:val="样式3"/>
    <w:basedOn w:val="5"/>
    <w:qFormat/>
    <w:uiPriority w:val="0"/>
    <w:pPr>
      <w:keepNext/>
      <w:keepLines/>
      <w:spacing w:before="0" w:line="360" w:lineRule="auto"/>
      <w:ind w:left="119" w:right="-23"/>
    </w:pPr>
    <w:rPr>
      <w:rFonts w:ascii="宋体" w:hAnsi="宋体"/>
      <w:bCs/>
      <w:szCs w:val="32"/>
    </w:rPr>
  </w:style>
  <w:style w:type="paragraph" w:customStyle="1" w:styleId="155">
    <w:name w:val="样式 正文文本缩进 + 幼圆 行距: 固定值 28 磅"/>
    <w:basedOn w:val="22"/>
    <w:qFormat/>
    <w:uiPriority w:val="0"/>
    <w:pPr>
      <w:spacing w:line="520" w:lineRule="exact"/>
      <w:ind w:firstLine="480"/>
    </w:pPr>
    <w:rPr>
      <w:rFonts w:ascii="宋体" w:eastAsia="宋体" w:cs="宋体"/>
      <w:color w:val="auto"/>
      <w:sz w:val="24"/>
      <w:szCs w:val="24"/>
    </w:rPr>
  </w:style>
  <w:style w:type="paragraph" w:customStyle="1" w:styleId="156">
    <w:name w:val="CM49"/>
    <w:basedOn w:val="157"/>
    <w:next w:val="157"/>
    <w:qFormat/>
    <w:uiPriority w:val="99"/>
    <w:pPr>
      <w:spacing w:line="293" w:lineRule="atLeast"/>
    </w:pPr>
    <w:rPr>
      <w:rFonts w:hAnsi="Times New Roman" w:cs="Times New Roman"/>
      <w:color w:val="auto"/>
      <w:szCs w:val="20"/>
    </w:rPr>
  </w:style>
  <w:style w:type="paragraph" w:customStyle="1" w:styleId="1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8">
    <w:name w:val="默认段落字体 Para Char Char Char Char Char Char Char Char Char Char Char Char Char"/>
    <w:basedOn w:val="1"/>
    <w:qFormat/>
    <w:uiPriority w:val="0"/>
  </w:style>
  <w:style w:type="paragraph" w:customStyle="1" w:styleId="159">
    <w:name w:val="正文 + 行距: 固定值 30 磅"/>
    <w:basedOn w:val="19"/>
    <w:qFormat/>
    <w:uiPriority w:val="0"/>
    <w:pPr>
      <w:widowControl/>
      <w:ind w:firstLine="454"/>
      <w:jc w:val="left"/>
    </w:pPr>
  </w:style>
  <w:style w:type="paragraph" w:customStyle="1" w:styleId="160">
    <w:name w:val="彩色列表 - 强调文字颜色 11"/>
    <w:basedOn w:val="1"/>
    <w:qFormat/>
    <w:uiPriority w:val="0"/>
    <w:pPr>
      <w:ind w:firstLine="420" w:firstLineChars="200"/>
    </w:pPr>
    <w:rPr>
      <w:szCs w:val="22"/>
    </w:rPr>
  </w:style>
  <w:style w:type="paragraph" w:customStyle="1" w:styleId="161">
    <w:name w:val="样式 标题 1 + (西文) 宋体 非加粗 黑色 两端对齐 左侧:  0 厘米 首行缩进:  0.89 厘米"/>
    <w:basedOn w:val="3"/>
    <w:qFormat/>
    <w:uiPriority w:val="0"/>
    <w:pPr>
      <w:keepNext/>
      <w:tabs>
        <w:tab w:val="left" w:pos="1140"/>
      </w:tabs>
      <w:autoSpaceDE/>
      <w:autoSpaceDN/>
      <w:ind w:left="1140" w:hanging="720"/>
      <w:textAlignment w:val="baseline"/>
    </w:pPr>
    <w:rPr>
      <w:rFonts w:ascii="宋体" w:hAnsi="宋体"/>
      <w:b/>
      <w:color w:val="000000"/>
      <w:kern w:val="0"/>
      <w:sz w:val="30"/>
      <w:szCs w:val="30"/>
    </w:rPr>
  </w:style>
  <w:style w:type="paragraph" w:customStyle="1" w:styleId="162">
    <w:name w:val="样式1"/>
    <w:basedOn w:val="3"/>
    <w:qFormat/>
    <w:uiPriority w:val="0"/>
    <w:pPr>
      <w:keepNext/>
      <w:keepLines/>
      <w:snapToGrid/>
      <w:spacing w:before="340" w:after="330" w:line="340" w:lineRule="exact"/>
      <w:ind w:left="0" w:right="-20" w:firstLine="0"/>
    </w:pPr>
    <w:rPr>
      <w:rFonts w:ascii="宋体" w:hAnsi="宋体" w:eastAsia="仿宋_GB2312"/>
      <w:b/>
      <w:bCs/>
      <w:kern w:val="0"/>
      <w:sz w:val="32"/>
      <w:szCs w:val="32"/>
    </w:rPr>
  </w:style>
  <w:style w:type="paragraph" w:customStyle="1" w:styleId="163">
    <w:name w:val="正文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4">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5">
    <w:name w:val="列出段落1"/>
    <w:basedOn w:val="1"/>
    <w:qFormat/>
    <w:uiPriority w:val="0"/>
    <w:pPr>
      <w:ind w:firstLine="420" w:firstLineChars="200"/>
    </w:pPr>
    <w:rPr>
      <w:sz w:val="28"/>
      <w:szCs w:val="28"/>
    </w:rPr>
  </w:style>
  <w:style w:type="paragraph" w:customStyle="1" w:styleId="166">
    <w:name w:val="reader-word-layer reader-word-s1-7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168">
    <w:name w:val="修订1"/>
    <w:qFormat/>
    <w:uiPriority w:val="0"/>
    <w:rPr>
      <w:rFonts w:ascii="Calibri" w:hAnsi="Calibri" w:eastAsia="宋体" w:cs="Times New Roman"/>
      <w:kern w:val="2"/>
      <w:sz w:val="21"/>
      <w:szCs w:val="24"/>
      <w:lang w:val="en-US" w:eastAsia="zh-CN" w:bidi="ar-SA"/>
    </w:rPr>
  </w:style>
  <w:style w:type="paragraph" w:customStyle="1" w:styleId="16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70">
    <w:name w:val="Char Char Char Char Char Char Char Char Char"/>
    <w:basedOn w:val="1"/>
    <w:qFormat/>
    <w:uiPriority w:val="0"/>
  </w:style>
  <w:style w:type="paragraph" w:customStyle="1" w:styleId="17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目录"/>
    <w:basedOn w:val="1"/>
    <w:qFormat/>
    <w:uiPriority w:val="0"/>
    <w:pPr>
      <w:widowControl/>
      <w:jc w:val="center"/>
    </w:pPr>
    <w:rPr>
      <w:rFonts w:ascii="宋体"/>
      <w:b/>
      <w:kern w:val="0"/>
      <w:sz w:val="36"/>
    </w:rPr>
  </w:style>
  <w:style w:type="paragraph" w:customStyle="1" w:styleId="173">
    <w:name w:val="标准样式1"/>
    <w:basedOn w:val="1"/>
    <w:qFormat/>
    <w:uiPriority w:val="0"/>
    <w:pPr>
      <w:spacing w:line="600" w:lineRule="exact"/>
      <w:ind w:firstLine="567"/>
    </w:pPr>
    <w:rPr>
      <w:sz w:val="28"/>
    </w:rPr>
  </w:style>
  <w:style w:type="paragraph" w:customStyle="1" w:styleId="174">
    <w:name w:val="正  文"/>
    <w:basedOn w:val="1"/>
    <w:qFormat/>
    <w:uiPriority w:val="0"/>
    <w:pPr>
      <w:spacing w:line="360" w:lineRule="auto"/>
      <w:ind w:firstLine="200" w:firstLineChars="200"/>
    </w:pPr>
    <w:rPr>
      <w:rFonts w:ascii="宋体" w:hAnsi="Times New Roman"/>
      <w:sz w:val="24"/>
    </w:rPr>
  </w:style>
  <w:style w:type="paragraph" w:customStyle="1" w:styleId="175">
    <w:name w:val="Char Char1 Char Char Char Char Char Char Char Char Char Char"/>
    <w:basedOn w:val="1"/>
    <w:qFormat/>
    <w:uiPriority w:val="0"/>
    <w:pPr>
      <w:autoSpaceDE w:val="0"/>
      <w:autoSpaceDN w:val="0"/>
      <w:adjustRightInd w:val="0"/>
      <w:ind w:firstLine="482"/>
    </w:pPr>
  </w:style>
  <w:style w:type="paragraph" w:customStyle="1" w:styleId="176">
    <w:name w:val="Char Char Char Char Char Char Char Char Char Char Char Char Char Char Char Char Char Char Char Char Char Char"/>
    <w:basedOn w:val="1"/>
    <w:qFormat/>
    <w:uiPriority w:val="0"/>
    <w:pPr>
      <w:widowControl/>
      <w:spacing w:line="400" w:lineRule="exact"/>
      <w:jc w:val="center"/>
    </w:pPr>
  </w:style>
  <w:style w:type="paragraph" w:customStyle="1" w:styleId="177">
    <w:name w:val="样式2"/>
    <w:basedOn w:val="4"/>
    <w:qFormat/>
    <w:uiPriority w:val="0"/>
    <w:pPr>
      <w:keepNext/>
      <w:keepLines/>
      <w:snapToGrid/>
      <w:spacing w:before="260" w:after="260" w:line="300" w:lineRule="exact"/>
      <w:ind w:left="220" w:right="-20"/>
      <w:jc w:val="center"/>
    </w:pPr>
    <w:rPr>
      <w:rFonts w:ascii="宋体" w:hAnsi="宋体"/>
      <w:bCs/>
      <w:spacing w:val="0"/>
      <w:szCs w:val="28"/>
    </w:rPr>
  </w:style>
  <w:style w:type="paragraph" w:customStyle="1" w:styleId="178">
    <w:name w:val="xl31"/>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7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空半行"/>
    <w:basedOn w:val="1"/>
    <w:qFormat/>
    <w:uiPriority w:val="0"/>
    <w:pPr>
      <w:adjustRightInd w:val="0"/>
      <w:spacing w:line="120" w:lineRule="exact"/>
      <w:textAlignment w:val="baseline"/>
    </w:pPr>
    <w:rPr>
      <w:rFonts w:eastAsia="仿宋_GB2312"/>
      <w:color w:val="FFFFFF"/>
      <w:kern w:val="0"/>
      <w:sz w:val="30"/>
    </w:rPr>
  </w:style>
  <w:style w:type="table" w:customStyle="1" w:styleId="181">
    <w:name w:val="网格型1"/>
    <w:basedOn w:val="57"/>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82">
    <w:name w:val="p0"/>
    <w:basedOn w:val="1"/>
    <w:qFormat/>
    <w:uiPriority w:val="0"/>
    <w:pPr>
      <w:widowControl/>
      <w:spacing w:line="440" w:lineRule="exact"/>
      <w:ind w:firstLine="200" w:firstLineChars="200"/>
    </w:pPr>
    <w:rPr>
      <w:rFonts w:ascii="Times New Roman" w:hAnsi="Times New Roman"/>
      <w:kern w:val="0"/>
      <w:szCs w:val="21"/>
    </w:rPr>
  </w:style>
  <w:style w:type="character" w:customStyle="1" w:styleId="183">
    <w:name w:val="正文文本 Char4"/>
    <w:qFormat/>
    <w:uiPriority w:val="0"/>
    <w:rPr>
      <w:rFonts w:ascii="Times New Roman" w:hAnsi="Times New Roman" w:eastAsia="宋体" w:cs="Times New Roman"/>
      <w:szCs w:val="24"/>
    </w:rPr>
  </w:style>
  <w:style w:type="paragraph" w:customStyle="1" w:styleId="184">
    <w:name w:val="列出段落1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111"/>
    <customShpInfo spid="_x0000_s11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4B06F-4F24-40DD-8731-FEB79EE08F2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39440</Words>
  <Characters>41442</Characters>
  <Lines>343</Lines>
  <Paragraphs>96</Paragraphs>
  <ScaleCrop>false</ScaleCrop>
  <LinksUpToDate>false</LinksUpToDate>
  <CharactersWithSpaces>44658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2021-05-27T10:58:00Z</dcterms:created>
  <dc:creator>USER</dc:creator>
  <cp:lastModifiedBy>Acer</cp:lastModifiedBy>
  <cp:lastPrinted>2021-05-25T01:14:00Z</cp:lastPrinted>
  <dcterms:modified xsi:type="dcterms:W3CDTF">2021-06-02T07:16:18Z</dcterms:modified>
  <dc:title>杨家坪团结路口人行天桥工程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