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00" w:lineRule="exact"/>
        <w:ind w:left="0" w:right="0"/>
        <w:jc w:val="center"/>
      </w:pPr>
      <w:r>
        <w:rPr>
          <w:rFonts w:hint="eastAsia" w:ascii="宋体" w:hAnsi="宋体" w:eastAsia="宋体" w:cs="宋体"/>
          <w:b/>
          <w:color w:val="3D4B64"/>
          <w:kern w:val="0"/>
          <w:sz w:val="44"/>
          <w:szCs w:val="44"/>
          <w:shd w:val="clear" w:fill="FFFFFF"/>
          <w:lang w:val="en-US" w:eastAsia="zh-CN" w:bidi="ar"/>
        </w:rPr>
        <w:t>拟中标结果公示表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/>
        <w:jc w:val="center"/>
      </w:pPr>
      <w:r>
        <w:rPr>
          <w:rFonts w:hint="eastAsia" w:ascii="宋体" w:hAnsi="宋体" w:eastAsia="宋体" w:cs="宋体"/>
          <w:b/>
          <w:color w:val="3D4B64"/>
          <w:kern w:val="0"/>
          <w:sz w:val="24"/>
          <w:szCs w:val="24"/>
          <w:shd w:val="clear" w:fill="FFFFFF"/>
          <w:lang w:val="en-US" w:eastAsia="zh-CN" w:bidi="ar"/>
        </w:rPr>
        <w:t>(公示期： 2020年12月9日—— 2020年12月11日)</w:t>
      </w:r>
    </w:p>
    <w:tbl>
      <w:tblPr>
        <w:tblStyle w:val="17"/>
        <w:tblW w:w="10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045"/>
        <w:gridCol w:w="1236"/>
        <w:gridCol w:w="2106"/>
        <w:gridCol w:w="991"/>
        <w:gridCol w:w="238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lang w:val="en-US" w:eastAsia="zh-CN" w:bidi="ar"/>
              </w:rPr>
              <w:t>项 目 名 称</w:t>
            </w:r>
          </w:p>
        </w:tc>
        <w:tc>
          <w:tcPr>
            <w:tcW w:w="83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bookmarkStart w:id="0" w:name="_Hlk50024945"/>
            <w:r>
              <w:rPr>
                <w:rFonts w:hint="eastAsia"/>
              </w:rPr>
              <w:t>重庆高速公路集团有限公司东北营运分公司2021-2023年边坡技术服务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lang w:val="en-US" w:eastAsia="zh-CN" w:bidi="ar"/>
              </w:rPr>
              <w:t>招标公告编号</w:t>
            </w:r>
          </w:p>
        </w:tc>
        <w:tc>
          <w:tcPr>
            <w:tcW w:w="83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45" w:beforeAutospacing="0" w:after="0" w:afterAutospacing="0" w:line="240" w:lineRule="exact"/>
              <w:ind w:left="0" w:right="0"/>
              <w:jc w:val="center"/>
              <w:outlineLvl w:val="3"/>
            </w:pPr>
            <w:r>
              <w:rPr>
                <w:rFonts w:hint="eastAsia"/>
              </w:rPr>
              <w:t>SF20200020155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lang w:val="en-US" w:eastAsia="zh-CN" w:bidi="ar"/>
              </w:rPr>
              <w:t>招   标   人</w:t>
            </w:r>
          </w:p>
        </w:tc>
        <w:tc>
          <w:tcPr>
            <w:tcW w:w="5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重庆高速公路集团有限公司东北营运分公司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13618355667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招标代理机构</w:t>
            </w:r>
          </w:p>
        </w:tc>
        <w:tc>
          <w:tcPr>
            <w:tcW w:w="5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重庆市五环工程建设管理有限公司</w:t>
            </w: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023－67790068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9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拟中标候选人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第一中标候选人</w:t>
            </w:r>
          </w:p>
        </w:tc>
        <w:tc>
          <w:tcPr>
            <w:tcW w:w="6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重庆市交通规划勘察设计院有限公司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第二中标候选人</w:t>
            </w:r>
          </w:p>
        </w:tc>
        <w:tc>
          <w:tcPr>
            <w:tcW w:w="6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中交第一公路勘察设计研究院有限公司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第三中标候选人</w:t>
            </w:r>
          </w:p>
        </w:tc>
        <w:tc>
          <w:tcPr>
            <w:tcW w:w="6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招商局重庆公路工程检测中心有限公司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拟中标人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bookmarkStart w:id="1" w:name="OLE_LINK1"/>
            <w:r>
              <w:rPr>
                <w:rFonts w:hint="eastAsia"/>
                <w:lang w:val="en-US" w:eastAsia="zh-CN"/>
              </w:rPr>
              <w:t>重庆市交通规划勘察设计院有限公司</w:t>
            </w:r>
            <w:bookmarkEnd w:id="1"/>
            <w:bookmarkStart w:id="2" w:name="_GoBack"/>
            <w:bookmarkEnd w:id="2"/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中标金额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（元）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4033955.00元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统一社会信用代码</w:t>
            </w:r>
          </w:p>
        </w:tc>
        <w:tc>
          <w:tcPr>
            <w:tcW w:w="6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91500000450386203J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投诉受理部门</w:t>
            </w:r>
          </w:p>
        </w:tc>
        <w:tc>
          <w:tcPr>
            <w:tcW w:w="5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重庆高速公路集团有限公司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023-89138357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lang w:val="en-US" w:eastAsia="zh-CN" w:bidi="ar"/>
              </w:rPr>
              <w:t>招标文件规定应公示的其他内容</w:t>
            </w:r>
          </w:p>
        </w:tc>
        <w:tc>
          <w:tcPr>
            <w:tcW w:w="83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重庆市交通规划勘察设计院有限公司：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项目主要人员：李信臻 项目负责人；李文广 检查分项负责人；宋吉 设计分项负责人；李强/夏宇 检查员。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投标人业绩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重庆高速公路集团有限公司东南营运分公司渝湘高速公路K1958+100段右侧滑坡治理工程勘察设计项目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金额：45.421415万元；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2、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重庆高速公路集团有限公司东南营运分公司2016年彭水至酉阳段水毁处治工程勘察设计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金额：70.1095万元；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3、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重庆高速公路集团有限公司东南营运分公司2016年阿蓬江至黑水段边坡水毁处治工程勘察设计项目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金额：48.6069万元。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质量要求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：满足国家和行业现行有关标准、规范要求。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安全目标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：满足国家和行业现行有关安全生产标准、规范要求。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中交第一公路勘察设计研究院有限公司：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项目主要人员：刘运平 项目负责人；祁艳红 检查分项负责人；栾键 设计分项负责人；卢友智/张剑 检查员。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投标人业绩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2018年西汉高速公路 汉中方向</w:t>
            </w:r>
            <w:r>
              <w:rPr>
                <w:rFonts w:hint="eastAsia"/>
                <w:color w:val="auto"/>
                <w:highlight w:val="none"/>
                <w:lang w:val="en-US" w:eastAsia="en-US"/>
              </w:rPr>
              <w:t>K1241+985- K1242+085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段边坡水 毁治理工程、</w:t>
            </w:r>
            <w:r>
              <w:rPr>
                <w:rFonts w:hint="eastAsia"/>
                <w:color w:val="auto"/>
                <w:highlight w:val="none"/>
                <w:lang w:val="en-US" w:eastAsia="en-US"/>
              </w:rPr>
              <w:t xml:space="preserve">K1263+8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50东段边坡水毁抢修工程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金额：36.9万元； 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 xml:space="preserve">2018年西汉高速公路 </w:t>
            </w:r>
            <w:r>
              <w:rPr>
                <w:rFonts w:hint="eastAsia"/>
                <w:color w:val="auto"/>
                <w:highlight w:val="none"/>
                <w:lang w:val="en-US" w:eastAsia="en-US"/>
              </w:rPr>
              <w:t>K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11</w:t>
            </w:r>
            <w:r>
              <w:rPr>
                <w:rFonts w:hint="eastAsia"/>
                <w:color w:val="auto"/>
                <w:highlight w:val="none"/>
                <w:lang w:val="en-US" w:eastAsia="en-US"/>
              </w:rPr>
              <w:t>53+835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岩质边坡防护和</w:t>
            </w:r>
            <w:r>
              <w:rPr>
                <w:rFonts w:hint="eastAsia"/>
                <w:color w:val="auto"/>
                <w:highlight w:val="none"/>
                <w:lang w:val="en-US" w:eastAsia="en-US"/>
              </w:rPr>
              <w:t>K1183+000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岩质边坡增设主动防护网工程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金额：</w:t>
            </w:r>
            <w:r>
              <w:rPr>
                <w:rFonts w:hint="eastAsia"/>
                <w:color w:val="auto"/>
                <w:highlight w:val="none"/>
                <w:lang w:val="en-US" w:eastAsia="en-US"/>
              </w:rPr>
              <w:t xml:space="preserve">0.938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万元；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国道216线</w:t>
            </w:r>
            <w:r>
              <w:rPr>
                <w:rFonts w:hint="eastAsia"/>
                <w:color w:val="auto"/>
                <w:highlight w:val="none"/>
                <w:lang w:val="en-US" w:eastAsia="en-US"/>
              </w:rPr>
              <w:t>K81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处滑坡处治工程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金额：</w:t>
            </w:r>
            <w:r>
              <w:rPr>
                <w:rFonts w:hint="eastAsia"/>
                <w:color w:val="auto"/>
                <w:highlight w:val="none"/>
                <w:lang w:val="en-US" w:eastAsia="en-US"/>
              </w:rPr>
              <w:t xml:space="preserve">654.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5491 万元；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清连高速公路边坡检查以及施工图设计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金额：</w:t>
            </w:r>
            <w:r>
              <w:rPr>
                <w:rFonts w:hint="eastAsia"/>
                <w:color w:val="auto"/>
                <w:highlight w:val="none"/>
                <w:lang w:val="en-US" w:eastAsia="en-US"/>
              </w:rPr>
              <w:t xml:space="preserve">85.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5044 万元；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重庆高速公路股份有限公司2020年边坡经常性巡检项目及设计项目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金额：24. 31万元；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6、重庆丰忠高速公路2020年边坡经常性巡检项目及设计项目 金额：2. 635万元；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虎岗、莞深、从莞高速公路路面、桥梁、涵洞、 隧道、边坡等工程定期检查、特殊检查项目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金额：1590.1972万元；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呈黄路（北段）工程VI 标段边坡优化消埂工程设计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金额：65.18万元；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神府高速神木北收费站外广场右侧边坡水毁治理工程技术服务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金额：70.40381万元；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延志吴高速公路边坡治理工程施工图设计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金额：7.1955万元.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质量要求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：满足国家和行业现行有关标准、规范要求。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安全目标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：满足国家和行业现行有关安全生产标准、规范要求。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 招商局重庆公路工程检测中心有限公司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项目主要人员：李海平 项目负责人；王火明 检查分项负责人；贾学明 设计分项负责人；谭玲/徐峰 检查员。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投标人业绩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1、渝湘高速黔酉路K1872+100〜K1872+200段左侧边坡 病害处治工程设计 金额：</w:t>
            </w:r>
            <w:r>
              <w:rPr>
                <w:rFonts w:hint="eastAsia"/>
                <w:color w:val="auto"/>
                <w:highlight w:val="none"/>
                <w:lang w:val="en-US" w:eastAsia="en-US"/>
              </w:rPr>
              <w:t>33.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3224万元；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湖南省高速公路管理局2017年高速公路路基边坡处治养护工程勘察设计</w:t>
            </w:r>
            <w:r>
              <w:rPr>
                <w:rFonts w:hint="eastAsia"/>
                <w:color w:val="auto"/>
                <w:highlight w:val="none"/>
                <w:lang w:val="en-US" w:eastAsia="en-US"/>
              </w:rPr>
              <w:t>（SJ1-SJ2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标段）（娄底管理处）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金额：44. 321万元；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湖南省高速公路管理局2017年高速公路路基边坡处治养护工程勘察设计</w:t>
            </w:r>
            <w:r>
              <w:rPr>
                <w:rFonts w:hint="eastAsia"/>
                <w:color w:val="auto"/>
                <w:highlight w:val="none"/>
                <w:lang w:val="en-US" w:eastAsia="en-US"/>
              </w:rPr>
              <w:t>SJ1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标段（长沙管理处）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金额：</w:t>
            </w:r>
            <w:r>
              <w:rPr>
                <w:rFonts w:hint="eastAsia"/>
                <w:color w:val="auto"/>
                <w:highlight w:val="none"/>
                <w:lang w:val="en-US" w:eastAsia="en-US"/>
              </w:rPr>
              <w:t>32.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9197万元；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4、</w:t>
            </w:r>
            <w:r>
              <w:rPr>
                <w:rFonts w:hint="eastAsia"/>
                <w:color w:val="auto"/>
                <w:highlight w:val="none"/>
                <w:lang w:val="en-US" w:eastAsia="en-US"/>
              </w:rPr>
              <w:t>G65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包茂高速黄彭路高谷1号桥边坡处治工程施工图设计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金额：</w:t>
            </w:r>
            <w:r>
              <w:rPr>
                <w:rFonts w:hint="eastAsia"/>
                <w:color w:val="auto"/>
                <w:highlight w:val="none"/>
                <w:lang w:val="en-US" w:eastAsia="en-US"/>
              </w:rPr>
              <w:t xml:space="preserve">18.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4320万元。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质量要求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：满足国家和行业现行有关标准、规范要求。</w:t>
            </w:r>
          </w:p>
          <w:p>
            <w:pPr>
              <w:pStyle w:val="2"/>
            </w:pPr>
            <w:r>
              <w:rPr>
                <w:rFonts w:hint="eastAsia"/>
                <w:color w:val="auto"/>
                <w:highlight w:val="none"/>
              </w:rPr>
              <w:t>安全目标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：满足国家和行业现行有关安全生产标准、规范要求。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5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2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lang w:val="en-US" w:eastAsia="zh-CN" w:bidi="ar"/>
              </w:rPr>
              <w:t>招标人（公章）：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2"/>
                <w:sz w:val="21"/>
                <w:szCs w:val="21"/>
                <w:lang w:val="en-US" w:eastAsia="zh-CN" w:bidi="ar"/>
              </w:rPr>
              <w:t>重庆高速公路集团有限公司东北营运分公司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2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lang w:val="en-US" w:eastAsia="zh-CN" w:bidi="ar"/>
              </w:rPr>
              <w:t>日期: 2020</w:t>
            </w:r>
            <w:r>
              <w:rPr>
                <w:rFonts w:hint="eastAsia" w:ascii="宋体" w:hAnsi="宋体" w:eastAsia="宋体" w:cs="宋体"/>
                <w:color w:val="3D4B64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3D4B64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3D4B64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50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2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lang w:val="en-US" w:eastAsia="zh-CN" w:bidi="ar"/>
              </w:rPr>
              <w:t>招标代理机构（公章）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lang w:val="en-US" w:eastAsia="zh-CN" w:bidi="ar"/>
              </w:rPr>
              <w:t>重庆市五环工程建设管理有限公司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2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2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lang w:val="en-US" w:eastAsia="zh-CN" w:bidi="ar"/>
              </w:rPr>
              <w:t>日期：2020</w:t>
            </w:r>
            <w:r>
              <w:rPr>
                <w:rFonts w:hint="eastAsia" w:ascii="宋体" w:hAnsi="宋体" w:eastAsia="宋体" w:cs="宋体"/>
                <w:color w:val="3D4B64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3D4B64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3D4B64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60" w:lineRule="exact"/>
        <w:ind w:left="-945" w:leftChars="-450" w:right="-1325" w:rightChars="-631" w:firstLine="420" w:firstLineChars="200"/>
        <w:jc w:val="left"/>
      </w:pPr>
      <w:r>
        <w:rPr>
          <w:rFonts w:hint="eastAsia" w:ascii="宋体" w:hAnsi="宋体" w:eastAsia="宋体" w:cs="宋体"/>
          <w:color w:val="3D4B64"/>
          <w:kern w:val="0"/>
          <w:sz w:val="21"/>
          <w:szCs w:val="21"/>
          <w:shd w:val="clear" w:fill="FFFFFF"/>
          <w:lang w:val="en-US" w:eastAsia="zh-CN" w:bidi="ar"/>
        </w:rPr>
        <w:t>备注：1.投标人或者其他利害关系人对中标结果公示有异议的，应当先向招标人提出异议，由招标人及其招标代理机构答复；对答复不满意的，才能向有关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60" w:lineRule="exact"/>
        <w:ind w:left="-945" w:leftChars="-450" w:right="-1325" w:rightChars="-631" w:firstLine="420" w:firstLineChars="200"/>
        <w:jc w:val="left"/>
      </w:pPr>
      <w:r>
        <w:rPr>
          <w:rFonts w:hint="eastAsia" w:ascii="宋体" w:hAnsi="宋体" w:eastAsia="宋体" w:cs="宋体"/>
          <w:color w:val="3D4B64"/>
          <w:kern w:val="0"/>
          <w:sz w:val="21"/>
          <w:szCs w:val="21"/>
          <w:shd w:val="clear" w:fill="FFFFFF"/>
          <w:lang w:val="en-US" w:eastAsia="zh-CN" w:bidi="ar"/>
        </w:rPr>
        <w:t>2.项目如划分多个标段(合同包)的，应按不同合同段分别填写“标段(合同包)名称”、“中标候选人及排序”、“拟中标人”。自行招标的，招标代理机构一栏不填；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13DB7"/>
    <w:rsid w:val="0FDF176A"/>
    <w:rsid w:val="18613DB7"/>
    <w:rsid w:val="21D965EC"/>
    <w:rsid w:val="2A747E6D"/>
    <w:rsid w:val="3EFC5D03"/>
    <w:rsid w:val="41FD41AD"/>
    <w:rsid w:val="541A016A"/>
    <w:rsid w:val="54BC0B2E"/>
    <w:rsid w:val="604C6664"/>
    <w:rsid w:val="739718CE"/>
    <w:rsid w:val="793A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1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312" w:lineRule="auto"/>
      <w:ind w:firstLine="420"/>
    </w:p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  <w:vanish/>
    </w:rPr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  <w:rPr>
      <w:bdr w:val="single" w:color="9A9A9A" w:sz="2" w:space="0"/>
      <w:shd w:val="clear" w:fill="DBDDE2"/>
    </w:rPr>
  </w:style>
  <w:style w:type="character" w:styleId="11">
    <w:name w:val="HTML Variable"/>
    <w:basedOn w:val="4"/>
    <w:qFormat/>
    <w:uiPriority w:val="0"/>
    <w:rPr>
      <w:vanish/>
      <w:bdr w:val="single" w:color="E3E3E3" w:sz="6" w:space="0"/>
    </w:rPr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hover5"/>
    <w:basedOn w:val="4"/>
    <w:qFormat/>
    <w:uiPriority w:val="0"/>
    <w:rPr>
      <w:color w:val="0063BA"/>
    </w:rPr>
  </w:style>
  <w:style w:type="character" w:customStyle="1" w:styleId="19">
    <w:name w:val="active6"/>
    <w:basedOn w:val="4"/>
    <w:qFormat/>
    <w:uiPriority w:val="0"/>
    <w:rPr>
      <w:color w:val="FFFFFF"/>
      <w:shd w:val="clear" w:fill="E22323"/>
    </w:rPr>
  </w:style>
  <w:style w:type="character" w:customStyle="1" w:styleId="20">
    <w:name w:val="before"/>
    <w:basedOn w:val="4"/>
    <w:uiPriority w:val="0"/>
    <w:rPr>
      <w:shd w:val="clear" w:fill="E22323"/>
    </w:rPr>
  </w:style>
  <w:style w:type="character" w:customStyle="1" w:styleId="21">
    <w:name w:val="hover"/>
    <w:basedOn w:val="4"/>
    <w:qFormat/>
    <w:uiPriority w:val="0"/>
    <w:rPr>
      <w:color w:val="0063BA"/>
    </w:rPr>
  </w:style>
  <w:style w:type="paragraph" w:customStyle="1" w:styleId="22">
    <w:name w:val="Other|1"/>
    <w:basedOn w:val="1"/>
    <w:qFormat/>
    <w:uiPriority w:val="0"/>
    <w:pPr>
      <w:widowControl w:val="0"/>
      <w:shd w:val="clear" w:color="auto" w:fill="auto"/>
      <w:spacing w:line="217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2020-12-08T06:42:00Z</dcterms:created>
  <dc:creator>Administrator</dc:creator>
  <cp:lastModifiedBy>袁新川</cp:lastModifiedBy>
  <dcterms:modified xsi:type="dcterms:W3CDTF">2020-12-08T08:42:25Z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