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eastAsia="zh-CN"/>
        </w:rPr>
      </w:pPr>
      <w:r>
        <w:rPr>
          <w:rFonts w:hint="eastAsia" w:ascii="方正小标宋_GBK" w:hAnsi="方正小标宋_GBK" w:eastAsia="方正小标宋_GBK" w:cs="方正小标宋_GBK"/>
          <w:b w:val="0"/>
          <w:bCs/>
          <w:sz w:val="44"/>
          <w:szCs w:val="32"/>
          <w:lang w:val="en-US" w:eastAsia="zh-CN"/>
        </w:rPr>
        <w:t>报废液氨瓶处置（第二次）</w:t>
      </w:r>
      <w:bookmarkStart w:id="74" w:name="_GoBack"/>
      <w:bookmarkEnd w:id="74"/>
    </w:p>
    <w:p>
      <w:pPr>
        <w:spacing w:line="480" w:lineRule="auto"/>
        <w:jc w:val="center"/>
        <w:rPr>
          <w:rFonts w:hint="eastAsia" w:ascii="宋体" w:hAnsi="宋体" w:eastAsia="宋体"/>
          <w:b/>
          <w:spacing w:val="0"/>
          <w:sz w:val="36"/>
          <w:szCs w:val="36"/>
          <w:lang w:val="en-US"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方正小标宋_GBK" w:hAnsi="方正小标宋_GBK" w:eastAsia="方正小标宋_GBK" w:cs="方正小标宋_GBK"/>
          <w:b w:val="0"/>
          <w:bCs/>
          <w:spacing w:val="80"/>
          <w:sz w:val="84"/>
          <w:szCs w:val="84"/>
          <w:lang w:eastAsia="zh-CN"/>
        </w:rPr>
      </w:pPr>
      <w:r>
        <w:rPr>
          <w:rFonts w:hint="eastAsia" w:ascii="方正小标宋_GBK" w:hAnsi="方正小标宋_GBK" w:eastAsia="方正小标宋_GBK" w:cs="方正小标宋_GBK"/>
          <w:b w:val="0"/>
          <w:bCs/>
          <w:spacing w:val="80"/>
          <w:sz w:val="84"/>
          <w:szCs w:val="84"/>
          <w:lang w:eastAsia="zh-CN"/>
        </w:rPr>
        <w:t>竞争性比选文件</w:t>
      </w: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szCs w:val="36"/>
          <w:lang w:val="en-US" w:eastAsia="zh-CN"/>
        </w:rPr>
      </w:pPr>
      <w:r>
        <w:rPr>
          <w:rFonts w:hint="eastAsia" w:ascii="方正小标宋_GBK" w:hAnsi="方正小标宋_GBK" w:eastAsia="方正小标宋_GBK" w:cs="方正小标宋_GBK"/>
          <w:b w:val="0"/>
          <w:bCs/>
          <w:spacing w:val="20"/>
          <w:sz w:val="36"/>
          <w:szCs w:val="36"/>
          <w:lang w:val="en-US" w:eastAsia="zh-CN"/>
        </w:rPr>
        <w:t>资产业主方：重庆安全产业发展集团有限公司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lang w:val="en-US" w:eastAsia="zh-CN"/>
        </w:rPr>
      </w:pPr>
      <w:r>
        <w:rPr>
          <w:rFonts w:hint="eastAsia" w:ascii="方正小标宋_GBK" w:hAnsi="方正小标宋_GBK" w:eastAsia="方正小标宋_GBK" w:cs="方正小标宋_GBK"/>
          <w:b w:val="0"/>
          <w:bCs/>
          <w:spacing w:val="20"/>
          <w:sz w:val="36"/>
          <w:lang w:val="en-US" w:eastAsia="zh-CN"/>
        </w:rPr>
        <w:t>受托处置方：重庆安源金属制造有限公司</w:t>
      </w:r>
    </w:p>
    <w:p>
      <w:pPr>
        <w:spacing w:line="400" w:lineRule="exact"/>
        <w:jc w:val="center"/>
        <w:rPr>
          <w:rFonts w:hint="eastAsia" w:ascii="宋体"/>
          <w:b/>
          <w:spacing w:val="20"/>
          <w:sz w:val="36"/>
        </w:rPr>
      </w:pPr>
    </w:p>
    <w:p>
      <w:pPr>
        <w:jc w:val="center"/>
        <w:rPr>
          <w:rFonts w:hint="eastAsia"/>
          <w:b w:val="0"/>
          <w:bCs/>
          <w:sz w:val="48"/>
        </w:rPr>
      </w:pPr>
      <w:r>
        <w:rPr>
          <w:rFonts w:hint="eastAsia"/>
          <w:b w:val="0"/>
          <w:bCs/>
          <w:color w:val="auto"/>
          <w:sz w:val="48"/>
        </w:rPr>
        <w:t>20</w:t>
      </w:r>
      <w:r>
        <w:rPr>
          <w:rFonts w:hint="eastAsia"/>
          <w:b w:val="0"/>
          <w:bCs/>
          <w:color w:val="auto"/>
          <w:sz w:val="48"/>
          <w:lang w:val="en-US" w:eastAsia="zh-CN"/>
        </w:rPr>
        <w:t>22</w:t>
      </w:r>
      <w:r>
        <w:rPr>
          <w:rFonts w:hint="eastAsia"/>
          <w:b w:val="0"/>
          <w:bCs/>
          <w:sz w:val="48"/>
        </w:rPr>
        <w:t>年</w:t>
      </w:r>
      <w:r>
        <w:rPr>
          <w:rFonts w:hint="eastAsia"/>
          <w:b w:val="0"/>
          <w:bCs/>
          <w:sz w:val="48"/>
          <w:lang w:val="en-US" w:eastAsia="zh-CN"/>
        </w:rPr>
        <w:t>2</w:t>
      </w:r>
      <w:r>
        <w:rPr>
          <w:rFonts w:hint="eastAsia"/>
          <w:b w:val="0"/>
          <w:bCs/>
          <w:sz w:val="48"/>
        </w:rPr>
        <w:t>月</w:t>
      </w:r>
    </w:p>
    <w:p>
      <w:pPr>
        <w:rPr>
          <w:rFonts w:hint="eastAsia"/>
          <w:b/>
          <w:sz w:val="48"/>
        </w:rPr>
      </w:pPr>
      <w:r>
        <w:rPr>
          <w:rFonts w:hint="eastAsia"/>
          <w:b/>
          <w:sz w:val="48"/>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 xml:space="preserve">第一章  </w:t>
      </w:r>
      <w:r>
        <w:rPr>
          <w:rFonts w:hint="eastAsia" w:ascii="方正小标宋_GBK" w:hAnsi="方正小标宋_GBK" w:eastAsia="方正小标宋_GBK" w:cs="方正小标宋_GBK"/>
          <w:b w:val="0"/>
          <w:bCs/>
          <w:sz w:val="32"/>
          <w:szCs w:val="32"/>
          <w:lang w:eastAsia="zh-CN"/>
        </w:rPr>
        <w:t>竞争性比选公告</w:t>
      </w:r>
    </w:p>
    <w:p>
      <w:pPr>
        <w:spacing w:line="360" w:lineRule="auto"/>
        <w:ind w:firstLine="480" w:firstLineChars="200"/>
        <w:outlineLvl w:val="0"/>
        <w:rPr>
          <w:rFonts w:hint="eastAsia" w:ascii="宋体" w:hAnsi="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lang w:val="en-US" w:eastAsia="zh-CN"/>
        </w:rPr>
        <w:t>经重庆安全产业发展集团有限公司（以下简称“安产集团”）2021年第5次总办会决策，同意对安产集团2020年报废的一批液氨瓶进行处置，委托安产集团的全资子公司重庆安源金属制造有限公司（以下简称“安源公司”）按规定程序进行处置。经安源公司2021年第</w:t>
      </w:r>
      <w:r>
        <w:rPr>
          <w:rFonts w:hint="eastAsia" w:ascii="方正仿宋_GBK" w:hAnsi="方正仿宋_GBK" w:eastAsia="方正仿宋_GBK" w:cs="方正仿宋_GBK"/>
          <w:color w:val="auto"/>
          <w:sz w:val="32"/>
          <w:szCs w:val="32"/>
          <w:u w:val="none"/>
          <w:lang w:val="en-US" w:eastAsia="zh-CN"/>
        </w:rPr>
        <w:t>38</w:t>
      </w:r>
      <w:r>
        <w:rPr>
          <w:rFonts w:hint="eastAsia" w:ascii="方正仿宋_GBK" w:hAnsi="方正仿宋_GBK" w:eastAsia="方正仿宋_GBK" w:cs="方正仿宋_GBK"/>
          <w:sz w:val="32"/>
          <w:szCs w:val="32"/>
          <w:u w:val="none"/>
          <w:lang w:val="en-US" w:eastAsia="zh-CN"/>
        </w:rPr>
        <w:t>次总办会研究，决定对该批报废液氨瓶按竞争性比选方式进行处置。因液氨是危化品，为了确保安全，消除隐患，需有资质的单位进行处置。</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邀请</w:t>
      </w:r>
      <w:r>
        <w:rPr>
          <w:rFonts w:hint="eastAsia" w:ascii="方正仿宋_GBK" w:hAnsi="方正仿宋_GBK" w:eastAsia="方正仿宋_GBK" w:cs="方正仿宋_GBK"/>
          <w:sz w:val="32"/>
          <w:szCs w:val="32"/>
          <w:lang w:val="en-US" w:eastAsia="zh-CN"/>
        </w:rPr>
        <w:t>有意向且有相应资质的单位参与</w:t>
      </w:r>
      <w:r>
        <w:rPr>
          <w:rFonts w:hint="eastAsia" w:ascii="方正仿宋_GBK" w:hAnsi="方正仿宋_GBK" w:eastAsia="方正仿宋_GBK" w:cs="方正仿宋_GBK"/>
          <w:sz w:val="32"/>
          <w:szCs w:val="32"/>
          <w:u w:val="none"/>
          <w:lang w:val="en-US" w:eastAsia="zh-CN"/>
        </w:rPr>
        <w:t>本次</w:t>
      </w:r>
      <w:r>
        <w:rPr>
          <w:rFonts w:hint="eastAsia" w:ascii="方正仿宋_GBK" w:hAnsi="方正仿宋_GBK" w:eastAsia="方正仿宋_GBK" w:cs="方正仿宋_GBK"/>
          <w:sz w:val="32"/>
          <w:szCs w:val="32"/>
          <w:u w:val="none"/>
          <w:lang w:eastAsia="zh-CN"/>
        </w:rPr>
        <w:t>处置竞</w:t>
      </w:r>
      <w:r>
        <w:rPr>
          <w:rFonts w:hint="eastAsia" w:ascii="方正仿宋_GBK" w:hAnsi="方正仿宋_GBK" w:eastAsia="方正仿宋_GBK" w:cs="方正仿宋_GBK"/>
          <w:sz w:val="32"/>
          <w:szCs w:val="32"/>
          <w:lang w:val="en-US" w:eastAsia="zh-CN"/>
        </w:rPr>
        <w:t>价，中标人与安产集团签订合同。</w:t>
      </w:r>
      <w:r>
        <w:rPr>
          <w:rFonts w:hint="eastAsia" w:ascii="方正仿宋_GBK" w:hAnsi="方正仿宋_GBK" w:eastAsia="方正仿宋_GBK" w:cs="方正仿宋_GBK"/>
          <w:sz w:val="32"/>
          <w:szCs w:val="32"/>
        </w:rPr>
        <w:t>具体内容如下：</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标的</w:t>
      </w:r>
      <w:r>
        <w:rPr>
          <w:rFonts w:hint="eastAsia" w:ascii="方正黑体_GBK" w:hAnsi="方正黑体_GBK" w:eastAsia="方正黑体_GBK" w:cs="方正黑体_GBK"/>
          <w:b w:val="0"/>
          <w:bCs w:val="0"/>
          <w:sz w:val="32"/>
          <w:szCs w:val="32"/>
          <w:lang w:val="en-US" w:eastAsia="zh-CN"/>
        </w:rPr>
        <w:t>物</w:t>
      </w:r>
      <w:r>
        <w:rPr>
          <w:rFonts w:hint="eastAsia" w:ascii="方正黑体_GBK" w:hAnsi="方正黑体_GBK" w:eastAsia="方正黑体_GBK" w:cs="方正黑体_GBK"/>
          <w:b w:val="0"/>
          <w:bCs w:val="0"/>
          <w:sz w:val="32"/>
          <w:szCs w:val="32"/>
          <w:lang w:eastAsia="zh-CN"/>
        </w:rPr>
        <w:t>概况</w:t>
      </w:r>
    </w:p>
    <w:p>
      <w:pPr>
        <w:pStyle w:val="12"/>
        <w:ind w:firstLine="640"/>
        <w:rPr>
          <w:rFonts w:hint="eastAsia"/>
          <w:lang w:val="en-US" w:eastAsia="zh-CN"/>
        </w:rPr>
      </w:pPr>
    </w:p>
    <w:tbl>
      <w:tblPr>
        <w:tblStyle w:val="11"/>
        <w:tblW w:w="7544" w:type="dxa"/>
        <w:jc w:val="center"/>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40"/>
        <w:gridCol w:w="1125"/>
        <w:gridCol w:w="139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51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名称</w:t>
            </w:r>
          </w:p>
        </w:tc>
        <w:tc>
          <w:tcPr>
            <w:tcW w:w="1140"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单位</w:t>
            </w:r>
          </w:p>
        </w:tc>
        <w:tc>
          <w:tcPr>
            <w:tcW w:w="1125"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数量</w:t>
            </w:r>
          </w:p>
        </w:tc>
        <w:tc>
          <w:tcPr>
            <w:tcW w:w="139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存放地点</w:t>
            </w:r>
          </w:p>
        </w:tc>
        <w:tc>
          <w:tcPr>
            <w:tcW w:w="2369"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15" w:type="dxa"/>
            <w:vAlign w:val="center"/>
          </w:tcPr>
          <w:p>
            <w:pPr>
              <w:numPr>
                <w:ilvl w:val="0"/>
                <w:numId w:val="0"/>
              </w:numPr>
              <w:spacing w:line="36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液氨瓶</w:t>
            </w:r>
          </w:p>
        </w:tc>
        <w:tc>
          <w:tcPr>
            <w:tcW w:w="1140" w:type="dxa"/>
            <w:vAlign w:val="center"/>
          </w:tcPr>
          <w:p>
            <w:pPr>
              <w:numPr>
                <w:ilvl w:val="0"/>
                <w:numId w:val="0"/>
              </w:numPr>
              <w:spacing w:line="360" w:lineRule="auto"/>
              <w:ind w:left="0" w:leftChars="0" w:firstLine="0" w:firstLineChars="0"/>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个</w:t>
            </w:r>
          </w:p>
        </w:tc>
        <w:tc>
          <w:tcPr>
            <w:tcW w:w="1125" w:type="dxa"/>
            <w:vAlign w:val="center"/>
          </w:tcPr>
          <w:p>
            <w:pPr>
              <w:numPr>
                <w:ilvl w:val="0"/>
                <w:numId w:val="0"/>
              </w:numPr>
              <w:spacing w:line="360" w:lineRule="auto"/>
              <w:ind w:left="0" w:leftChars="0" w:firstLine="0" w:firstLineChars="0"/>
              <w:jc w:val="center"/>
              <w:rPr>
                <w:rFonts w:hint="default" w:eastAsia="宋体"/>
                <w:sz w:val="21"/>
                <w:szCs w:val="21"/>
                <w:lang w:val="en-US" w:eastAsia="zh-CN"/>
              </w:rPr>
            </w:pPr>
            <w:r>
              <w:rPr>
                <w:rFonts w:hint="eastAsia"/>
                <w:sz w:val="21"/>
                <w:szCs w:val="21"/>
                <w:lang w:val="en-US" w:eastAsia="zh-CN"/>
              </w:rPr>
              <w:t>6</w:t>
            </w:r>
          </w:p>
        </w:tc>
        <w:tc>
          <w:tcPr>
            <w:tcW w:w="1395" w:type="dxa"/>
            <w:vAlign w:val="center"/>
          </w:tcPr>
          <w:p>
            <w:pPr>
              <w:numPr>
                <w:ilvl w:val="0"/>
                <w:numId w:val="0"/>
              </w:numPr>
              <w:spacing w:line="36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重庆市綦江区三江街道</w:t>
            </w:r>
          </w:p>
        </w:tc>
        <w:tc>
          <w:tcPr>
            <w:tcW w:w="2369" w:type="dxa"/>
            <w:vAlign w:val="center"/>
          </w:tcPr>
          <w:p>
            <w:pPr>
              <w:numPr>
                <w:ilvl w:val="0"/>
                <w:numId w:val="0"/>
              </w:numPr>
              <w:spacing w:line="24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以处置方现场确认为准</w:t>
            </w:r>
          </w:p>
        </w:tc>
      </w:tr>
    </w:tbl>
    <w:p>
      <w:pPr>
        <w:keepNext w:val="0"/>
        <w:keepLines w:val="0"/>
        <w:pageBreakBefore w:val="0"/>
        <w:widowControl w:val="0"/>
        <w:kinsoku/>
        <w:wordWrap/>
        <w:overflowPunct/>
        <w:topLinePunct w:val="0"/>
        <w:bidi w:val="0"/>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报价</w:t>
      </w:r>
      <w:r>
        <w:rPr>
          <w:rFonts w:hint="eastAsia" w:ascii="方正黑体_GBK" w:hAnsi="方正黑体_GBK" w:eastAsia="方正黑体_GBK" w:cs="方正黑体_GBK"/>
          <w:b w:val="0"/>
          <w:bCs w:val="0"/>
          <w:sz w:val="32"/>
          <w:szCs w:val="32"/>
          <w:lang w:eastAsia="zh-CN"/>
        </w:rPr>
        <w:t>人</w:t>
      </w:r>
      <w:r>
        <w:rPr>
          <w:rFonts w:hint="eastAsia" w:ascii="方正黑体_GBK" w:hAnsi="方正黑体_GBK" w:eastAsia="方正黑体_GBK" w:cs="方正黑体_GBK"/>
          <w:b w:val="0"/>
          <w:bCs w:val="0"/>
          <w:sz w:val="32"/>
          <w:szCs w:val="32"/>
        </w:rPr>
        <w:t xml:space="preserve">资格要求  </w:t>
      </w:r>
    </w:p>
    <w:p>
      <w:pPr>
        <w:keepNext w:val="0"/>
        <w:keepLines w:val="0"/>
        <w:pageBreakBefore w:val="0"/>
        <w:widowControl w:val="0"/>
        <w:numPr>
          <w:ilvl w:val="0"/>
          <w:numId w:val="0"/>
        </w:numPr>
        <w:kinsoku/>
        <w:wordWrap/>
        <w:overflowPunct/>
        <w:topLinePunct w:val="0"/>
        <w:bidi w:val="0"/>
        <w:snapToGrid/>
        <w:spacing w:line="520" w:lineRule="exact"/>
        <w:ind w:left="0" w:leftChars="0" w:right="0" w:rightChars="0" w:firstLine="48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处置方购买服务。报价人须具有</w:t>
      </w:r>
      <w:r>
        <w:rPr>
          <w:rFonts w:hint="eastAsia" w:ascii="方正仿宋_GBK" w:hAnsi="方正仿宋_GBK" w:eastAsia="方正仿宋_GBK" w:cs="方正仿宋_GBK"/>
          <w:sz w:val="32"/>
          <w:szCs w:val="32"/>
        </w:rPr>
        <w:t>独立法人资格、</w:t>
      </w:r>
      <w:r>
        <w:rPr>
          <w:rFonts w:hint="eastAsia" w:ascii="方正仿宋_GBK" w:hAnsi="方正仿宋_GBK" w:eastAsia="方正仿宋_GBK" w:cs="方正仿宋_GBK"/>
          <w:sz w:val="32"/>
          <w:szCs w:val="32"/>
          <w:lang w:eastAsia="zh-CN"/>
        </w:rPr>
        <w:t>有效的</w:t>
      </w:r>
      <w:r>
        <w:rPr>
          <w:rFonts w:hint="eastAsia" w:ascii="方正仿宋_GBK" w:hAnsi="方正仿宋_GBK" w:eastAsia="方正仿宋_GBK" w:cs="方正仿宋_GBK"/>
          <w:sz w:val="32"/>
          <w:szCs w:val="32"/>
        </w:rPr>
        <w:t>企业营业执照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经营范围须包含</w:t>
      </w:r>
      <w:r>
        <w:rPr>
          <w:rFonts w:hint="eastAsia" w:ascii="方正仿宋_GBK" w:hAnsi="方正仿宋_GBK" w:eastAsia="方正仿宋_GBK" w:cs="方正仿宋_GBK"/>
          <w:sz w:val="32"/>
          <w:szCs w:val="32"/>
          <w:u w:val="single"/>
          <w:lang w:val="en-US" w:eastAsia="zh-CN"/>
        </w:rPr>
        <w:t>危险化学品经营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必须具有有效的</w:t>
      </w:r>
      <w:r>
        <w:rPr>
          <w:rFonts w:hint="eastAsia" w:ascii="方正仿宋_GBK" w:hAnsi="方正仿宋_GBK" w:eastAsia="方正仿宋_GBK" w:cs="方正仿宋_GBK"/>
          <w:sz w:val="32"/>
          <w:szCs w:val="32"/>
          <w:u w:val="single"/>
          <w:lang w:val="en-US" w:eastAsia="zh-CN"/>
        </w:rPr>
        <w:t>危险化学品经营许可证</w:t>
      </w:r>
      <w:r>
        <w:rPr>
          <w:rFonts w:hint="eastAsia" w:ascii="方正仿宋_GBK" w:hAnsi="方正仿宋_GBK" w:eastAsia="方正仿宋_GBK" w:cs="方正仿宋_GBK"/>
          <w:sz w:val="32"/>
          <w:szCs w:val="32"/>
          <w:lang w:val="en-US" w:eastAsia="zh-CN"/>
        </w:rPr>
        <w:t>，许可经营范围包含</w:t>
      </w:r>
      <w:r>
        <w:rPr>
          <w:rFonts w:hint="eastAsia" w:ascii="方正仿宋_GBK" w:hAnsi="方正仿宋_GBK" w:eastAsia="方正仿宋_GBK" w:cs="方正仿宋_GBK"/>
          <w:sz w:val="32"/>
          <w:szCs w:val="32"/>
          <w:u w:val="single"/>
          <w:lang w:val="en-US" w:eastAsia="zh-CN"/>
        </w:rPr>
        <w:t>压缩气体及液化气体：氨、氨水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三、比选文件的获取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 w:val="0"/>
          <w:bCs w:val="0"/>
          <w:spacing w:val="-6"/>
          <w:sz w:val="32"/>
          <w:szCs w:val="32"/>
          <w:lang w:val="en-US" w:eastAsia="zh-CN"/>
        </w:rPr>
        <w:t xml:space="preserve"> </w:t>
      </w:r>
      <w:r>
        <w:rPr>
          <w:rFonts w:hint="eastAsia" w:ascii="方正仿宋_GBK" w:hAnsi="方正仿宋_GBK" w:eastAsia="方正仿宋_GBK" w:cs="方正仿宋_GBK"/>
          <w:spacing w:val="-6"/>
          <w:sz w:val="32"/>
          <w:szCs w:val="32"/>
          <w:highlight w:val="none"/>
          <w:lang w:val="en-US" w:eastAsia="zh-CN"/>
        </w:rPr>
        <w:t>竞价</w:t>
      </w:r>
      <w:r>
        <w:rPr>
          <w:rFonts w:hint="eastAsia" w:ascii="方正仿宋_GBK" w:hAnsi="方正仿宋_GBK" w:eastAsia="方正仿宋_GBK" w:cs="方正仿宋_GBK"/>
          <w:spacing w:val="-6"/>
          <w:sz w:val="32"/>
          <w:szCs w:val="32"/>
          <w:highlight w:val="none"/>
        </w:rPr>
        <w:t>文件</w:t>
      </w:r>
      <w:r>
        <w:rPr>
          <w:rFonts w:hint="eastAsia" w:ascii="方正仿宋_GBK" w:hAnsi="方正仿宋_GBK" w:eastAsia="方正仿宋_GBK" w:cs="方正仿宋_GBK"/>
          <w:spacing w:val="-6"/>
          <w:sz w:val="32"/>
          <w:szCs w:val="32"/>
          <w:highlight w:val="none"/>
          <w:lang w:eastAsia="zh-CN"/>
        </w:rPr>
        <w:t>获取方式</w:t>
      </w:r>
      <w:r>
        <w:rPr>
          <w:rFonts w:hint="eastAsia" w:ascii="方正仿宋_GBK" w:hAnsi="方正仿宋_GBK" w:eastAsia="方正仿宋_GBK" w:cs="方正仿宋_GBK"/>
          <w:spacing w:val="-6"/>
          <w:sz w:val="32"/>
          <w:szCs w:val="32"/>
          <w:highlight w:val="none"/>
        </w:rPr>
        <w:t>：凡愿意参加</w:t>
      </w:r>
      <w:r>
        <w:rPr>
          <w:rFonts w:hint="eastAsia" w:ascii="方正仿宋_GBK" w:hAnsi="方正仿宋_GBK" w:eastAsia="方正仿宋_GBK" w:cs="方正仿宋_GBK"/>
          <w:spacing w:val="-6"/>
          <w:sz w:val="32"/>
          <w:szCs w:val="32"/>
          <w:highlight w:val="none"/>
          <w:lang w:val="en-US" w:eastAsia="zh-CN"/>
        </w:rPr>
        <w:t>本次竞价</w:t>
      </w:r>
      <w:r>
        <w:rPr>
          <w:rFonts w:hint="eastAsia" w:ascii="方正仿宋_GBK" w:hAnsi="方正仿宋_GBK" w:eastAsia="方正仿宋_GBK" w:cs="方正仿宋_GBK"/>
          <w:spacing w:val="-6"/>
          <w:sz w:val="32"/>
          <w:szCs w:val="32"/>
          <w:highlight w:val="none"/>
        </w:rPr>
        <w:t>的潜在</w:t>
      </w:r>
      <w:r>
        <w:rPr>
          <w:rFonts w:hint="eastAsia" w:ascii="方正仿宋_GBK" w:hAnsi="方正仿宋_GBK" w:eastAsia="方正仿宋_GBK" w:cs="方正仿宋_GBK"/>
          <w:spacing w:val="-6"/>
          <w:sz w:val="32"/>
          <w:szCs w:val="32"/>
          <w:highlight w:val="none"/>
          <w:lang w:val="en-US" w:eastAsia="zh-CN"/>
        </w:rPr>
        <w:t>报价</w:t>
      </w:r>
      <w:r>
        <w:rPr>
          <w:rFonts w:hint="eastAsia" w:ascii="方正仿宋_GBK" w:hAnsi="方正仿宋_GBK" w:eastAsia="方正仿宋_GBK" w:cs="方正仿宋_GBK"/>
          <w:spacing w:val="-6"/>
          <w:sz w:val="32"/>
          <w:szCs w:val="32"/>
          <w:highlight w:val="none"/>
        </w:rPr>
        <w:t>人，从</w:t>
      </w:r>
      <w:r>
        <w:rPr>
          <w:rFonts w:hint="eastAsia" w:ascii="方正仿宋_GBK" w:hAnsi="方正仿宋_GBK" w:eastAsia="方正仿宋_GBK" w:cs="方正仿宋_GBK"/>
          <w:color w:val="auto"/>
          <w:spacing w:val="-6"/>
          <w:sz w:val="32"/>
          <w:szCs w:val="32"/>
          <w:highlight w:val="none"/>
        </w:rPr>
        <w:t>20</w:t>
      </w:r>
      <w:r>
        <w:rPr>
          <w:rFonts w:hint="eastAsia" w:ascii="方正仿宋_GBK" w:hAnsi="方正仿宋_GBK" w:eastAsia="方正仿宋_GBK" w:cs="方正仿宋_GBK"/>
          <w:color w:val="auto"/>
          <w:spacing w:val="-6"/>
          <w:sz w:val="32"/>
          <w:szCs w:val="32"/>
          <w:highlight w:val="none"/>
          <w:lang w:val="en-US" w:eastAsia="zh-CN"/>
        </w:rPr>
        <w:t>22</w:t>
      </w:r>
      <w:r>
        <w:rPr>
          <w:rFonts w:hint="eastAsia" w:ascii="方正仿宋_GBK" w:hAnsi="方正仿宋_GBK" w:eastAsia="方正仿宋_GBK" w:cs="方正仿宋_GBK"/>
          <w:color w:val="auto"/>
          <w:spacing w:val="-6"/>
          <w:sz w:val="32"/>
          <w:szCs w:val="32"/>
          <w:highlight w:val="none"/>
        </w:rPr>
        <w:t>年</w:t>
      </w:r>
      <w:r>
        <w:rPr>
          <w:rFonts w:hint="eastAsia" w:ascii="方正仿宋_GBK" w:hAnsi="方正仿宋_GBK" w:eastAsia="方正仿宋_GBK" w:cs="方正仿宋_GBK"/>
          <w:color w:val="auto"/>
          <w:spacing w:val="-6"/>
          <w:sz w:val="32"/>
          <w:szCs w:val="32"/>
          <w:highlight w:val="none"/>
          <w:lang w:val="en-US" w:eastAsia="zh-CN"/>
        </w:rPr>
        <w:t>3</w:t>
      </w:r>
      <w:r>
        <w:rPr>
          <w:rFonts w:hint="eastAsia" w:ascii="方正仿宋_GBK" w:hAnsi="方正仿宋_GBK" w:eastAsia="方正仿宋_GBK" w:cs="方正仿宋_GBK"/>
          <w:color w:val="auto"/>
          <w:spacing w:val="-6"/>
          <w:sz w:val="32"/>
          <w:szCs w:val="32"/>
          <w:highlight w:val="none"/>
        </w:rPr>
        <w:t>月</w:t>
      </w:r>
      <w:r>
        <w:rPr>
          <w:rFonts w:hint="eastAsia" w:ascii="方正仿宋_GBK" w:hAnsi="方正仿宋_GBK" w:eastAsia="方正仿宋_GBK" w:cs="方正仿宋_GBK"/>
          <w:color w:val="auto"/>
          <w:spacing w:val="-6"/>
          <w:sz w:val="32"/>
          <w:szCs w:val="32"/>
          <w:highlight w:val="none"/>
          <w:lang w:val="en-US" w:eastAsia="zh-CN"/>
        </w:rPr>
        <w:t>1</w:t>
      </w:r>
      <w:r>
        <w:rPr>
          <w:rFonts w:hint="eastAsia" w:ascii="方正仿宋_GBK" w:hAnsi="方正仿宋_GBK" w:eastAsia="方正仿宋_GBK" w:cs="方正仿宋_GBK"/>
          <w:spacing w:val="-6"/>
          <w:sz w:val="32"/>
          <w:szCs w:val="32"/>
          <w:highlight w:val="none"/>
        </w:rPr>
        <w:t>日起至</w:t>
      </w:r>
      <w:r>
        <w:rPr>
          <w:rFonts w:hint="eastAsia" w:ascii="方正仿宋_GBK" w:hAnsi="方正仿宋_GBK" w:eastAsia="方正仿宋_GBK" w:cs="方正仿宋_GBK"/>
          <w:spacing w:val="-6"/>
          <w:sz w:val="32"/>
          <w:szCs w:val="32"/>
          <w:highlight w:val="none"/>
          <w:lang w:val="en-US" w:eastAsia="zh-CN"/>
        </w:rPr>
        <w:t>竞价报价</w:t>
      </w:r>
      <w:r>
        <w:rPr>
          <w:rFonts w:hint="eastAsia" w:ascii="方正仿宋_GBK" w:hAnsi="方正仿宋_GBK" w:eastAsia="方正仿宋_GBK" w:cs="方正仿宋_GBK"/>
          <w:spacing w:val="-6"/>
          <w:sz w:val="32"/>
          <w:szCs w:val="32"/>
          <w:highlight w:val="none"/>
          <w:lang w:eastAsia="zh-CN"/>
        </w:rPr>
        <w:t>文件递交</w:t>
      </w:r>
      <w:r>
        <w:rPr>
          <w:rFonts w:hint="eastAsia" w:ascii="方正仿宋_GBK" w:hAnsi="方正仿宋_GBK" w:eastAsia="方正仿宋_GBK" w:cs="方正仿宋_GBK"/>
          <w:spacing w:val="-6"/>
          <w:sz w:val="32"/>
          <w:szCs w:val="32"/>
          <w:highlight w:val="none"/>
        </w:rPr>
        <w:t>截止时间前，</w:t>
      </w:r>
      <w:r>
        <w:rPr>
          <w:rFonts w:hint="eastAsia" w:ascii="方正仿宋_GBK" w:hAnsi="方正仿宋_GBK" w:eastAsia="方正仿宋_GBK" w:cs="方正仿宋_GBK"/>
          <w:spacing w:val="-6"/>
          <w:sz w:val="32"/>
          <w:szCs w:val="32"/>
          <w:highlight w:val="none"/>
          <w:lang w:eastAsia="zh-CN"/>
        </w:rPr>
        <w:t>详见重庆高速集团官网</w:t>
      </w:r>
      <w:r>
        <w:rPr>
          <w:rFonts w:hint="eastAsia" w:ascii="方正仿宋_GBK" w:hAnsi="方正仿宋_GBK" w:eastAsia="方正仿宋_GBK" w:cs="方正仿宋_GBK"/>
          <w:sz w:val="21"/>
          <w:szCs w:val="21"/>
          <w:highlight w:val="none"/>
          <w:lang w:eastAsia="zh-CN"/>
        </w:rPr>
        <w:t>（http://www.cegc.com.cn/gw/newsInfoMenu.html?id=42&amp;key=2）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highlight w:val="none"/>
          <w:lang w:eastAsia="zh-CN"/>
        </w:rPr>
        <w:t>上发布的本</w:t>
      </w:r>
      <w:r>
        <w:rPr>
          <w:rFonts w:hint="eastAsia" w:ascii="方正仿宋_GBK" w:hAnsi="方正仿宋_GBK" w:eastAsia="方正仿宋_GBK" w:cs="方正仿宋_GBK"/>
          <w:sz w:val="32"/>
          <w:szCs w:val="32"/>
          <w:highlight w:val="none"/>
          <w:lang w:val="en-US" w:eastAsia="zh-CN"/>
        </w:rPr>
        <w:t>次竞价</w:t>
      </w:r>
      <w:r>
        <w:rPr>
          <w:rFonts w:hint="eastAsia" w:ascii="方正仿宋_GBK" w:hAnsi="方正仿宋_GBK" w:eastAsia="方正仿宋_GBK" w:cs="方正仿宋_GBK"/>
          <w:sz w:val="32"/>
          <w:szCs w:val="32"/>
          <w:highlight w:val="none"/>
          <w:lang w:eastAsia="zh-CN"/>
        </w:rPr>
        <w:t>公告，</w:t>
      </w:r>
      <w:r>
        <w:rPr>
          <w:rFonts w:hint="eastAsia" w:ascii="方正仿宋_GBK" w:hAnsi="方正仿宋_GBK" w:eastAsia="方正仿宋_GBK" w:cs="方正仿宋_GBK"/>
          <w:sz w:val="32"/>
          <w:szCs w:val="32"/>
          <w:highlight w:val="none"/>
          <w:lang w:val="en-US" w:eastAsia="zh-CN"/>
        </w:rPr>
        <w:t>按其</w:t>
      </w:r>
      <w:r>
        <w:rPr>
          <w:rFonts w:hint="eastAsia" w:ascii="方正仿宋_GBK" w:hAnsi="方正仿宋_GBK" w:eastAsia="方正仿宋_GBK" w:cs="方正仿宋_GBK"/>
          <w:sz w:val="32"/>
          <w:szCs w:val="32"/>
          <w:highlight w:val="none"/>
          <w:lang w:eastAsia="zh-CN"/>
        </w:rPr>
        <w:t>中的获取方式（链接）自行下载</w:t>
      </w:r>
      <w:r>
        <w:rPr>
          <w:rFonts w:hint="eastAsia" w:ascii="方正仿宋_GBK" w:hAnsi="方正仿宋_GBK" w:eastAsia="方正仿宋_GBK" w:cs="方正仿宋_GBK"/>
          <w:sz w:val="32"/>
          <w:szCs w:val="32"/>
          <w:highlight w:val="none"/>
        </w:rPr>
        <w:t>。不管</w:t>
      </w:r>
      <w:r>
        <w:rPr>
          <w:rFonts w:hint="eastAsia" w:ascii="方正仿宋_GBK" w:hAnsi="方正仿宋_GBK" w:eastAsia="方正仿宋_GBK" w:cs="方正仿宋_GBK"/>
          <w:sz w:val="32"/>
          <w:szCs w:val="32"/>
          <w:highlight w:val="none"/>
          <w:lang w:val="en-US" w:eastAsia="zh-CN"/>
        </w:rPr>
        <w:t>报价</w:t>
      </w:r>
      <w:r>
        <w:rPr>
          <w:rFonts w:hint="eastAsia" w:ascii="方正仿宋_GBK" w:hAnsi="方正仿宋_GBK" w:eastAsia="方正仿宋_GBK" w:cs="方正仿宋_GBK"/>
          <w:sz w:val="32"/>
          <w:szCs w:val="32"/>
          <w:highlight w:val="none"/>
        </w:rPr>
        <w:t>人是否下载，均视为已知晓</w:t>
      </w:r>
      <w:r>
        <w:rPr>
          <w:rFonts w:hint="eastAsia" w:ascii="方正仿宋_GBK" w:hAnsi="方正仿宋_GBK" w:eastAsia="方正仿宋_GBK" w:cs="方正仿宋_GBK"/>
          <w:sz w:val="32"/>
          <w:szCs w:val="32"/>
          <w:highlight w:val="none"/>
          <w:lang w:eastAsia="zh-CN"/>
        </w:rPr>
        <w:t>竞价</w:t>
      </w:r>
      <w:r>
        <w:rPr>
          <w:rFonts w:hint="eastAsia" w:ascii="方正仿宋_GBK" w:hAnsi="方正仿宋_GBK" w:eastAsia="方正仿宋_GBK" w:cs="方正仿宋_GBK"/>
          <w:sz w:val="32"/>
          <w:szCs w:val="32"/>
          <w:highlight w:val="none"/>
        </w:rPr>
        <w:t>文件的全部内容和有关事宜。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四、现场踏勘</w:t>
      </w:r>
    </w:p>
    <w:p>
      <w:pPr>
        <w:pStyle w:val="12"/>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竞价人可于开标前到现场踏察，并自行承担考察现场的费用。竞价人递交的报价文件，视为竞价人已对现场进行了充分考察，且充分考虑了现场因素。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五、报价文件的提交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val="en-US" w:eastAsia="zh-CN"/>
        </w:rPr>
        <w:t xml:space="preserve">    1. </w:t>
      </w:r>
      <w:r>
        <w:rPr>
          <w:rFonts w:hint="eastAsia" w:ascii="方正仿宋_GBK" w:hAnsi="方正仿宋_GBK" w:eastAsia="方正仿宋_GBK" w:cs="方正仿宋_GBK"/>
          <w:sz w:val="32"/>
          <w:szCs w:val="32"/>
        </w:rPr>
        <w:t>报价文件递交的时间：</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0至</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:30，递交报价文件的截止时间为：</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递交地点：</w:t>
      </w:r>
      <w:r>
        <w:rPr>
          <w:rFonts w:hint="eastAsia" w:ascii="方正仿宋_GBK" w:hAnsi="方正仿宋_GBK" w:eastAsia="方正仿宋_GBK" w:cs="方正仿宋_GBK"/>
          <w:b/>
          <w:bCs/>
          <w:sz w:val="32"/>
          <w:szCs w:val="32"/>
        </w:rPr>
        <w:t>重庆市</w:t>
      </w:r>
      <w:r>
        <w:rPr>
          <w:rFonts w:hint="eastAsia" w:ascii="方正仿宋_GBK" w:hAnsi="方正仿宋_GBK" w:eastAsia="方正仿宋_GBK" w:cs="方正仿宋_GBK"/>
          <w:b/>
          <w:bCs/>
          <w:sz w:val="32"/>
          <w:szCs w:val="32"/>
          <w:lang w:val="en-US" w:eastAsia="zh-CN"/>
        </w:rPr>
        <w:t>綦江</w:t>
      </w:r>
      <w:r>
        <w:rPr>
          <w:rFonts w:hint="eastAsia" w:ascii="方正仿宋_GBK" w:hAnsi="方正仿宋_GBK" w:eastAsia="方正仿宋_GBK" w:cs="方正仿宋_GBK"/>
          <w:b/>
          <w:bCs/>
          <w:sz w:val="32"/>
          <w:szCs w:val="32"/>
        </w:rPr>
        <w:t>区</w:t>
      </w:r>
      <w:r>
        <w:rPr>
          <w:rFonts w:hint="eastAsia" w:ascii="方正仿宋_GBK" w:hAnsi="方正仿宋_GBK" w:eastAsia="方正仿宋_GBK" w:cs="方正仿宋_GBK"/>
          <w:b/>
          <w:bCs/>
          <w:sz w:val="32"/>
          <w:szCs w:val="32"/>
          <w:lang w:val="en-US" w:eastAsia="zh-CN"/>
        </w:rPr>
        <w:t>三江街道重庆安源金属制造有限公司办公楼102</w:t>
      </w:r>
      <w:r>
        <w:rPr>
          <w:rFonts w:hint="eastAsia" w:ascii="方正仿宋_GBK" w:hAnsi="方正仿宋_GBK" w:eastAsia="方正仿宋_GBK" w:cs="方正仿宋_GBK"/>
          <w:b/>
          <w:bCs/>
          <w:sz w:val="32"/>
          <w:szCs w:val="32"/>
        </w:rPr>
        <w:t>会议室</w:t>
      </w:r>
      <w:r>
        <w:rPr>
          <w:rFonts w:hint="eastAsia" w:ascii="方正仿宋_GBK" w:hAnsi="方正仿宋_GBK" w:eastAsia="方正仿宋_GBK" w:cs="方正仿宋_GBK"/>
          <w:sz w:val="32"/>
          <w:szCs w:val="32"/>
        </w:rPr>
        <w:t>，届时请报价人的法定代表人或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被授权</w:t>
      </w:r>
      <w:r>
        <w:rPr>
          <w:rFonts w:hint="eastAsia" w:ascii="方正仿宋_GBK" w:hAnsi="方正仿宋_GBK" w:eastAsia="方正仿宋_GBK" w:cs="方正仿宋_GBK"/>
          <w:color w:val="000000" w:themeColor="text1"/>
          <w:sz w:val="32"/>
          <w:szCs w:val="32"/>
          <w14:textFill>
            <w14:solidFill>
              <w14:schemeClr w14:val="tx1"/>
            </w14:solidFill>
          </w14:textFill>
        </w:rPr>
        <w:t>代理人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1人</w:t>
      </w:r>
      <w:r>
        <w:rPr>
          <w:rFonts w:hint="eastAsia" w:ascii="方正仿宋_GBK" w:hAnsi="方正仿宋_GBK" w:eastAsia="方正仿宋_GBK" w:cs="方正仿宋_GBK"/>
          <w:color w:val="000000" w:themeColor="text1"/>
          <w:sz w:val="32"/>
          <w:szCs w:val="32"/>
          <w14:textFill>
            <w14:solidFill>
              <w14:schemeClr w14:val="tx1"/>
            </w14:solidFill>
          </w14:textFill>
        </w:rPr>
        <w:t>参加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递交报价文件时在报名表上填写报价单</w:t>
      </w:r>
      <w:r>
        <w:rPr>
          <w:rFonts w:hint="eastAsia" w:ascii="方正仿宋_GBK" w:hAnsi="方正仿宋_GBK" w:eastAsia="方正仿宋_GBK" w:cs="方正仿宋_GBK"/>
          <w:sz w:val="32"/>
          <w:szCs w:val="32"/>
          <w:lang w:val="en-US" w:eastAsia="zh-CN"/>
        </w:rPr>
        <w:t>位名称并签字</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 </w:t>
      </w:r>
      <w:r>
        <w:rPr>
          <w:rFonts w:hint="eastAsia" w:ascii="方正仿宋_GBK" w:hAnsi="方正仿宋_GBK" w:eastAsia="方正仿宋_GBK" w:cs="方正仿宋_GBK"/>
          <w:sz w:val="32"/>
          <w:szCs w:val="32"/>
        </w:rPr>
        <w:t>逾期送达、未按规定密封或者未送达指定地点的报价文件，</w:t>
      </w:r>
      <w:r>
        <w:rPr>
          <w:rFonts w:hint="eastAsia" w:ascii="方正仿宋_GBK" w:hAnsi="方正仿宋_GBK" w:eastAsia="方正仿宋_GBK" w:cs="方正仿宋_GBK"/>
          <w:sz w:val="32"/>
          <w:szCs w:val="32"/>
          <w:lang w:val="en-US" w:eastAsia="zh-CN"/>
        </w:rPr>
        <w:t>安源公司</w:t>
      </w:r>
      <w:r>
        <w:rPr>
          <w:rFonts w:hint="eastAsia" w:ascii="方正仿宋_GBK" w:hAnsi="方正仿宋_GBK" w:eastAsia="方正仿宋_GBK" w:cs="方正仿宋_GBK"/>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1"/>
        <w:rPr>
          <w:rFonts w:hint="eastAsia" w:ascii="方正黑体_GBK" w:hAnsi="方正黑体_GBK" w:eastAsia="方正黑体_GBK" w:cs="方正黑体_GBK"/>
          <w:b w:val="0"/>
          <w:bCs w:val="0"/>
          <w:sz w:val="32"/>
          <w:szCs w:val="32"/>
        </w:rPr>
      </w:pPr>
      <w:bookmarkStart w:id="0" w:name="_Toc15659"/>
      <w:bookmarkStart w:id="1" w:name="_Toc14883"/>
      <w:r>
        <w:rPr>
          <w:rFonts w:hint="eastAsia" w:ascii="方正黑体_GBK" w:hAnsi="方正黑体_GBK" w:eastAsia="方正黑体_GBK" w:cs="方正黑体_GBK"/>
          <w:b w:val="0"/>
          <w:bCs w:val="0"/>
          <w:sz w:val="32"/>
          <w:szCs w:val="32"/>
          <w:lang w:val="en-US" w:eastAsia="zh-CN"/>
        </w:rPr>
        <w:t xml:space="preserve">    </w:t>
      </w:r>
      <w:bookmarkEnd w:id="0"/>
      <w:bookmarkEnd w:id="1"/>
      <w:bookmarkStart w:id="2" w:name="_Toc25134"/>
      <w:bookmarkStart w:id="3" w:name="_Toc31484"/>
      <w:r>
        <w:rPr>
          <w:rFonts w:hint="eastAsia" w:ascii="方正黑体_GBK" w:hAnsi="方正黑体_GBK" w:eastAsia="方正黑体_GBK" w:cs="方正黑体_GBK"/>
          <w:b w:val="0"/>
          <w:bCs w:val="0"/>
          <w:sz w:val="32"/>
          <w:szCs w:val="32"/>
          <w:lang w:val="en-US" w:eastAsia="zh-CN"/>
        </w:rPr>
        <w:t>六、竞争性比选</w:t>
      </w:r>
      <w:r>
        <w:rPr>
          <w:rFonts w:hint="eastAsia" w:ascii="方正黑体_GBK" w:hAnsi="方正黑体_GBK" w:eastAsia="方正黑体_GBK" w:cs="方正黑体_GBK"/>
          <w:b w:val="0"/>
          <w:bCs w:val="0"/>
          <w:sz w:val="32"/>
          <w:szCs w:val="32"/>
        </w:rPr>
        <w:t>联系方式</w:t>
      </w:r>
      <w:bookmarkEnd w:id="2"/>
      <w:bookmarkEnd w:id="3"/>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对本</w:t>
      </w:r>
      <w:r>
        <w:rPr>
          <w:rFonts w:hint="eastAsia" w:ascii="方正仿宋_GBK" w:hAnsi="方正仿宋_GBK" w:eastAsia="方正仿宋_GBK" w:cs="方正仿宋_GBK"/>
          <w:color w:val="auto"/>
          <w:sz w:val="32"/>
          <w:szCs w:val="32"/>
          <w:lang w:val="en-US" w:eastAsia="zh-CN"/>
        </w:rPr>
        <w:t>次</w:t>
      </w:r>
      <w:r>
        <w:rPr>
          <w:rFonts w:hint="eastAsia" w:ascii="方正仿宋_GBK" w:hAnsi="方正仿宋_GBK" w:eastAsia="方正仿宋_GBK" w:cs="方正仿宋_GBK"/>
          <w:color w:val="auto"/>
          <w:sz w:val="32"/>
          <w:szCs w:val="32"/>
          <w:lang w:eastAsia="zh-CN"/>
        </w:rPr>
        <w:t>竞争性比选文件</w:t>
      </w:r>
      <w:r>
        <w:rPr>
          <w:rFonts w:hint="eastAsia" w:ascii="方正仿宋_GBK" w:hAnsi="方正仿宋_GBK" w:eastAsia="方正仿宋_GBK" w:cs="方正仿宋_GBK"/>
          <w:color w:val="auto"/>
          <w:sz w:val="32"/>
          <w:szCs w:val="32"/>
        </w:rPr>
        <w:t>若有不详或未尽事宜，可</w:t>
      </w:r>
      <w:r>
        <w:rPr>
          <w:rFonts w:hint="eastAsia" w:ascii="方正仿宋_GBK" w:hAnsi="方正仿宋_GBK" w:eastAsia="方正仿宋_GBK" w:cs="方正仿宋_GBK"/>
          <w:color w:val="auto"/>
          <w:sz w:val="32"/>
          <w:szCs w:val="32"/>
          <w:lang w:val="en-US" w:eastAsia="zh-CN"/>
        </w:rPr>
        <w:t>于开标日2日前</w:t>
      </w:r>
      <w:r>
        <w:rPr>
          <w:rFonts w:hint="eastAsia" w:ascii="方正仿宋_GBK" w:hAnsi="方正仿宋_GBK" w:eastAsia="方正仿宋_GBK" w:cs="方正仿宋_GBK"/>
          <w:sz w:val="32"/>
          <w:szCs w:val="32"/>
        </w:rPr>
        <w:t>来</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或来电询问</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受托处理单位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重庆安源金属制造有限</w:t>
      </w:r>
      <w:r>
        <w:rPr>
          <w:rFonts w:hint="eastAsia" w:ascii="方正仿宋_GBK" w:hAnsi="方正仿宋_GBK" w:eastAsia="方正仿宋_GBK" w:cs="方正仿宋_GBK"/>
          <w:sz w:val="32"/>
          <w:szCs w:val="32"/>
        </w:rPr>
        <w:t xml:space="preserve">公司 </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重庆</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val="en-US" w:eastAsia="zh-CN"/>
        </w:rPr>
        <w:t>綦江区三江街道</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秦华</w:t>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61260830；13996336822</w:t>
      </w:r>
    </w:p>
    <w:p>
      <w:pPr>
        <w:pStyle w:val="2"/>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 xml:space="preserve">第二章  </w:t>
      </w:r>
      <w:r>
        <w:rPr>
          <w:rFonts w:hint="eastAsia" w:ascii="方正小标宋_GBK" w:hAnsi="方正小标宋_GBK" w:eastAsia="方正小标宋_GBK" w:cs="方正小标宋_GBK"/>
          <w:b w:val="0"/>
          <w:bCs w:val="0"/>
          <w:color w:val="auto"/>
          <w:sz w:val="32"/>
          <w:szCs w:val="32"/>
          <w:highlight w:val="none"/>
          <w:lang w:val="en-US" w:eastAsia="zh-CN"/>
        </w:rPr>
        <w:t>竞争性比选</w:t>
      </w:r>
      <w:r>
        <w:rPr>
          <w:rFonts w:hint="eastAsia" w:ascii="方正小标宋_GBK" w:hAnsi="方正小标宋_GBK" w:eastAsia="方正小标宋_GBK" w:cs="方正小标宋_GBK"/>
          <w:b w:val="0"/>
          <w:bCs w:val="0"/>
          <w:color w:val="auto"/>
          <w:sz w:val="32"/>
          <w:szCs w:val="32"/>
          <w:highlight w:val="none"/>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一、</w:t>
      </w:r>
      <w:r>
        <w:rPr>
          <w:rFonts w:hint="eastAsia" w:ascii="方正黑体_GBK" w:hAnsi="方正黑体_GBK" w:eastAsia="方正黑体_GBK" w:cs="方正黑体_GBK"/>
          <w:b w:val="0"/>
          <w:bCs w:val="0"/>
          <w:sz w:val="32"/>
          <w:szCs w:val="32"/>
        </w:rPr>
        <w:t>报价要求</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本次竞价报价应包含装卸、运输、税金、保险、安全措施和处置费等明示或暗示的所有费用。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2. </w:t>
      </w:r>
      <w:r>
        <w:rPr>
          <w:rFonts w:hint="eastAsia" w:ascii="方正仿宋_GBK" w:hAnsi="方正仿宋_GBK" w:eastAsia="方正仿宋_GBK" w:cs="方正仿宋_GBK"/>
          <w:sz w:val="32"/>
          <w:szCs w:val="32"/>
          <w:lang w:val="en-US" w:eastAsia="zh-CN"/>
        </w:rPr>
        <w:t>处置后的液氨瓶残值按理论计重以3000元/吨抵减处置费用，中标人完成全部液氨及废瓶处置、经业主方确认结算，中标人提供合法的发票后业主方一次性付清处置费用。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二、投标保证金</w:t>
      </w:r>
    </w:p>
    <w:p>
      <w:pPr>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1. </w:t>
      </w:r>
      <w:r>
        <w:rPr>
          <w:rFonts w:hint="eastAsia" w:ascii="方正仿宋_GBK" w:hAnsi="方正仿宋_GBK" w:eastAsia="方正仿宋_GBK" w:cs="方正仿宋_GBK"/>
          <w:sz w:val="32"/>
          <w:szCs w:val="32"/>
          <w:highlight w:val="none"/>
        </w:rPr>
        <w:t>本</w:t>
      </w:r>
      <w:r>
        <w:rPr>
          <w:rFonts w:hint="eastAsia" w:ascii="方正仿宋_GBK" w:hAnsi="方正仿宋_GBK" w:eastAsia="方正仿宋_GBK" w:cs="方正仿宋_GBK"/>
          <w:sz w:val="32"/>
          <w:szCs w:val="32"/>
          <w:highlight w:val="none"/>
          <w:lang w:val="en-US" w:eastAsia="zh-CN"/>
        </w:rPr>
        <w:t>次竞争性比选需提前将投标保证金缴纳到安源公司指定账户（单位：</w:t>
      </w:r>
      <w:r>
        <w:rPr>
          <w:rFonts w:hint="eastAsia" w:ascii="方正仿宋_GBK" w:hAnsi="方正仿宋_GBK" w:eastAsia="方正仿宋_GBK" w:cs="方正仿宋_GBK"/>
          <w:sz w:val="32"/>
          <w:szCs w:val="32"/>
          <w:highlight w:val="none"/>
          <w:u w:val="single"/>
          <w:lang w:val="en-US" w:eastAsia="zh-CN"/>
        </w:rPr>
        <w:t>重庆安源金属制造有限公司</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rPr>
        <w:t>开户行：</w:t>
      </w:r>
      <w:r>
        <w:rPr>
          <w:rFonts w:hint="eastAsia" w:ascii="方正仿宋_GBK" w:hAnsi="方正仿宋_GBK" w:eastAsia="方正仿宋_GBK" w:cs="方正仿宋_GBK"/>
          <w:sz w:val="32"/>
          <w:szCs w:val="32"/>
          <w:u w:val="single"/>
        </w:rPr>
        <w:t>重庆银行龙头寺支行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账号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single"/>
        </w:rPr>
        <w:t>230101040027862</w:t>
      </w:r>
      <w:r>
        <w:rPr>
          <w:rFonts w:hint="eastAsia" w:ascii="方正仿宋_GBK" w:hAnsi="方正仿宋_GBK" w:eastAsia="方正仿宋_GBK" w:cs="方正仿宋_GBK"/>
          <w:sz w:val="32"/>
          <w:szCs w:val="32"/>
          <w:highlight w:val="none"/>
          <w:lang w:val="en-US" w:eastAsia="zh-CN"/>
        </w:rPr>
        <w:t>），否则投标无效。投标保证金缴纳截止时间：</w:t>
      </w:r>
      <w:r>
        <w:rPr>
          <w:rFonts w:hint="eastAsia" w:ascii="方正仿宋_GBK" w:hAnsi="方正仿宋_GBK" w:eastAsia="方正仿宋_GBK" w:cs="方正仿宋_GBK"/>
          <w:color w:val="auto"/>
          <w:sz w:val="32"/>
          <w:szCs w:val="32"/>
          <w:highlight w:val="none"/>
          <w:lang w:val="en-US" w:eastAsia="zh-CN"/>
        </w:rPr>
        <w:t>2022年3月10</w:t>
      </w:r>
      <w:r>
        <w:rPr>
          <w:rFonts w:hint="eastAsia" w:ascii="方正仿宋_GBK" w:hAnsi="方正仿宋_GBK" w:eastAsia="方正仿宋_GBK" w:cs="方正仿宋_GBK"/>
          <w:sz w:val="32"/>
          <w:szCs w:val="32"/>
          <w:highlight w:val="none"/>
          <w:lang w:val="en-US" w:eastAsia="zh-CN"/>
        </w:rPr>
        <w:t>日17：00。投标人转账错误自行负责，与安源公司无关。未中标人的</w:t>
      </w:r>
      <w:r>
        <w:rPr>
          <w:rFonts w:hint="eastAsia" w:ascii="方正仿宋_GBK" w:hAnsi="方正仿宋_GBK" w:eastAsia="方正仿宋_GBK" w:cs="方正仿宋_GBK"/>
          <w:sz w:val="32"/>
          <w:szCs w:val="32"/>
          <w:highlight w:val="none"/>
          <w:lang w:eastAsia="zh-CN"/>
        </w:rPr>
        <w:t>投</w:t>
      </w:r>
      <w:r>
        <w:rPr>
          <w:rFonts w:hint="eastAsia" w:ascii="方正仿宋_GBK" w:hAnsi="方正仿宋_GBK" w:eastAsia="方正仿宋_GBK" w:cs="方正仿宋_GBK"/>
          <w:sz w:val="32"/>
          <w:szCs w:val="32"/>
          <w:highlight w:val="none"/>
        </w:rPr>
        <w:t>标</w:t>
      </w:r>
      <w:r>
        <w:rPr>
          <w:rFonts w:hint="eastAsia" w:ascii="方正仿宋_GBK" w:hAnsi="方正仿宋_GBK" w:eastAsia="方正仿宋_GBK" w:cs="方正仿宋_GBK"/>
          <w:sz w:val="32"/>
          <w:szCs w:val="32"/>
          <w:highlight w:val="none"/>
          <w:lang w:val="en-US" w:eastAsia="zh-CN"/>
        </w:rPr>
        <w:t>保证金在开标结束后15个工作日内无息退还</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napToGrid/>
        <w:spacing w:line="520" w:lineRule="exact"/>
        <w:ind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lang w:val="en-US" w:eastAsia="zh-CN"/>
        </w:rPr>
        <w:t xml:space="preserve">    2. 中标人在规定时间内与业主方签订合同后，投标保证金自动转为履约保证金，在合同履行完毕后30日内无息退还。</w:t>
      </w:r>
      <w:r>
        <w:rPr>
          <w:rFonts w:hint="eastAsia" w:ascii="方正仿宋_GBK" w:hAnsi="方正仿宋_GBK" w:eastAsia="方正仿宋_GBK" w:cs="方正仿宋_GBK"/>
          <w:sz w:val="32"/>
          <w:szCs w:val="32"/>
          <w:lang w:eastAsia="zh-CN"/>
        </w:rPr>
        <w:t>若投标人中标后，无正当理由放弃中标或不</w:t>
      </w:r>
      <w:r>
        <w:rPr>
          <w:rFonts w:hint="eastAsia" w:ascii="方正仿宋_GBK" w:hAnsi="方正仿宋_GBK" w:eastAsia="方正仿宋_GBK" w:cs="方正仿宋_GBK"/>
          <w:sz w:val="32"/>
          <w:szCs w:val="32"/>
          <w:lang w:val="en-US" w:eastAsia="zh-CN"/>
        </w:rPr>
        <w:t>按规定时间</w:t>
      </w:r>
      <w:r>
        <w:rPr>
          <w:rFonts w:hint="eastAsia" w:ascii="方正仿宋_GBK" w:hAnsi="方正仿宋_GBK" w:eastAsia="方正仿宋_GBK" w:cs="方正仿宋_GBK"/>
          <w:sz w:val="32"/>
          <w:szCs w:val="32"/>
          <w:lang w:eastAsia="zh-CN"/>
        </w:rPr>
        <w:t>签订合同的，</w:t>
      </w:r>
      <w:r>
        <w:rPr>
          <w:rFonts w:hint="eastAsia" w:ascii="方正仿宋_GBK" w:hAnsi="方正仿宋_GBK" w:eastAsia="方正仿宋_GBK" w:cs="方正仿宋_GBK"/>
          <w:sz w:val="32"/>
          <w:szCs w:val="32"/>
          <w:lang w:val="en-US" w:eastAsia="zh-CN"/>
        </w:rPr>
        <w:t>投标保证金不予退还</w:t>
      </w:r>
      <w:r>
        <w:rPr>
          <w:rFonts w:hint="eastAsia" w:ascii="方正仿宋_GBK" w:hAnsi="方正仿宋_GBK" w:eastAsia="方正仿宋_GBK" w:cs="方正仿宋_GBK"/>
          <w:sz w:val="32"/>
          <w:szCs w:val="32"/>
          <w:lang w:eastAsia="zh-CN"/>
        </w:rPr>
        <w:t>。</w:t>
      </w:r>
    </w:p>
    <w:p>
      <w:pPr>
        <w:pStyle w:val="12"/>
        <w:keepNext w:val="0"/>
        <w:keepLines w:val="0"/>
        <w:pageBreakBefore w:val="0"/>
        <w:widowControl w:val="0"/>
        <w:kinsoku/>
        <w:wordWrap/>
        <w:overflowPunct/>
        <w:topLinePunct w:val="0"/>
        <w:bidi w:val="0"/>
        <w:snapToGrid/>
        <w:spacing w:line="52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3. 保证金伍仟元。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 xml:space="preserve">    三、报价文件的密封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报价人应将报价文件密封，封口处应</w:t>
      </w:r>
      <w:r>
        <w:rPr>
          <w:rFonts w:hint="eastAsia" w:ascii="方正仿宋_GBK" w:hAnsi="方正仿宋_GBK" w:eastAsia="方正仿宋_GBK" w:cs="方正仿宋_GBK"/>
          <w:sz w:val="32"/>
          <w:szCs w:val="32"/>
          <w:lang w:val="en-US" w:eastAsia="zh-CN"/>
        </w:rPr>
        <w:t>盖</w:t>
      </w:r>
      <w:r>
        <w:rPr>
          <w:rFonts w:hint="eastAsia" w:ascii="方正仿宋_GBK" w:hAnsi="方正仿宋_GBK" w:eastAsia="方正仿宋_GBK" w:cs="方正仿宋_GBK"/>
          <w:sz w:val="32"/>
          <w:szCs w:val="32"/>
        </w:rPr>
        <w:t>有报价人的</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rPr>
        <w:t>；封皮上应注明</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项目名称、报价人名称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并加盖公章。</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四、报价文件的格式及签署</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宋体" w:eastAsia="方正仿宋_GBK"/>
          <w:sz w:val="32"/>
          <w:szCs w:val="32"/>
        </w:rPr>
        <w:t>报价文件应使用不能擦去的墨水书写或打印，</w:t>
      </w:r>
      <w:r>
        <w:rPr>
          <w:rFonts w:hint="eastAsia" w:ascii="方正仿宋_GBK" w:hAnsi="宋体" w:eastAsia="方正仿宋_GBK"/>
          <w:sz w:val="32"/>
          <w:szCs w:val="32"/>
          <w:lang w:val="en-US" w:eastAsia="zh-CN"/>
        </w:rPr>
        <w:t>内容齐全，装订整齐，除法定代表人、被授权代理人在相应位置签字（并盖公章）外，</w:t>
      </w:r>
      <w:r>
        <w:rPr>
          <w:rFonts w:hint="eastAsia" w:ascii="方正仿宋_GBK" w:hAnsi="宋体" w:eastAsia="方正仿宋_GBK"/>
          <w:b/>
          <w:bCs/>
          <w:sz w:val="32"/>
          <w:szCs w:val="32"/>
          <w:lang w:val="en-US" w:eastAsia="zh-CN"/>
        </w:rPr>
        <w:t>其余每页均应加盖公章并由被授权代理人签字</w:t>
      </w:r>
      <w:r>
        <w:rPr>
          <w:rFonts w:hint="eastAsia" w:ascii="方正仿宋_GBK" w:hAnsi="宋体" w:eastAsia="方正仿宋_GBK"/>
          <w:b/>
          <w:bCs/>
          <w:sz w:val="32"/>
          <w:szCs w:val="32"/>
        </w:rPr>
        <w:t>齐全</w:t>
      </w:r>
      <w:r>
        <w:rPr>
          <w:rFonts w:hint="eastAsia" w:ascii="方正仿宋_GBK" w:hAnsi="宋体" w:eastAsia="方正仿宋_GBK"/>
          <w:sz w:val="32"/>
          <w:szCs w:val="32"/>
          <w:lang w:eastAsia="zh-CN"/>
        </w:rPr>
        <w:t>。</w:t>
      </w:r>
      <w:r>
        <w:rPr>
          <w:rFonts w:hint="eastAsia" w:ascii="方正仿宋_GBK" w:hAnsi="方正仿宋_GBK" w:eastAsia="方正仿宋_GBK" w:cs="方正仿宋_GBK"/>
          <w:color w:val="auto"/>
          <w:sz w:val="32"/>
          <w:szCs w:val="32"/>
          <w:highlight w:val="none"/>
        </w:rPr>
        <w:t>所有</w:t>
      </w:r>
      <w:r>
        <w:rPr>
          <w:rFonts w:hint="eastAsia" w:ascii="方正仿宋_GBK" w:hAnsi="方正仿宋_GBK" w:eastAsia="方正仿宋_GBK" w:cs="方正仿宋_GBK"/>
          <w:color w:val="auto"/>
          <w:sz w:val="32"/>
          <w:szCs w:val="32"/>
          <w:highlight w:val="none"/>
          <w:lang w:eastAsia="zh-CN"/>
        </w:rPr>
        <w:t>竞争性比选</w:t>
      </w:r>
      <w:r>
        <w:rPr>
          <w:rFonts w:hint="eastAsia" w:ascii="方正仿宋_GBK" w:hAnsi="方正仿宋_GBK" w:eastAsia="方正仿宋_GBK" w:cs="方正仿宋_GBK"/>
          <w:color w:val="auto"/>
          <w:sz w:val="32"/>
          <w:szCs w:val="32"/>
          <w:highlight w:val="none"/>
          <w:lang w:val="en-US" w:eastAsia="zh-CN"/>
        </w:rPr>
        <w:t>报价</w:t>
      </w:r>
      <w:r>
        <w:rPr>
          <w:rFonts w:hint="eastAsia" w:ascii="方正仿宋_GBK" w:hAnsi="方正仿宋_GBK" w:eastAsia="方正仿宋_GBK" w:cs="方正仿宋_GBK"/>
          <w:color w:val="auto"/>
          <w:sz w:val="32"/>
          <w:szCs w:val="32"/>
          <w:highlight w:val="none"/>
        </w:rPr>
        <w:t>文件均只能作一次性提交，提交后不得更改</w:t>
      </w:r>
      <w:r>
        <w:rPr>
          <w:rFonts w:hint="eastAsia" w:ascii="方正仿宋_GBK" w:hAnsi="方正仿宋_GBK" w:eastAsia="方正仿宋_GBK" w:cs="方正仿宋_GBK"/>
          <w:color w:val="auto"/>
          <w:sz w:val="32"/>
          <w:szCs w:val="32"/>
          <w:highlight w:val="none"/>
          <w:lang w:eastAsia="zh-CN"/>
        </w:rPr>
        <w:t>。</w:t>
      </w:r>
    </w:p>
    <w:p>
      <w:pPr>
        <w:spacing w:line="360" w:lineRule="auto"/>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、开标与评标</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b/>
          <w:bCs/>
          <w:color w:val="FF0000"/>
          <w:sz w:val="32"/>
          <w:szCs w:val="32"/>
        </w:rPr>
        <w:t xml:space="preserve"> </w:t>
      </w:r>
      <w:r>
        <w:rPr>
          <w:rFonts w:hint="eastAsia" w:ascii="方正仿宋_GBK" w:hAnsi="方正仿宋_GBK" w:eastAsia="方正仿宋_GBK" w:cs="方正仿宋_GBK"/>
          <w:b/>
          <w:bCs/>
          <w:color w:val="auto"/>
          <w:sz w:val="32"/>
          <w:szCs w:val="32"/>
          <w:u w:val="single"/>
        </w:rPr>
        <w:t>20</w:t>
      </w:r>
      <w:r>
        <w:rPr>
          <w:rFonts w:hint="eastAsia" w:ascii="方正仿宋_GBK" w:hAnsi="方正仿宋_GBK" w:eastAsia="方正仿宋_GBK" w:cs="方正仿宋_GBK"/>
          <w:b/>
          <w:bCs/>
          <w:color w:val="auto"/>
          <w:sz w:val="32"/>
          <w:szCs w:val="32"/>
          <w:u w:val="single"/>
          <w:lang w:val="en-US" w:eastAsia="zh-CN"/>
        </w:rPr>
        <w:t>22</w:t>
      </w:r>
      <w:r>
        <w:rPr>
          <w:rFonts w:hint="eastAsia" w:ascii="方正仿宋_GBK" w:hAnsi="方正仿宋_GBK" w:eastAsia="方正仿宋_GBK" w:cs="方正仿宋_GBK"/>
          <w:b/>
          <w:bCs/>
          <w:color w:val="auto"/>
          <w:sz w:val="32"/>
          <w:szCs w:val="32"/>
          <w:u w:val="single"/>
        </w:rPr>
        <w:t>年</w:t>
      </w:r>
      <w:r>
        <w:rPr>
          <w:rFonts w:hint="eastAsia" w:ascii="方正仿宋_GBK" w:hAnsi="方正仿宋_GBK" w:eastAsia="方正仿宋_GBK" w:cs="方正仿宋_GBK"/>
          <w:b/>
          <w:bCs/>
          <w:color w:val="auto"/>
          <w:sz w:val="32"/>
          <w:szCs w:val="32"/>
          <w:u w:val="single"/>
          <w:lang w:val="en-US" w:eastAsia="zh-CN"/>
        </w:rPr>
        <w:t>3</w:t>
      </w:r>
      <w:r>
        <w:rPr>
          <w:rFonts w:hint="eastAsia" w:ascii="方正仿宋_GBK" w:hAnsi="方正仿宋_GBK" w:eastAsia="方正仿宋_GBK" w:cs="方正仿宋_GBK"/>
          <w:b/>
          <w:bCs/>
          <w:color w:val="auto"/>
          <w:sz w:val="32"/>
          <w:szCs w:val="32"/>
          <w:u w:val="single"/>
        </w:rPr>
        <w:t>月</w:t>
      </w:r>
      <w:r>
        <w:rPr>
          <w:rFonts w:hint="eastAsia" w:ascii="方正仿宋_GBK" w:hAnsi="方正仿宋_GBK" w:eastAsia="方正仿宋_GBK" w:cs="方正仿宋_GBK"/>
          <w:b/>
          <w:bCs/>
          <w:color w:val="auto"/>
          <w:sz w:val="32"/>
          <w:szCs w:val="32"/>
          <w:u w:val="single"/>
          <w:lang w:val="en-US" w:eastAsia="zh-CN"/>
        </w:rPr>
        <w:t>11</w:t>
      </w:r>
      <w:r>
        <w:rPr>
          <w:rFonts w:hint="eastAsia" w:ascii="方正仿宋_GBK" w:hAnsi="方正仿宋_GBK" w:eastAsia="方正仿宋_GBK" w:cs="方正仿宋_GBK"/>
          <w:b/>
          <w:bCs/>
          <w:color w:val="auto"/>
          <w:sz w:val="32"/>
          <w:szCs w:val="32"/>
          <w:u w:val="single"/>
        </w:rPr>
        <w:t>日</w:t>
      </w:r>
      <w:r>
        <w:rPr>
          <w:rFonts w:hint="eastAsia" w:ascii="方正仿宋_GBK" w:hAnsi="方正仿宋_GBK" w:eastAsia="方正仿宋_GBK" w:cs="方正仿宋_GBK"/>
          <w:b/>
          <w:bCs/>
          <w:color w:val="auto"/>
          <w:sz w:val="32"/>
          <w:szCs w:val="32"/>
          <w:u w:val="single"/>
          <w:lang w:eastAsia="zh-CN"/>
        </w:rPr>
        <w:t>上午</w:t>
      </w:r>
      <w:r>
        <w:rPr>
          <w:rFonts w:hint="eastAsia" w:ascii="方正仿宋_GBK" w:hAnsi="方正仿宋_GBK" w:eastAsia="方正仿宋_GBK" w:cs="方正仿宋_GBK"/>
          <w:b/>
          <w:bCs/>
          <w:color w:val="auto"/>
          <w:sz w:val="32"/>
          <w:szCs w:val="32"/>
          <w:u w:val="single"/>
          <w:lang w:val="en-US" w:eastAsia="zh-CN"/>
        </w:rPr>
        <w:t xml:space="preserve">10:30 </w:t>
      </w:r>
      <w:r>
        <w:rPr>
          <w:rFonts w:hint="eastAsia" w:ascii="方正仿宋_GBK" w:hAnsi="方正仿宋_GBK" w:eastAsia="方正仿宋_GBK" w:cs="方正仿宋_GBK"/>
          <w:sz w:val="32"/>
          <w:szCs w:val="32"/>
        </w:rPr>
        <w:t>。</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开标地点：</w:t>
      </w:r>
      <w:r>
        <w:rPr>
          <w:rFonts w:hint="eastAsia" w:ascii="方正仿宋_GBK" w:hAnsi="方正仿宋_GBK" w:eastAsia="方正仿宋_GBK" w:cs="方正仿宋_GBK"/>
          <w:b/>
          <w:bCs/>
          <w:sz w:val="32"/>
          <w:szCs w:val="32"/>
          <w:u w:val="single"/>
        </w:rPr>
        <w:t>重庆</w:t>
      </w:r>
      <w:r>
        <w:rPr>
          <w:rFonts w:hint="eastAsia" w:ascii="方正仿宋_GBK" w:hAnsi="方正仿宋_GBK" w:eastAsia="方正仿宋_GBK" w:cs="方正仿宋_GBK"/>
          <w:b/>
          <w:bCs/>
          <w:color w:val="auto"/>
          <w:sz w:val="32"/>
          <w:szCs w:val="32"/>
          <w:highlight w:val="none"/>
          <w:u w:val="single"/>
          <w:lang w:val="en-US" w:eastAsia="zh-CN"/>
        </w:rPr>
        <w:t>安源金属制造</w:t>
      </w:r>
      <w:r>
        <w:rPr>
          <w:rFonts w:hint="eastAsia" w:ascii="方正仿宋_GBK" w:hAnsi="方正仿宋_GBK" w:eastAsia="方正仿宋_GBK" w:cs="方正仿宋_GBK"/>
          <w:b/>
          <w:bCs/>
          <w:sz w:val="32"/>
          <w:szCs w:val="32"/>
          <w:u w:val="single"/>
        </w:rPr>
        <w:t>有限公司</w:t>
      </w:r>
      <w:r>
        <w:rPr>
          <w:rFonts w:hint="eastAsia" w:ascii="方正仿宋_GBK" w:hAnsi="方正仿宋_GBK" w:eastAsia="方正仿宋_GBK" w:cs="方正仿宋_GBK"/>
          <w:b/>
          <w:bCs/>
          <w:sz w:val="32"/>
          <w:szCs w:val="32"/>
          <w:u w:val="single"/>
          <w:lang w:val="en-US" w:eastAsia="zh-CN"/>
        </w:rPr>
        <w:t>办公楼102</w:t>
      </w:r>
      <w:r>
        <w:rPr>
          <w:rFonts w:hint="eastAsia" w:ascii="方正仿宋_GBK" w:hAnsi="方正仿宋_GBK" w:eastAsia="方正仿宋_GBK" w:cs="方正仿宋_GBK"/>
          <w:b/>
          <w:bCs/>
          <w:sz w:val="32"/>
          <w:szCs w:val="32"/>
          <w:u w:val="single"/>
        </w:rPr>
        <w:t>会议室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lang w:val="en-US" w:eastAsia="zh-CN"/>
        </w:rPr>
        <w:t>开标程序：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从递交报价文件开始至开标结束全程录像。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每家报价单位只能由法定代表人或被授权代理人1人进入报价开标室，并提供本人身份证、法定代表人身份证明（原件盖章）或授权委托书（原件盖章）、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报价文件递交截止时间一到，现场工作人员立即关闭102会议室大门，不再接受报价人入场报价。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在开标时间一到，开标小组随机邀请三名报价代表查验报价文件密封情况，无异议后当众开标、唱标并填写开标记录表。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开标结束后，各报价代表在开标记录表上签字确认。开标小组将报价文件装箱贴封条密封盖章，交综合办监督人员保管，待评标时由评标小组成员一起检查、开封。</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评标时间：开标结束2个工作日内，安源公司组织评标小组进行评标。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2. 评标方法：本次采用经评审的最低价投标法，</w:t>
      </w:r>
      <w:r>
        <w:rPr>
          <w:rFonts w:hint="eastAsia" w:ascii="方正仿宋_GBK" w:hAnsi="方正仿宋_GBK" w:eastAsia="方正仿宋_GBK" w:cs="方正仿宋_GBK"/>
          <w:sz w:val="32"/>
          <w:szCs w:val="32"/>
          <w:lang w:eastAsia="zh-CN"/>
        </w:rPr>
        <w:t>在满足比选文件所有要求的前提下，评标委员会按报价由</w:t>
      </w:r>
      <w:r>
        <w:rPr>
          <w:rFonts w:hint="eastAsia" w:ascii="方正仿宋_GBK" w:hAnsi="方正仿宋_GBK" w:eastAsia="方正仿宋_GBK" w:cs="方正仿宋_GBK"/>
          <w:sz w:val="32"/>
          <w:szCs w:val="32"/>
          <w:lang w:val="en-US" w:eastAsia="zh-CN"/>
        </w:rPr>
        <w:t>低</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高</w:t>
      </w:r>
      <w:r>
        <w:rPr>
          <w:rFonts w:hint="eastAsia" w:ascii="方正仿宋_GBK" w:hAnsi="方正仿宋_GBK" w:eastAsia="方正仿宋_GBK" w:cs="方正仿宋_GBK"/>
          <w:sz w:val="32"/>
          <w:szCs w:val="32"/>
          <w:lang w:eastAsia="zh-CN"/>
        </w:rPr>
        <w:t>的顺序推荐中标候选人。</w:t>
      </w:r>
    </w:p>
    <w:p>
      <w:pPr>
        <w:keepNext w:val="0"/>
        <w:keepLines w:val="0"/>
        <w:pageBreakBefore w:val="0"/>
        <w:widowControl w:val="0"/>
        <w:numPr>
          <w:ilvl w:val="0"/>
          <w:numId w:val="0"/>
        </w:numPr>
        <w:kinsoku w:val="0"/>
        <w:wordWrap/>
        <w:overflowPunct/>
        <w:topLinePunct w:val="0"/>
        <w:autoSpaceDE/>
        <w:autoSpaceDN/>
        <w:bidi w:val="0"/>
        <w:adjustRightInd/>
        <w:snapToGrid/>
        <w:spacing w:line="520" w:lineRule="exact"/>
        <w:ind w:right="0" w:rightChars="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（五）评标结果公示：比选</w:t>
      </w:r>
      <w:r>
        <w:rPr>
          <w:rFonts w:hint="eastAsia" w:ascii="方正仿宋_GBK" w:hAnsi="方正仿宋_GBK" w:eastAsia="方正仿宋_GBK" w:cs="方正仿宋_GBK"/>
          <w:color w:val="auto"/>
          <w:sz w:val="32"/>
          <w:szCs w:val="32"/>
          <w:highlight w:val="none"/>
          <w:lang w:eastAsia="zh-CN"/>
        </w:rPr>
        <w:t>结果将在重庆高速集团官网（http://www.cegc.com.cn/gw/newsInfoMenu.html?id=42&amp;key=2）</w:t>
      </w:r>
      <w:r>
        <w:rPr>
          <w:rFonts w:hint="eastAsia" w:ascii="方正仿宋_GBK" w:hAnsi="方正仿宋_GBK" w:eastAsia="方正仿宋_GBK" w:cs="方正仿宋_GBK"/>
          <w:color w:val="auto"/>
          <w:sz w:val="32"/>
          <w:szCs w:val="32"/>
          <w:highlight w:val="none"/>
        </w:rPr>
        <w:t>上</w:t>
      </w:r>
      <w:r>
        <w:rPr>
          <w:rFonts w:hint="eastAsia" w:ascii="方正仿宋_GBK" w:hAnsi="方正仿宋_GBK" w:eastAsia="方正仿宋_GBK" w:cs="方正仿宋_GBK"/>
          <w:color w:val="auto"/>
          <w:sz w:val="32"/>
          <w:szCs w:val="32"/>
          <w:highlight w:val="none"/>
          <w:lang w:eastAsia="zh-CN"/>
        </w:rPr>
        <w:t>发布</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合同的授予和拒绝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评标结果</w:t>
      </w:r>
      <w:r>
        <w:rPr>
          <w:rFonts w:hint="eastAsia" w:ascii="方正仿宋_GBK" w:hAnsi="方正仿宋_GBK" w:eastAsia="方正仿宋_GBK" w:cs="方正仿宋_GBK"/>
          <w:color w:val="auto"/>
          <w:sz w:val="32"/>
          <w:szCs w:val="32"/>
          <w:highlight w:val="none"/>
          <w:lang w:val="en-US" w:eastAsia="zh-CN"/>
        </w:rPr>
        <w:t>公示期满后2个工作日内向中标人签发中标通知书。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中标人应在签收中标通知书后5个工作日内与重庆安全产业发展集团有限公司签定合同，投标保证金转为履约保证金。</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lang w:val="en-US"/>
        </w:rPr>
      </w:pPr>
      <w:r>
        <w:rPr>
          <w:rFonts w:hint="eastAsia" w:ascii="方正仿宋_GBK" w:hAnsi="方正仿宋_GBK" w:eastAsia="方正仿宋_GBK" w:cs="方正仿宋_GBK"/>
          <w:color w:val="auto"/>
          <w:sz w:val="32"/>
          <w:szCs w:val="32"/>
          <w:highlight w:val="none"/>
          <w:lang w:val="en-US" w:eastAsia="zh-CN"/>
        </w:rPr>
        <w:t xml:space="preserve">    3. 中标人须在签订合同后30天内完成合同的履行。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 </w:t>
      </w:r>
      <w:r>
        <w:rPr>
          <w:rFonts w:hint="eastAsia" w:ascii="方正仿宋_GBK" w:hAnsi="方正仿宋_GBK" w:eastAsia="方正仿宋_GBK" w:cs="方正仿宋_GBK"/>
          <w:sz w:val="32"/>
          <w:szCs w:val="32"/>
        </w:rPr>
        <w:t>报价人应该理解，</w:t>
      </w:r>
      <w:r>
        <w:rPr>
          <w:rFonts w:hint="eastAsia" w:ascii="方正仿宋_GBK" w:hAnsi="方正仿宋_GBK" w:eastAsia="方正仿宋_GBK" w:cs="方正仿宋_GBK"/>
          <w:sz w:val="32"/>
          <w:szCs w:val="32"/>
          <w:lang w:val="en-US" w:eastAsia="zh-CN"/>
        </w:rPr>
        <w:t>资产业主方</w:t>
      </w:r>
      <w:r>
        <w:rPr>
          <w:rFonts w:hint="eastAsia" w:ascii="方正仿宋_GBK" w:hAnsi="方正仿宋_GBK" w:eastAsia="方正仿宋_GBK" w:cs="方正仿宋_GBK"/>
          <w:sz w:val="32"/>
          <w:szCs w:val="32"/>
        </w:rPr>
        <w:t>有权将合同授予任何一位投报价人，也有权拒绝任何报价人，且并不需要就任何原因向报价人作出解释。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七、报价文件有效期</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递交报价文件截止日期起120天内有效</w:t>
      </w:r>
      <w:r>
        <w:rPr>
          <w:rFonts w:hint="eastAsia" w:ascii="方正仿宋_GBK" w:hAnsi="方正仿宋_GBK" w:eastAsia="方正仿宋_GBK" w:cs="方正仿宋_GBK"/>
          <w:sz w:val="32"/>
          <w:szCs w:val="32"/>
          <w:lang w:eastAsia="zh-CN"/>
        </w:rPr>
        <w:t>。</w:t>
      </w:r>
    </w:p>
    <w:p>
      <w:pPr>
        <w:pStyle w:val="2"/>
        <w:rPr>
          <w:rFonts w:hint="eastAsia"/>
          <w:lang w:val="en-US" w:eastAsia="zh-CN"/>
        </w:rPr>
      </w:pPr>
    </w:p>
    <w:p>
      <w:pPr>
        <w:pStyle w:val="2"/>
        <w:widowControl w:val="0"/>
        <w:numPr>
          <w:ilvl w:val="0"/>
          <w:numId w:val="0"/>
        </w:numPr>
        <w:jc w:val="both"/>
        <w:rPr>
          <w:rFonts w:hint="eastAsia" w:ascii="方正小标宋_GBK" w:hAnsi="方正小标宋_GBK" w:eastAsia="方正小标宋_GBK" w:cs="方正小标宋_GBK"/>
          <w:sz w:val="32"/>
          <w:szCs w:val="32"/>
          <w:lang w:val="en-US" w:eastAsia="zh-CN"/>
        </w:rPr>
      </w:pPr>
    </w:p>
    <w:p>
      <w:pPr>
        <w:pStyle w:val="2"/>
        <w:widowControl w:val="0"/>
        <w:numPr>
          <w:ilvl w:val="0"/>
          <w:numId w:val="0"/>
        </w:numPr>
        <w:jc w:val="center"/>
        <w:rPr>
          <w:rFonts w:hint="eastAsia" w:ascii="方正小标宋_GBK" w:hAnsi="方正小标宋_GBK" w:eastAsia="方正小标宋_GBK" w:cs="方正小标宋_GBK"/>
          <w:sz w:val="32"/>
          <w:szCs w:val="32"/>
          <w:lang w:val="en-US" w:eastAsia="zh-CN"/>
        </w:rPr>
      </w:pPr>
    </w:p>
    <w:p>
      <w:pPr>
        <w:pStyle w:val="2"/>
        <w:widowControl w:val="0"/>
        <w:numPr>
          <w:ilvl w:val="0"/>
          <w:numId w:val="0"/>
        </w:num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第三章  报价文件格式</w:t>
      </w:r>
    </w:p>
    <w:p>
      <w:pPr>
        <w:pStyle w:val="12"/>
        <w:rPr>
          <w:rFonts w:hint="eastAsia" w:ascii="宋体" w:hAnsi="宋体" w:cs="宋体"/>
          <w:color w:val="auto"/>
          <w:sz w:val="24"/>
          <w:szCs w:val="24"/>
          <w:highlight w:val="none"/>
          <w:lang w:val="en-US" w:eastAsia="zh-CN"/>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eastAsia="zh-CN"/>
        </w:rPr>
      </w:pPr>
      <w:r>
        <w:rPr>
          <w:rFonts w:hint="eastAsia" w:ascii="方正小标宋_GBK" w:hAnsi="方正小标宋_GBK" w:eastAsia="方正小标宋_GBK" w:cs="方正小标宋_GBK"/>
          <w:b w:val="0"/>
          <w:bCs/>
          <w:sz w:val="44"/>
          <w:szCs w:val="32"/>
          <w:lang w:val="en-US" w:eastAsia="zh-CN"/>
        </w:rPr>
        <w:t>报废液氨瓶处置</w:t>
      </w:r>
    </w:p>
    <w:p>
      <w:pPr>
        <w:pStyle w:val="2"/>
        <w:ind w:left="0" w:leftChars="0" w:firstLine="0" w:firstLineChars="0"/>
        <w:jc w:val="center"/>
        <w:rPr>
          <w:rFonts w:hint="eastAsia"/>
        </w:rPr>
      </w:pPr>
    </w:p>
    <w:p>
      <w:pPr>
        <w:ind w:firstLine="562"/>
        <w:jc w:val="center"/>
        <w:rPr>
          <w:rFonts w:ascii="仿宋" w:hAnsi="仿宋" w:eastAsia="仿宋" w:cs="仿宋"/>
          <w:b/>
          <w:sz w:val="28"/>
          <w:szCs w:val="28"/>
        </w:rPr>
      </w:pPr>
    </w:p>
    <w:p>
      <w:pPr>
        <w:ind w:firstLine="562"/>
        <w:jc w:val="center"/>
        <w:rPr>
          <w:rFonts w:ascii="仿宋" w:hAnsi="仿宋" w:eastAsia="仿宋" w:cs="仿宋"/>
          <w:b/>
          <w:sz w:val="28"/>
          <w:szCs w:val="28"/>
          <w:u w:val="single"/>
        </w:rPr>
      </w:pPr>
    </w:p>
    <w:p>
      <w:pPr>
        <w:ind w:firstLine="883"/>
        <w:jc w:val="center"/>
        <w:rPr>
          <w:rFonts w:ascii="仿宋" w:hAnsi="仿宋" w:eastAsia="仿宋" w:cs="仿宋"/>
          <w:b/>
          <w:sz w:val="44"/>
          <w:szCs w:val="44"/>
        </w:rPr>
      </w:pPr>
    </w:p>
    <w:p>
      <w:pPr>
        <w:jc w:val="center"/>
        <w:rPr>
          <w:rFonts w:hint="eastAsia" w:ascii="方正小标宋_GBK" w:hAnsi="方正小标宋_GBK" w:eastAsia="方正小标宋_GBK" w:cs="方正小标宋_GBK"/>
          <w:b w:val="0"/>
          <w:bCs/>
          <w:sz w:val="52"/>
          <w:szCs w:val="52"/>
        </w:rPr>
      </w:pPr>
    </w:p>
    <w:p>
      <w:pPr>
        <w:jc w:val="center"/>
        <w:rPr>
          <w:rFonts w:ascii="仿宋" w:hAnsi="仿宋" w:eastAsia="仿宋" w:cs="仿宋"/>
          <w:b/>
          <w:sz w:val="52"/>
          <w:szCs w:val="52"/>
        </w:rPr>
      </w:pPr>
      <w:r>
        <w:rPr>
          <w:rFonts w:hint="eastAsia" w:ascii="方正小标宋_GBK" w:hAnsi="方正小标宋_GBK" w:eastAsia="方正小标宋_GBK" w:cs="方正小标宋_GBK"/>
          <w:b w:val="0"/>
          <w:bCs/>
          <w:sz w:val="52"/>
          <w:szCs w:val="52"/>
          <w:lang w:val="en-US" w:eastAsia="zh-CN"/>
        </w:rPr>
        <w:t>竞争性比选</w:t>
      </w:r>
      <w:bookmarkStart w:id="4" w:name="_Toc5613"/>
      <w:r>
        <w:rPr>
          <w:rFonts w:hint="eastAsia" w:ascii="方正小标宋_GBK" w:hAnsi="方正小标宋_GBK" w:eastAsia="方正小标宋_GBK" w:cs="方正小标宋_GBK"/>
          <w:b w:val="0"/>
          <w:bCs/>
          <w:sz w:val="52"/>
          <w:szCs w:val="52"/>
        </w:rPr>
        <w:t>报价文件</w:t>
      </w:r>
      <w:bookmarkEnd w:id="4"/>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spacing w:line="480" w:lineRule="auto"/>
        <w:ind w:firstLine="562"/>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 xml:space="preserve"> 报价人：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（盖单位章）</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法定代表人或其委托代理人：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（签字）</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月</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日</w:t>
      </w:r>
    </w:p>
    <w:p>
      <w:pPr>
        <w:spacing w:line="480" w:lineRule="auto"/>
        <w:jc w:val="center"/>
        <w:rPr>
          <w:rFonts w:hint="eastAsia" w:ascii="方正小标宋_GBK" w:hAnsi="方正小标宋_GBK" w:eastAsia="方正小标宋_GBK" w:cs="方正小标宋_GBK"/>
          <w:b w:val="0"/>
          <w:bCs w:val="0"/>
          <w:sz w:val="44"/>
          <w:szCs w:val="44"/>
        </w:rPr>
      </w:pPr>
      <w:bookmarkStart w:id="5" w:name="_Toc26336"/>
      <w:bookmarkStart w:id="6" w:name="_Toc144974856"/>
      <w:bookmarkStart w:id="7" w:name="_Toc380914982"/>
      <w:bookmarkStart w:id="8" w:name="_Toc238552299"/>
      <w:bookmarkStart w:id="9" w:name="_Toc17841"/>
      <w:bookmarkStart w:id="10" w:name="_Toc152045787"/>
      <w:bookmarkStart w:id="11" w:name="_Toc238797661"/>
      <w:bookmarkStart w:id="12" w:name="_Toc152042576"/>
      <w:bookmarkStart w:id="13" w:name="_Toc457401227"/>
      <w:bookmarkStart w:id="14" w:name="_Toc367640205"/>
      <w:bookmarkStart w:id="15" w:name="_Toc26003"/>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bookmarkEnd w:id="5"/>
      <w:bookmarkEnd w:id="6"/>
      <w:bookmarkEnd w:id="7"/>
      <w:bookmarkEnd w:id="8"/>
      <w:bookmarkEnd w:id="9"/>
      <w:bookmarkEnd w:id="10"/>
      <w:bookmarkEnd w:id="11"/>
      <w:bookmarkEnd w:id="12"/>
      <w:bookmarkEnd w:id="13"/>
      <w:bookmarkEnd w:id="14"/>
      <w:bookmarkEnd w:id="15"/>
    </w:p>
    <w:p>
      <w:pPr>
        <w:spacing w:line="540" w:lineRule="exact"/>
        <w:ind w:firstLine="420"/>
        <w:rPr>
          <w:rFonts w:hint="eastAsia" w:ascii="方正仿宋_GBK" w:hAnsi="方正仿宋_GBK" w:eastAsia="方正仿宋_GBK" w:cs="方正仿宋_GBK"/>
          <w:sz w:val="32"/>
          <w:szCs w:val="32"/>
        </w:rPr>
      </w:pP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3.授权委托书</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保证金</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5.资格审查资料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6.报价资料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7.其他材料</w:t>
      </w:r>
    </w:p>
    <w:p>
      <w:pPr>
        <w:pStyle w:val="12"/>
      </w:pPr>
    </w:p>
    <w:p>
      <w:pPr>
        <w:pStyle w:val="1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spacing w:line="480" w:lineRule="auto"/>
        <w:jc w:val="center"/>
        <w:outlineLvl w:val="1"/>
        <w:rPr>
          <w:rFonts w:hint="eastAsia" w:ascii="仿宋" w:hAnsi="仿宋" w:eastAsia="仿宋" w:cs="仿宋"/>
          <w:b/>
          <w:bCs/>
          <w:sz w:val="24"/>
        </w:rPr>
      </w:pPr>
      <w:bookmarkStart w:id="16" w:name="_Toc17650"/>
      <w:bookmarkStart w:id="17" w:name="_Toc457401228"/>
      <w:bookmarkStart w:id="18" w:name="_Toc144974857"/>
      <w:bookmarkStart w:id="19" w:name="_Toc238797662"/>
      <w:bookmarkStart w:id="20" w:name="_Toc367640206"/>
      <w:bookmarkStart w:id="21" w:name="_Toc380914983"/>
      <w:bookmarkStart w:id="22" w:name="_Toc152042577"/>
      <w:bookmarkStart w:id="23" w:name="_Toc8200"/>
      <w:bookmarkStart w:id="24" w:name="_Toc238552300"/>
      <w:bookmarkStart w:id="25" w:name="_Toc26735"/>
      <w:bookmarkStart w:id="26" w:name="_Toc152045788"/>
      <w:bookmarkStart w:id="27" w:name="_Toc7825"/>
    </w:p>
    <w:p>
      <w:pPr>
        <w:spacing w:line="480" w:lineRule="auto"/>
        <w:jc w:val="center"/>
        <w:outlineLvl w:val="1"/>
        <w:rPr>
          <w:rFonts w:hint="eastAsia" w:ascii="仿宋" w:hAnsi="仿宋" w:eastAsia="仿宋" w:cs="仿宋"/>
          <w:b/>
          <w:bCs/>
          <w:sz w:val="24"/>
        </w:rPr>
      </w:pPr>
    </w:p>
    <w:p>
      <w:pPr>
        <w:spacing w:line="480" w:lineRule="auto"/>
        <w:jc w:val="center"/>
        <w:outlineLvl w:val="1"/>
        <w:rPr>
          <w:rFonts w:ascii="仿宋" w:hAnsi="仿宋" w:eastAsia="仿宋" w:cs="仿宋"/>
          <w:b/>
          <w:bCs/>
          <w:sz w:val="24"/>
        </w:rPr>
      </w:pPr>
      <w:r>
        <w:rPr>
          <w:rFonts w:hint="eastAsia" w:ascii="仿宋" w:hAnsi="仿宋" w:eastAsia="仿宋" w:cs="仿宋"/>
          <w:b/>
          <w:bCs/>
          <w:sz w:val="24"/>
        </w:rPr>
        <w:t>1.报价函</w:t>
      </w:r>
      <w:bookmarkEnd w:id="16"/>
      <w:bookmarkEnd w:id="17"/>
      <w:bookmarkEnd w:id="18"/>
      <w:bookmarkEnd w:id="19"/>
      <w:bookmarkEnd w:id="20"/>
      <w:bookmarkEnd w:id="21"/>
      <w:bookmarkEnd w:id="22"/>
      <w:bookmarkEnd w:id="23"/>
      <w:bookmarkEnd w:id="24"/>
      <w:bookmarkEnd w:id="25"/>
      <w:bookmarkEnd w:id="26"/>
      <w:bookmarkEnd w:id="27"/>
    </w:p>
    <w:p>
      <w:pPr>
        <w:spacing w:line="440" w:lineRule="exact"/>
        <w:ind w:firstLine="2700" w:firstLineChars="1350"/>
        <w:rPr>
          <w:rFonts w:ascii="宋体" w:hAnsi="宋体"/>
          <w:sz w:val="20"/>
          <w:szCs w:val="20"/>
        </w:rPr>
      </w:pPr>
    </w:p>
    <w:p>
      <w:pPr>
        <w:pStyle w:val="5"/>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重庆安源金属制造有限公司</w:t>
      </w:r>
      <w:r>
        <w:rPr>
          <w:rFonts w:hint="eastAsia" w:ascii="仿宋" w:hAnsi="仿宋" w:eastAsia="仿宋" w:cs="仿宋"/>
          <w:sz w:val="24"/>
          <w:szCs w:val="24"/>
          <w:lang w:val="en-US" w:eastAsia="zh-CN"/>
        </w:rPr>
        <w:t>（受托处置方</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我方已经仔细阅读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比选</w:t>
      </w:r>
      <w:r>
        <w:rPr>
          <w:rFonts w:hint="eastAsia" w:ascii="仿宋" w:hAnsi="仿宋" w:eastAsia="仿宋" w:cs="仿宋"/>
          <w:sz w:val="24"/>
          <w:szCs w:val="24"/>
        </w:rPr>
        <w:t>文件，我方同意</w:t>
      </w:r>
      <w:r>
        <w:rPr>
          <w:rFonts w:hint="eastAsia" w:ascii="仿宋" w:hAnsi="仿宋" w:eastAsia="仿宋" w:cs="仿宋"/>
          <w:sz w:val="24"/>
          <w:szCs w:val="24"/>
          <w:lang w:val="en-US" w:eastAsia="zh-CN"/>
        </w:rPr>
        <w:t>资产业主方及比选代理</w:t>
      </w:r>
      <w:r>
        <w:rPr>
          <w:rFonts w:hint="eastAsia" w:ascii="仿宋" w:hAnsi="仿宋" w:eastAsia="仿宋" w:cs="仿宋"/>
          <w:sz w:val="24"/>
          <w:szCs w:val="24"/>
        </w:rPr>
        <w:t>人在</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文件中对我方的约束。我方愿意参加</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）的报价，并已按照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文件中要求的内容和格式充分、如实、准确地向贵方递交报价文件（一份），若中选，我方将以此作为</w:t>
      </w:r>
      <w:r>
        <w:rPr>
          <w:rFonts w:hint="eastAsia" w:ascii="仿宋" w:hAnsi="仿宋" w:eastAsia="仿宋" w:cs="仿宋"/>
          <w:sz w:val="24"/>
          <w:szCs w:val="24"/>
          <w:lang w:val="en-US" w:eastAsia="zh-CN"/>
        </w:rPr>
        <w:t>本次报废资产处置</w:t>
      </w:r>
      <w:r>
        <w:rPr>
          <w:rFonts w:hint="eastAsia" w:ascii="仿宋" w:hAnsi="仿宋" w:eastAsia="仿宋" w:cs="仿宋"/>
          <w:sz w:val="24"/>
          <w:szCs w:val="24"/>
        </w:rPr>
        <w:t>必须严格遵循的合同条件的组成部分,并愿以与报价表相一致的合价总计人民币（小写）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元整（大写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仿宋" w:hAnsi="仿宋" w:eastAsia="仿宋" w:cs="仿宋"/>
          <w:sz w:val="24"/>
          <w:szCs w:val="24"/>
          <w:lang w:val="en-US" w:eastAsia="zh-CN"/>
        </w:rPr>
        <w:t>处置该报废资产</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我方将按照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文件的要求，提供并交付与其相一致的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（货款或</w:t>
      </w:r>
      <w:r>
        <w:rPr>
          <w:rFonts w:hint="eastAsia" w:ascii="仿宋" w:hAnsi="仿宋" w:eastAsia="仿宋" w:cs="仿宋"/>
          <w:sz w:val="24"/>
          <w:szCs w:val="24"/>
        </w:rPr>
        <w:t>服务</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我方承诺，</w:t>
      </w:r>
      <w:r>
        <w:rPr>
          <w:rFonts w:hint="eastAsia" w:ascii="仿宋" w:hAnsi="仿宋" w:eastAsia="仿宋" w:cs="仿宋"/>
          <w:sz w:val="24"/>
          <w:szCs w:val="24"/>
          <w:lang w:val="en-US" w:eastAsia="zh-CN"/>
        </w:rPr>
        <w:t>若因出现两家以上相同报价需后续竞价，则</w:t>
      </w:r>
      <w:r>
        <w:rPr>
          <w:rFonts w:hint="eastAsia" w:ascii="仿宋" w:hAnsi="仿宋" w:eastAsia="仿宋" w:cs="仿宋"/>
          <w:sz w:val="24"/>
          <w:szCs w:val="24"/>
        </w:rPr>
        <w:t>最终报价以最后一轮报价为准。</w:t>
      </w:r>
      <w:r>
        <w:rPr>
          <w:rFonts w:hint="eastAsia" w:ascii="仿宋" w:hAnsi="仿宋" w:eastAsia="仿宋" w:cs="仿宋"/>
          <w:sz w:val="24"/>
          <w:szCs w:val="24"/>
          <w:lang w:val="en-US" w:eastAsia="zh-CN"/>
        </w:rPr>
        <w:t>若无需后续竞价，则本报价文件的报价为最终报价。</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我方保证，如果我方的报价文件被接受，将严格执行</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文件中的各项条款，认真履行</w:t>
      </w:r>
      <w:r>
        <w:rPr>
          <w:rFonts w:hint="eastAsia" w:ascii="仿宋" w:hAnsi="仿宋" w:eastAsia="仿宋" w:cs="仿宋"/>
          <w:sz w:val="24"/>
          <w:szCs w:val="24"/>
          <w:lang w:val="en-US" w:eastAsia="zh-CN"/>
        </w:rPr>
        <w:t>我方承诺</w:t>
      </w:r>
      <w:r>
        <w:rPr>
          <w:rFonts w:hint="eastAsia" w:ascii="仿宋" w:hAnsi="仿宋" w:eastAsia="仿宋" w:cs="仿宋"/>
          <w:sz w:val="24"/>
          <w:szCs w:val="24"/>
        </w:rPr>
        <w:t>的责任及义务，兑现我方报价文件中提出的各项承诺。</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同意报价文件在规定的递交报价文件截止日期起120天内有效，对我方具有约束力，并可随时接受中选。我方慎重保证，报价文件的所有内容及提供给采购人的所有证明文件和资料是真实的、准确的，一旦发现上述资料和信息的失实和错误，贵方将有权宣布本单位报价文件作废。</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在正式合同准备签订或执行之前，本报价函、</w:t>
      </w:r>
      <w:r>
        <w:rPr>
          <w:rFonts w:hint="eastAsia" w:ascii="仿宋" w:hAnsi="仿宋" w:eastAsia="仿宋" w:cs="仿宋"/>
          <w:sz w:val="24"/>
          <w:szCs w:val="24"/>
          <w:lang w:val="en-US" w:eastAsia="zh-CN"/>
        </w:rPr>
        <w:t>资产业主方（或受托处置方）</w:t>
      </w:r>
      <w:r>
        <w:rPr>
          <w:rFonts w:hint="eastAsia" w:ascii="仿宋" w:hAnsi="仿宋" w:eastAsia="仿宋" w:cs="仿宋"/>
          <w:sz w:val="24"/>
          <w:szCs w:val="24"/>
        </w:rPr>
        <w:t>的书面通知及签约通知书将构成约束我</w:t>
      </w:r>
      <w:r>
        <w:rPr>
          <w:rFonts w:hint="eastAsia" w:ascii="仿宋" w:hAnsi="仿宋" w:eastAsia="仿宋" w:cs="仿宋"/>
          <w:sz w:val="24"/>
          <w:szCs w:val="24"/>
          <w:lang w:val="en-US" w:eastAsia="zh-CN"/>
        </w:rPr>
        <w:t>方与资产业主</w:t>
      </w:r>
      <w:r>
        <w:rPr>
          <w:rFonts w:hint="eastAsia" w:ascii="仿宋" w:hAnsi="仿宋" w:eastAsia="仿宋" w:cs="仿宋"/>
          <w:sz w:val="24"/>
          <w:szCs w:val="24"/>
        </w:rPr>
        <w:t>方的合同。我方理解</w:t>
      </w:r>
      <w:r>
        <w:rPr>
          <w:rFonts w:hint="eastAsia" w:ascii="仿宋" w:hAnsi="仿宋" w:eastAsia="仿宋" w:cs="仿宋"/>
          <w:sz w:val="24"/>
          <w:szCs w:val="24"/>
          <w:lang w:val="en-US" w:eastAsia="zh-CN"/>
        </w:rPr>
        <w:t>贵方</w:t>
      </w:r>
      <w:r>
        <w:rPr>
          <w:rFonts w:hint="eastAsia" w:ascii="仿宋" w:hAnsi="仿宋" w:eastAsia="仿宋" w:cs="仿宋"/>
          <w:sz w:val="24"/>
          <w:szCs w:val="24"/>
        </w:rPr>
        <w:t>不一定接受收到的任何报价文件。</w:t>
      </w:r>
    </w:p>
    <w:p>
      <w:pPr>
        <w:pStyle w:val="5"/>
        <w:snapToGrid w:val="0"/>
        <w:spacing w:line="360" w:lineRule="auto"/>
        <w:ind w:firstLine="480"/>
        <w:rPr>
          <w:rFonts w:ascii="仿宋" w:hAnsi="仿宋" w:eastAsia="仿宋" w:cs="仿宋"/>
          <w:sz w:val="24"/>
          <w:szCs w:val="24"/>
        </w:rPr>
      </w:pP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报价人名称（公章）：</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2"/>
        <w:rPr>
          <w:rFonts w:hint="eastAsia" w:hAnsi="宋体" w:cs="宋体"/>
          <w:b/>
          <w:sz w:val="28"/>
          <w:szCs w:val="28"/>
          <w:lang w:eastAsia="zh-CN"/>
        </w:rPr>
      </w:pPr>
    </w:p>
    <w:p>
      <w:pPr>
        <w:pStyle w:val="13"/>
        <w:ind w:firstLine="561"/>
        <w:jc w:val="center"/>
        <w:rPr>
          <w:rFonts w:ascii="宋体" w:hAnsi="宋体" w:eastAsia="宋体"/>
          <w:b/>
        </w:rPr>
      </w:pPr>
      <w:bookmarkStart w:id="28" w:name="_Toc152042580"/>
      <w:bookmarkStart w:id="29" w:name="_Toc238797663"/>
      <w:bookmarkStart w:id="30" w:name="_Toc144974860"/>
      <w:bookmarkStart w:id="31" w:name="_Toc152045791"/>
      <w:bookmarkStart w:id="32" w:name="_Toc367640207"/>
      <w:bookmarkStart w:id="33" w:name="_Toc238552301"/>
      <w:bookmarkStart w:id="34" w:name="_Toc380914984"/>
      <w:bookmarkStart w:id="35" w:name="_Toc9237"/>
      <w:bookmarkStart w:id="36" w:name="_Toc3257"/>
      <w:bookmarkStart w:id="37" w:name="_Toc457401229"/>
      <w:bookmarkStart w:id="38" w:name="_Toc14368"/>
      <w:bookmarkStart w:id="39" w:name="_Toc5005"/>
      <w:r>
        <w:rPr>
          <w:rFonts w:hint="eastAsia" w:ascii="仿宋" w:hAnsi="仿宋" w:eastAsia="仿宋" w:cs="仿宋"/>
          <w:b/>
          <w:bCs/>
          <w:kern w:val="2"/>
          <w:sz w:val="24"/>
          <w:szCs w:val="24"/>
        </w:rPr>
        <w:t>2</w:t>
      </w:r>
      <w:bookmarkEnd w:id="28"/>
      <w:bookmarkEnd w:id="29"/>
      <w:bookmarkEnd w:id="30"/>
      <w:bookmarkEnd w:id="31"/>
      <w:bookmarkEnd w:id="32"/>
      <w:bookmarkEnd w:id="33"/>
      <w:r>
        <w:rPr>
          <w:rFonts w:hint="eastAsia" w:ascii="仿宋" w:hAnsi="仿宋" w:eastAsia="仿宋" w:cs="仿宋"/>
          <w:b/>
          <w:bCs/>
          <w:kern w:val="2"/>
          <w:sz w:val="24"/>
          <w:szCs w:val="24"/>
        </w:rPr>
        <w:t>.法定代表人身份证明</w:t>
      </w:r>
      <w:bookmarkEnd w:id="34"/>
      <w:bookmarkEnd w:id="35"/>
      <w:bookmarkEnd w:id="36"/>
      <w:bookmarkEnd w:id="37"/>
      <w:bookmarkEnd w:id="38"/>
      <w:bookmarkEnd w:id="39"/>
    </w:p>
    <w:p>
      <w:pPr>
        <w:spacing w:line="440" w:lineRule="exact"/>
        <w:rPr>
          <w:rFonts w:ascii="宋体" w:hAnsi="宋体"/>
          <w:sz w:val="20"/>
          <w:szCs w:val="20"/>
        </w:rPr>
      </w:pPr>
    </w:p>
    <w:p>
      <w:pPr>
        <w:spacing w:line="440" w:lineRule="exact"/>
        <w:ind w:firstLine="420"/>
        <w:rPr>
          <w:rFonts w:ascii="宋体" w:hAnsi="宋体"/>
          <w:szCs w:val="21"/>
        </w:rPr>
      </w:pPr>
    </w:p>
    <w:p>
      <w:pPr>
        <w:spacing w:line="360" w:lineRule="auto"/>
        <w:ind w:firstLine="420"/>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360" w:lineRule="auto"/>
        <w:ind w:firstLine="42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w:t>
      </w:r>
    </w:p>
    <w:p>
      <w:pPr>
        <w:spacing w:line="360" w:lineRule="auto"/>
        <w:ind w:firstLine="420"/>
        <w:rPr>
          <w:rFonts w:ascii="仿宋" w:hAnsi="仿宋" w:eastAsia="仿宋" w:cs="仿宋"/>
          <w:sz w:val="24"/>
        </w:rPr>
      </w:pPr>
      <w:r>
        <w:rPr>
          <w:rFonts w:hint="eastAsia" w:ascii="仿宋" w:hAnsi="仿宋" w:eastAsia="仿宋" w:cs="仿宋"/>
          <w:sz w:val="24"/>
        </w:rPr>
        <w:t>特此证明。</w:t>
      </w:r>
    </w:p>
    <w:p>
      <w:pPr>
        <w:spacing w:line="360" w:lineRule="auto"/>
        <w:ind w:firstLine="420"/>
        <w:rPr>
          <w:rFonts w:ascii="仿宋" w:hAnsi="仿宋" w:eastAsia="仿宋" w:cs="仿宋"/>
          <w:sz w:val="24"/>
        </w:rPr>
      </w:pPr>
    </w:p>
    <w:p>
      <w:pPr>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 xml:space="preserve">             法定代表人签字：</w:t>
      </w:r>
      <w:r>
        <w:rPr>
          <w:rFonts w:hint="eastAsia" w:ascii="仿宋" w:hAnsi="仿宋" w:eastAsia="仿宋" w:cs="仿宋"/>
          <w:i w:val="0"/>
          <w:iCs w:val="0"/>
          <w:sz w:val="24"/>
          <w:u w:val="single"/>
          <w:lang w:val="en-US" w:eastAsia="zh-CN"/>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 xml:space="preserve">                     报价人：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2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line="360" w:lineRule="auto"/>
        <w:ind w:firstLine="420"/>
        <w:rPr>
          <w:rFonts w:ascii="仿宋" w:hAnsi="仿宋" w:eastAsia="仿宋" w:cs="仿宋"/>
          <w:sz w:val="24"/>
        </w:rPr>
      </w:pPr>
      <w:r>
        <w:rPr>
          <w:rFonts w:hint="eastAsia" w:ascii="仿宋" w:hAnsi="仿宋" w:eastAsia="仿宋" w:cs="仿宋"/>
          <w:sz w:val="24"/>
        </w:rPr>
        <w:t>（应另附法定代表人身份证复印件）</w:t>
      </w:r>
    </w:p>
    <w:p>
      <w:pPr>
        <w:pStyle w:val="12"/>
        <w:rPr>
          <w:rFonts w:hint="eastAsia" w:hAnsi="宋体" w:cs="宋体"/>
          <w:b/>
          <w:sz w:val="28"/>
          <w:szCs w:val="28"/>
          <w:lang w:eastAsia="zh-CN"/>
        </w:rPr>
      </w:pPr>
      <w:r>
        <w:rPr>
          <w:rFonts w:hint="eastAsia" w:ascii="仿宋" w:hAnsi="仿宋" w:eastAsia="仿宋" w:cs="仿宋"/>
          <w:sz w:val="24"/>
          <w:szCs w:val="24"/>
        </w:rPr>
        <w:br w:type="page"/>
      </w:r>
    </w:p>
    <w:p>
      <w:pPr>
        <w:pStyle w:val="13"/>
        <w:jc w:val="center"/>
        <w:rPr>
          <w:rFonts w:ascii="仿宋_GB2312" w:hAnsi="仿宋_GB2312" w:eastAsia="仿宋_GB2312" w:cs="仿宋_GB2312"/>
        </w:rPr>
      </w:pPr>
      <w:bookmarkStart w:id="40" w:name="_Toc152042581"/>
      <w:bookmarkStart w:id="41" w:name="_Toc144974861"/>
      <w:bookmarkStart w:id="42" w:name="_Toc367640208"/>
      <w:bookmarkStart w:id="43" w:name="_Toc457401230"/>
      <w:bookmarkStart w:id="44" w:name="_Toc1036"/>
      <w:bookmarkStart w:id="45" w:name="_Toc10582"/>
      <w:bookmarkStart w:id="46" w:name="_Toc4832"/>
      <w:bookmarkStart w:id="47" w:name="_Toc152045792"/>
      <w:bookmarkStart w:id="48" w:name="_Toc238797664"/>
      <w:bookmarkStart w:id="49" w:name="_Toc238552302"/>
      <w:r>
        <w:rPr>
          <w:rFonts w:hint="eastAsia" w:ascii="仿宋" w:hAnsi="仿宋" w:eastAsia="仿宋" w:cs="仿宋"/>
          <w:b/>
          <w:bCs/>
          <w:kern w:val="2"/>
          <w:sz w:val="24"/>
          <w:szCs w:val="24"/>
        </w:rPr>
        <w:t>3.授权委托书</w:t>
      </w:r>
      <w:bookmarkEnd w:id="40"/>
      <w:bookmarkEnd w:id="41"/>
      <w:bookmarkEnd w:id="42"/>
      <w:bookmarkEnd w:id="43"/>
      <w:bookmarkEnd w:id="44"/>
      <w:bookmarkEnd w:id="45"/>
      <w:bookmarkEnd w:id="46"/>
      <w:bookmarkEnd w:id="47"/>
      <w:bookmarkEnd w:id="48"/>
      <w:bookmarkEnd w:id="49"/>
    </w:p>
    <w:p>
      <w:pPr>
        <w:spacing w:line="440" w:lineRule="exact"/>
        <w:rPr>
          <w:rFonts w:ascii="仿宋_GB2312" w:hAnsi="仿宋_GB2312" w:eastAsia="仿宋_GB2312" w:cs="仿宋_GB2312"/>
          <w:szCs w:val="21"/>
        </w:rPr>
      </w:pP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县工商管理局的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（单位名称）在下面签字的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（法定代表人姓名和职务）授权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（职务、姓名）在下面签字的为本公司的合法代理人，就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文件报价及合同的签订、履行直至完成，并以本公司名义处理一切与之有关的事务。本授权书于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w:t>
      </w:r>
    </w:p>
    <w:p>
      <w:pPr>
        <w:pStyle w:val="5"/>
        <w:snapToGrid w:val="0"/>
        <w:spacing w:line="360" w:lineRule="auto"/>
        <w:ind w:firstLine="480"/>
        <w:rPr>
          <w:rFonts w:ascii="仿宋" w:hAnsi="仿宋" w:eastAsia="仿宋" w:cs="仿宋"/>
          <w:sz w:val="24"/>
          <w:szCs w:val="24"/>
        </w:rPr>
      </w:pP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spacing w:line="360" w:lineRule="auto"/>
        <w:ind w:firstLine="2640" w:firstLineChars="11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520" w:firstLineChars="23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（应另附被授权代理人身份证复印件）</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400" w:lineRule="exact"/>
        <w:rPr>
          <w:rFonts w:ascii="仿宋_GB2312" w:hAnsi="仿宋_GB2312" w:eastAsia="仿宋_GB2312" w:cs="仿宋_GB2312"/>
          <w:sz w:val="20"/>
          <w:szCs w:val="20"/>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3"/>
        <w:jc w:val="center"/>
        <w:rPr>
          <w:rFonts w:ascii="仿宋" w:hAnsi="仿宋" w:eastAsia="仿宋" w:cs="仿宋"/>
          <w:b/>
          <w:bCs/>
          <w:kern w:val="2"/>
          <w:sz w:val="24"/>
          <w:szCs w:val="24"/>
        </w:rPr>
      </w:pPr>
      <w:bookmarkStart w:id="50" w:name="_Toc28734"/>
      <w:bookmarkStart w:id="51" w:name="_Toc28959"/>
      <w:bookmarkStart w:id="52" w:name="_Toc15801"/>
      <w:bookmarkStart w:id="53" w:name="_Toc457401231"/>
      <w:r>
        <w:rPr>
          <w:rFonts w:hint="eastAsia" w:ascii="仿宋" w:hAnsi="仿宋" w:eastAsia="仿宋" w:cs="仿宋"/>
          <w:b/>
          <w:bCs/>
          <w:kern w:val="2"/>
          <w:sz w:val="24"/>
          <w:szCs w:val="24"/>
        </w:rPr>
        <w:t>4.</w:t>
      </w:r>
      <w:r>
        <w:rPr>
          <w:rFonts w:hint="eastAsia" w:ascii="仿宋" w:hAnsi="仿宋" w:eastAsia="仿宋" w:cs="仿宋"/>
          <w:b/>
          <w:bCs/>
          <w:kern w:val="2"/>
          <w:sz w:val="24"/>
          <w:szCs w:val="24"/>
          <w:lang w:val="en-US" w:eastAsia="zh-CN"/>
        </w:rPr>
        <w:t>投标</w:t>
      </w:r>
      <w:r>
        <w:rPr>
          <w:rFonts w:hint="eastAsia" w:ascii="仿宋" w:hAnsi="仿宋" w:eastAsia="仿宋" w:cs="仿宋"/>
          <w:b/>
          <w:bCs/>
          <w:kern w:val="2"/>
          <w:sz w:val="24"/>
          <w:szCs w:val="24"/>
        </w:rPr>
        <w:t>保证金</w:t>
      </w:r>
      <w:bookmarkEnd w:id="50"/>
      <w:bookmarkEnd w:id="51"/>
      <w:bookmarkEnd w:id="52"/>
      <w:bookmarkEnd w:id="53"/>
    </w:p>
    <w:p>
      <w:pPr>
        <w:pStyle w:val="2"/>
        <w:spacing w:line="360" w:lineRule="auto"/>
        <w:jc w:val="left"/>
        <w:rPr>
          <w:rFonts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val="en-US" w:eastAsia="zh-CN"/>
        </w:rPr>
        <w:t>投标</w:t>
      </w:r>
      <w:r>
        <w:rPr>
          <w:rFonts w:hint="eastAsia" w:ascii="仿宋" w:hAnsi="仿宋" w:eastAsia="仿宋" w:cs="仿宋"/>
          <w:sz w:val="24"/>
          <w:szCs w:val="24"/>
        </w:rPr>
        <w:t>保证金付款凭证复印件</w:t>
      </w:r>
    </w:p>
    <w:p/>
    <w:p/>
    <w:p/>
    <w:p/>
    <w:p/>
    <w:p/>
    <w:p/>
    <w:p/>
    <w:p/>
    <w:p/>
    <w:p/>
    <w:p>
      <w:pPr>
        <w:jc w:val="left"/>
      </w:pPr>
    </w:p>
    <w:p>
      <w:pPr>
        <w:jc w:val="left"/>
      </w:pPr>
    </w:p>
    <w:p>
      <w:pPr>
        <w:jc w:val="left"/>
      </w:pPr>
    </w:p>
    <w:p>
      <w:pPr>
        <w:jc w:val="left"/>
      </w:pPr>
    </w:p>
    <w:p>
      <w:pPr>
        <w:jc w:val="left"/>
      </w:pPr>
    </w:p>
    <w:p>
      <w:pPr>
        <w:jc w:val="left"/>
      </w:pPr>
    </w:p>
    <w:p>
      <w:pPr>
        <w:jc w:val="left"/>
      </w:pPr>
    </w:p>
    <w:p>
      <w:pPr>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13"/>
        <w:jc w:val="center"/>
        <w:rPr>
          <w:rFonts w:ascii="仿宋" w:hAnsi="仿宋" w:eastAsia="仿宋" w:cs="仿宋"/>
          <w:b/>
          <w:bCs/>
          <w:kern w:val="2"/>
          <w:sz w:val="24"/>
          <w:szCs w:val="24"/>
        </w:rPr>
      </w:pPr>
      <w:bookmarkStart w:id="54" w:name="_Toc19256"/>
      <w:bookmarkStart w:id="55" w:name="_Toc846"/>
      <w:bookmarkStart w:id="56" w:name="_Toc10093"/>
      <w:r>
        <w:rPr>
          <w:rFonts w:hint="eastAsia" w:ascii="仿宋" w:hAnsi="仿宋" w:eastAsia="仿宋" w:cs="仿宋"/>
          <w:b/>
          <w:bCs/>
          <w:kern w:val="2"/>
          <w:sz w:val="24"/>
          <w:szCs w:val="24"/>
        </w:rPr>
        <w:t>5</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rPr>
        <w:t>资格审查资料</w:t>
      </w:r>
      <w:bookmarkEnd w:id="54"/>
      <w:bookmarkEnd w:id="55"/>
      <w:bookmarkEnd w:id="56"/>
    </w:p>
    <w:p>
      <w:pPr>
        <w:spacing w:line="360" w:lineRule="auto"/>
        <w:jc w:val="center"/>
        <w:rPr>
          <w:rFonts w:ascii="仿宋" w:hAnsi="仿宋" w:eastAsia="仿宋" w:cs="仿宋"/>
          <w:b/>
          <w:bCs/>
          <w:sz w:val="24"/>
        </w:rPr>
      </w:pPr>
      <w:bookmarkStart w:id="57" w:name="_Toc11474"/>
      <w:bookmarkStart w:id="58" w:name="_Toc238552306"/>
      <w:bookmarkStart w:id="59" w:name="_Toc238797668"/>
      <w:bookmarkStart w:id="60" w:name="_Toc12618"/>
      <w:bookmarkStart w:id="61" w:name="_Toc457401233"/>
      <w:bookmarkStart w:id="62" w:name="_Toc26593"/>
      <w:bookmarkStart w:id="63" w:name="_Toc380914987"/>
      <w:r>
        <w:rPr>
          <w:rFonts w:hint="eastAsia" w:ascii="仿宋" w:hAnsi="仿宋" w:eastAsia="仿宋" w:cs="仿宋"/>
          <w:b/>
          <w:bCs/>
          <w:sz w:val="24"/>
        </w:rPr>
        <w:t>5.1报价人</w:t>
      </w:r>
      <w:bookmarkEnd w:id="57"/>
      <w:bookmarkEnd w:id="58"/>
      <w:bookmarkEnd w:id="59"/>
      <w:bookmarkEnd w:id="60"/>
      <w:bookmarkEnd w:id="61"/>
      <w:bookmarkEnd w:id="62"/>
      <w:bookmarkEnd w:id="63"/>
      <w:r>
        <w:rPr>
          <w:rFonts w:hint="eastAsia" w:ascii="仿宋" w:hAnsi="仿宋" w:eastAsia="仿宋" w:cs="仿宋"/>
          <w:b/>
          <w:bCs/>
          <w:sz w:val="24"/>
          <w:lang w:val="en-US" w:eastAsia="zh-CN"/>
        </w:rPr>
        <w:t>营业执照</w:t>
      </w:r>
    </w:p>
    <w:p>
      <w:pPr>
        <w:topLinePunct/>
        <w:spacing w:line="440" w:lineRule="exact"/>
        <w:jc w:val="left"/>
        <w:rPr>
          <w:rFonts w:ascii="宋体" w:hAnsi="宋体"/>
          <w:sz w:val="24"/>
          <w:szCs w:val="24"/>
        </w:rPr>
      </w:pPr>
      <w:r>
        <w:rPr>
          <w:rFonts w:hint="eastAsia" w:ascii="仿宋" w:hAnsi="仿宋" w:eastAsia="仿宋" w:cs="仿宋"/>
          <w:sz w:val="24"/>
          <w:szCs w:val="24"/>
        </w:rPr>
        <w:t>应附报价人营业执照副本复印件加盖鲜章</w:t>
      </w:r>
      <w:r>
        <w:rPr>
          <w:rFonts w:hint="eastAsia" w:ascii="仿宋" w:hAnsi="仿宋" w:eastAsia="仿宋" w:cs="仿宋"/>
          <w:sz w:val="24"/>
          <w:szCs w:val="24"/>
          <w:lang w:eastAsia="zh-CN"/>
        </w:rPr>
        <w:t>。</w:t>
      </w:r>
    </w:p>
    <w:p>
      <w:pPr>
        <w:spacing w:line="360" w:lineRule="auto"/>
        <w:jc w:val="center"/>
        <w:rPr>
          <w:rFonts w:hint="eastAsia" w:ascii="仿宋" w:hAnsi="仿宋" w:eastAsia="仿宋" w:cs="仿宋"/>
          <w:b/>
          <w:bCs/>
          <w:sz w:val="24"/>
        </w:rPr>
      </w:pPr>
      <w:bookmarkStart w:id="64" w:name="_Toc30804"/>
      <w:bookmarkStart w:id="65" w:name="_Toc10827"/>
      <w:bookmarkStart w:id="66" w:name="_Toc457401238"/>
      <w:bookmarkStart w:id="67" w:name="_Toc12021"/>
      <w:bookmarkStart w:id="68" w:name="_Toc380914992"/>
    </w:p>
    <w:p>
      <w:pPr>
        <w:spacing w:line="360" w:lineRule="auto"/>
        <w:jc w:val="left"/>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5.2 特定资格材料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报价文件应附危险化学品经营许可证复印件加盖鲜章。</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w:t>
      </w:r>
      <w:r>
        <w:rPr>
          <w:rFonts w:hint="eastAsia" w:ascii="仿宋" w:hAnsi="仿宋" w:eastAsia="仿宋" w:cs="仿宋"/>
          <w:b/>
          <w:bCs/>
          <w:sz w:val="24"/>
          <w:lang w:val="en-US" w:eastAsia="zh-CN"/>
        </w:rPr>
        <w:t>3</w:t>
      </w:r>
      <w:r>
        <w:rPr>
          <w:rFonts w:hint="eastAsia" w:ascii="仿宋" w:hAnsi="仿宋" w:eastAsia="仿宋" w:cs="仿宋"/>
          <w:b/>
          <w:bCs/>
          <w:sz w:val="24"/>
        </w:rPr>
        <w:t>履约信用证明</w:t>
      </w:r>
      <w:bookmarkEnd w:id="64"/>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1.在国家企业信用信息公示系统（www.gsxt.gov.cn）中被列入严重违法失信企业名单的投标人，不得参加投标；【提供投标前10天内任意一天网页截图】</w:t>
      </w:r>
      <w:r>
        <w:rPr>
          <w:rFonts w:hint="eastAsia"/>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2.在“信用中国”网站（www.creditchina.gov.cn）中被列入失信被执行人名单的投标人，不得参加投标。【提供投标前10天内任意一天网页截图】</w:t>
      </w:r>
      <w:r>
        <w:rPr>
          <w:rFonts w:hint="eastAsia"/>
          <w:lang w:eastAsia="zh-CN"/>
        </w:rPr>
        <w:t>；</w:t>
      </w:r>
    </w:p>
    <w:p>
      <w:pPr>
        <w:pStyle w:val="2"/>
        <w:keepNext w:val="0"/>
        <w:keepLines w:val="0"/>
        <w:pageBreakBefore w:val="0"/>
        <w:widowControl w:val="0"/>
        <w:kinsoku/>
        <w:wordWrap/>
        <w:overflowPunct/>
        <w:topLinePunct w:val="0"/>
        <w:bidi w:val="0"/>
        <w:snapToGrid/>
        <w:spacing w:line="320" w:lineRule="exact"/>
        <w:ind w:left="0" w:leftChars="0" w:right="0" w:rightChars="0" w:firstLine="0" w:firstLineChars="0"/>
        <w:textAlignment w:val="auto"/>
        <w:outlineLvl w:val="9"/>
        <w:rPr>
          <w:rFonts w:hint="eastAsia" w:ascii="Times New Roman" w:hAnsi="Times New Roman" w:eastAsia="宋体" w:cs="Times New Roman"/>
          <w:kern w:val="2"/>
          <w:sz w:val="21"/>
          <w:szCs w:val="20"/>
          <w:lang w:val="en-US" w:eastAsia="zh-CN" w:bidi="ar-SA"/>
        </w:rPr>
      </w:pPr>
      <w:r>
        <w:rPr>
          <w:rFonts w:hint="eastAsia" w:ascii="Times New Roman"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3.自行承诺，2016年1月1日至今，未被“国家企业信用信息公示系统”列入严重违法失信企业名单；2016年1月1日至今，未被“信用中国”列入失信被执行人名单。【提供承诺书，格式自拟，加盖投标单位鲜章】</w:t>
      </w:r>
      <w:r>
        <w:rPr>
          <w:rFonts w:hint="eastAsia" w:ascii="Times New Roman" w:cs="Times New Roman"/>
          <w:kern w:val="2"/>
          <w:sz w:val="21"/>
          <w:szCs w:val="20"/>
          <w:lang w:val="en-US" w:eastAsia="zh-CN" w:bidi="ar-SA"/>
        </w:rPr>
        <w:t>。</w:t>
      </w:r>
    </w:p>
    <w:p>
      <w:pPr>
        <w:pStyle w:val="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jc w:val="center"/>
        <w:rPr>
          <w:rFonts w:hint="eastAsia" w:hAnsi="宋体" w:cs="宋体"/>
          <w:b/>
          <w:sz w:val="28"/>
          <w:szCs w:val="28"/>
          <w:lang w:val="en-US" w:eastAsia="zh-CN"/>
        </w:rPr>
      </w:pPr>
      <w:r>
        <w:rPr>
          <w:rFonts w:hint="eastAsia" w:hAnsi="宋体" w:cs="宋体"/>
          <w:b/>
          <w:sz w:val="28"/>
          <w:szCs w:val="28"/>
          <w:lang w:val="en-US" w:eastAsia="zh-CN"/>
        </w:rPr>
        <w:t>6.报价表</w:t>
      </w:r>
    </w:p>
    <w:p>
      <w:pPr>
        <w:pStyle w:val="12"/>
        <w:rPr>
          <w:rFonts w:hint="eastAsia" w:hAnsi="宋体" w:cs="宋体"/>
          <w:b/>
          <w:sz w:val="28"/>
          <w:szCs w:val="28"/>
          <w:lang w:eastAsia="zh-CN"/>
        </w:rPr>
      </w:pPr>
    </w:p>
    <w:p>
      <w:pPr>
        <w:spacing w:line="480" w:lineRule="exact"/>
        <w:jc w:val="center"/>
        <w:rPr>
          <w:rFonts w:hint="eastAsia" w:ascii="宋体" w:hAnsi="宋体" w:cs="宋体"/>
          <w:b/>
          <w:sz w:val="28"/>
          <w:szCs w:val="28"/>
        </w:rPr>
      </w:pPr>
      <w:r>
        <w:rPr>
          <w:rFonts w:hint="eastAsia" w:ascii="宋体" w:hAnsi="宋体" w:cs="宋体"/>
          <w:b/>
          <w:sz w:val="28"/>
          <w:szCs w:val="28"/>
          <w:lang w:val="en-US" w:eastAsia="zh-CN"/>
        </w:rPr>
        <w:t>液氨瓶处置</w:t>
      </w:r>
      <w:r>
        <w:rPr>
          <w:rFonts w:hint="eastAsia" w:ascii="宋体" w:hAnsi="宋体" w:cs="宋体"/>
          <w:b/>
          <w:sz w:val="28"/>
          <w:szCs w:val="28"/>
          <w:lang w:eastAsia="zh-CN"/>
        </w:rPr>
        <w:t>报</w:t>
      </w:r>
      <w:r>
        <w:rPr>
          <w:rFonts w:hint="eastAsia" w:ascii="宋体" w:hAnsi="宋体" w:cs="宋体"/>
          <w:b/>
          <w:sz w:val="28"/>
          <w:szCs w:val="28"/>
          <w:lang w:val="en-US" w:eastAsia="zh-CN"/>
        </w:rPr>
        <w:t>价</w:t>
      </w:r>
      <w:r>
        <w:rPr>
          <w:rFonts w:hint="eastAsia" w:ascii="宋体" w:hAnsi="宋体" w:cs="宋体"/>
          <w:b/>
          <w:sz w:val="28"/>
          <w:szCs w:val="28"/>
        </w:rPr>
        <w:t>单</w:t>
      </w:r>
    </w:p>
    <w:p>
      <w:pPr>
        <w:spacing w:line="480" w:lineRule="exact"/>
        <w:jc w:val="center"/>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2"/>
          <w:szCs w:val="22"/>
          <w:lang w:eastAsia="zh-CN"/>
        </w:rPr>
        <w:t>货币单位：人民币</w:t>
      </w:r>
      <w:r>
        <w:rPr>
          <w:rFonts w:hint="eastAsia" w:ascii="宋体" w:hAnsi="宋体" w:cs="宋体"/>
          <w:bCs/>
          <w:sz w:val="22"/>
          <w:szCs w:val="22"/>
          <w:lang w:val="en-US" w:eastAsia="zh-CN"/>
        </w:rPr>
        <w:t xml:space="preserve">  元</w:t>
      </w:r>
    </w:p>
    <w:tbl>
      <w:tblPr>
        <w:tblStyle w:val="10"/>
        <w:tblW w:w="9149" w:type="dxa"/>
        <w:tblInd w:w="28" w:type="dxa"/>
        <w:tblLayout w:type="fixed"/>
        <w:tblCellMar>
          <w:top w:w="0" w:type="dxa"/>
          <w:left w:w="0" w:type="dxa"/>
          <w:bottom w:w="0" w:type="dxa"/>
          <w:right w:w="0" w:type="dxa"/>
        </w:tblCellMar>
      </w:tblPr>
      <w:tblGrid>
        <w:gridCol w:w="1486"/>
        <w:gridCol w:w="1472"/>
        <w:gridCol w:w="1395"/>
        <w:gridCol w:w="2250"/>
        <w:gridCol w:w="2546"/>
      </w:tblGrid>
      <w:tr>
        <w:tblPrEx>
          <w:tblLayout w:type="fixed"/>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货物</w:t>
            </w:r>
            <w:r>
              <w:rPr>
                <w:rFonts w:hint="eastAsia" w:ascii="宋体" w:hAnsi="宋体" w:eastAsia="宋体" w:cs="宋体"/>
                <w:b/>
                <w:bCs/>
                <w:i w:val="0"/>
                <w:color w:val="000000"/>
                <w:sz w:val="21"/>
                <w:szCs w:val="21"/>
                <w:u w:val="none"/>
                <w:lang w:eastAsia="zh-CN"/>
              </w:rPr>
              <w:t>名称</w:t>
            </w:r>
          </w:p>
        </w:tc>
        <w:tc>
          <w:tcPr>
            <w:tcW w:w="1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单位</w:t>
            </w:r>
          </w:p>
        </w:tc>
        <w:tc>
          <w:tcPr>
            <w:tcW w:w="1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b/>
                <w:bCs/>
                <w:lang w:val="en-US" w:eastAsia="zh-CN"/>
              </w:rPr>
              <w:t>数</w:t>
            </w:r>
            <w:r>
              <w:rPr>
                <w:rFonts w:hint="eastAsia"/>
                <w:b/>
                <w:bCs/>
                <w:lang w:eastAsia="zh-CN"/>
              </w:rPr>
              <w:t>量</w:t>
            </w:r>
          </w:p>
        </w:tc>
        <w:tc>
          <w:tcPr>
            <w:tcW w:w="2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处置单价（元/个）</w:t>
            </w:r>
          </w:p>
        </w:tc>
        <w:tc>
          <w:tcPr>
            <w:tcW w:w="25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金额</w:t>
            </w:r>
            <w:r>
              <w:rPr>
                <w:rFonts w:hint="eastAsia" w:ascii="宋体" w:hAnsi="宋体" w:cs="宋体"/>
                <w:b/>
                <w:bCs/>
                <w:i w:val="0"/>
                <w:color w:val="000000"/>
                <w:sz w:val="21"/>
                <w:szCs w:val="21"/>
                <w:u w:val="none"/>
                <w:lang w:eastAsia="zh-CN"/>
              </w:rPr>
              <w:t>（</w:t>
            </w:r>
            <w:r>
              <w:rPr>
                <w:rFonts w:hint="eastAsia" w:ascii="宋体" w:hAnsi="宋体" w:cs="宋体"/>
                <w:b/>
                <w:bCs/>
                <w:i w:val="0"/>
                <w:color w:val="000000"/>
                <w:sz w:val="21"/>
                <w:szCs w:val="21"/>
                <w:u w:val="none"/>
                <w:lang w:val="en-US" w:eastAsia="zh-CN"/>
              </w:rPr>
              <w:t>元）</w:t>
            </w: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val="en-US" w:eastAsia="zh-CN"/>
              </w:rPr>
              <w:t>液氨瓶</w:t>
            </w:r>
          </w:p>
        </w:tc>
        <w:tc>
          <w:tcPr>
            <w:tcW w:w="1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个</w:t>
            </w:r>
          </w:p>
        </w:tc>
        <w:tc>
          <w:tcPr>
            <w:tcW w:w="13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sz w:val="21"/>
                <w:szCs w:val="21"/>
                <w:vertAlign w:val="baseline"/>
                <w:lang w:val="en-US" w:eastAsia="zh-CN"/>
              </w:rPr>
              <w:t>6</w:t>
            </w:r>
          </w:p>
        </w:tc>
        <w:tc>
          <w:tcPr>
            <w:tcW w:w="2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2546"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lang w:val="en-US" w:eastAsia="zh-CN"/>
              </w:rPr>
            </w:pPr>
            <w:r>
              <w:rPr>
                <w:rFonts w:hint="eastAsia" w:ascii="宋体" w:hAnsi="宋体" w:cs="宋体"/>
                <w:i w:val="0"/>
                <w:color w:val="000000"/>
                <w:sz w:val="21"/>
                <w:szCs w:val="21"/>
                <w:u w:val="none"/>
                <w:lang w:val="en-US" w:eastAsia="zh-CN"/>
              </w:rPr>
              <w:t>备 注</w:t>
            </w:r>
          </w:p>
        </w:tc>
        <w:tc>
          <w:tcPr>
            <w:tcW w:w="7663" w:type="dxa"/>
            <w:gridSpan w:val="4"/>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933" w:hRule="atLeast"/>
        </w:trPr>
        <w:tc>
          <w:tcPr>
            <w:tcW w:w="295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投标总价大写</w:t>
            </w:r>
          </w:p>
        </w:tc>
        <w:tc>
          <w:tcPr>
            <w:tcW w:w="619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元整</w:t>
            </w:r>
          </w:p>
        </w:tc>
      </w:tr>
    </w:tbl>
    <w:p>
      <w:pPr>
        <w:spacing w:line="400" w:lineRule="exact"/>
        <w:ind w:left="1200" w:hanging="1200" w:hangingChars="500"/>
        <w:jc w:val="left"/>
        <w:rPr>
          <w:rFonts w:hint="eastAsia"/>
          <w:sz w:val="24"/>
          <w:szCs w:val="28"/>
          <w:lang w:val="en-US" w:eastAsia="zh-CN"/>
        </w:rPr>
      </w:pPr>
      <w:r>
        <w:rPr>
          <w:rFonts w:hint="eastAsia"/>
          <w:sz w:val="24"/>
          <w:szCs w:val="28"/>
          <w:lang w:val="en-US" w:eastAsia="zh-CN"/>
        </w:rPr>
        <w:t>说明：1. 处置价格包含装卸、运输、税金、保险、安全措施和处置费等明示或暗示</w:t>
      </w:r>
    </w:p>
    <w:p>
      <w:pPr>
        <w:spacing w:line="400" w:lineRule="exact"/>
        <w:ind w:left="1200" w:hanging="1200" w:hangingChars="500"/>
        <w:jc w:val="left"/>
        <w:rPr>
          <w:rFonts w:hint="eastAsia"/>
          <w:sz w:val="24"/>
          <w:szCs w:val="28"/>
          <w:lang w:val="en-US" w:eastAsia="zh-CN"/>
        </w:rPr>
      </w:pPr>
      <w:r>
        <w:rPr>
          <w:rFonts w:hint="eastAsia"/>
          <w:sz w:val="24"/>
          <w:szCs w:val="28"/>
          <w:lang w:val="en-US" w:eastAsia="zh-CN"/>
        </w:rPr>
        <w:t xml:space="preserve">         的所有费用。</w:t>
      </w:r>
    </w:p>
    <w:p>
      <w:pPr>
        <w:numPr>
          <w:ilvl w:val="0"/>
          <w:numId w:val="0"/>
        </w:numPr>
        <w:spacing w:line="400" w:lineRule="exact"/>
        <w:ind w:firstLine="720" w:firstLineChars="300"/>
        <w:jc w:val="left"/>
        <w:rPr>
          <w:rFonts w:hint="eastAsia"/>
          <w:sz w:val="24"/>
          <w:szCs w:val="28"/>
          <w:lang w:val="en-US" w:eastAsia="zh-CN"/>
        </w:rPr>
      </w:pPr>
      <w:r>
        <w:rPr>
          <w:rFonts w:hint="eastAsia"/>
          <w:sz w:val="24"/>
          <w:szCs w:val="28"/>
          <w:lang w:val="en-US" w:eastAsia="zh-CN"/>
        </w:rPr>
        <w:t>2. 处置后的液氨瓶残值以理论计重按3000元/t抵减处置费用。</w:t>
      </w:r>
    </w:p>
    <w:p>
      <w:pPr>
        <w:pStyle w:val="12"/>
        <w:widowControl w:val="0"/>
        <w:numPr>
          <w:ilvl w:val="0"/>
          <w:numId w:val="0"/>
        </w:numPr>
        <w:autoSpaceDE w:val="0"/>
        <w:autoSpaceDN w:val="0"/>
        <w:adjustRightInd w:val="0"/>
        <w:rPr>
          <w:rFonts w:hint="eastAsia"/>
          <w:lang w:val="en-US" w:eastAsia="zh-CN"/>
        </w:rPr>
      </w:pPr>
    </w:p>
    <w:p>
      <w:pPr>
        <w:pStyle w:val="12"/>
        <w:widowControl w:val="0"/>
        <w:numPr>
          <w:ilvl w:val="0"/>
          <w:numId w:val="0"/>
        </w:numPr>
        <w:autoSpaceDE w:val="0"/>
        <w:autoSpaceDN w:val="0"/>
        <w:adjustRightInd w:val="0"/>
        <w:rPr>
          <w:rFonts w:hint="eastAsia"/>
          <w:lang w:val="en-US" w:eastAsia="zh-CN"/>
        </w:rPr>
      </w:pPr>
    </w:p>
    <w:p>
      <w:pPr>
        <w:pStyle w:val="12"/>
        <w:widowControl w:val="0"/>
        <w:numPr>
          <w:ilvl w:val="0"/>
          <w:numId w:val="0"/>
        </w:numPr>
        <w:autoSpaceDE w:val="0"/>
        <w:autoSpaceDN w:val="0"/>
        <w:adjustRightInd w:val="0"/>
        <w:rPr>
          <w:rFonts w:hint="eastAsia"/>
          <w:lang w:val="en-US" w:eastAsia="zh-CN"/>
        </w:rPr>
      </w:pPr>
    </w:p>
    <w:p>
      <w:pPr>
        <w:spacing w:line="400" w:lineRule="exact"/>
        <w:jc w:val="left"/>
        <w:rPr>
          <w:rFonts w:hint="eastAsia"/>
          <w:sz w:val="24"/>
          <w:szCs w:val="28"/>
          <w:u w:val="single"/>
        </w:rPr>
      </w:pPr>
      <w:r>
        <w:rPr>
          <w:rFonts w:hint="eastAsia"/>
          <w:sz w:val="24"/>
          <w:szCs w:val="28"/>
          <w:lang w:val="en-US" w:eastAsia="zh-CN"/>
        </w:rPr>
        <w:t xml:space="preserve">                                  </w:t>
      </w:r>
      <w:r>
        <w:rPr>
          <w:rFonts w:hint="eastAsia"/>
          <w:sz w:val="24"/>
          <w:szCs w:val="28"/>
        </w:rPr>
        <w:t>报价单位（盖章）：</w:t>
      </w:r>
      <w:r>
        <w:rPr>
          <w:rFonts w:hint="eastAsia"/>
          <w:sz w:val="24"/>
          <w:szCs w:val="28"/>
          <w:u w:val="single"/>
        </w:rPr>
        <w:t xml:space="preserve">                 </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法定代表人</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（或授权代表）：____________________</w:t>
      </w:r>
    </w:p>
    <w:p>
      <w:pPr>
        <w:spacing w:line="400" w:lineRule="exact"/>
        <w:rPr>
          <w:rFonts w:hint="eastAsia"/>
          <w:sz w:val="24"/>
          <w:szCs w:val="28"/>
          <w:u w:val="single"/>
        </w:rPr>
      </w:pPr>
      <w:r>
        <w:rPr>
          <w:rFonts w:hint="eastAsia"/>
          <w:sz w:val="24"/>
          <w:szCs w:val="24"/>
        </w:rPr>
        <w:t xml:space="preserve"> </w:t>
      </w:r>
      <w:r>
        <w:rPr>
          <w:rFonts w:hint="eastAsia"/>
          <w:sz w:val="24"/>
          <w:szCs w:val="24"/>
          <w:lang w:val="en-US" w:eastAsia="zh-CN"/>
        </w:rPr>
        <w:t xml:space="preserve">                                  </w:t>
      </w:r>
      <w:r>
        <w:rPr>
          <w:rFonts w:hint="eastAsia"/>
          <w:sz w:val="24"/>
          <w:szCs w:val="28"/>
        </w:rPr>
        <w:t>联系电话：</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480" w:lineRule="exact"/>
        <w:jc w:val="both"/>
        <w:rPr>
          <w:rFonts w:hint="eastAsia"/>
          <w:sz w:val="24"/>
          <w:szCs w:val="28"/>
        </w:rPr>
      </w:pPr>
      <w:r>
        <w:rPr>
          <w:rFonts w:hint="eastAsia" w:ascii="宋体" w:hAnsi="宋体" w:cs="宋体"/>
          <w:b/>
          <w:sz w:val="28"/>
          <w:szCs w:val="28"/>
        </w:rPr>
        <w:t xml:space="preserve">                    </w:t>
      </w:r>
      <w:r>
        <w:rPr>
          <w:rFonts w:hint="eastAsia"/>
          <w:sz w:val="24"/>
          <w:szCs w:val="28"/>
        </w:rPr>
        <w:t xml:space="preserve">            报价日期：</w:t>
      </w:r>
      <w:r>
        <w:rPr>
          <w:rFonts w:hint="eastAsia"/>
          <w:sz w:val="24"/>
          <w:szCs w:val="28"/>
          <w:lang w:val="en-US" w:eastAsia="zh-CN"/>
        </w:rPr>
        <w:t xml:space="preserve">     </w:t>
      </w:r>
      <w:r>
        <w:rPr>
          <w:rFonts w:hint="eastAsia"/>
          <w:sz w:val="24"/>
          <w:szCs w:val="28"/>
        </w:rPr>
        <w:t xml:space="preserve">年 </w:t>
      </w:r>
      <w:r>
        <w:rPr>
          <w:rFonts w:hint="eastAsia"/>
          <w:sz w:val="24"/>
          <w:szCs w:val="28"/>
          <w:lang w:val="en-US" w:eastAsia="zh-CN"/>
        </w:rPr>
        <w:t xml:space="preserve">  </w:t>
      </w:r>
      <w:r>
        <w:rPr>
          <w:rFonts w:hint="eastAsia"/>
          <w:sz w:val="24"/>
          <w:szCs w:val="28"/>
        </w:rPr>
        <w:t xml:space="preserve"> 月 </w:t>
      </w:r>
      <w:r>
        <w:rPr>
          <w:rFonts w:hint="eastAsia"/>
          <w:sz w:val="24"/>
          <w:szCs w:val="28"/>
          <w:lang w:val="en-US" w:eastAsia="zh-CN"/>
        </w:rPr>
        <w:t xml:space="preserve">   </w:t>
      </w:r>
      <w:r>
        <w:rPr>
          <w:rFonts w:hint="eastAsia"/>
          <w:sz w:val="24"/>
          <w:szCs w:val="28"/>
        </w:rPr>
        <w:t xml:space="preserve"> 日</w:t>
      </w:r>
    </w:p>
    <w:p>
      <w:pPr>
        <w:pStyle w:val="12"/>
      </w:pPr>
    </w:p>
    <w:p>
      <w:pPr>
        <w:pStyle w:val="12"/>
      </w:pPr>
    </w:p>
    <w:p>
      <w:pPr>
        <w:pStyle w:val="13"/>
        <w:jc w:val="center"/>
        <w:rPr>
          <w:rFonts w:ascii="仿宋" w:hAnsi="仿宋" w:eastAsia="仿宋" w:cs="仿宋"/>
          <w:b/>
          <w:bCs/>
          <w:kern w:val="2"/>
          <w:sz w:val="28"/>
          <w:szCs w:val="28"/>
        </w:rPr>
      </w:pPr>
      <w:bookmarkStart w:id="69" w:name="_Toc4755"/>
      <w:bookmarkStart w:id="70" w:name="_Toc8982"/>
      <w:r>
        <w:rPr>
          <w:rFonts w:hint="eastAsia" w:ascii="仿宋" w:hAnsi="仿宋" w:eastAsia="仿宋" w:cs="仿宋"/>
          <w:b/>
          <w:bCs/>
          <w:kern w:val="2"/>
          <w:sz w:val="28"/>
          <w:szCs w:val="28"/>
          <w:lang w:val="en-US" w:eastAsia="zh-CN"/>
        </w:rPr>
        <w:t>7</w:t>
      </w:r>
      <w:r>
        <w:rPr>
          <w:rFonts w:hint="eastAsia" w:ascii="仿宋" w:hAnsi="仿宋" w:eastAsia="仿宋" w:cs="仿宋"/>
          <w:b/>
          <w:bCs/>
          <w:kern w:val="2"/>
          <w:sz w:val="28"/>
          <w:szCs w:val="28"/>
        </w:rPr>
        <w:t>.其他材料</w:t>
      </w:r>
      <w:bookmarkEnd w:id="69"/>
      <w:bookmarkEnd w:id="70"/>
    </w:p>
    <w:p>
      <w:pPr>
        <w:keepNext/>
        <w:keepLines/>
        <w:spacing w:line="360" w:lineRule="auto"/>
        <w:jc w:val="center"/>
        <w:rPr>
          <w:rFonts w:ascii="仿宋" w:hAnsi="仿宋" w:eastAsia="仿宋" w:cs="仿宋"/>
          <w:b/>
          <w:kern w:val="0"/>
          <w:sz w:val="24"/>
        </w:rPr>
      </w:pPr>
      <w:bookmarkStart w:id="71" w:name="_Toc252704560"/>
      <w:bookmarkStart w:id="72" w:name="_Toc30754"/>
      <w:r>
        <w:rPr>
          <w:rFonts w:hint="eastAsia" w:ascii="仿宋" w:hAnsi="仿宋" w:eastAsia="仿宋" w:cs="仿宋"/>
          <w:b/>
          <w:kern w:val="0"/>
          <w:sz w:val="24"/>
        </w:rPr>
        <w:t>关于</w:t>
      </w:r>
      <w:r>
        <w:rPr>
          <w:rFonts w:hint="eastAsia" w:ascii="仿宋" w:hAnsi="仿宋" w:eastAsia="仿宋" w:cs="仿宋"/>
          <w:b/>
          <w:kern w:val="0"/>
          <w:sz w:val="24"/>
          <w:lang w:val="en-US" w:eastAsia="zh-CN"/>
        </w:rPr>
        <w:t>比选报</w:t>
      </w:r>
      <w:r>
        <w:rPr>
          <w:rFonts w:hint="eastAsia" w:ascii="仿宋" w:hAnsi="仿宋" w:eastAsia="仿宋" w:cs="仿宋"/>
          <w:b/>
          <w:kern w:val="0"/>
          <w:sz w:val="24"/>
        </w:rPr>
        <w:t>价评定和合同价确定方式承诺书</w:t>
      </w:r>
      <w:bookmarkEnd w:id="71"/>
      <w:bookmarkEnd w:id="72"/>
    </w:p>
    <w:p>
      <w:pPr>
        <w:spacing w:line="360" w:lineRule="auto"/>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lang w:val="en-US" w:eastAsia="zh-CN"/>
        </w:rPr>
        <w:t>重庆安源金属制造有限公司</w:t>
      </w:r>
      <w:r>
        <w:rPr>
          <w:rFonts w:hint="eastAsia" w:ascii="仿宋" w:hAnsi="仿宋" w:eastAsia="仿宋" w:cs="仿宋"/>
          <w:sz w:val="24"/>
        </w:rPr>
        <w:t>（</w:t>
      </w:r>
      <w:r>
        <w:rPr>
          <w:rFonts w:hint="eastAsia" w:ascii="仿宋" w:hAnsi="仿宋" w:eastAsia="仿宋" w:cs="仿宋"/>
          <w:sz w:val="24"/>
          <w:szCs w:val="24"/>
          <w:lang w:val="en-US" w:eastAsia="zh-CN"/>
        </w:rPr>
        <w:t>受托处置方</w:t>
      </w:r>
      <w:r>
        <w:rPr>
          <w:rFonts w:hint="eastAsia" w:ascii="仿宋" w:hAnsi="仿宋" w:eastAsia="仿宋" w:cs="仿宋"/>
          <w:sz w:val="24"/>
        </w:rPr>
        <w:t>）</w:t>
      </w:r>
    </w:p>
    <w:p>
      <w:pPr>
        <w:spacing w:line="360" w:lineRule="auto"/>
        <w:ind w:firstLine="561"/>
        <w:rPr>
          <w:rFonts w:ascii="仿宋" w:hAnsi="仿宋" w:eastAsia="仿宋" w:cs="仿宋"/>
          <w:sz w:val="24"/>
        </w:rPr>
      </w:pPr>
      <w:r>
        <w:rPr>
          <w:rFonts w:hint="eastAsia" w:ascii="仿宋" w:hAnsi="仿宋" w:eastAsia="仿宋" w:cs="仿宋"/>
          <w:sz w:val="24"/>
        </w:rPr>
        <w:t>我方完全接受</w:t>
      </w:r>
      <w:r>
        <w:rPr>
          <w:rFonts w:hint="eastAsia" w:ascii="仿宋" w:hAnsi="仿宋" w:eastAsia="仿宋" w:cs="仿宋"/>
          <w:sz w:val="24"/>
          <w:lang w:val="en-US" w:eastAsia="zh-CN"/>
        </w:rPr>
        <w:t>评标</w:t>
      </w:r>
      <w:r>
        <w:rPr>
          <w:rFonts w:hint="eastAsia" w:ascii="仿宋" w:hAnsi="仿宋" w:eastAsia="仿宋" w:cs="仿宋"/>
          <w:sz w:val="24"/>
        </w:rPr>
        <w:t>小组根据</w:t>
      </w:r>
      <w:r>
        <w:rPr>
          <w:rFonts w:hint="eastAsia" w:ascii="仿宋" w:hAnsi="仿宋" w:eastAsia="仿宋" w:cs="仿宋"/>
          <w:sz w:val="24"/>
          <w:lang w:val="en-US" w:eastAsia="zh-CN"/>
        </w:rPr>
        <w:t>比选</w:t>
      </w:r>
      <w:r>
        <w:rPr>
          <w:rFonts w:hint="eastAsia" w:ascii="仿宋" w:hAnsi="仿宋" w:eastAsia="仿宋" w:cs="仿宋"/>
          <w:sz w:val="24"/>
        </w:rPr>
        <w:t>文件第</w:t>
      </w:r>
      <w:r>
        <w:rPr>
          <w:rFonts w:hint="eastAsia" w:ascii="仿宋" w:hAnsi="仿宋" w:eastAsia="仿宋" w:cs="仿宋"/>
          <w:sz w:val="24"/>
          <w:lang w:val="en-US" w:eastAsia="zh-CN"/>
        </w:rPr>
        <w:t>二</w:t>
      </w:r>
      <w:r>
        <w:rPr>
          <w:rFonts w:hint="eastAsia" w:ascii="仿宋" w:hAnsi="仿宋" w:eastAsia="仿宋" w:cs="仿宋"/>
          <w:sz w:val="24"/>
        </w:rPr>
        <w:t>章《</w:t>
      </w:r>
      <w:r>
        <w:rPr>
          <w:rFonts w:hint="eastAsia" w:ascii="仿宋" w:hAnsi="仿宋" w:eastAsia="仿宋" w:cs="仿宋"/>
          <w:sz w:val="24"/>
          <w:lang w:val="en-US" w:eastAsia="zh-CN"/>
        </w:rPr>
        <w:t>竞争性比选须知</w:t>
      </w:r>
      <w:r>
        <w:rPr>
          <w:rFonts w:hint="eastAsia" w:ascii="仿宋" w:hAnsi="仿宋" w:eastAsia="仿宋" w:cs="仿宋"/>
          <w:sz w:val="24"/>
        </w:rPr>
        <w:t>》</w:t>
      </w:r>
      <w:r>
        <w:rPr>
          <w:rFonts w:hint="eastAsia" w:ascii="仿宋" w:hAnsi="仿宋" w:eastAsia="仿宋" w:cs="仿宋"/>
          <w:sz w:val="24"/>
          <w:lang w:val="en-US" w:eastAsia="zh-CN"/>
        </w:rPr>
        <w:t>第五项“开标与评标”之第（四）</w:t>
      </w:r>
      <w:r>
        <w:rPr>
          <w:rFonts w:hint="eastAsia" w:ascii="仿宋" w:hAnsi="仿宋" w:eastAsia="仿宋" w:cs="仿宋"/>
          <w:sz w:val="24"/>
        </w:rPr>
        <w:t>款</w:t>
      </w:r>
      <w:r>
        <w:rPr>
          <w:rFonts w:hint="eastAsia" w:ascii="仿宋" w:hAnsi="仿宋" w:eastAsia="仿宋" w:cs="仿宋"/>
          <w:sz w:val="24"/>
          <w:lang w:eastAsia="zh-CN"/>
        </w:rPr>
        <w:t>“</w:t>
      </w:r>
      <w:r>
        <w:rPr>
          <w:rFonts w:hint="eastAsia" w:ascii="仿宋" w:hAnsi="仿宋" w:eastAsia="仿宋" w:cs="仿宋"/>
          <w:sz w:val="24"/>
          <w:lang w:val="en-US" w:eastAsia="zh-CN"/>
        </w:rPr>
        <w:t>评标</w:t>
      </w:r>
      <w:r>
        <w:rPr>
          <w:rFonts w:hint="eastAsia" w:ascii="仿宋" w:hAnsi="仿宋" w:eastAsia="仿宋" w:cs="仿宋"/>
          <w:sz w:val="24"/>
          <w:lang w:eastAsia="zh-CN"/>
        </w:rPr>
        <w:t>”</w:t>
      </w:r>
      <w:r>
        <w:rPr>
          <w:rFonts w:hint="eastAsia" w:ascii="仿宋" w:hAnsi="仿宋" w:eastAsia="仿宋" w:cs="仿宋"/>
          <w:sz w:val="24"/>
          <w:lang w:val="en-US" w:eastAsia="zh-CN"/>
        </w:rPr>
        <w:t>中第2条“评标方法”</w:t>
      </w:r>
      <w:r>
        <w:rPr>
          <w:rFonts w:hint="eastAsia" w:ascii="仿宋" w:hAnsi="仿宋" w:eastAsia="仿宋" w:cs="仿宋"/>
          <w:sz w:val="24"/>
        </w:rPr>
        <w:t>的规定，修正和评定</w:t>
      </w:r>
      <w:r>
        <w:rPr>
          <w:rFonts w:hint="eastAsia" w:ascii="仿宋" w:hAnsi="仿宋" w:eastAsia="仿宋" w:cs="仿宋"/>
          <w:sz w:val="24"/>
          <w:lang w:val="en-US" w:eastAsia="zh-CN"/>
        </w:rPr>
        <w:t>报</w:t>
      </w:r>
      <w:r>
        <w:rPr>
          <w:rFonts w:hint="eastAsia" w:ascii="仿宋" w:hAnsi="仿宋" w:eastAsia="仿宋" w:cs="仿宋"/>
          <w:sz w:val="24"/>
        </w:rPr>
        <w:t>价。</w:t>
      </w:r>
    </w:p>
    <w:p>
      <w:pPr>
        <w:spacing w:line="360" w:lineRule="auto"/>
        <w:ind w:firstLine="561"/>
        <w:rPr>
          <w:rFonts w:ascii="仿宋" w:hAnsi="仿宋" w:eastAsia="仿宋" w:cs="仿宋"/>
          <w:sz w:val="24"/>
        </w:rPr>
      </w:pPr>
      <w:r>
        <w:rPr>
          <w:rFonts w:hint="eastAsia" w:ascii="仿宋" w:hAnsi="仿宋" w:eastAsia="仿宋" w:cs="仿宋"/>
          <w:sz w:val="24"/>
        </w:rPr>
        <w:t>若我方中选，我方承诺：按</w:t>
      </w:r>
      <w:r>
        <w:rPr>
          <w:rFonts w:hint="eastAsia" w:ascii="仿宋" w:hAnsi="仿宋" w:eastAsia="仿宋" w:cs="仿宋"/>
          <w:sz w:val="24"/>
          <w:lang w:val="en-US" w:eastAsia="zh-CN"/>
        </w:rPr>
        <w:t>比选</w:t>
      </w:r>
      <w:r>
        <w:rPr>
          <w:rFonts w:hint="eastAsia" w:ascii="仿宋" w:hAnsi="仿宋" w:eastAsia="仿宋" w:cs="仿宋"/>
          <w:sz w:val="24"/>
        </w:rPr>
        <w:t>文件的约定与</w:t>
      </w:r>
      <w:r>
        <w:rPr>
          <w:rFonts w:hint="eastAsia" w:ascii="仿宋" w:hAnsi="仿宋" w:eastAsia="仿宋" w:cs="仿宋"/>
          <w:sz w:val="24"/>
          <w:lang w:val="en-US" w:eastAsia="zh-CN"/>
        </w:rPr>
        <w:t>资产业主方</w:t>
      </w:r>
      <w:r>
        <w:rPr>
          <w:rFonts w:hint="eastAsia" w:ascii="仿宋" w:hAnsi="仿宋" w:eastAsia="仿宋" w:cs="仿宋"/>
          <w:sz w:val="24"/>
        </w:rPr>
        <w:t>签订合同。</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报价人名称（公章）：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法定代表人或其授权代理人签字：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bookmarkStart w:id="73" w:name="_Toc22453"/>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bookmarkEnd w:id="73"/>
    </w:p>
    <w:p>
      <w:pPr>
        <w:pStyle w:val="2"/>
        <w:spacing w:line="360" w:lineRule="auto"/>
        <w:ind w:firstLine="0"/>
        <w:rPr>
          <w:rFonts w:ascii="仿宋" w:hAnsi="仿宋" w:eastAsia="仿宋" w:cs="仿宋"/>
          <w:sz w:val="21"/>
          <w:szCs w:val="21"/>
        </w:rPr>
      </w:pPr>
    </w:p>
    <w:p>
      <w:pPr>
        <w:rPr>
          <w:rFonts w:hint="eastAsia"/>
        </w:rPr>
      </w:pPr>
    </w:p>
    <w:p>
      <w:pPr>
        <w:pStyle w:val="12"/>
      </w:pPr>
    </w:p>
    <w:sectPr>
      <w:headerReference r:id="rId3" w:type="default"/>
      <w:footerReference r:id="rId4" w:type="default"/>
      <w:pgSz w:w="11906" w:h="16838"/>
      <w:pgMar w:top="2098" w:right="1474" w:bottom="1984" w:left="1587" w:header="851" w:footer="1106"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仿宋_GB2312,Bold">
    <w:altName w:val="黑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Wingdings 2">
    <w:altName w:val="Wingdings"/>
    <w:panose1 w:val="05020102010507070707"/>
    <w:charset w:val="02"/>
    <w:family w:val="swiss"/>
    <w:pitch w:val="default"/>
    <w:sig w:usb0="00000000" w:usb1="00000000" w:usb2="00000000" w:usb3="00000000" w:csb0="80000000" w:csb1="00000000"/>
  </w:font>
  <w:font w:name="经典粗黑简">
    <w:altName w:val="黑体"/>
    <w:panose1 w:val="00000000000000000000"/>
    <w:charset w:val="86"/>
    <w:family w:val="decorative"/>
    <w:pitch w:val="default"/>
    <w:sig w:usb0="00000000" w:usb1="00000000" w:usb2="0000001E" w:usb3="00000000" w:csb0="20040000"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4CB1"/>
    <w:rsid w:val="02F140B5"/>
    <w:rsid w:val="08AC4752"/>
    <w:rsid w:val="091F5B00"/>
    <w:rsid w:val="0D6860EB"/>
    <w:rsid w:val="142D3CF3"/>
    <w:rsid w:val="162A1A3E"/>
    <w:rsid w:val="162B779F"/>
    <w:rsid w:val="16341D6D"/>
    <w:rsid w:val="16957889"/>
    <w:rsid w:val="16ED551A"/>
    <w:rsid w:val="193A6766"/>
    <w:rsid w:val="1C1021C0"/>
    <w:rsid w:val="1C985504"/>
    <w:rsid w:val="1D7D28DB"/>
    <w:rsid w:val="21AC3791"/>
    <w:rsid w:val="22571A13"/>
    <w:rsid w:val="244A3D5A"/>
    <w:rsid w:val="258340F8"/>
    <w:rsid w:val="2586311B"/>
    <w:rsid w:val="27FE5F37"/>
    <w:rsid w:val="28131D0B"/>
    <w:rsid w:val="29A41323"/>
    <w:rsid w:val="2D77719F"/>
    <w:rsid w:val="2D8B09B3"/>
    <w:rsid w:val="2F571608"/>
    <w:rsid w:val="2F69737A"/>
    <w:rsid w:val="323F0319"/>
    <w:rsid w:val="33364151"/>
    <w:rsid w:val="337605B9"/>
    <w:rsid w:val="33B020E4"/>
    <w:rsid w:val="34C13286"/>
    <w:rsid w:val="351D5BF7"/>
    <w:rsid w:val="38A527D1"/>
    <w:rsid w:val="38E479DE"/>
    <w:rsid w:val="39446397"/>
    <w:rsid w:val="39CE153F"/>
    <w:rsid w:val="3AEF3A88"/>
    <w:rsid w:val="3B684C0F"/>
    <w:rsid w:val="3D4052AC"/>
    <w:rsid w:val="3E047B3D"/>
    <w:rsid w:val="3F554B61"/>
    <w:rsid w:val="42606B00"/>
    <w:rsid w:val="455D7807"/>
    <w:rsid w:val="45707465"/>
    <w:rsid w:val="45B67E60"/>
    <w:rsid w:val="47837784"/>
    <w:rsid w:val="4C8C3BE3"/>
    <w:rsid w:val="4E39139C"/>
    <w:rsid w:val="4F487C90"/>
    <w:rsid w:val="53757BB1"/>
    <w:rsid w:val="5AA02863"/>
    <w:rsid w:val="5AFA1093"/>
    <w:rsid w:val="5B866E16"/>
    <w:rsid w:val="5C4B33EB"/>
    <w:rsid w:val="5D224CB3"/>
    <w:rsid w:val="5FB85557"/>
    <w:rsid w:val="62274E3D"/>
    <w:rsid w:val="636D0BB0"/>
    <w:rsid w:val="6681640F"/>
    <w:rsid w:val="6CE027F8"/>
    <w:rsid w:val="6DD63BFF"/>
    <w:rsid w:val="6E725D3E"/>
    <w:rsid w:val="6FB40183"/>
    <w:rsid w:val="704105B4"/>
    <w:rsid w:val="71011BBC"/>
    <w:rsid w:val="71751072"/>
    <w:rsid w:val="72874073"/>
    <w:rsid w:val="72CD58BB"/>
    <w:rsid w:val="75CF6384"/>
    <w:rsid w:val="769E5C28"/>
    <w:rsid w:val="76EB7606"/>
    <w:rsid w:val="778F34F7"/>
    <w:rsid w:val="79370817"/>
    <w:rsid w:val="7A7E1FB9"/>
    <w:rsid w:val="7B2A1A12"/>
    <w:rsid w:val="7BBD5153"/>
    <w:rsid w:val="7DCA7FB1"/>
    <w:rsid w:val="7E8C03B6"/>
    <w:rsid w:val="7EF0040A"/>
    <w:rsid w:val="7F6B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630"/>
    </w:pPr>
    <w:rPr>
      <w:rFonts w:ascii="宋体"/>
      <w:color w:val="000000"/>
      <w:sz w:val="30"/>
      <w:szCs w:val="20"/>
    </w:rPr>
  </w:style>
  <w:style w:type="paragraph" w:styleId="5">
    <w:name w:val="Plain Text"/>
    <w:basedOn w:val="1"/>
    <w:qFormat/>
    <w:uiPriority w:val="0"/>
    <w:pPr>
      <w:ind w:firstLine="200" w:firstLineChars="200"/>
    </w:pPr>
    <w:rPr>
      <w:rFonts w:ascii="宋体" w:hAnsi="Courier New" w:eastAsia="仿宋_GB2312"/>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AYCQ083</cp:lastModifiedBy>
  <cp:lastPrinted>2021-10-08T01:39:00Z</cp:lastPrinted>
  <dcterms:modified xsi:type="dcterms:W3CDTF">2022-03-01T06:29:36Z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