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jc w:val="left"/>
        <w:rPr>
          <w:rFonts w:hint="eastAsia" w:ascii="宋体" w:hAnsi="宋体" w:eastAsia="宋体" w:cs="宋体"/>
          <w:b/>
          <w:sz w:val="36"/>
          <w:szCs w:val="36"/>
          <w:lang w:eastAsia="zh-CN"/>
        </w:rPr>
      </w:pPr>
      <w:r>
        <w:rPr>
          <w:rFonts w:hint="eastAsia" w:ascii="宋体" w:hAnsi="宋体" w:cs="宋体"/>
          <w:b/>
          <w:sz w:val="36"/>
          <w:szCs w:val="36"/>
        </w:rPr>
        <w:t>项目名称：</w:t>
      </w:r>
      <w:r>
        <w:rPr>
          <w:rFonts w:hint="eastAsia" w:ascii="宋体" w:hAnsi="宋体" w:cs="宋体"/>
          <w:b/>
          <w:sz w:val="36"/>
          <w:szCs w:val="36"/>
          <w:lang w:eastAsia="zh-CN"/>
        </w:rPr>
        <w:t>大观服务区等服务区LNG加气站施工监理项目</w:t>
      </w:r>
    </w:p>
    <w:p>
      <w:pPr>
        <w:jc w:val="center"/>
        <w:rPr>
          <w:rFonts w:ascii="宋体" w:hAnsi="宋体" w:cs="宋体"/>
          <w:b/>
          <w:spacing w:val="20"/>
          <w:sz w:val="72"/>
          <w:szCs w:val="72"/>
        </w:rPr>
      </w:pPr>
    </w:p>
    <w:p>
      <w:pPr>
        <w:pStyle w:val="2"/>
      </w:pPr>
    </w:p>
    <w:p>
      <w:pPr>
        <w:pStyle w:val="2"/>
      </w:pPr>
    </w:p>
    <w:p/>
    <w:p>
      <w:pPr>
        <w:pStyle w:val="2"/>
        <w:rPr>
          <w:rFonts w:hint="eastAsia"/>
        </w:rPr>
      </w:pPr>
    </w:p>
    <w:p>
      <w:pPr>
        <w:jc w:val="center"/>
        <w:rPr>
          <w:rFonts w:hint="eastAsia" w:ascii="宋体" w:hAnsi="宋体" w:cs="宋体"/>
          <w:b/>
          <w:spacing w:val="20"/>
          <w:sz w:val="72"/>
          <w:szCs w:val="72"/>
        </w:rPr>
      </w:pPr>
    </w:p>
    <w:p>
      <w:pPr>
        <w:pStyle w:val="2"/>
        <w:rPr>
          <w:rFonts w:hint="eastAsia"/>
        </w:rPr>
      </w:pPr>
    </w:p>
    <w:p>
      <w:pPr>
        <w:rPr>
          <w:rFonts w:hint="eastAsia"/>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11"/>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重庆高速资产经营管理有限公司</w:t>
      </w:r>
    </w:p>
    <w:p>
      <w:pPr>
        <w:pStyle w:val="11"/>
        <w:spacing w:line="360" w:lineRule="auto"/>
        <w:ind w:left="99" w:leftChars="47"/>
        <w:jc w:val="center"/>
        <w:rPr>
          <w:rFonts w:hint="eastAsia"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val="en-US" w:eastAsia="zh-CN"/>
        </w:rPr>
        <w:t>11</w:t>
      </w:r>
      <w:r>
        <w:rPr>
          <w:rFonts w:hint="eastAsia" w:ascii="宋体" w:hAnsi="宋体" w:cs="宋体"/>
          <w:b/>
          <w:sz w:val="32"/>
          <w:szCs w:val="32"/>
        </w:rPr>
        <w:t>月</w:t>
      </w:r>
    </w:p>
    <w:p>
      <w:pPr>
        <w:rPr>
          <w:rFonts w:hint="eastAsia"/>
        </w:rPr>
      </w:pPr>
    </w:p>
    <w:p>
      <w:pPr>
        <w:rPr>
          <w:rFonts w:hint="eastAsia"/>
        </w:rPr>
      </w:pPr>
    </w:p>
    <w:p>
      <w:pPr>
        <w:pStyle w:val="3"/>
        <w:tabs>
          <w:tab w:val="left" w:pos="3360"/>
        </w:tabs>
        <w:rPr>
          <w:rFonts w:hint="eastAsia"/>
        </w:rPr>
      </w:pPr>
    </w:p>
    <w:p>
      <w:pPr>
        <w:rPr>
          <w:rFonts w:hint="eastAsia"/>
        </w:rPr>
      </w:pPr>
    </w:p>
    <w:p>
      <w:pPr>
        <w:spacing w:line="400" w:lineRule="exact"/>
        <w:jc w:val="center"/>
        <w:rPr>
          <w:rFonts w:hint="eastAsia" w:ascii="宋体" w:hAnsi="宋体" w:eastAsia="宋体" w:cs="宋体"/>
          <w:b/>
          <w:sz w:val="30"/>
          <w:szCs w:val="30"/>
          <w:lang w:eastAsia="zh-CN"/>
        </w:rPr>
      </w:pPr>
      <w:r>
        <w:rPr>
          <w:rFonts w:hint="eastAsia" w:ascii="宋体" w:hAnsi="宋体" w:cs="宋体"/>
          <w:b/>
          <w:sz w:val="30"/>
          <w:szCs w:val="30"/>
          <w:lang w:eastAsia="zh-CN"/>
        </w:rPr>
        <w:t>大观服务区等服务区LNG加气站施工监理项目</w:t>
      </w:r>
    </w:p>
    <w:p>
      <w:pPr>
        <w:spacing w:line="400" w:lineRule="exact"/>
        <w:jc w:val="center"/>
        <w:rPr>
          <w:rFonts w:hint="eastAsia" w:ascii="宋体" w:hAnsi="宋体" w:cs="宋体"/>
          <w:sz w:val="24"/>
          <w:szCs w:val="24"/>
          <w:u w:val="single"/>
        </w:rPr>
      </w:pPr>
      <w:r>
        <w:rPr>
          <w:rFonts w:hint="eastAsia" w:ascii="宋体" w:hAnsi="宋体" w:cs="宋体"/>
          <w:b/>
          <w:sz w:val="30"/>
          <w:szCs w:val="30"/>
        </w:rPr>
        <w:t>竞争性比选公告</w:t>
      </w:r>
      <w:bookmarkStart w:id="0" w:name="_Toc152042295"/>
      <w:bookmarkStart w:id="1" w:name="_Toc246996909"/>
      <w:bookmarkStart w:id="2" w:name="_Toc144974487"/>
      <w:bookmarkStart w:id="3" w:name="_Toc179632536"/>
      <w:bookmarkStart w:id="4" w:name="_Toc152045519"/>
      <w:bookmarkStart w:id="5" w:name="_Toc247085680"/>
      <w:bookmarkStart w:id="6" w:name="_Toc296602410"/>
      <w:bookmarkStart w:id="7" w:name="_Toc246996166"/>
    </w:p>
    <w:bookmarkEnd w:id="0"/>
    <w:bookmarkEnd w:id="1"/>
    <w:bookmarkEnd w:id="2"/>
    <w:bookmarkEnd w:id="3"/>
    <w:bookmarkEnd w:id="4"/>
    <w:bookmarkEnd w:id="5"/>
    <w:bookmarkEnd w:id="6"/>
    <w:bookmarkEnd w:id="7"/>
    <w:p>
      <w:pPr>
        <w:spacing w:line="320" w:lineRule="exact"/>
        <w:ind w:firstLine="420" w:firstLineChars="200"/>
        <w:jc w:val="left"/>
        <w:rPr>
          <w:szCs w:val="21"/>
        </w:rPr>
      </w:pPr>
      <w:bookmarkStart w:id="8" w:name="_Toc152042297"/>
      <w:bookmarkStart w:id="9" w:name="_Toc152045521"/>
      <w:bookmarkStart w:id="10" w:name="_Toc296602412"/>
      <w:bookmarkStart w:id="11" w:name="_Toc179632538"/>
      <w:bookmarkStart w:id="12" w:name="_Toc247085682"/>
      <w:bookmarkStart w:id="13" w:name="_Toc246996168"/>
      <w:bookmarkStart w:id="14" w:name="_Toc144974489"/>
      <w:bookmarkStart w:id="15" w:name="_Toc246996911"/>
      <w:r>
        <w:rPr>
          <w:szCs w:val="21"/>
        </w:rPr>
        <w:t>本项目</w:t>
      </w:r>
      <w:r>
        <w:rPr>
          <w:rFonts w:hint="eastAsia"/>
          <w:b/>
          <w:bCs/>
          <w:szCs w:val="21"/>
          <w:lang w:eastAsia="zh-CN"/>
        </w:rPr>
        <w:t>大观服务区等服务区LNG加气站施工监理项目</w:t>
      </w:r>
      <w:r>
        <w:rPr>
          <w:szCs w:val="21"/>
        </w:rPr>
        <w:t>准备组织实施，</w:t>
      </w:r>
      <w:r>
        <w:rPr>
          <w:rFonts w:hint="eastAsia"/>
          <w:szCs w:val="21"/>
          <w:lang w:eastAsia="zh-CN"/>
        </w:rPr>
        <w:t>重庆高速资产经营管理有限公司</w:t>
      </w:r>
      <w:r>
        <w:rPr>
          <w:szCs w:val="21"/>
        </w:rPr>
        <w:t>计划以</w:t>
      </w:r>
      <w:r>
        <w:rPr>
          <w:rFonts w:hint="eastAsia"/>
          <w:szCs w:val="21"/>
        </w:rPr>
        <w:t>竞争性比选</w:t>
      </w:r>
      <w:r>
        <w:rPr>
          <w:szCs w:val="21"/>
        </w:rPr>
        <w:t>方式确定成交单位，具体情况如下：</w:t>
      </w:r>
    </w:p>
    <w:p>
      <w:pPr>
        <w:spacing w:line="320" w:lineRule="exact"/>
        <w:rPr>
          <w:b/>
          <w:szCs w:val="21"/>
        </w:rPr>
      </w:pPr>
      <w:bookmarkStart w:id="16" w:name="_Toc179632537"/>
      <w:bookmarkStart w:id="17" w:name="_Toc246996910"/>
      <w:bookmarkStart w:id="18" w:name="_Toc247085681"/>
      <w:bookmarkStart w:id="19" w:name="_Toc246996167"/>
      <w:bookmarkStart w:id="20" w:name="_Toc296602411"/>
      <w:bookmarkStart w:id="21" w:name="_Toc144974488"/>
      <w:bookmarkStart w:id="22" w:name="_Toc152045520"/>
      <w:bookmarkStart w:id="23" w:name="_Toc152042296"/>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320" w:lineRule="exact"/>
        <w:ind w:firstLine="420" w:firstLineChars="200"/>
        <w:rPr>
          <w:rFonts w:hint="eastAsia"/>
          <w:b/>
          <w:bCs/>
          <w:szCs w:val="21"/>
        </w:rPr>
      </w:pPr>
      <w:r>
        <w:rPr>
          <w:rFonts w:hint="eastAsia"/>
          <w:szCs w:val="21"/>
        </w:rPr>
        <w:t>本项目为</w:t>
      </w:r>
      <w:r>
        <w:rPr>
          <w:rFonts w:hint="eastAsia"/>
          <w:b/>
          <w:bCs/>
          <w:szCs w:val="21"/>
          <w:lang w:eastAsia="zh-CN"/>
        </w:rPr>
        <w:t>大观服务区等服务区LNG加气站施工监理项目</w:t>
      </w:r>
      <w:r>
        <w:rPr>
          <w:rFonts w:hint="eastAsia"/>
          <w:b/>
          <w:bCs/>
          <w:szCs w:val="21"/>
        </w:rPr>
        <w:t>项目。</w:t>
      </w:r>
    </w:p>
    <w:p>
      <w:pPr>
        <w:widowControl/>
        <w:numPr>
          <w:ilvl w:val="0"/>
          <w:numId w:val="1"/>
        </w:numPr>
        <w:spacing w:line="320" w:lineRule="exact"/>
        <w:ind w:firstLine="422" w:firstLineChars="200"/>
        <w:rPr>
          <w:rFonts w:hint="eastAsia"/>
          <w:b/>
          <w:bCs/>
          <w:szCs w:val="21"/>
        </w:rPr>
      </w:pPr>
      <w:r>
        <w:rPr>
          <w:rFonts w:hint="eastAsia"/>
          <w:b/>
          <w:bCs/>
          <w:szCs w:val="21"/>
        </w:rPr>
        <w:t>竞争性比选范围：</w:t>
      </w:r>
    </w:p>
    <w:p>
      <w:pPr>
        <w:spacing w:line="320" w:lineRule="exact"/>
        <w:ind w:firstLine="420" w:firstLineChars="200"/>
        <w:rPr>
          <w:rFonts w:hint="eastAsia"/>
          <w:szCs w:val="21"/>
        </w:rPr>
      </w:pPr>
      <w:r>
        <w:rPr>
          <w:rFonts w:hint="eastAsia"/>
          <w:szCs w:val="21"/>
        </w:rPr>
        <w:t>1.1工程地址：</w:t>
      </w:r>
      <w:r>
        <w:rPr>
          <w:rFonts w:hint="eastAsia" w:ascii="Times New Roman" w:hAnsi="Times New Roman" w:cs="Times New Roman"/>
          <w:szCs w:val="21"/>
          <w:lang w:val="en-US" w:eastAsia="zh-CN"/>
        </w:rPr>
        <w:t>珞璜服务区南侧、大观服务区、江津服务区</w:t>
      </w:r>
      <w:r>
        <w:rPr>
          <w:rFonts w:hint="eastAsia"/>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szCs w:val="21"/>
          <w:lang w:val="en-US" w:eastAsia="zh-CN"/>
        </w:rPr>
      </w:pPr>
      <w:r>
        <w:rPr>
          <w:rFonts w:hint="eastAsia"/>
          <w:szCs w:val="21"/>
          <w:lang w:val="en-US" w:eastAsia="zh-CN"/>
        </w:rPr>
        <w:t>1.2</w:t>
      </w:r>
      <w:r>
        <w:rPr>
          <w:rFonts w:hint="eastAsia"/>
          <w:szCs w:val="21"/>
        </w:rPr>
        <w:t>竞争性比选范围：</w:t>
      </w:r>
      <w:r>
        <w:rPr>
          <w:rFonts w:hint="eastAsia" w:ascii="Times New Roman" w:hAnsi="Times New Roman" w:cs="Times New Roman"/>
          <w:szCs w:val="21"/>
          <w:lang w:val="en-US" w:eastAsia="zh-CN"/>
        </w:rPr>
        <w:t>包括施工设计文件及图说所包含工程内容</w:t>
      </w:r>
      <w:r>
        <w:rPr>
          <w:rFonts w:hint="eastAsia" w:cs="Times New Roman"/>
          <w:szCs w:val="21"/>
          <w:lang w:val="en-US" w:eastAsia="zh-CN"/>
        </w:rPr>
        <w:t>（</w:t>
      </w:r>
      <w:r>
        <w:rPr>
          <w:rFonts w:hint="eastAsia" w:ascii="Times New Roman" w:hAnsi="Times New Roman" w:cs="Times New Roman"/>
          <w:szCs w:val="21"/>
          <w:lang w:val="en-US" w:eastAsia="zh-CN"/>
        </w:rPr>
        <w:t>具体</w:t>
      </w:r>
      <w:r>
        <w:rPr>
          <w:rFonts w:hint="eastAsia" w:cs="Times New Roman"/>
          <w:szCs w:val="21"/>
          <w:lang w:val="en-US" w:eastAsia="zh-CN"/>
        </w:rPr>
        <w:t>内容</w:t>
      </w:r>
      <w:r>
        <w:rPr>
          <w:rFonts w:hint="eastAsia" w:ascii="Times New Roman" w:hAnsi="Times New Roman" w:cs="Times New Roman"/>
          <w:szCs w:val="21"/>
          <w:lang w:val="en-US" w:eastAsia="zh-CN"/>
        </w:rPr>
        <w:t>包括但不限于土石方、站房、给排水、工艺类电气及管线、撬装设备安装等</w:t>
      </w:r>
      <w:r>
        <w:rPr>
          <w:rFonts w:hint="eastAsia" w:cs="Times New Roman"/>
          <w:szCs w:val="21"/>
          <w:lang w:val="en-US" w:eastAsia="zh-CN"/>
        </w:rPr>
        <w:t>）的施工过程中监理任务</w:t>
      </w:r>
      <w:r>
        <w:rPr>
          <w:rFonts w:hint="eastAsia" w:ascii="Times New Roman" w:hAnsi="Times New Roman" w:cs="Times New Roman"/>
          <w:szCs w:val="21"/>
          <w:lang w:val="en-US" w:eastAsia="zh-CN"/>
        </w:rPr>
        <w:t>。</w:t>
      </w:r>
    </w:p>
    <w:p>
      <w:pPr>
        <w:spacing w:line="320" w:lineRule="exact"/>
        <w:ind w:firstLine="420" w:firstLineChars="200"/>
        <w:rPr>
          <w:rFonts w:hint="eastAsia"/>
          <w:szCs w:val="21"/>
        </w:rPr>
      </w:pPr>
      <w:r>
        <w:rPr>
          <w:rFonts w:hint="eastAsia"/>
          <w:szCs w:val="21"/>
        </w:rPr>
        <w:t>1.</w:t>
      </w:r>
      <w:r>
        <w:rPr>
          <w:rFonts w:hint="eastAsia"/>
          <w:szCs w:val="21"/>
          <w:lang w:val="en-US" w:eastAsia="zh-CN"/>
        </w:rPr>
        <w:t>3</w:t>
      </w:r>
      <w:r>
        <w:rPr>
          <w:rFonts w:hint="eastAsia"/>
          <w:szCs w:val="21"/>
        </w:rPr>
        <w:t>监理工作内容：</w:t>
      </w:r>
    </w:p>
    <w:p>
      <w:pPr>
        <w:spacing w:line="320" w:lineRule="exact"/>
        <w:ind w:firstLine="420" w:firstLineChars="200"/>
        <w:rPr>
          <w:rFonts w:hint="eastAsia"/>
          <w:szCs w:val="21"/>
        </w:rPr>
      </w:pPr>
      <w:r>
        <w:rPr>
          <w:rFonts w:hint="eastAsia"/>
          <w:szCs w:val="21"/>
        </w:rPr>
        <w:t>（1）负责本项目工程建设相关合同管理，协调有关单位间的工作关系；</w:t>
      </w:r>
    </w:p>
    <w:p>
      <w:pPr>
        <w:spacing w:line="320" w:lineRule="exact"/>
        <w:ind w:firstLine="420" w:firstLineChars="200"/>
        <w:rPr>
          <w:rFonts w:hint="eastAsia"/>
          <w:szCs w:val="21"/>
        </w:rPr>
      </w:pPr>
      <w:r>
        <w:rPr>
          <w:rFonts w:hint="eastAsia"/>
          <w:szCs w:val="21"/>
        </w:rPr>
        <w:t>（2）根据设计内容与工程施工实际，签认工程量，制作项目工程量签订台帐，对签认工程量的真实性、准确性负责；</w:t>
      </w:r>
    </w:p>
    <w:p>
      <w:pPr>
        <w:spacing w:line="320" w:lineRule="exact"/>
        <w:ind w:firstLine="420" w:firstLineChars="200"/>
        <w:rPr>
          <w:rFonts w:hint="eastAsia"/>
          <w:szCs w:val="21"/>
        </w:rPr>
      </w:pPr>
      <w:r>
        <w:rPr>
          <w:rFonts w:hint="eastAsia"/>
          <w:szCs w:val="21"/>
        </w:rPr>
        <w:t>（3）监督工程建设施工单位按合同约定的工期施工，确保工程按期竣工；</w:t>
      </w:r>
    </w:p>
    <w:p>
      <w:pPr>
        <w:spacing w:line="320" w:lineRule="exact"/>
        <w:ind w:firstLine="420" w:firstLineChars="200"/>
        <w:rPr>
          <w:rFonts w:hint="eastAsia"/>
          <w:szCs w:val="21"/>
        </w:rPr>
      </w:pPr>
      <w:r>
        <w:rPr>
          <w:rFonts w:hint="eastAsia"/>
          <w:szCs w:val="21"/>
        </w:rPr>
        <w:t>（4）监督施工、设计等单位确保项目达到合同约定的质量，监督施工方按合同约定实施安全生产。</w:t>
      </w:r>
    </w:p>
    <w:p>
      <w:pPr>
        <w:spacing w:line="320" w:lineRule="exact"/>
        <w:ind w:firstLine="420" w:firstLineChars="200"/>
        <w:rPr>
          <w:rFonts w:hint="eastAsia"/>
          <w:szCs w:val="21"/>
        </w:rPr>
      </w:pPr>
      <w:r>
        <w:rPr>
          <w:rFonts w:hint="eastAsia"/>
          <w:szCs w:val="21"/>
        </w:rPr>
        <w:t>1.5监理服务期：</w:t>
      </w:r>
      <w:r>
        <w:rPr>
          <w:rFonts w:hint="eastAsia"/>
          <w:szCs w:val="21"/>
          <w:lang w:val="en-US" w:eastAsia="zh-CN"/>
        </w:rPr>
        <w:t>12个月</w:t>
      </w:r>
      <w:r>
        <w:rPr>
          <w:rFonts w:hint="eastAsia"/>
          <w:szCs w:val="21"/>
        </w:rPr>
        <w:t>（缺陷责任期24个月，具体期限按国家有关规定执行；以</w:t>
      </w:r>
      <w:r>
        <w:rPr>
          <w:rFonts w:hint="eastAsia"/>
          <w:szCs w:val="21"/>
          <w:lang w:eastAsia="zh-CN"/>
        </w:rPr>
        <w:t>竞争性比选人</w:t>
      </w:r>
      <w:r>
        <w:rPr>
          <w:rFonts w:hint="eastAsia"/>
          <w:szCs w:val="21"/>
        </w:rPr>
        <w:t>的书面进场通知为监理服务期的起始时间，以项目</w:t>
      </w:r>
      <w:r>
        <w:rPr>
          <w:rFonts w:hint="eastAsia"/>
          <w:szCs w:val="21"/>
          <w:lang w:val="en-US" w:eastAsia="zh-CN"/>
        </w:rPr>
        <w:t>交（</w:t>
      </w:r>
      <w:r>
        <w:rPr>
          <w:rFonts w:hint="eastAsia"/>
          <w:szCs w:val="21"/>
        </w:rPr>
        <w:t>竣</w:t>
      </w:r>
      <w:r>
        <w:rPr>
          <w:rFonts w:hint="eastAsia"/>
          <w:szCs w:val="21"/>
          <w:lang w:eastAsia="zh-CN"/>
        </w:rPr>
        <w:t>）</w:t>
      </w:r>
      <w:r>
        <w:rPr>
          <w:rFonts w:hint="eastAsia"/>
          <w:szCs w:val="21"/>
        </w:rPr>
        <w:t>工验收合格、监理资料交接完成且审计机构完成工程审核、缺陷责任期（竣工后24个月）满后为监理服务期的完成时间）。</w:t>
      </w:r>
    </w:p>
    <w:p>
      <w:pPr>
        <w:spacing w:line="320" w:lineRule="exact"/>
        <w:ind w:firstLine="422" w:firstLineChars="200"/>
        <w:rPr>
          <w:b/>
          <w:szCs w:val="21"/>
        </w:rPr>
      </w:pPr>
      <w:r>
        <w:rPr>
          <w:rFonts w:hint="eastAsia"/>
          <w:b/>
          <w:szCs w:val="21"/>
        </w:rPr>
        <w:t>2、</w:t>
      </w:r>
      <w:r>
        <w:rPr>
          <w:b/>
          <w:szCs w:val="21"/>
        </w:rPr>
        <w:t>本次</w:t>
      </w:r>
      <w:r>
        <w:rPr>
          <w:rFonts w:hint="eastAsia"/>
          <w:b/>
          <w:szCs w:val="21"/>
        </w:rPr>
        <w:t>竞争性比选</w:t>
      </w:r>
      <w:r>
        <w:rPr>
          <w:b/>
          <w:szCs w:val="21"/>
        </w:rPr>
        <w:t>不接受联合体竞标，不允许分包和转包。</w:t>
      </w:r>
    </w:p>
    <w:p>
      <w:pPr>
        <w:spacing w:line="320" w:lineRule="exact"/>
        <w:ind w:firstLine="422" w:firstLineChars="200"/>
        <w:rPr>
          <w:rFonts w:hint="eastAsia"/>
          <w:b/>
          <w:bCs/>
          <w:szCs w:val="21"/>
        </w:rPr>
      </w:pPr>
      <w:r>
        <w:rPr>
          <w:rFonts w:hint="eastAsia"/>
          <w:b/>
          <w:bCs/>
          <w:szCs w:val="21"/>
        </w:rPr>
        <w:t>3、本次比选为一个合同包。</w:t>
      </w:r>
    </w:p>
    <w:p>
      <w:pPr>
        <w:spacing w:line="320" w:lineRule="exact"/>
        <w:rPr>
          <w:rFonts w:hint="eastAsia"/>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20" w:lineRule="exact"/>
        <w:ind w:firstLine="420" w:firstLineChars="200"/>
        <w:rPr>
          <w:rFonts w:hint="eastAsia"/>
          <w:szCs w:val="21"/>
        </w:rPr>
      </w:pPr>
      <w:bookmarkStart w:id="24" w:name="_Toc246996912"/>
      <w:bookmarkStart w:id="25" w:name="_Toc247085683"/>
      <w:bookmarkStart w:id="26" w:name="_Toc179632539"/>
      <w:bookmarkStart w:id="27" w:name="_Toc144974490"/>
      <w:bookmarkStart w:id="28" w:name="_Toc152042298"/>
      <w:bookmarkStart w:id="29" w:name="_Toc152045522"/>
      <w:bookmarkStart w:id="30" w:name="_Toc246996169"/>
      <w:bookmarkStart w:id="31" w:name="_Toc296602413"/>
      <w:r>
        <w:rPr>
          <w:rFonts w:hint="eastAsia"/>
          <w:szCs w:val="21"/>
        </w:rPr>
        <w:t>1、资质要求：</w:t>
      </w:r>
    </w:p>
    <w:p>
      <w:pPr>
        <w:spacing w:line="320" w:lineRule="exact"/>
        <w:ind w:firstLine="420" w:firstLineChars="200"/>
        <w:rPr>
          <w:rFonts w:hint="eastAsia"/>
          <w:szCs w:val="21"/>
        </w:rPr>
      </w:pPr>
      <w:r>
        <w:rPr>
          <w:rFonts w:hint="eastAsia"/>
          <w:szCs w:val="21"/>
        </w:rPr>
        <w:t>具有独立法人资格，具备有效的营业执照；具备建设主管部门颁发的工程监理综合资质（或同时具备房屋建筑工程监理乙级及以上资质、市政公用工程监理乙级及以上资质、机电安装工程监理乙级及以上资质和石油化工工程监理乙级及以上资质）；具备有效的ISO质量体系认证证书。</w:t>
      </w:r>
    </w:p>
    <w:p>
      <w:pPr>
        <w:spacing w:line="320" w:lineRule="exact"/>
        <w:ind w:firstLine="422" w:firstLineChars="200"/>
        <w:rPr>
          <w:rFonts w:hint="eastAsia"/>
          <w:b/>
          <w:szCs w:val="21"/>
        </w:rPr>
      </w:pPr>
      <w:r>
        <w:rPr>
          <w:rFonts w:hint="eastAsia"/>
          <w:b/>
          <w:szCs w:val="21"/>
        </w:rPr>
        <w:t>（注：须提供营业执照、资质证书、质量体系认证证书的复印件或扫描件。）</w:t>
      </w:r>
    </w:p>
    <w:p>
      <w:pPr>
        <w:numPr>
          <w:ilvl w:val="0"/>
          <w:numId w:val="1"/>
        </w:numPr>
        <w:spacing w:line="320" w:lineRule="exact"/>
        <w:ind w:firstLine="420"/>
        <w:rPr>
          <w:rFonts w:hint="eastAsia"/>
          <w:szCs w:val="21"/>
        </w:rPr>
      </w:pPr>
      <w:r>
        <w:rPr>
          <w:rFonts w:hint="eastAsia"/>
          <w:szCs w:val="21"/>
        </w:rPr>
        <w:t>业绩要求：具</w:t>
      </w:r>
      <w:r>
        <w:rPr>
          <w:rFonts w:hint="eastAsia"/>
          <w:color w:val="000000"/>
          <w:szCs w:val="21"/>
        </w:rPr>
        <w:t>有2018年</w:t>
      </w:r>
      <w:r>
        <w:rPr>
          <w:rFonts w:hint="eastAsia"/>
          <w:color w:val="000000"/>
          <w:szCs w:val="21"/>
          <w:lang w:val="en-US" w:eastAsia="zh-CN"/>
        </w:rPr>
        <w:t>1</w:t>
      </w:r>
      <w:r>
        <w:rPr>
          <w:rFonts w:hint="eastAsia"/>
          <w:color w:val="000000"/>
          <w:szCs w:val="21"/>
        </w:rPr>
        <w:t>月1</w:t>
      </w:r>
      <w:r>
        <w:rPr>
          <w:rFonts w:hint="eastAsia"/>
          <w:szCs w:val="21"/>
        </w:rPr>
        <w:t>日至比选截止时间（具体以合同签订时间为准）承担过投资金额1</w:t>
      </w:r>
      <w:r>
        <w:rPr>
          <w:rFonts w:hint="eastAsia"/>
          <w:szCs w:val="21"/>
          <w:lang w:val="en-US" w:eastAsia="zh-CN"/>
        </w:rPr>
        <w:t>0</w:t>
      </w:r>
      <w:r>
        <w:rPr>
          <w:rFonts w:hint="eastAsia"/>
          <w:szCs w:val="21"/>
        </w:rPr>
        <w:t>00万以上的新建加油站</w:t>
      </w:r>
      <w:r>
        <w:rPr>
          <w:rFonts w:hint="eastAsia"/>
          <w:szCs w:val="21"/>
          <w:lang w:val="en-US" w:eastAsia="zh-CN"/>
        </w:rPr>
        <w:t>或LNG加气站或CNG加气站</w:t>
      </w:r>
      <w:r>
        <w:rPr>
          <w:rFonts w:hint="eastAsia"/>
          <w:szCs w:val="21"/>
        </w:rPr>
        <w:t>项目的监理任务。</w:t>
      </w:r>
    </w:p>
    <w:p>
      <w:pPr>
        <w:spacing w:line="320" w:lineRule="exact"/>
        <w:ind w:firstLine="422" w:firstLineChars="200"/>
        <w:rPr>
          <w:rFonts w:hint="eastAsia"/>
          <w:b/>
          <w:szCs w:val="21"/>
        </w:rPr>
      </w:pPr>
      <w:r>
        <w:rPr>
          <w:rFonts w:hint="eastAsia"/>
          <w:b/>
          <w:szCs w:val="21"/>
        </w:rPr>
        <w:t>（注：须提供合同的复印件或扫描件，且合同中能清晰反映该业绩要求）。</w:t>
      </w:r>
    </w:p>
    <w:p>
      <w:pPr>
        <w:spacing w:line="320" w:lineRule="exact"/>
        <w:ind w:firstLine="420" w:firstLineChars="200"/>
        <w:rPr>
          <w:rFonts w:hint="eastAsia"/>
          <w:szCs w:val="21"/>
        </w:rPr>
      </w:pPr>
      <w:r>
        <w:rPr>
          <w:rFonts w:hint="eastAsia"/>
          <w:szCs w:val="21"/>
          <w:lang w:val="en-US" w:eastAsia="zh-CN"/>
        </w:rPr>
        <w:t>3</w:t>
      </w:r>
      <w:r>
        <w:rPr>
          <w:rFonts w:hint="eastAsia"/>
          <w:szCs w:val="21"/>
        </w:rPr>
        <w:t>、主要管理人员要求：</w:t>
      </w:r>
    </w:p>
    <w:p>
      <w:pPr>
        <w:spacing w:line="320" w:lineRule="exact"/>
        <w:ind w:firstLine="420" w:firstLineChars="200"/>
        <w:rPr>
          <w:rFonts w:hint="eastAsia"/>
          <w:szCs w:val="21"/>
        </w:rPr>
      </w:pPr>
      <w:r>
        <w:rPr>
          <w:rFonts w:hint="eastAsia"/>
          <w:szCs w:val="21"/>
        </w:rPr>
        <w:t>总监理工程师1名，须为本单位人员，具有</w:t>
      </w:r>
      <w:r>
        <w:rPr>
          <w:rFonts w:hint="eastAsia"/>
          <w:szCs w:val="21"/>
          <w:lang w:val="en-US" w:eastAsia="zh-CN"/>
        </w:rPr>
        <w:t>高级</w:t>
      </w:r>
      <w:r>
        <w:rPr>
          <w:rFonts w:hint="eastAsia"/>
          <w:szCs w:val="21"/>
        </w:rPr>
        <w:t>及以上职称，持有建设主管行政部门颁发的注册监理工程师证书（石油化工专业）。</w:t>
      </w:r>
    </w:p>
    <w:p>
      <w:pPr>
        <w:spacing w:line="320" w:lineRule="exact"/>
        <w:ind w:firstLine="422" w:firstLineChars="200"/>
        <w:rPr>
          <w:rFonts w:hint="default"/>
          <w:b/>
          <w:szCs w:val="21"/>
          <w:lang w:val="en-US" w:eastAsia="zh-CN"/>
        </w:rPr>
      </w:pPr>
      <w:r>
        <w:rPr>
          <w:rFonts w:hint="default"/>
          <w:b/>
          <w:szCs w:val="21"/>
          <w:lang w:val="en-US" w:eastAsia="zh-CN"/>
        </w:rPr>
        <w:t>（注：须提供人员的身份证、职称证、注册监理工程师证书及比选人为其缴纳的2020年12月-2021年5月的社保证明的复印件或扫描件）</w:t>
      </w:r>
      <w:r>
        <w:rPr>
          <w:rFonts w:hint="eastAsia"/>
          <w:b/>
          <w:szCs w:val="21"/>
          <w:lang w:val="en-US" w:eastAsia="zh-CN"/>
        </w:rPr>
        <w:t>。</w:t>
      </w:r>
    </w:p>
    <w:p>
      <w:pPr>
        <w:spacing w:line="320" w:lineRule="exact"/>
        <w:rPr>
          <w:rFonts w:hint="eastAsia"/>
          <w:b/>
          <w:szCs w:val="21"/>
        </w:rPr>
      </w:pPr>
      <w:r>
        <w:rPr>
          <w:b/>
          <w:szCs w:val="21"/>
        </w:rPr>
        <w:t>三、</w:t>
      </w:r>
      <w:r>
        <w:rPr>
          <w:rFonts w:hint="eastAsia"/>
          <w:b/>
          <w:szCs w:val="21"/>
        </w:rPr>
        <w:t>竞争性比选申请</w:t>
      </w:r>
      <w:r>
        <w:rPr>
          <w:b/>
          <w:szCs w:val="21"/>
        </w:rPr>
        <w:t>文件的相关要求：</w:t>
      </w:r>
    </w:p>
    <w:bookmarkEnd w:id="24"/>
    <w:bookmarkEnd w:id="25"/>
    <w:bookmarkEnd w:id="26"/>
    <w:bookmarkEnd w:id="27"/>
    <w:bookmarkEnd w:id="28"/>
    <w:bookmarkEnd w:id="29"/>
    <w:bookmarkEnd w:id="30"/>
    <w:bookmarkEnd w:id="31"/>
    <w:p>
      <w:pPr>
        <w:spacing w:line="320" w:lineRule="exact"/>
        <w:ind w:firstLine="422" w:firstLineChars="200"/>
        <w:rPr>
          <w:b/>
          <w:bCs/>
          <w:szCs w:val="21"/>
        </w:rPr>
      </w:pPr>
      <w:r>
        <w:rPr>
          <w:rFonts w:hint="eastAsia"/>
          <w:b/>
          <w:bCs/>
          <w:szCs w:val="21"/>
        </w:rPr>
        <w:t>1、</w:t>
      </w:r>
      <w:r>
        <w:rPr>
          <w:b/>
          <w:bCs/>
          <w:szCs w:val="21"/>
        </w:rPr>
        <w:t>本次</w:t>
      </w:r>
      <w:r>
        <w:rPr>
          <w:rFonts w:hint="eastAsia"/>
          <w:b/>
          <w:bCs/>
          <w:szCs w:val="21"/>
        </w:rPr>
        <w:t>比选申请</w:t>
      </w:r>
      <w:r>
        <w:rPr>
          <w:b/>
          <w:bCs/>
          <w:szCs w:val="21"/>
        </w:rPr>
        <w:t>文件的组成：</w:t>
      </w:r>
    </w:p>
    <w:p>
      <w:pPr>
        <w:spacing w:line="320" w:lineRule="exact"/>
        <w:ind w:firstLine="420" w:firstLineChars="200"/>
        <w:rPr>
          <w:rFonts w:hint="eastAsia"/>
          <w:szCs w:val="21"/>
        </w:rPr>
      </w:pPr>
      <w:r>
        <w:rPr>
          <w:rFonts w:hint="eastAsia"/>
          <w:szCs w:val="21"/>
        </w:rPr>
        <w:t>(1)报价书；</w:t>
      </w:r>
    </w:p>
    <w:p>
      <w:pPr>
        <w:spacing w:line="320" w:lineRule="exact"/>
        <w:ind w:firstLine="420" w:firstLineChars="200"/>
        <w:rPr>
          <w:rFonts w:hint="eastAsia"/>
          <w:szCs w:val="21"/>
        </w:rPr>
      </w:pPr>
      <w:r>
        <w:rPr>
          <w:rFonts w:hint="eastAsia"/>
          <w:szCs w:val="21"/>
        </w:rPr>
        <w:t>(2)法定代表人（单位负责人）身份证明及授权委托书；</w:t>
      </w:r>
    </w:p>
    <w:p>
      <w:pPr>
        <w:spacing w:line="320" w:lineRule="exact"/>
        <w:ind w:firstLine="420" w:firstLineChars="200"/>
        <w:rPr>
          <w:rFonts w:hint="eastAsia"/>
          <w:szCs w:val="21"/>
        </w:rPr>
      </w:pPr>
      <w:r>
        <w:rPr>
          <w:rFonts w:hint="eastAsia"/>
          <w:szCs w:val="21"/>
        </w:rPr>
        <w:t>(3)比选申请单位有效的营业执照、资质证书等证明材料；</w:t>
      </w:r>
    </w:p>
    <w:p>
      <w:pPr>
        <w:spacing w:line="320" w:lineRule="exact"/>
        <w:ind w:firstLine="420" w:firstLineChars="200"/>
        <w:rPr>
          <w:rFonts w:hint="eastAsia"/>
          <w:szCs w:val="21"/>
        </w:rPr>
      </w:pPr>
      <w:r>
        <w:rPr>
          <w:rFonts w:hint="eastAsia"/>
          <w:szCs w:val="21"/>
        </w:rPr>
        <w:t>(4)比选申请单位的业绩证明材料；</w:t>
      </w:r>
    </w:p>
    <w:p>
      <w:pPr>
        <w:spacing w:line="320" w:lineRule="exact"/>
        <w:ind w:firstLine="420" w:firstLineChars="200"/>
        <w:rPr>
          <w:rFonts w:hint="eastAsia"/>
          <w:szCs w:val="21"/>
        </w:rPr>
      </w:pPr>
      <w:r>
        <w:rPr>
          <w:rFonts w:hint="eastAsia"/>
          <w:szCs w:val="21"/>
        </w:rPr>
        <w:t>(</w:t>
      </w:r>
      <w:r>
        <w:rPr>
          <w:rFonts w:hint="eastAsia"/>
          <w:szCs w:val="21"/>
          <w:lang w:val="en-US" w:eastAsia="zh-CN"/>
        </w:rPr>
        <w:t>5</w:t>
      </w:r>
      <w:r>
        <w:rPr>
          <w:rFonts w:hint="eastAsia"/>
          <w:szCs w:val="21"/>
        </w:rPr>
        <w:t>)比选申请单位主要管理人员的证明材料；</w:t>
      </w:r>
    </w:p>
    <w:p>
      <w:pPr>
        <w:spacing w:line="320" w:lineRule="exact"/>
        <w:ind w:firstLine="420" w:firstLineChars="200"/>
        <w:rPr>
          <w:rFonts w:hint="eastAsia"/>
          <w:szCs w:val="21"/>
        </w:rPr>
      </w:pPr>
      <w:r>
        <w:rPr>
          <w:rFonts w:hint="eastAsia"/>
          <w:szCs w:val="21"/>
        </w:rPr>
        <w:t>(</w:t>
      </w:r>
      <w:r>
        <w:rPr>
          <w:rFonts w:hint="eastAsia"/>
          <w:szCs w:val="21"/>
          <w:lang w:val="en-US" w:eastAsia="zh-CN"/>
        </w:rPr>
        <w:t>6</w:t>
      </w:r>
      <w:r>
        <w:rPr>
          <w:rFonts w:hint="eastAsia"/>
          <w:szCs w:val="21"/>
        </w:rPr>
        <w:t>)比选申请单位技术部分；</w:t>
      </w:r>
    </w:p>
    <w:p>
      <w:pPr>
        <w:spacing w:line="320" w:lineRule="exact"/>
        <w:ind w:firstLine="420" w:firstLineChars="200"/>
        <w:rPr>
          <w:rFonts w:hint="eastAsia" w:eastAsia="宋体"/>
          <w:szCs w:val="21"/>
          <w:lang w:val="en-US" w:eastAsia="zh-CN"/>
        </w:rPr>
      </w:pPr>
      <w:r>
        <w:rPr>
          <w:rFonts w:hint="eastAsia"/>
          <w:szCs w:val="21"/>
          <w:lang w:eastAsia="zh-CN"/>
        </w:rPr>
        <w:t>（</w:t>
      </w:r>
      <w:r>
        <w:rPr>
          <w:rFonts w:hint="eastAsia"/>
          <w:szCs w:val="21"/>
          <w:lang w:val="en-US" w:eastAsia="zh-CN"/>
        </w:rPr>
        <w:t>7</w:t>
      </w:r>
      <w:r>
        <w:rPr>
          <w:rFonts w:hint="eastAsia"/>
          <w:szCs w:val="21"/>
          <w:lang w:eastAsia="zh-CN"/>
        </w:rPr>
        <w:t>）</w:t>
      </w:r>
      <w:r>
        <w:rPr>
          <w:rFonts w:hint="eastAsia"/>
          <w:szCs w:val="21"/>
          <w:lang w:val="en-US" w:eastAsia="zh-CN"/>
        </w:rPr>
        <w:t>报价清单</w:t>
      </w:r>
    </w:p>
    <w:p>
      <w:pPr>
        <w:spacing w:line="320" w:lineRule="exact"/>
        <w:ind w:firstLine="420" w:firstLineChars="200"/>
        <w:rPr>
          <w:rFonts w:hint="eastAsia"/>
          <w:szCs w:val="21"/>
        </w:rPr>
      </w:pPr>
      <w:r>
        <w:rPr>
          <w:rFonts w:hint="eastAsia"/>
          <w:szCs w:val="21"/>
        </w:rPr>
        <w:t>(</w:t>
      </w:r>
      <w:r>
        <w:rPr>
          <w:rFonts w:hint="eastAsia"/>
          <w:szCs w:val="21"/>
          <w:lang w:val="en-US" w:eastAsia="zh-CN"/>
        </w:rPr>
        <w:t>8</w:t>
      </w:r>
      <w:r>
        <w:rPr>
          <w:rFonts w:hint="eastAsia"/>
          <w:szCs w:val="21"/>
        </w:rPr>
        <w:t>)其他材料。</w:t>
      </w:r>
    </w:p>
    <w:p>
      <w:pPr>
        <w:spacing w:line="320" w:lineRule="exact"/>
        <w:ind w:firstLine="422" w:firstLineChars="200"/>
        <w:rPr>
          <w:rFonts w:hint="eastAsia"/>
          <w:b/>
          <w:bCs/>
          <w:szCs w:val="21"/>
        </w:rPr>
      </w:pPr>
      <w:r>
        <w:rPr>
          <w:rFonts w:hint="eastAsia"/>
          <w:b/>
          <w:bCs/>
          <w:szCs w:val="21"/>
        </w:rPr>
        <w:t>（注：以上所有文件均须比选申请单位法定代表人（单位负责人）或其授权代理人签署并加盖单位公章，并装订成册）</w:t>
      </w:r>
    </w:p>
    <w:p>
      <w:pPr>
        <w:spacing w:line="320" w:lineRule="exact"/>
        <w:ind w:firstLine="422" w:firstLineChars="200"/>
        <w:rPr>
          <w:rFonts w:hint="eastAsia"/>
          <w:b/>
          <w:bCs/>
          <w:szCs w:val="21"/>
        </w:rPr>
      </w:pPr>
      <w:r>
        <w:rPr>
          <w:rFonts w:hint="eastAsia"/>
          <w:b/>
          <w:bCs/>
          <w:szCs w:val="21"/>
        </w:rPr>
        <w:t>2、比选申请</w:t>
      </w:r>
      <w:r>
        <w:rPr>
          <w:b/>
          <w:bCs/>
          <w:szCs w:val="21"/>
        </w:rPr>
        <w:t>文件的份数及编制要求</w:t>
      </w:r>
      <w:r>
        <w:rPr>
          <w:rFonts w:hint="eastAsia"/>
          <w:b/>
          <w:bCs/>
          <w:szCs w:val="21"/>
        </w:rPr>
        <w:t>：</w:t>
      </w:r>
    </w:p>
    <w:p>
      <w:pPr>
        <w:spacing w:line="320" w:lineRule="exact"/>
        <w:ind w:firstLine="420" w:firstLineChars="200"/>
        <w:rPr>
          <w:rFonts w:hint="eastAsia"/>
          <w:szCs w:val="21"/>
        </w:rPr>
      </w:pPr>
      <w:r>
        <w:rPr>
          <w:rFonts w:hint="eastAsia"/>
          <w:szCs w:val="21"/>
        </w:rPr>
        <w:t>比选申请</w:t>
      </w:r>
      <w:r>
        <w:rPr>
          <w:szCs w:val="21"/>
        </w:rPr>
        <w:t>文件</w:t>
      </w:r>
      <w:r>
        <w:rPr>
          <w:rFonts w:hint="eastAsia"/>
          <w:b/>
          <w:bCs/>
          <w:szCs w:val="21"/>
        </w:rPr>
        <w:t>2份（正本1份、副本1份，正本可为副本的复印件，当正本与副本不一致时，以正本为准）</w:t>
      </w:r>
      <w:r>
        <w:rPr>
          <w:rFonts w:hint="eastAsia"/>
          <w:szCs w:val="21"/>
        </w:rPr>
        <w:t>，比选申请</w:t>
      </w:r>
      <w:r>
        <w:rPr>
          <w:szCs w:val="21"/>
        </w:rPr>
        <w:t>文件</w:t>
      </w:r>
      <w:r>
        <w:rPr>
          <w:rFonts w:hint="eastAsia"/>
          <w:szCs w:val="21"/>
        </w:rPr>
        <w:t>按竞争性比选文件中规定格式排版。</w:t>
      </w:r>
    </w:p>
    <w:p>
      <w:pPr>
        <w:spacing w:line="320" w:lineRule="exact"/>
        <w:rPr>
          <w:rFonts w:hint="eastAsia"/>
          <w:b/>
          <w:szCs w:val="21"/>
        </w:rPr>
      </w:pPr>
      <w:r>
        <w:rPr>
          <w:rFonts w:hint="eastAsia"/>
          <w:b/>
          <w:szCs w:val="21"/>
        </w:rPr>
        <w:t>四、评标办法（本项目采用综合评估法）：</w:t>
      </w:r>
    </w:p>
    <w:tbl>
      <w:tblPr>
        <w:tblStyle w:val="22"/>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1701"/>
        <w:gridCol w:w="127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条款号</w:t>
            </w:r>
          </w:p>
        </w:tc>
        <w:tc>
          <w:tcPr>
            <w:tcW w:w="2136" w:type="dxa"/>
            <w:vAlign w:val="center"/>
          </w:tcPr>
          <w:p>
            <w:pPr>
              <w:spacing w:line="30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评审因素</w:t>
            </w:r>
          </w:p>
        </w:tc>
        <w:tc>
          <w:tcPr>
            <w:tcW w:w="4909" w:type="dxa"/>
            <w:gridSpan w:val="3"/>
            <w:vAlign w:val="center"/>
          </w:tcPr>
          <w:p>
            <w:pPr>
              <w:spacing w:line="30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1.1.1</w:t>
            </w:r>
          </w:p>
        </w:tc>
        <w:tc>
          <w:tcPr>
            <w:tcW w:w="1205" w:type="dxa"/>
            <w:vMerge w:val="restart"/>
            <w:vAlign w:val="center"/>
          </w:tcPr>
          <w:p>
            <w:pPr>
              <w:spacing w:line="30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形式评审标准</w:t>
            </w: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kern w:val="0"/>
              </w:rPr>
              <w:t>比选申请人名称</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hint="eastAsia" w:ascii="宋体" w:hAnsi="宋体" w:cs="宋体"/>
                <w:szCs w:val="21"/>
                <w:shd w:val="clear" w:color="auto" w:fill="FFFFFF"/>
              </w:rPr>
            </w:pPr>
          </w:p>
        </w:tc>
        <w:tc>
          <w:tcPr>
            <w:tcW w:w="1205" w:type="dxa"/>
            <w:vMerge w:val="continue"/>
            <w:vAlign w:val="center"/>
          </w:tcPr>
          <w:p>
            <w:pPr>
              <w:spacing w:line="300" w:lineRule="exact"/>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kern w:val="0"/>
              </w:rPr>
              <w:t>报价书签字盖章</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hint="eastAsia" w:ascii="宋体" w:hAnsi="宋体" w:cs="宋体"/>
                <w:szCs w:val="21"/>
                <w:shd w:val="clear" w:color="auto" w:fill="FFFFFF"/>
              </w:rPr>
            </w:pPr>
          </w:p>
        </w:tc>
        <w:tc>
          <w:tcPr>
            <w:tcW w:w="1205" w:type="dxa"/>
            <w:vMerge w:val="continue"/>
            <w:vAlign w:val="center"/>
          </w:tcPr>
          <w:p>
            <w:pPr>
              <w:spacing w:line="300" w:lineRule="exact"/>
              <w:rPr>
                <w:rFonts w:hint="eastAsia" w:ascii="宋体" w:hAnsi="宋体" w:cs="宋体"/>
                <w:szCs w:val="21"/>
                <w:shd w:val="clear" w:color="auto" w:fill="FFFFFF"/>
              </w:rPr>
            </w:pPr>
          </w:p>
        </w:tc>
        <w:tc>
          <w:tcPr>
            <w:tcW w:w="2136" w:type="dxa"/>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比选申请文件格式</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hint="eastAsia" w:ascii="宋体" w:hAnsi="宋体" w:cs="宋体"/>
                <w:szCs w:val="21"/>
                <w:shd w:val="clear" w:color="auto" w:fill="FFFFFF"/>
              </w:rPr>
            </w:pPr>
          </w:p>
        </w:tc>
        <w:tc>
          <w:tcPr>
            <w:tcW w:w="1205" w:type="dxa"/>
            <w:vMerge w:val="continue"/>
            <w:vAlign w:val="center"/>
          </w:tcPr>
          <w:p>
            <w:pPr>
              <w:spacing w:line="300" w:lineRule="exact"/>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szCs w:val="21"/>
                <w:shd w:val="clear" w:color="auto" w:fill="FFFFFF"/>
              </w:rPr>
              <w:t>报价唯一</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hint="eastAsia" w:ascii="宋体" w:hAnsi="宋体" w:cs="宋体"/>
                <w:szCs w:val="21"/>
                <w:shd w:val="clear" w:color="auto" w:fill="FFFFFF"/>
              </w:rPr>
            </w:pPr>
          </w:p>
        </w:tc>
        <w:tc>
          <w:tcPr>
            <w:tcW w:w="1205" w:type="dxa"/>
            <w:vMerge w:val="continue"/>
            <w:vAlign w:val="center"/>
          </w:tcPr>
          <w:p>
            <w:pPr>
              <w:spacing w:line="300" w:lineRule="exact"/>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szCs w:val="21"/>
                <w:shd w:val="clear" w:color="auto" w:fill="FFFFFF"/>
              </w:rPr>
              <w:t>比选申请文件份数</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1.1.2</w:t>
            </w:r>
          </w:p>
        </w:tc>
        <w:tc>
          <w:tcPr>
            <w:tcW w:w="1205" w:type="dxa"/>
            <w:vMerge w:val="restart"/>
            <w:vAlign w:val="center"/>
          </w:tcPr>
          <w:p>
            <w:pPr>
              <w:spacing w:line="30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资格评审标准</w:t>
            </w: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szCs w:val="21"/>
                <w:shd w:val="clear" w:color="auto" w:fill="FFFFFF"/>
              </w:rPr>
              <w:t>营业执照</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hint="eastAsia" w:ascii="宋体" w:hAnsi="宋体" w:cs="宋体"/>
                <w:szCs w:val="21"/>
                <w:shd w:val="clear" w:color="auto" w:fill="FFFFFF"/>
              </w:rPr>
            </w:pPr>
          </w:p>
        </w:tc>
        <w:tc>
          <w:tcPr>
            <w:tcW w:w="1205" w:type="dxa"/>
            <w:vMerge w:val="continue"/>
            <w:vAlign w:val="center"/>
          </w:tcPr>
          <w:p>
            <w:pPr>
              <w:spacing w:line="300" w:lineRule="exact"/>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szCs w:val="21"/>
                <w:shd w:val="clear" w:color="auto" w:fill="FFFFFF"/>
              </w:rPr>
              <w:t>资质要求</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66" w:type="dxa"/>
            <w:vMerge w:val="continue"/>
            <w:vAlign w:val="center"/>
          </w:tcPr>
          <w:p>
            <w:pPr>
              <w:spacing w:line="300" w:lineRule="exact"/>
              <w:ind w:firstLine="29" w:firstLineChars="14"/>
              <w:rPr>
                <w:rFonts w:hint="eastAsia" w:ascii="宋体" w:hAnsi="宋体" w:cs="宋体"/>
                <w:szCs w:val="21"/>
                <w:shd w:val="clear" w:color="auto" w:fill="FFFFFF"/>
              </w:rPr>
            </w:pPr>
          </w:p>
        </w:tc>
        <w:tc>
          <w:tcPr>
            <w:tcW w:w="1205" w:type="dxa"/>
            <w:vMerge w:val="continue"/>
            <w:vAlign w:val="center"/>
          </w:tcPr>
          <w:p>
            <w:pPr>
              <w:spacing w:line="300" w:lineRule="exact"/>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kern w:val="0"/>
              </w:rPr>
              <w:t>业绩要求</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符合比选申请人业绩要求的规定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hint="eastAsia" w:ascii="宋体" w:hAnsi="宋体" w:cs="宋体"/>
                <w:szCs w:val="21"/>
                <w:shd w:val="clear" w:color="auto" w:fill="FFFFFF"/>
              </w:rPr>
            </w:pPr>
          </w:p>
        </w:tc>
        <w:tc>
          <w:tcPr>
            <w:tcW w:w="1205" w:type="dxa"/>
            <w:vMerge w:val="continue"/>
            <w:vAlign w:val="center"/>
          </w:tcPr>
          <w:p>
            <w:pPr>
              <w:spacing w:line="300" w:lineRule="exact"/>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szCs w:val="21"/>
              </w:rPr>
              <w:t>信誉要求</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符合比选申请人信誉要求的规定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hint="eastAsia" w:ascii="宋体" w:hAnsi="宋体" w:cs="宋体"/>
                <w:szCs w:val="21"/>
                <w:shd w:val="clear" w:color="auto" w:fill="FFFFFF"/>
              </w:rPr>
            </w:pPr>
          </w:p>
        </w:tc>
        <w:tc>
          <w:tcPr>
            <w:tcW w:w="1205" w:type="dxa"/>
            <w:vMerge w:val="continue"/>
            <w:vAlign w:val="center"/>
          </w:tcPr>
          <w:p>
            <w:pPr>
              <w:spacing w:line="300" w:lineRule="exact"/>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kern w:val="0"/>
              </w:rPr>
              <w:t>主要管理人员要求</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符合比选申请人主要管理人员要求的规定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1.1.3</w:t>
            </w:r>
          </w:p>
        </w:tc>
        <w:tc>
          <w:tcPr>
            <w:tcW w:w="1205" w:type="dxa"/>
            <w:vMerge w:val="restart"/>
            <w:vAlign w:val="center"/>
          </w:tcPr>
          <w:p>
            <w:pPr>
              <w:spacing w:line="30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响应性评审标准</w:t>
            </w:r>
          </w:p>
        </w:tc>
        <w:tc>
          <w:tcPr>
            <w:tcW w:w="2136" w:type="dxa"/>
            <w:vAlign w:val="center"/>
          </w:tcPr>
          <w:p>
            <w:pPr>
              <w:spacing w:line="300" w:lineRule="exact"/>
              <w:jc w:val="left"/>
              <w:rPr>
                <w:rFonts w:ascii="宋体" w:hAnsi="宋体" w:cs="宋体"/>
                <w:szCs w:val="21"/>
                <w:shd w:val="clear" w:color="auto" w:fill="FFFFFF"/>
              </w:rPr>
            </w:pPr>
            <w:r>
              <w:rPr>
                <w:rFonts w:hint="eastAsia" w:ascii="宋体" w:hAnsi="宋体" w:cs="宋体"/>
                <w:szCs w:val="21"/>
                <w:shd w:val="clear" w:color="auto" w:fill="FFFFFF"/>
              </w:rPr>
              <w:t>比选内容</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hint="eastAsia" w:ascii="宋体" w:hAnsi="宋体" w:cs="宋体"/>
                <w:szCs w:val="21"/>
                <w:shd w:val="clear" w:color="auto" w:fill="FFFFFF"/>
              </w:rPr>
            </w:pPr>
          </w:p>
        </w:tc>
        <w:tc>
          <w:tcPr>
            <w:tcW w:w="1205" w:type="dxa"/>
            <w:vMerge w:val="continue"/>
            <w:vAlign w:val="center"/>
          </w:tcPr>
          <w:p>
            <w:pPr>
              <w:spacing w:line="300" w:lineRule="exact"/>
              <w:ind w:firstLine="420" w:firstLineChars="200"/>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kern w:val="0"/>
              </w:rPr>
              <w:t>监理服务期</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hint="eastAsia" w:ascii="宋体" w:hAnsi="宋体" w:cs="宋体"/>
                <w:szCs w:val="21"/>
                <w:shd w:val="clear" w:color="auto" w:fill="FFFFFF"/>
              </w:rPr>
            </w:pPr>
          </w:p>
        </w:tc>
        <w:tc>
          <w:tcPr>
            <w:tcW w:w="1205" w:type="dxa"/>
            <w:vMerge w:val="continue"/>
            <w:vAlign w:val="center"/>
          </w:tcPr>
          <w:p>
            <w:pPr>
              <w:spacing w:line="300" w:lineRule="exact"/>
              <w:ind w:firstLine="420" w:firstLineChars="200"/>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szCs w:val="21"/>
                <w:shd w:val="clear" w:color="auto" w:fill="FFFFFF"/>
              </w:rPr>
            </w:pPr>
            <w:r>
              <w:rPr>
                <w:rFonts w:hint="eastAsia" w:ascii="宋体" w:hAnsi="宋体" w:cs="宋体"/>
                <w:szCs w:val="21"/>
                <w:shd w:val="clear" w:color="auto" w:fill="FFFFFF"/>
              </w:rPr>
              <w:t>竞标有效期</w:t>
            </w:r>
          </w:p>
        </w:tc>
        <w:tc>
          <w:tcPr>
            <w:tcW w:w="4909" w:type="dxa"/>
            <w:gridSpan w:val="3"/>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966" w:type="dxa"/>
            <w:vMerge w:val="continue"/>
            <w:vAlign w:val="center"/>
          </w:tcPr>
          <w:p>
            <w:pPr>
              <w:spacing w:line="300" w:lineRule="exact"/>
              <w:ind w:firstLine="420" w:firstLineChars="200"/>
              <w:rPr>
                <w:rFonts w:hint="eastAsia" w:ascii="宋体" w:hAnsi="宋体" w:cs="宋体"/>
                <w:szCs w:val="21"/>
                <w:shd w:val="clear" w:color="auto" w:fill="FFFFFF"/>
              </w:rPr>
            </w:pPr>
          </w:p>
        </w:tc>
        <w:tc>
          <w:tcPr>
            <w:tcW w:w="1205" w:type="dxa"/>
            <w:vMerge w:val="continue"/>
            <w:vAlign w:val="center"/>
          </w:tcPr>
          <w:p>
            <w:pPr>
              <w:spacing w:line="300" w:lineRule="exact"/>
              <w:ind w:firstLine="420" w:firstLineChars="200"/>
              <w:rPr>
                <w:rFonts w:hint="eastAsia" w:ascii="宋体" w:hAnsi="宋体" w:cs="宋体"/>
                <w:szCs w:val="21"/>
                <w:shd w:val="clear" w:color="auto" w:fill="FFFFFF"/>
              </w:rPr>
            </w:pPr>
          </w:p>
        </w:tc>
        <w:tc>
          <w:tcPr>
            <w:tcW w:w="2136" w:type="dxa"/>
            <w:vAlign w:val="center"/>
          </w:tcPr>
          <w:p>
            <w:pPr>
              <w:spacing w:line="300" w:lineRule="exact"/>
              <w:jc w:val="left"/>
              <w:rPr>
                <w:rFonts w:hint="eastAsia" w:ascii="宋体" w:hAnsi="宋体" w:cs="宋体"/>
                <w:kern w:val="0"/>
              </w:rPr>
            </w:pPr>
            <w:r>
              <w:rPr>
                <w:rFonts w:hint="eastAsia" w:ascii="宋体" w:hAnsi="宋体" w:cs="宋体"/>
                <w:kern w:val="0"/>
              </w:rPr>
              <w:t>实质性要求</w:t>
            </w:r>
          </w:p>
        </w:tc>
        <w:tc>
          <w:tcPr>
            <w:tcW w:w="4909" w:type="dxa"/>
            <w:gridSpan w:val="3"/>
            <w:vAlign w:val="center"/>
          </w:tcPr>
          <w:p>
            <w:pPr>
              <w:spacing w:line="300" w:lineRule="exact"/>
              <w:jc w:val="left"/>
              <w:rPr>
                <w:rFonts w:hint="eastAsia" w:ascii="宋体" w:hAnsi="宋体" w:cs="宋体"/>
                <w:kern w:val="0"/>
              </w:rPr>
            </w:pPr>
            <w:r>
              <w:rPr>
                <w:rFonts w:hint="eastAsia" w:ascii="宋体" w:hAnsi="宋体" w:cs="宋体"/>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6"/>
            <w:vAlign w:val="center"/>
          </w:tcPr>
          <w:p>
            <w:pPr>
              <w:spacing w:line="300" w:lineRule="exact"/>
              <w:rPr>
                <w:rFonts w:hint="eastAsia" w:ascii="宋体" w:hAnsi="宋体" w:cs="宋体"/>
                <w:szCs w:val="21"/>
                <w:shd w:val="clear" w:color="auto" w:fill="FFFFFF"/>
              </w:rPr>
            </w:pPr>
            <w:r>
              <w:rPr>
                <w:rFonts w:hint="eastAsia" w:ascii="宋体" w:hAnsi="宋体" w:cs="宋体"/>
                <w:szCs w:val="21"/>
                <w:shd w:val="clear" w:color="auto" w:fill="FFFFFF"/>
              </w:rPr>
              <w:t>注：条款1.1.1、1.1.2、1.1.3均为强制性要求，比选申请人如不满足，按否决竞标处理。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6"/>
            <w:vAlign w:val="center"/>
          </w:tcPr>
          <w:p>
            <w:pPr>
              <w:spacing w:line="300" w:lineRule="exact"/>
              <w:rPr>
                <w:b/>
                <w:szCs w:val="21"/>
              </w:rPr>
            </w:pPr>
            <w:r>
              <w:rPr>
                <w:b/>
                <w:szCs w:val="21"/>
              </w:rPr>
              <w:t>有下列情况之一的，视为</w:t>
            </w:r>
            <w:r>
              <w:rPr>
                <w:rFonts w:hint="eastAsia"/>
                <w:b/>
                <w:szCs w:val="21"/>
              </w:rPr>
              <w:t>比选申请人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2"/>
              </w:numPr>
              <w:spacing w:line="3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由同一单位或者个人编制；</w:t>
            </w:r>
          </w:p>
          <w:p>
            <w:pPr>
              <w:numPr>
                <w:ilvl w:val="0"/>
                <w:numId w:val="2"/>
              </w:numPr>
              <w:spacing w:line="300" w:lineRule="exact"/>
              <w:ind w:left="0"/>
              <w:rPr>
                <w:szCs w:val="21"/>
              </w:rPr>
            </w:pPr>
            <w:r>
              <w:rPr>
                <w:szCs w:val="21"/>
              </w:rPr>
              <w:t>不同</w:t>
            </w:r>
            <w:r>
              <w:rPr>
                <w:rFonts w:hint="eastAsia"/>
                <w:szCs w:val="21"/>
              </w:rPr>
              <w:t>比选申请人</w:t>
            </w:r>
            <w:r>
              <w:rPr>
                <w:szCs w:val="21"/>
              </w:rPr>
              <w:t>委托同一单位或者个人办理</w:t>
            </w:r>
            <w:r>
              <w:rPr>
                <w:rFonts w:hint="eastAsia"/>
                <w:szCs w:val="21"/>
              </w:rPr>
              <w:t>竞标</w:t>
            </w:r>
            <w:r>
              <w:rPr>
                <w:szCs w:val="21"/>
              </w:rPr>
              <w:t>事宜；</w:t>
            </w:r>
          </w:p>
          <w:p>
            <w:pPr>
              <w:numPr>
                <w:ilvl w:val="0"/>
                <w:numId w:val="2"/>
              </w:numPr>
              <w:spacing w:line="3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载明的项目管理成员为同一人；</w:t>
            </w:r>
          </w:p>
          <w:p>
            <w:pPr>
              <w:numPr>
                <w:ilvl w:val="0"/>
                <w:numId w:val="2"/>
              </w:numPr>
              <w:spacing w:line="300" w:lineRule="exact"/>
              <w:ind w:left="0"/>
              <w:rPr>
                <w:szCs w:val="21"/>
              </w:rPr>
            </w:pPr>
            <w:r>
              <w:rPr>
                <w:szCs w:val="21"/>
              </w:rPr>
              <w:t>不同</w:t>
            </w:r>
            <w:r>
              <w:rPr>
                <w:rFonts w:hint="eastAsia"/>
                <w:szCs w:val="21"/>
              </w:rPr>
              <w:t>比选申请人</w:t>
            </w:r>
            <w:r>
              <w:rPr>
                <w:szCs w:val="21"/>
              </w:rPr>
              <w:t>的</w:t>
            </w:r>
            <w:r>
              <w:rPr>
                <w:rFonts w:hint="eastAsia"/>
                <w:szCs w:val="21"/>
              </w:rPr>
              <w:t>比选申请文件</w:t>
            </w:r>
            <w:r>
              <w:rPr>
                <w:szCs w:val="21"/>
              </w:rPr>
              <w:t>异常一致或者</w:t>
            </w:r>
            <w:r>
              <w:rPr>
                <w:rFonts w:hint="eastAsia"/>
                <w:szCs w:val="21"/>
              </w:rPr>
              <w:t>竞标报价</w:t>
            </w:r>
            <w:r>
              <w:rPr>
                <w:szCs w:val="21"/>
              </w:rPr>
              <w:t>呈规律性差异；</w:t>
            </w:r>
          </w:p>
          <w:p>
            <w:pPr>
              <w:spacing w:line="300" w:lineRule="exact"/>
              <w:rPr>
                <w:rFonts w:hint="eastAsia" w:ascii="宋体" w:hAnsi="宋体" w:cs="宋体"/>
                <w:szCs w:val="21"/>
                <w:shd w:val="clear" w:color="auto" w:fill="FFFFFF"/>
              </w:rPr>
            </w:pPr>
            <w:r>
              <w:rPr>
                <w:szCs w:val="21"/>
              </w:rPr>
              <w:t>不同</w:t>
            </w:r>
            <w:r>
              <w:rPr>
                <w:rFonts w:hint="eastAsia"/>
                <w:szCs w:val="21"/>
              </w:rPr>
              <w:t>比选申请人</w:t>
            </w:r>
            <w:r>
              <w:rPr>
                <w:szCs w:val="21"/>
              </w:rPr>
              <w:t>的</w:t>
            </w:r>
            <w:r>
              <w:rPr>
                <w:rFonts w:hint="eastAsia"/>
                <w:szCs w:val="21"/>
              </w:rPr>
              <w:t>比选申请文件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6" w:type="dxa"/>
            <w:vAlign w:val="center"/>
          </w:tcPr>
          <w:p>
            <w:pPr>
              <w:spacing w:line="300" w:lineRule="exact"/>
              <w:jc w:val="center"/>
              <w:rPr>
                <w:szCs w:val="21"/>
              </w:rPr>
            </w:pPr>
            <w:r>
              <w:rPr>
                <w:rFonts w:hint="eastAsia"/>
                <w:szCs w:val="21"/>
              </w:rPr>
              <w:t>2.1</w:t>
            </w:r>
          </w:p>
        </w:tc>
        <w:tc>
          <w:tcPr>
            <w:tcW w:w="1205" w:type="dxa"/>
            <w:vAlign w:val="center"/>
          </w:tcPr>
          <w:p>
            <w:pPr>
              <w:spacing w:line="300" w:lineRule="exact"/>
              <w:jc w:val="center"/>
              <w:rPr>
                <w:rFonts w:hint="eastAsia"/>
                <w:szCs w:val="21"/>
              </w:rPr>
            </w:pPr>
            <w:r>
              <w:rPr>
                <w:rFonts w:hint="eastAsia"/>
                <w:szCs w:val="21"/>
              </w:rPr>
              <w:t>分值构成 （100分）</w:t>
            </w:r>
          </w:p>
        </w:tc>
        <w:tc>
          <w:tcPr>
            <w:tcW w:w="7045" w:type="dxa"/>
            <w:gridSpan w:val="4"/>
            <w:vAlign w:val="center"/>
          </w:tcPr>
          <w:p>
            <w:pPr>
              <w:spacing w:line="300" w:lineRule="exact"/>
              <w:jc w:val="left"/>
            </w:pPr>
            <w:r>
              <w:t>评审因素</w:t>
            </w:r>
            <w:r>
              <w:tab/>
            </w:r>
            <w:r>
              <w:t xml:space="preserve">                               评</w:t>
            </w:r>
            <w:r>
              <w:rPr>
                <w:rFonts w:hint="eastAsia"/>
              </w:rPr>
              <w:t>分</w:t>
            </w:r>
            <w:r>
              <w:t>值</w:t>
            </w:r>
          </w:p>
          <w:p>
            <w:pPr>
              <w:spacing w:line="300" w:lineRule="exact"/>
              <w:jc w:val="left"/>
              <w:rPr>
                <w:szCs w:val="22"/>
                <w:u w:val="single"/>
              </w:rPr>
            </w:pPr>
            <w:r>
              <w:rPr>
                <w:szCs w:val="22"/>
              </w:rPr>
              <w:t>（一）</w:t>
            </w:r>
            <w:r>
              <w:rPr>
                <w:rFonts w:hint="eastAsia"/>
                <w:szCs w:val="22"/>
              </w:rPr>
              <w:t>竞标总报价</w:t>
            </w:r>
            <w:r>
              <w:rPr>
                <w:szCs w:val="22"/>
              </w:rPr>
              <w:t>：</w:t>
            </w:r>
            <w:r>
              <w:rPr>
                <w:szCs w:val="22"/>
              </w:rPr>
              <w:tab/>
            </w:r>
            <w:r>
              <w:rPr>
                <w:szCs w:val="22"/>
              </w:rPr>
              <w:t xml:space="preserve">                        </w:t>
            </w:r>
            <w:r>
              <w:rPr>
                <w:szCs w:val="22"/>
                <w:u w:val="single"/>
              </w:rPr>
              <w:t xml:space="preserve"> </w:t>
            </w:r>
            <w:r>
              <w:rPr>
                <w:rFonts w:hint="eastAsia"/>
                <w:szCs w:val="22"/>
                <w:u w:val="single"/>
                <w:lang w:val="en-US" w:eastAsia="zh-CN"/>
              </w:rPr>
              <w:t>8</w:t>
            </w:r>
            <w:r>
              <w:rPr>
                <w:szCs w:val="22"/>
                <w:u w:val="single"/>
              </w:rPr>
              <w:t>0分</w:t>
            </w:r>
          </w:p>
          <w:p>
            <w:pPr>
              <w:spacing w:line="300" w:lineRule="exact"/>
              <w:jc w:val="left"/>
            </w:pPr>
            <w:r>
              <w:rPr>
                <w:szCs w:val="22"/>
              </w:rPr>
              <w:t>（二）</w:t>
            </w:r>
            <w:r>
              <w:rPr>
                <w:rFonts w:hint="eastAsia" w:ascii="宋体" w:hAnsi="宋体"/>
                <w:bCs/>
                <w:szCs w:val="21"/>
              </w:rPr>
              <w:t>技术</w:t>
            </w:r>
            <w:r>
              <w:rPr>
                <w:rFonts w:hint="eastAsia" w:ascii="宋体" w:hAnsi="宋体"/>
                <w:bCs/>
                <w:szCs w:val="21"/>
                <w:lang w:val="en-US" w:eastAsia="zh-CN"/>
              </w:rPr>
              <w:t>文件</w:t>
            </w:r>
            <w:r>
              <w:rPr>
                <w:szCs w:val="22"/>
              </w:rPr>
              <w:t xml:space="preserve">：                        </w:t>
            </w:r>
            <w:r>
              <w:rPr>
                <w:rFonts w:hint="eastAsia"/>
                <w:szCs w:val="22"/>
              </w:rPr>
              <w:t xml:space="preserve">  </w:t>
            </w:r>
            <w:r>
              <w:rPr>
                <w:szCs w:val="22"/>
              </w:rPr>
              <w:t xml:space="preserve"> </w:t>
            </w:r>
            <w:r>
              <w:rPr>
                <w:rFonts w:hint="eastAsia"/>
                <w:szCs w:val="22"/>
                <w:u w:val="single"/>
              </w:rPr>
              <w:t xml:space="preserve"> </w:t>
            </w:r>
            <w:r>
              <w:rPr>
                <w:szCs w:val="22"/>
                <w:u w:val="single"/>
              </w:rPr>
              <w:t xml:space="preserve"> </w:t>
            </w:r>
            <w:r>
              <w:rPr>
                <w:rFonts w:hint="eastAsia"/>
                <w:szCs w:val="22"/>
                <w:u w:val="single"/>
                <w:lang w:val="en-US" w:eastAsia="zh-CN"/>
              </w:rPr>
              <w:t>2</w:t>
            </w:r>
            <w:r>
              <w:rPr>
                <w:szCs w:val="22"/>
                <w:u w:val="single"/>
              </w:rPr>
              <w:t>0分</w:t>
            </w:r>
            <w:r>
              <w:rPr>
                <w:rFonts w:hint="eastAsia"/>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Align w:val="center"/>
          </w:tcPr>
          <w:p>
            <w:pPr>
              <w:spacing w:line="300" w:lineRule="exact"/>
              <w:jc w:val="center"/>
              <w:rPr>
                <w:szCs w:val="21"/>
              </w:rPr>
            </w:pPr>
            <w:r>
              <w:rPr>
                <w:rFonts w:hint="eastAsia"/>
                <w:szCs w:val="21"/>
              </w:rPr>
              <w:t>2.1.1</w:t>
            </w:r>
          </w:p>
        </w:tc>
        <w:tc>
          <w:tcPr>
            <w:tcW w:w="1205" w:type="dxa"/>
            <w:vAlign w:val="center"/>
          </w:tcPr>
          <w:p>
            <w:pPr>
              <w:spacing w:line="300" w:lineRule="exact"/>
              <w:jc w:val="center"/>
              <w:rPr>
                <w:rFonts w:hint="eastAsia"/>
                <w:szCs w:val="21"/>
              </w:rPr>
            </w:pPr>
            <w:r>
              <w:rPr>
                <w:rFonts w:hint="eastAsia"/>
                <w:szCs w:val="22"/>
              </w:rPr>
              <w:t>竞标报价</w:t>
            </w:r>
            <w:r>
              <w:rPr>
                <w:rFonts w:hint="eastAsia"/>
                <w:szCs w:val="22"/>
                <w:lang w:val="en-US" w:eastAsia="zh-CN"/>
              </w:rPr>
              <w:t>文件</w:t>
            </w:r>
            <w:r>
              <w:rPr>
                <w:rFonts w:hint="eastAsia"/>
                <w:szCs w:val="22"/>
              </w:rPr>
              <w:t>（</w:t>
            </w:r>
            <w:r>
              <w:rPr>
                <w:rFonts w:hint="eastAsia"/>
                <w:szCs w:val="22"/>
                <w:lang w:val="en-US" w:eastAsia="zh-CN"/>
              </w:rPr>
              <w:t>8</w:t>
            </w:r>
            <w:r>
              <w:rPr>
                <w:rFonts w:hint="eastAsia"/>
                <w:szCs w:val="22"/>
              </w:rPr>
              <w:t>0分）</w:t>
            </w:r>
          </w:p>
        </w:tc>
        <w:tc>
          <w:tcPr>
            <w:tcW w:w="7045" w:type="dxa"/>
            <w:gridSpan w:val="4"/>
            <w:vAlign w:val="top"/>
          </w:tcPr>
          <w:p>
            <w:pPr>
              <w:numPr>
                <w:ilvl w:val="0"/>
                <w:numId w:val="2"/>
              </w:numPr>
              <w:spacing w:line="300" w:lineRule="exact"/>
              <w:ind w:left="0"/>
              <w:rPr>
                <w:rFonts w:hint="eastAsia"/>
                <w:szCs w:val="21"/>
              </w:rPr>
            </w:pPr>
            <w:r>
              <w:rPr>
                <w:rFonts w:hint="eastAsia"/>
                <w:szCs w:val="21"/>
              </w:rPr>
              <w:t>（1）本项目最高总限价为：</w:t>
            </w:r>
            <w:r>
              <w:rPr>
                <w:rFonts w:hint="eastAsia"/>
                <w:b/>
                <w:bCs/>
                <w:szCs w:val="21"/>
                <w:lang w:val="en-US" w:eastAsia="zh-CN"/>
              </w:rPr>
              <w:t>55万</w:t>
            </w:r>
            <w:r>
              <w:rPr>
                <w:rFonts w:hint="eastAsia"/>
                <w:b/>
                <w:bCs/>
                <w:szCs w:val="21"/>
              </w:rPr>
              <w:t>元</w:t>
            </w:r>
            <w:r>
              <w:rPr>
                <w:rFonts w:hint="eastAsia"/>
                <w:szCs w:val="21"/>
              </w:rPr>
              <w:t>（大写</w:t>
            </w:r>
            <w:r>
              <w:rPr>
                <w:rFonts w:hint="eastAsia"/>
                <w:szCs w:val="21"/>
                <w:lang w:val="en-US" w:eastAsia="zh-CN"/>
              </w:rPr>
              <w:t>伍拾伍万元整</w:t>
            </w:r>
            <w:r>
              <w:rPr>
                <w:rFonts w:hint="eastAsia"/>
                <w:szCs w:val="21"/>
              </w:rPr>
              <w:t>）。</w:t>
            </w:r>
          </w:p>
          <w:p>
            <w:pPr>
              <w:spacing w:line="360" w:lineRule="auto"/>
              <w:rPr>
                <w:rFonts w:ascii="宋体" w:hAnsi="宋体"/>
                <w:szCs w:val="21"/>
              </w:rPr>
            </w:pPr>
            <w:r>
              <w:rPr>
                <w:rFonts w:hint="eastAsia" w:ascii="宋体" w:hAnsi="宋体"/>
                <w:szCs w:val="21"/>
              </w:rPr>
              <w:t>竞标价</w:t>
            </w:r>
            <w:r>
              <w:rPr>
                <w:rFonts w:ascii="宋体" w:hAnsi="宋体"/>
                <w:szCs w:val="21"/>
              </w:rPr>
              <w:t>得分的计算程序：</w:t>
            </w:r>
          </w:p>
          <w:p>
            <w:pPr>
              <w:spacing w:line="360" w:lineRule="auto"/>
              <w:rPr>
                <w:rFonts w:ascii="宋体" w:hAnsi="宋体"/>
                <w:szCs w:val="21"/>
              </w:rPr>
            </w:pPr>
            <w:r>
              <w:rPr>
                <w:rFonts w:hint="eastAsia" w:ascii="宋体" w:hAnsi="宋体"/>
                <w:szCs w:val="21"/>
              </w:rPr>
              <w:t>（1）有效竞标价的确定：不大于最高竞标限价</w:t>
            </w:r>
            <w:r>
              <w:rPr>
                <w:rFonts w:hint="eastAsia" w:ascii="宋体" w:hAnsi="宋体"/>
                <w:szCs w:val="21"/>
                <w:lang w:val="en-US" w:eastAsia="zh-CN"/>
              </w:rPr>
              <w:t>D</w:t>
            </w:r>
            <w:r>
              <w:rPr>
                <w:rFonts w:hint="eastAsia" w:ascii="宋体" w:hAnsi="宋体"/>
                <w:szCs w:val="21"/>
              </w:rPr>
              <w:t>的竞标价，高于最高竞标限价的投标报价按废标处理，不予进一步评审，并不参与评标基准价的计算。</w:t>
            </w: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竞标基准价</w:t>
            </w:r>
            <w:r>
              <w:rPr>
                <w:rFonts w:ascii="宋体" w:hAnsi="宋体"/>
                <w:szCs w:val="21"/>
              </w:rPr>
              <w:t>（</w:t>
            </w:r>
            <w:r>
              <w:rPr>
                <w:rFonts w:hint="eastAsia" w:ascii="宋体" w:hAnsi="宋体"/>
                <w:szCs w:val="21"/>
              </w:rPr>
              <w:t>D</w:t>
            </w:r>
            <w:r>
              <w:rPr>
                <w:rFonts w:ascii="宋体" w:hAnsi="宋体"/>
                <w:szCs w:val="21"/>
              </w:rPr>
              <w:t>）的计算：</w:t>
            </w:r>
          </w:p>
          <w:p>
            <w:pPr>
              <w:spacing w:line="360" w:lineRule="auto"/>
              <w:rPr>
                <w:rFonts w:ascii="宋体" w:hAnsi="宋体"/>
                <w:szCs w:val="21"/>
              </w:rPr>
            </w:pPr>
            <w:r>
              <w:rPr>
                <w:rFonts w:hint="eastAsia" w:ascii="宋体" w:hAnsi="宋体"/>
                <w:szCs w:val="21"/>
              </w:rPr>
              <w:t>a．所有通过初步评审合格的竞争性比选申请人（比选人设有最高限价的，则竞标总报价高于最高限价的除外）的竞标总报价中去掉六分之一（不能整除的按小数点前整数取整，不足六家报价则不去掉）的最低价和相同家数的最高价后的算术平均值即为竞标总报价的评标基准价。</w:t>
            </w:r>
          </w:p>
          <w:p>
            <w:pPr>
              <w:spacing w:line="360" w:lineRule="auto"/>
              <w:rPr>
                <w:rFonts w:ascii="宋体" w:hAnsi="宋体"/>
                <w:szCs w:val="21"/>
              </w:rPr>
            </w:pPr>
            <w:r>
              <w:rPr>
                <w:rFonts w:hint="eastAsia" w:ascii="宋体" w:hAnsi="宋体"/>
                <w:szCs w:val="21"/>
              </w:rPr>
              <w:t>以上计算取小数点后两位，第三位四舍五入。</w:t>
            </w:r>
          </w:p>
          <w:p>
            <w:pPr>
              <w:spacing w:line="360"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）当</w:t>
            </w:r>
            <w:r>
              <w:rPr>
                <w:rFonts w:hint="eastAsia" w:ascii="宋体" w:hAnsi="宋体"/>
                <w:szCs w:val="21"/>
              </w:rPr>
              <w:t>比选申请人竞标价</w:t>
            </w:r>
            <w:r>
              <w:rPr>
                <w:rFonts w:ascii="宋体" w:hAnsi="宋体"/>
                <w:szCs w:val="21"/>
              </w:rPr>
              <w:t>等于D时得满分（</w:t>
            </w:r>
            <w:r>
              <w:rPr>
                <w:rFonts w:hint="eastAsia" w:ascii="宋体" w:hAnsi="宋体"/>
                <w:szCs w:val="21"/>
                <w:lang w:val="en-US" w:eastAsia="zh-CN"/>
              </w:rPr>
              <w:t>8</w:t>
            </w:r>
            <w:r>
              <w:rPr>
                <w:rFonts w:hint="eastAsia" w:ascii="宋体" w:hAnsi="宋体"/>
                <w:szCs w:val="21"/>
              </w:rPr>
              <w:t>0</w:t>
            </w:r>
            <w:r>
              <w:rPr>
                <w:rFonts w:ascii="宋体" w:hAnsi="宋体"/>
                <w:szCs w:val="21"/>
              </w:rPr>
              <w:t>分），</w:t>
            </w:r>
            <w:r>
              <w:rPr>
                <w:rFonts w:hint="eastAsia" w:ascii="宋体" w:hAnsi="宋体"/>
                <w:color w:val="000000"/>
                <w:szCs w:val="21"/>
              </w:rPr>
              <w:t>在此基础上，投标总报价与评标准基价相比，每增加1%扣</w:t>
            </w:r>
            <w:r>
              <w:rPr>
                <w:rFonts w:hint="eastAsia" w:ascii="宋体" w:hAnsi="宋体"/>
                <w:color w:val="000000"/>
                <w:szCs w:val="21"/>
                <w:lang w:val="en-US" w:eastAsia="zh-CN"/>
              </w:rPr>
              <w:t>0.2</w:t>
            </w:r>
            <w:r>
              <w:rPr>
                <w:rFonts w:hint="eastAsia" w:ascii="宋体" w:hAnsi="宋体"/>
                <w:color w:val="000000"/>
                <w:szCs w:val="21"/>
              </w:rPr>
              <w:t>分，每减少1%扣</w:t>
            </w:r>
            <w:r>
              <w:rPr>
                <w:rFonts w:hint="eastAsia" w:ascii="宋体" w:hAnsi="宋体"/>
                <w:color w:val="000000"/>
                <w:szCs w:val="21"/>
                <w:u w:val="single"/>
              </w:rPr>
              <w:t>　</w:t>
            </w:r>
            <w:r>
              <w:rPr>
                <w:rFonts w:hint="eastAsia" w:ascii="宋体" w:hAnsi="宋体"/>
                <w:color w:val="000000"/>
                <w:szCs w:val="21"/>
                <w:u w:val="single"/>
                <w:lang w:val="en-US" w:eastAsia="zh-CN"/>
              </w:rPr>
              <w:t>0.1</w:t>
            </w:r>
            <w:r>
              <w:rPr>
                <w:rFonts w:hint="eastAsia" w:ascii="宋体" w:hAnsi="宋体"/>
                <w:color w:val="000000"/>
                <w:szCs w:val="21"/>
                <w:u w:val="single"/>
              </w:rPr>
              <w:t>　</w:t>
            </w:r>
            <w:r>
              <w:rPr>
                <w:rFonts w:hint="eastAsia" w:ascii="宋体" w:hAnsi="宋体"/>
                <w:color w:val="000000"/>
                <w:szCs w:val="21"/>
              </w:rPr>
              <w:t>分。</w:t>
            </w:r>
          </w:p>
          <w:p>
            <w:pPr>
              <w:spacing w:line="360" w:lineRule="auto"/>
              <w:ind w:firstLine="480"/>
              <w:rPr>
                <w:rFonts w:ascii="宋体" w:hAnsi="宋体"/>
                <w:szCs w:val="21"/>
              </w:rPr>
            </w:pPr>
            <w:r>
              <w:rPr>
                <w:rFonts w:hint="eastAsia" w:ascii="宋体" w:hAnsi="宋体"/>
                <w:szCs w:val="21"/>
              </w:rPr>
              <w:t>竞标价</w:t>
            </w:r>
            <w:r>
              <w:rPr>
                <w:rFonts w:ascii="宋体" w:hAnsi="宋体"/>
                <w:szCs w:val="21"/>
              </w:rPr>
              <w:t>得分用</w:t>
            </w:r>
            <w:r>
              <w:rPr>
                <w:rFonts w:hint="eastAsia" w:ascii="宋体" w:hAnsi="宋体"/>
                <w:szCs w:val="21"/>
              </w:rPr>
              <w:t>公</w:t>
            </w:r>
            <w:r>
              <w:rPr>
                <w:rFonts w:ascii="宋体" w:hAnsi="宋体"/>
                <w:szCs w:val="21"/>
              </w:rPr>
              <w:t>式表示如下：</w:t>
            </w:r>
          </w:p>
          <w:p>
            <w:pPr>
              <w:spacing w:line="360" w:lineRule="auto"/>
              <w:ind w:firstLine="480"/>
              <w:jc w:val="center"/>
              <w:rPr>
                <w:rFonts w:ascii="宋体" w:hAnsi="宋体"/>
                <w:szCs w:val="21"/>
              </w:rPr>
            </w:pPr>
            <w:r>
              <w:rPr>
                <w:rFonts w:ascii="宋体" w:hAnsi="宋体"/>
                <w:szCs w:val="21"/>
              </w:rPr>
              <w:object>
                <v:shape id="_x0000_i1025" o:spt="75" type="#_x0000_t75" style="height:31.8pt;width:139.8pt;" o:ole="t" fillcolor="#595959"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spacing w:line="360" w:lineRule="auto"/>
              <w:ind w:firstLine="480"/>
              <w:rPr>
                <w:rFonts w:ascii="宋体" w:hAnsi="宋体"/>
                <w:szCs w:val="21"/>
              </w:rPr>
            </w:pPr>
            <w:r>
              <w:rPr>
                <w:rFonts w:ascii="宋体" w:hAnsi="宋体"/>
                <w:szCs w:val="21"/>
              </w:rPr>
              <w:t>式中：F</w:t>
            </w:r>
            <w:r>
              <w:rPr>
                <w:rFonts w:ascii="宋体" w:hAnsi="宋体"/>
                <w:szCs w:val="21"/>
                <w:vertAlign w:val="subscript"/>
              </w:rPr>
              <w:t>1</w:t>
            </w:r>
            <w:r>
              <w:rPr>
                <w:rFonts w:ascii="宋体" w:hAnsi="宋体"/>
                <w:szCs w:val="21"/>
              </w:rPr>
              <w:t>=</w:t>
            </w:r>
            <w:r>
              <w:rPr>
                <w:rFonts w:hint="eastAsia" w:ascii="宋体" w:hAnsi="宋体"/>
                <w:szCs w:val="21"/>
              </w:rPr>
              <w:t>竞标价</w:t>
            </w:r>
            <w:r>
              <w:rPr>
                <w:rFonts w:ascii="宋体" w:hAnsi="宋体"/>
                <w:szCs w:val="21"/>
              </w:rPr>
              <w:t>得分；</w:t>
            </w:r>
          </w:p>
          <w:p>
            <w:pPr>
              <w:tabs>
                <w:tab w:val="left" w:pos="5060"/>
              </w:tabs>
              <w:spacing w:line="360" w:lineRule="auto"/>
              <w:ind w:firstLine="480"/>
              <w:rPr>
                <w:rFonts w:ascii="宋体" w:hAnsi="宋体"/>
                <w:szCs w:val="21"/>
              </w:rPr>
            </w:pPr>
            <w:r>
              <w:rPr>
                <w:rFonts w:ascii="宋体" w:hAnsi="宋体"/>
                <w:szCs w:val="21"/>
              </w:rPr>
              <w:t>F=</w:t>
            </w:r>
            <w:r>
              <w:rPr>
                <w:rFonts w:hint="eastAsia" w:ascii="宋体" w:hAnsi="宋体"/>
                <w:szCs w:val="21"/>
                <w:lang w:val="en-US" w:eastAsia="zh-CN"/>
              </w:rPr>
              <w:t>8</w:t>
            </w:r>
            <w:r>
              <w:rPr>
                <w:rFonts w:hint="eastAsia" w:ascii="宋体" w:hAnsi="宋体"/>
                <w:szCs w:val="21"/>
              </w:rPr>
              <w:t>0</w:t>
            </w:r>
            <w:r>
              <w:rPr>
                <w:rFonts w:ascii="宋体" w:hAnsi="宋体"/>
                <w:szCs w:val="21"/>
              </w:rPr>
              <w:t>；</w:t>
            </w:r>
          </w:p>
          <w:p>
            <w:pPr>
              <w:spacing w:line="360" w:lineRule="auto"/>
              <w:ind w:firstLine="480"/>
              <w:rPr>
                <w:rFonts w:ascii="宋体" w:hAnsi="宋体"/>
                <w:szCs w:val="21"/>
              </w:rPr>
            </w:pPr>
            <w:r>
              <w:rPr>
                <w:rFonts w:ascii="宋体" w:hAnsi="宋体"/>
                <w:szCs w:val="21"/>
              </w:rPr>
              <w:t>D</w:t>
            </w:r>
            <w:r>
              <w:rPr>
                <w:rFonts w:ascii="宋体" w:hAnsi="宋体"/>
                <w:szCs w:val="21"/>
                <w:vertAlign w:val="subscript"/>
              </w:rPr>
              <w:t>1</w:t>
            </w:r>
            <w:r>
              <w:rPr>
                <w:rFonts w:ascii="宋体" w:hAnsi="宋体"/>
                <w:szCs w:val="21"/>
              </w:rPr>
              <w:t>=</w:t>
            </w:r>
            <w:r>
              <w:rPr>
                <w:rFonts w:hint="eastAsia" w:ascii="宋体" w:hAnsi="宋体"/>
                <w:szCs w:val="21"/>
              </w:rPr>
              <w:t>比选申请人</w:t>
            </w:r>
            <w:r>
              <w:rPr>
                <w:rFonts w:ascii="宋体" w:hAnsi="宋体"/>
                <w:szCs w:val="21"/>
              </w:rPr>
              <w:t>的</w:t>
            </w:r>
            <w:r>
              <w:rPr>
                <w:rFonts w:hint="eastAsia" w:ascii="宋体" w:hAnsi="宋体"/>
                <w:szCs w:val="21"/>
              </w:rPr>
              <w:t>竞标价</w:t>
            </w:r>
            <w:r>
              <w:rPr>
                <w:rFonts w:ascii="宋体" w:hAnsi="宋体"/>
                <w:szCs w:val="21"/>
              </w:rPr>
              <w:t>；</w:t>
            </w:r>
          </w:p>
          <w:p>
            <w:pPr>
              <w:spacing w:line="360" w:lineRule="auto"/>
              <w:ind w:firstLine="480"/>
              <w:rPr>
                <w:rFonts w:ascii="宋体" w:hAnsi="宋体"/>
                <w:szCs w:val="21"/>
              </w:rPr>
            </w:pPr>
            <w:r>
              <w:rPr>
                <w:rFonts w:ascii="宋体" w:hAnsi="宋体"/>
                <w:szCs w:val="21"/>
              </w:rPr>
              <w:t>D=评标基准价。</w:t>
            </w:r>
          </w:p>
          <w:p>
            <w:pPr>
              <w:tabs>
                <w:tab w:val="left" w:pos="5920"/>
              </w:tabs>
              <w:snapToGrid w:val="0"/>
              <w:spacing w:line="360" w:lineRule="auto"/>
              <w:ind w:firstLine="480"/>
              <w:rPr>
                <w:rFonts w:ascii="宋体" w:hAnsi="宋体"/>
                <w:szCs w:val="21"/>
              </w:rPr>
            </w:pPr>
            <w:r>
              <w:rPr>
                <w:rFonts w:ascii="宋体" w:hAnsi="宋体"/>
                <w:szCs w:val="21"/>
              </w:rPr>
              <w:t>若D</w:t>
            </w:r>
            <w:r>
              <w:rPr>
                <w:rFonts w:ascii="宋体" w:hAnsi="宋体"/>
                <w:szCs w:val="21"/>
                <w:vertAlign w:val="subscript"/>
              </w:rPr>
              <w:t>1</w:t>
            </w:r>
            <w:r>
              <w:rPr>
                <w:rFonts w:hint="eastAsia" w:ascii="宋体" w:hAnsi="宋体"/>
                <w:sz w:val="36"/>
                <w:szCs w:val="36"/>
                <w:vertAlign w:val="subscript"/>
              </w:rPr>
              <w:t>＞</w:t>
            </w:r>
            <w:r>
              <w:rPr>
                <w:rFonts w:ascii="宋体" w:hAnsi="宋体"/>
                <w:szCs w:val="21"/>
              </w:rPr>
              <w:t>D，则E=</w:t>
            </w:r>
            <w:r>
              <w:rPr>
                <w:rFonts w:hint="eastAsia" w:ascii="宋体" w:hAnsi="宋体"/>
                <w:szCs w:val="21"/>
                <w:lang w:val="en-US" w:eastAsia="zh-CN"/>
              </w:rPr>
              <w:t>0.2</w:t>
            </w:r>
            <w:r>
              <w:rPr>
                <w:rFonts w:ascii="宋体" w:hAnsi="宋体"/>
                <w:szCs w:val="21"/>
              </w:rPr>
              <w:t>；若D</w:t>
            </w:r>
            <w:r>
              <w:rPr>
                <w:rFonts w:ascii="宋体" w:hAnsi="宋体"/>
                <w:szCs w:val="21"/>
                <w:vertAlign w:val="subscript"/>
              </w:rPr>
              <w:t>1</w:t>
            </w:r>
            <w:r>
              <w:rPr>
                <w:rFonts w:ascii="宋体" w:hAnsi="宋体"/>
                <w:szCs w:val="21"/>
              </w:rPr>
              <w:t>&lt;D，则E=</w:t>
            </w:r>
            <w:r>
              <w:rPr>
                <w:rFonts w:hint="eastAsia" w:ascii="宋体" w:hAnsi="宋体"/>
                <w:szCs w:val="21"/>
                <w:lang w:val="en-US" w:eastAsia="zh-CN"/>
              </w:rPr>
              <w:t>0.1</w:t>
            </w:r>
            <w:r>
              <w:rPr>
                <w:rFonts w:ascii="宋体" w:hAnsi="宋体"/>
                <w:szCs w:val="21"/>
              </w:rPr>
              <w:t>。</w:t>
            </w:r>
          </w:p>
          <w:p>
            <w:pPr>
              <w:numPr>
                <w:ilvl w:val="0"/>
                <w:numId w:val="2"/>
              </w:numPr>
              <w:spacing w:line="300" w:lineRule="exact"/>
              <w:ind w:left="0"/>
              <w:rPr>
                <w:rFonts w:hint="eastAsia"/>
                <w:b/>
              </w:rPr>
            </w:pPr>
            <w:r>
              <w:rPr>
                <w:rFonts w:hint="eastAsia" w:ascii="宋体" w:hAnsi="宋体"/>
                <w:szCs w:val="21"/>
              </w:rPr>
              <w:t>即使某竞争性比选申请文件竞标报价未通过初步评审及资格审查，如其报价处于参与评标基准价的计算的投标报价的有效范围以内，其报价仍应参与评标基准价的计算。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jc w:val="center"/>
              <w:rPr>
                <w:rFonts w:hint="eastAsia" w:ascii="宋体" w:hAnsi="宋体"/>
                <w:b/>
                <w:szCs w:val="21"/>
              </w:rPr>
            </w:pPr>
            <w:r>
              <w:rPr>
                <w:rFonts w:hint="eastAsia" w:ascii="宋体" w:hAnsi="宋体"/>
                <w:b/>
                <w:szCs w:val="21"/>
              </w:rPr>
              <w:t>条款号</w:t>
            </w:r>
          </w:p>
        </w:tc>
        <w:tc>
          <w:tcPr>
            <w:tcW w:w="3837" w:type="dxa"/>
            <w:gridSpan w:val="2"/>
            <w:vAlign w:val="center"/>
          </w:tcPr>
          <w:p>
            <w:pPr>
              <w:spacing w:line="300" w:lineRule="exact"/>
              <w:ind w:firstLine="316" w:firstLineChars="150"/>
              <w:jc w:val="center"/>
              <w:rPr>
                <w:rFonts w:hint="eastAsia" w:ascii="宋体" w:hAnsi="宋体"/>
                <w:b/>
                <w:szCs w:val="21"/>
              </w:rPr>
            </w:pPr>
            <w:r>
              <w:rPr>
                <w:rFonts w:hint="eastAsia" w:ascii="宋体" w:hAnsi="宋体"/>
                <w:b/>
                <w:szCs w:val="21"/>
              </w:rPr>
              <w:t>评分因素</w:t>
            </w:r>
          </w:p>
        </w:tc>
        <w:tc>
          <w:tcPr>
            <w:tcW w:w="1276" w:type="dxa"/>
            <w:vAlign w:val="center"/>
          </w:tcPr>
          <w:p>
            <w:pPr>
              <w:spacing w:line="300" w:lineRule="exact"/>
              <w:jc w:val="center"/>
              <w:rPr>
                <w:rFonts w:hint="eastAsia" w:ascii="宋体" w:hAnsi="宋体"/>
                <w:b/>
                <w:szCs w:val="21"/>
              </w:rPr>
            </w:pPr>
            <w:r>
              <w:rPr>
                <w:rFonts w:hint="eastAsia" w:ascii="宋体" w:hAnsi="宋体"/>
                <w:b/>
                <w:szCs w:val="21"/>
              </w:rPr>
              <w:t>评分标准</w:t>
            </w:r>
          </w:p>
        </w:tc>
        <w:tc>
          <w:tcPr>
            <w:tcW w:w="1932" w:type="dxa"/>
            <w:vAlign w:val="center"/>
          </w:tcPr>
          <w:p>
            <w:pPr>
              <w:spacing w:line="30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restart"/>
            <w:vAlign w:val="center"/>
          </w:tcPr>
          <w:p>
            <w:pPr>
              <w:spacing w:line="300" w:lineRule="exact"/>
              <w:ind w:firstLine="29" w:firstLineChars="14"/>
              <w:jc w:val="center"/>
              <w:rPr>
                <w:szCs w:val="21"/>
              </w:rPr>
            </w:pPr>
            <w:r>
              <w:rPr>
                <w:rFonts w:hint="eastAsia"/>
                <w:szCs w:val="21"/>
              </w:rPr>
              <w:t>2.1.2</w:t>
            </w:r>
          </w:p>
        </w:tc>
        <w:tc>
          <w:tcPr>
            <w:tcW w:w="1205" w:type="dxa"/>
            <w:vMerge w:val="restart"/>
            <w:vAlign w:val="center"/>
          </w:tcPr>
          <w:p>
            <w:pPr>
              <w:spacing w:line="300" w:lineRule="exact"/>
              <w:jc w:val="center"/>
              <w:rPr>
                <w:rFonts w:hint="eastAsia"/>
                <w:szCs w:val="22"/>
              </w:rPr>
            </w:pPr>
            <w:r>
              <w:rPr>
                <w:rFonts w:hint="eastAsia"/>
                <w:szCs w:val="22"/>
              </w:rPr>
              <w:t>技术</w:t>
            </w:r>
            <w:r>
              <w:rPr>
                <w:rFonts w:hint="eastAsia"/>
                <w:szCs w:val="22"/>
                <w:lang w:val="en-US" w:eastAsia="zh-CN"/>
              </w:rPr>
              <w:t>文件</w:t>
            </w:r>
            <w:r>
              <w:rPr>
                <w:rFonts w:hint="eastAsia"/>
                <w:szCs w:val="22"/>
              </w:rPr>
              <w:t>（</w:t>
            </w:r>
            <w:r>
              <w:rPr>
                <w:rFonts w:hint="eastAsia"/>
                <w:szCs w:val="22"/>
                <w:lang w:val="en-US" w:eastAsia="zh-CN"/>
              </w:rPr>
              <w:t>20</w:t>
            </w:r>
            <w:r>
              <w:rPr>
                <w:rFonts w:hint="eastAsia"/>
                <w:szCs w:val="22"/>
              </w:rPr>
              <w:t>分）</w:t>
            </w:r>
          </w:p>
        </w:tc>
        <w:tc>
          <w:tcPr>
            <w:tcW w:w="3837" w:type="dxa"/>
            <w:gridSpan w:val="2"/>
            <w:vAlign w:val="center"/>
          </w:tcPr>
          <w:p>
            <w:pPr>
              <w:spacing w:line="300" w:lineRule="exact"/>
              <w:rPr>
                <w:rFonts w:hint="eastAsia"/>
                <w:szCs w:val="22"/>
              </w:rPr>
            </w:pPr>
            <w:r>
              <w:rPr>
                <w:rFonts w:hint="eastAsia"/>
                <w:szCs w:val="22"/>
              </w:rPr>
              <w:t>含项目所在地服务人员，组织体系、职责分工、工作绩效考核评价指标进行说明的系统性、逻辑性、清晰性，根据服务小组人员级别、专业背景、岗位齐全性进行综合评估根据项目监理机构配置完整且合理，分工明确，项目监理人员岗位职责及制度健全，专业人员配置合理。</w:t>
            </w:r>
          </w:p>
        </w:tc>
        <w:tc>
          <w:tcPr>
            <w:tcW w:w="1276" w:type="dxa"/>
            <w:vAlign w:val="center"/>
          </w:tcPr>
          <w:p>
            <w:pPr>
              <w:spacing w:line="300" w:lineRule="exact"/>
              <w:jc w:val="center"/>
              <w:rPr>
                <w:szCs w:val="22"/>
              </w:rPr>
            </w:pPr>
            <w:r>
              <w:rPr>
                <w:rFonts w:hint="eastAsia" w:ascii="宋体" w:hAnsi="宋体"/>
                <w:szCs w:val="21"/>
              </w:rPr>
              <w:t>项目监理机构配备</w:t>
            </w:r>
            <w:r>
              <w:rPr>
                <w:rFonts w:hint="eastAsia"/>
                <w:szCs w:val="22"/>
              </w:rPr>
              <w:t>（0~</w:t>
            </w:r>
            <w:r>
              <w:rPr>
                <w:rFonts w:hint="eastAsia"/>
                <w:szCs w:val="22"/>
                <w:lang w:val="en-US" w:eastAsia="zh-CN"/>
              </w:rPr>
              <w:t>4</w:t>
            </w:r>
            <w:r>
              <w:rPr>
                <w:rFonts w:hint="eastAsia"/>
                <w:szCs w:val="22"/>
              </w:rPr>
              <w:t>分）</w:t>
            </w:r>
          </w:p>
        </w:tc>
        <w:tc>
          <w:tcPr>
            <w:tcW w:w="1932" w:type="dxa"/>
            <w:vMerge w:val="restart"/>
            <w:vAlign w:val="center"/>
          </w:tcPr>
          <w:p>
            <w:pPr>
              <w:spacing w:line="300" w:lineRule="exact"/>
              <w:rPr>
                <w:rFonts w:hint="eastAsia"/>
                <w:szCs w:val="22"/>
              </w:rPr>
            </w:pPr>
            <w:r>
              <w:rPr>
                <w:rFonts w:hint="eastAsia"/>
                <w:szCs w:val="22"/>
              </w:rPr>
              <w:t>评标委员会全体成员对技术部分进行评审，比选申请人技术部分得分应为所有评委打分的算术平均值。</w:t>
            </w:r>
          </w:p>
          <w:p>
            <w:pPr>
              <w:spacing w:line="300" w:lineRule="exact"/>
              <w:rPr>
                <w:rFonts w:hint="eastAsia"/>
                <w:szCs w:val="22"/>
              </w:rPr>
            </w:pPr>
            <w:r>
              <w:rPr>
                <w:rFonts w:hint="eastAsia"/>
                <w:szCs w:val="22"/>
              </w:rPr>
              <w:t>注：对技术部分的评审因素，评标专家根据比选申请人技术文件编写的情况自行打分。若比选申请人技术文件中无对应的评审因素内容，则该项评审因素可以给予0分，同时注明其得0分的原因。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rFonts w:hint="eastAsia"/>
                <w:szCs w:val="21"/>
              </w:rPr>
            </w:pPr>
          </w:p>
        </w:tc>
        <w:tc>
          <w:tcPr>
            <w:tcW w:w="1205" w:type="dxa"/>
            <w:vMerge w:val="continue"/>
            <w:vAlign w:val="center"/>
          </w:tcPr>
          <w:p>
            <w:pPr>
              <w:spacing w:line="300" w:lineRule="exact"/>
              <w:jc w:val="center"/>
              <w:rPr>
                <w:rFonts w:hint="eastAsia"/>
                <w:szCs w:val="22"/>
              </w:rPr>
            </w:pPr>
          </w:p>
        </w:tc>
        <w:tc>
          <w:tcPr>
            <w:tcW w:w="3837" w:type="dxa"/>
            <w:gridSpan w:val="2"/>
            <w:vAlign w:val="center"/>
          </w:tcPr>
          <w:p>
            <w:pPr>
              <w:spacing w:line="300" w:lineRule="exact"/>
              <w:rPr>
                <w:rFonts w:hint="eastAsia"/>
                <w:szCs w:val="22"/>
              </w:rPr>
            </w:pPr>
            <w:r>
              <w:rPr>
                <w:rFonts w:hint="eastAsia"/>
                <w:szCs w:val="22"/>
              </w:rPr>
              <w:t>对本工程重难点分析清楚、采用先进项目管理手段，有成熟可靠的措施，针对性强、科学有效。</w:t>
            </w:r>
          </w:p>
        </w:tc>
        <w:tc>
          <w:tcPr>
            <w:tcW w:w="1276" w:type="dxa"/>
            <w:vAlign w:val="center"/>
          </w:tcPr>
          <w:p>
            <w:pPr>
              <w:spacing w:line="300" w:lineRule="exact"/>
              <w:jc w:val="center"/>
              <w:rPr>
                <w:rFonts w:hint="eastAsia"/>
                <w:szCs w:val="22"/>
              </w:rPr>
            </w:pPr>
            <w:r>
              <w:rPr>
                <w:rFonts w:hint="eastAsia" w:ascii="宋体" w:hAnsi="宋体"/>
                <w:szCs w:val="21"/>
              </w:rPr>
              <w:t>对本工程重难点分析</w:t>
            </w:r>
            <w:r>
              <w:rPr>
                <w:szCs w:val="22"/>
              </w:rPr>
              <w:t>（</w:t>
            </w:r>
            <w:r>
              <w:rPr>
                <w:rFonts w:hint="eastAsia"/>
                <w:szCs w:val="22"/>
              </w:rPr>
              <w:t>0~</w:t>
            </w:r>
            <w:r>
              <w:rPr>
                <w:rFonts w:hint="eastAsia"/>
                <w:szCs w:val="22"/>
                <w:lang w:val="en-US" w:eastAsia="zh-CN"/>
              </w:rPr>
              <w:t>4</w:t>
            </w:r>
            <w:r>
              <w:rPr>
                <w:rFonts w:hint="eastAsia"/>
                <w:szCs w:val="22"/>
              </w:rPr>
              <w:t>分</w:t>
            </w:r>
            <w:r>
              <w:rPr>
                <w:szCs w:val="22"/>
              </w:rPr>
              <w:t>）</w:t>
            </w:r>
          </w:p>
        </w:tc>
        <w:tc>
          <w:tcPr>
            <w:tcW w:w="1932" w:type="dxa"/>
            <w:vMerge w:val="continue"/>
            <w:vAlign w:val="center"/>
          </w:tcPr>
          <w:p>
            <w:pPr>
              <w:spacing w:line="300" w:lineRule="exact"/>
              <w:rPr>
                <w:rFonts w:hint="eastAsia"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rFonts w:hint="eastAsia"/>
                <w:szCs w:val="21"/>
              </w:rPr>
            </w:pPr>
          </w:p>
        </w:tc>
        <w:tc>
          <w:tcPr>
            <w:tcW w:w="1205" w:type="dxa"/>
            <w:vMerge w:val="continue"/>
            <w:vAlign w:val="center"/>
          </w:tcPr>
          <w:p>
            <w:pPr>
              <w:spacing w:line="300" w:lineRule="exact"/>
              <w:jc w:val="center"/>
              <w:rPr>
                <w:rFonts w:hint="eastAsia"/>
                <w:szCs w:val="22"/>
              </w:rPr>
            </w:pPr>
          </w:p>
        </w:tc>
        <w:tc>
          <w:tcPr>
            <w:tcW w:w="3837" w:type="dxa"/>
            <w:gridSpan w:val="2"/>
            <w:vAlign w:val="center"/>
          </w:tcPr>
          <w:p>
            <w:pPr>
              <w:spacing w:line="300" w:lineRule="exact"/>
              <w:rPr>
                <w:rFonts w:hint="eastAsia"/>
                <w:szCs w:val="22"/>
              </w:rPr>
            </w:pPr>
            <w:r>
              <w:rPr>
                <w:rFonts w:hint="eastAsia" w:ascii="宋体" w:hAnsi="宋体"/>
                <w:szCs w:val="21"/>
              </w:rPr>
              <w:t>质量控制目标、工作流程及措施科学合理；原材料、构配件及设备质量监控手段科学、措施合理；关键性工作旁站监理方案。</w:t>
            </w:r>
          </w:p>
        </w:tc>
        <w:tc>
          <w:tcPr>
            <w:tcW w:w="1276" w:type="dxa"/>
            <w:vAlign w:val="center"/>
          </w:tcPr>
          <w:p>
            <w:pPr>
              <w:spacing w:line="300" w:lineRule="exact"/>
              <w:jc w:val="center"/>
              <w:rPr>
                <w:rFonts w:hint="eastAsia"/>
                <w:szCs w:val="22"/>
              </w:rPr>
            </w:pPr>
            <w:r>
              <w:rPr>
                <w:rFonts w:hint="eastAsia" w:ascii="宋体" w:hAnsi="宋体" w:cs="宋体"/>
                <w:kern w:val="0"/>
                <w:szCs w:val="21"/>
              </w:rPr>
              <w:t>质量控制措施</w:t>
            </w:r>
            <w:r>
              <w:rPr>
                <w:szCs w:val="22"/>
              </w:rPr>
              <w:t>（</w:t>
            </w:r>
            <w:r>
              <w:rPr>
                <w:rFonts w:ascii="宋体" w:hAnsi="宋体"/>
                <w:szCs w:val="21"/>
              </w:rPr>
              <w:t>0</w:t>
            </w:r>
            <w:r>
              <w:rPr>
                <w:rFonts w:hint="eastAsia"/>
                <w:szCs w:val="22"/>
              </w:rPr>
              <w:t>~</w:t>
            </w:r>
            <w:r>
              <w:rPr>
                <w:rFonts w:hint="eastAsia"/>
                <w:szCs w:val="22"/>
                <w:lang w:val="en-US" w:eastAsia="zh-CN"/>
              </w:rPr>
              <w:t>2</w:t>
            </w:r>
            <w:r>
              <w:rPr>
                <w:rFonts w:hint="eastAsia"/>
                <w:szCs w:val="22"/>
              </w:rPr>
              <w:t>分</w:t>
            </w:r>
            <w:r>
              <w:rPr>
                <w:szCs w:val="22"/>
              </w:rPr>
              <w:t>）</w:t>
            </w:r>
          </w:p>
        </w:tc>
        <w:tc>
          <w:tcPr>
            <w:tcW w:w="1932" w:type="dxa"/>
            <w:vMerge w:val="continue"/>
            <w:vAlign w:val="center"/>
          </w:tcPr>
          <w:p>
            <w:pPr>
              <w:spacing w:line="300" w:lineRule="exact"/>
              <w:rPr>
                <w:rFonts w:hint="eastAsia"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rFonts w:hint="eastAsia"/>
                <w:szCs w:val="21"/>
              </w:rPr>
            </w:pPr>
          </w:p>
        </w:tc>
        <w:tc>
          <w:tcPr>
            <w:tcW w:w="1205" w:type="dxa"/>
            <w:vMerge w:val="continue"/>
            <w:vAlign w:val="top"/>
          </w:tcPr>
          <w:p>
            <w:pPr>
              <w:spacing w:line="300" w:lineRule="exact"/>
              <w:jc w:val="center"/>
              <w:rPr>
                <w:rFonts w:hint="eastAsia"/>
                <w:szCs w:val="22"/>
              </w:rPr>
            </w:pPr>
          </w:p>
        </w:tc>
        <w:tc>
          <w:tcPr>
            <w:tcW w:w="3837" w:type="dxa"/>
            <w:gridSpan w:val="2"/>
            <w:vAlign w:val="center"/>
          </w:tcPr>
          <w:p>
            <w:pPr>
              <w:adjustRightInd w:val="0"/>
              <w:spacing w:line="300" w:lineRule="exact"/>
              <w:jc w:val="left"/>
              <w:rPr>
                <w:rFonts w:hint="eastAsia"/>
                <w:szCs w:val="22"/>
              </w:rPr>
            </w:pPr>
            <w:r>
              <w:rPr>
                <w:rFonts w:hint="eastAsia" w:ascii="宋体" w:hAnsi="宋体"/>
                <w:szCs w:val="21"/>
              </w:rPr>
              <w:t>投资控制目标、工作流程及措施科学合理。</w:t>
            </w:r>
          </w:p>
        </w:tc>
        <w:tc>
          <w:tcPr>
            <w:tcW w:w="1276" w:type="dxa"/>
            <w:vAlign w:val="center"/>
          </w:tcPr>
          <w:p>
            <w:pPr>
              <w:spacing w:line="300" w:lineRule="exact"/>
              <w:jc w:val="center"/>
              <w:rPr>
                <w:szCs w:val="22"/>
              </w:rPr>
            </w:pPr>
            <w:r>
              <w:rPr>
                <w:rFonts w:hint="eastAsia" w:ascii="宋体" w:hAnsi="宋体"/>
                <w:szCs w:val="21"/>
              </w:rPr>
              <w:t>投资控制体系</w:t>
            </w:r>
            <w:r>
              <w:rPr>
                <w:rFonts w:hint="eastAsia"/>
                <w:szCs w:val="22"/>
              </w:rPr>
              <w:t>（0~</w:t>
            </w:r>
            <w:r>
              <w:rPr>
                <w:rFonts w:hint="eastAsia"/>
                <w:szCs w:val="22"/>
                <w:lang w:val="en-US" w:eastAsia="zh-CN"/>
              </w:rPr>
              <w:t>2</w:t>
            </w:r>
            <w:r>
              <w:rPr>
                <w:rFonts w:hint="eastAsia"/>
                <w:szCs w:val="22"/>
              </w:rPr>
              <w:t>分）</w:t>
            </w:r>
          </w:p>
        </w:tc>
        <w:tc>
          <w:tcPr>
            <w:tcW w:w="1932" w:type="dxa"/>
            <w:vMerge w:val="continue"/>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rFonts w:hint="eastAsia"/>
                <w:szCs w:val="21"/>
              </w:rPr>
            </w:pPr>
          </w:p>
        </w:tc>
        <w:tc>
          <w:tcPr>
            <w:tcW w:w="1205" w:type="dxa"/>
            <w:vMerge w:val="continue"/>
            <w:vAlign w:val="top"/>
          </w:tcPr>
          <w:p>
            <w:pPr>
              <w:spacing w:line="300" w:lineRule="exact"/>
              <w:jc w:val="center"/>
              <w:rPr>
                <w:rFonts w:hint="eastAsia"/>
                <w:szCs w:val="22"/>
              </w:rPr>
            </w:pPr>
          </w:p>
        </w:tc>
        <w:tc>
          <w:tcPr>
            <w:tcW w:w="3837" w:type="dxa"/>
            <w:gridSpan w:val="2"/>
            <w:vAlign w:val="center"/>
          </w:tcPr>
          <w:p>
            <w:pPr>
              <w:adjustRightInd w:val="0"/>
              <w:spacing w:line="300" w:lineRule="exact"/>
              <w:jc w:val="left"/>
              <w:rPr>
                <w:rFonts w:hint="eastAsia" w:ascii="宋体" w:hAnsi="宋体"/>
                <w:szCs w:val="21"/>
              </w:rPr>
            </w:pPr>
            <w:r>
              <w:rPr>
                <w:rFonts w:hint="eastAsia" w:ascii="宋体" w:hAnsi="宋体"/>
                <w:szCs w:val="21"/>
              </w:rPr>
              <w:t>进度控制目标、工作流程及措施科学合理，可行性强。</w:t>
            </w:r>
          </w:p>
        </w:tc>
        <w:tc>
          <w:tcPr>
            <w:tcW w:w="1276" w:type="dxa"/>
            <w:vAlign w:val="center"/>
          </w:tcPr>
          <w:p>
            <w:pPr>
              <w:spacing w:line="300" w:lineRule="exact"/>
              <w:jc w:val="center"/>
              <w:rPr>
                <w:rFonts w:hint="eastAsia" w:ascii="宋体" w:hAnsi="宋体"/>
                <w:szCs w:val="21"/>
              </w:rPr>
            </w:pPr>
            <w:r>
              <w:rPr>
                <w:rFonts w:hint="eastAsia" w:ascii="宋体" w:hAnsi="宋体"/>
                <w:szCs w:val="21"/>
              </w:rPr>
              <w:t>进度控制体系(</w:t>
            </w:r>
            <w:r>
              <w:rPr>
                <w:rFonts w:ascii="宋体" w:hAnsi="宋体"/>
                <w:szCs w:val="21"/>
              </w:rPr>
              <w:t>0</w:t>
            </w:r>
            <w:r>
              <w:rPr>
                <w:rFonts w:hint="eastAsia"/>
                <w:szCs w:val="22"/>
              </w:rPr>
              <w:t>~</w:t>
            </w:r>
            <w:r>
              <w:rPr>
                <w:rFonts w:hint="eastAsia"/>
                <w:szCs w:val="22"/>
                <w:lang w:val="en-US" w:eastAsia="zh-CN"/>
              </w:rPr>
              <w:t>2</w:t>
            </w:r>
            <w:r>
              <w:rPr>
                <w:rFonts w:hint="eastAsia" w:ascii="宋体" w:hAnsi="宋体" w:cs="宋体"/>
                <w:szCs w:val="21"/>
              </w:rPr>
              <w:t>分)</w:t>
            </w:r>
          </w:p>
        </w:tc>
        <w:tc>
          <w:tcPr>
            <w:tcW w:w="1932" w:type="dxa"/>
            <w:vMerge w:val="continue"/>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rFonts w:hint="eastAsia"/>
                <w:szCs w:val="21"/>
              </w:rPr>
            </w:pPr>
          </w:p>
        </w:tc>
        <w:tc>
          <w:tcPr>
            <w:tcW w:w="1205" w:type="dxa"/>
            <w:vMerge w:val="continue"/>
            <w:vAlign w:val="top"/>
          </w:tcPr>
          <w:p>
            <w:pPr>
              <w:spacing w:line="300" w:lineRule="exact"/>
              <w:jc w:val="center"/>
              <w:rPr>
                <w:rFonts w:hint="eastAsia"/>
                <w:szCs w:val="22"/>
              </w:rPr>
            </w:pPr>
          </w:p>
        </w:tc>
        <w:tc>
          <w:tcPr>
            <w:tcW w:w="3837" w:type="dxa"/>
            <w:gridSpan w:val="2"/>
            <w:vAlign w:val="center"/>
          </w:tcPr>
          <w:p>
            <w:pPr>
              <w:adjustRightInd w:val="0"/>
              <w:spacing w:line="300" w:lineRule="exact"/>
              <w:jc w:val="left"/>
              <w:rPr>
                <w:rFonts w:hint="eastAsia" w:ascii="宋体" w:hAnsi="宋体"/>
                <w:szCs w:val="21"/>
              </w:rPr>
            </w:pPr>
            <w:r>
              <w:rPr>
                <w:rFonts w:hint="eastAsia" w:ascii="宋体" w:hAnsi="宋体"/>
                <w:szCs w:val="21"/>
              </w:rPr>
              <w:t>安全控制目标、工作流程和文明施工管理措施科学合理。</w:t>
            </w:r>
          </w:p>
        </w:tc>
        <w:tc>
          <w:tcPr>
            <w:tcW w:w="1276" w:type="dxa"/>
            <w:vAlign w:val="center"/>
          </w:tcPr>
          <w:p>
            <w:pPr>
              <w:spacing w:line="300" w:lineRule="exact"/>
              <w:jc w:val="center"/>
              <w:rPr>
                <w:rFonts w:hint="eastAsia" w:ascii="宋体" w:hAnsi="宋体"/>
                <w:szCs w:val="21"/>
              </w:rPr>
            </w:pPr>
            <w:r>
              <w:rPr>
                <w:rFonts w:hint="eastAsia" w:ascii="宋体" w:hAnsi="宋体"/>
                <w:szCs w:val="21"/>
              </w:rPr>
              <w:t>安全控制和文明施工管理（</w:t>
            </w:r>
            <w:r>
              <w:rPr>
                <w:rFonts w:ascii="宋体" w:hAnsi="宋体"/>
                <w:szCs w:val="21"/>
              </w:rPr>
              <w:t>0</w:t>
            </w:r>
            <w:r>
              <w:rPr>
                <w:rFonts w:hint="eastAsia"/>
                <w:szCs w:val="22"/>
              </w:rPr>
              <w:t>~</w:t>
            </w:r>
            <w:r>
              <w:rPr>
                <w:rFonts w:hint="eastAsia"/>
                <w:szCs w:val="22"/>
                <w:lang w:val="en-US" w:eastAsia="zh-CN"/>
              </w:rPr>
              <w:t>2</w:t>
            </w:r>
            <w:r>
              <w:rPr>
                <w:rFonts w:hint="eastAsia" w:ascii="宋体" w:hAnsi="宋体" w:cs="宋体"/>
                <w:szCs w:val="21"/>
              </w:rPr>
              <w:t>分</w:t>
            </w:r>
            <w:r>
              <w:rPr>
                <w:rFonts w:hint="eastAsia" w:ascii="宋体" w:hAnsi="宋体"/>
                <w:szCs w:val="21"/>
              </w:rPr>
              <w:t>）</w:t>
            </w:r>
          </w:p>
        </w:tc>
        <w:tc>
          <w:tcPr>
            <w:tcW w:w="1932" w:type="dxa"/>
            <w:vMerge w:val="continue"/>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966" w:type="dxa"/>
            <w:vMerge w:val="continue"/>
            <w:vAlign w:val="center"/>
          </w:tcPr>
          <w:p>
            <w:pPr>
              <w:spacing w:line="300" w:lineRule="exact"/>
              <w:ind w:firstLine="29" w:firstLineChars="14"/>
              <w:jc w:val="center"/>
              <w:rPr>
                <w:rFonts w:hint="eastAsia"/>
                <w:szCs w:val="21"/>
              </w:rPr>
            </w:pPr>
          </w:p>
        </w:tc>
        <w:tc>
          <w:tcPr>
            <w:tcW w:w="1205" w:type="dxa"/>
            <w:vMerge w:val="continue"/>
            <w:vAlign w:val="top"/>
          </w:tcPr>
          <w:p>
            <w:pPr>
              <w:spacing w:line="300" w:lineRule="exact"/>
              <w:jc w:val="center"/>
              <w:rPr>
                <w:rFonts w:hint="eastAsia"/>
                <w:szCs w:val="22"/>
              </w:rPr>
            </w:pPr>
          </w:p>
        </w:tc>
        <w:tc>
          <w:tcPr>
            <w:tcW w:w="3837" w:type="dxa"/>
            <w:gridSpan w:val="2"/>
            <w:vAlign w:val="center"/>
          </w:tcPr>
          <w:p>
            <w:pPr>
              <w:adjustRightInd w:val="0"/>
              <w:spacing w:line="300" w:lineRule="exact"/>
              <w:rPr>
                <w:rFonts w:hint="eastAsia" w:ascii="宋体" w:hAnsi="宋体"/>
                <w:szCs w:val="21"/>
              </w:rPr>
            </w:pPr>
            <w:r>
              <w:rPr>
                <w:rFonts w:hint="eastAsia" w:ascii="宋体" w:hAnsi="宋体"/>
                <w:szCs w:val="21"/>
              </w:rPr>
              <w:t>合同、工程资料管理措施合理。</w:t>
            </w:r>
          </w:p>
        </w:tc>
        <w:tc>
          <w:tcPr>
            <w:tcW w:w="1276" w:type="dxa"/>
            <w:vAlign w:val="center"/>
          </w:tcPr>
          <w:p>
            <w:pPr>
              <w:spacing w:line="300" w:lineRule="exact"/>
              <w:jc w:val="center"/>
              <w:rPr>
                <w:rFonts w:hint="eastAsia" w:ascii="宋体" w:hAnsi="宋体"/>
                <w:szCs w:val="21"/>
              </w:rPr>
            </w:pPr>
            <w:r>
              <w:rPr>
                <w:rFonts w:hint="eastAsia" w:ascii="宋体" w:hAnsi="宋体"/>
                <w:szCs w:val="21"/>
              </w:rPr>
              <w:t>合同管理措施（</w:t>
            </w:r>
            <w:r>
              <w:rPr>
                <w:rFonts w:ascii="宋体" w:hAnsi="宋体"/>
                <w:szCs w:val="21"/>
              </w:rPr>
              <w:t>0</w:t>
            </w:r>
            <w:r>
              <w:rPr>
                <w:rFonts w:hint="eastAsia"/>
                <w:szCs w:val="22"/>
              </w:rPr>
              <w:t>~</w:t>
            </w:r>
            <w:r>
              <w:rPr>
                <w:rFonts w:hint="eastAsia"/>
                <w:szCs w:val="22"/>
                <w:lang w:val="en-US" w:eastAsia="zh-CN"/>
              </w:rPr>
              <w:t>2</w:t>
            </w:r>
            <w:r>
              <w:rPr>
                <w:rFonts w:hint="eastAsia" w:ascii="宋体" w:hAnsi="宋体" w:cs="宋体"/>
                <w:szCs w:val="21"/>
              </w:rPr>
              <w:t>分</w:t>
            </w:r>
            <w:r>
              <w:rPr>
                <w:rFonts w:hint="eastAsia" w:ascii="宋体" w:hAnsi="宋体"/>
                <w:szCs w:val="21"/>
              </w:rPr>
              <w:t>）</w:t>
            </w:r>
          </w:p>
        </w:tc>
        <w:tc>
          <w:tcPr>
            <w:tcW w:w="1932" w:type="dxa"/>
            <w:vMerge w:val="continue"/>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rFonts w:hint="eastAsia"/>
                <w:szCs w:val="21"/>
              </w:rPr>
            </w:pPr>
          </w:p>
        </w:tc>
        <w:tc>
          <w:tcPr>
            <w:tcW w:w="1205" w:type="dxa"/>
            <w:vMerge w:val="continue"/>
            <w:vAlign w:val="top"/>
          </w:tcPr>
          <w:p>
            <w:pPr>
              <w:spacing w:line="300" w:lineRule="exact"/>
              <w:jc w:val="center"/>
              <w:rPr>
                <w:rFonts w:hint="eastAsia"/>
                <w:szCs w:val="22"/>
              </w:rPr>
            </w:pPr>
          </w:p>
        </w:tc>
        <w:tc>
          <w:tcPr>
            <w:tcW w:w="3837" w:type="dxa"/>
            <w:gridSpan w:val="2"/>
            <w:vAlign w:val="center"/>
          </w:tcPr>
          <w:p>
            <w:pPr>
              <w:adjustRightInd w:val="0"/>
              <w:spacing w:line="300" w:lineRule="exact"/>
              <w:jc w:val="left"/>
              <w:rPr>
                <w:rFonts w:hint="eastAsia" w:ascii="宋体" w:hAnsi="宋体"/>
                <w:szCs w:val="21"/>
              </w:rPr>
            </w:pPr>
            <w:r>
              <w:rPr>
                <w:rFonts w:hint="eastAsia" w:ascii="宋体" w:hAnsi="宋体"/>
                <w:szCs w:val="21"/>
              </w:rPr>
              <w:t>信息资料管理措施及时合理。</w:t>
            </w:r>
          </w:p>
        </w:tc>
        <w:tc>
          <w:tcPr>
            <w:tcW w:w="1276" w:type="dxa"/>
            <w:vAlign w:val="center"/>
          </w:tcPr>
          <w:p>
            <w:pPr>
              <w:spacing w:line="300" w:lineRule="exact"/>
              <w:jc w:val="center"/>
              <w:rPr>
                <w:rFonts w:hint="eastAsia" w:ascii="宋体" w:hAnsi="宋体"/>
                <w:szCs w:val="21"/>
              </w:rPr>
            </w:pPr>
            <w:r>
              <w:rPr>
                <w:rFonts w:hint="eastAsia" w:ascii="宋体" w:hAnsi="宋体"/>
                <w:szCs w:val="21"/>
              </w:rPr>
              <w:t>信息管理措施（</w:t>
            </w:r>
            <w:r>
              <w:rPr>
                <w:rFonts w:ascii="宋体" w:hAnsi="宋体"/>
                <w:szCs w:val="21"/>
              </w:rPr>
              <w:t>0</w:t>
            </w:r>
            <w:r>
              <w:rPr>
                <w:rFonts w:hint="eastAsia"/>
                <w:szCs w:val="22"/>
              </w:rPr>
              <w:t>~</w:t>
            </w:r>
            <w:r>
              <w:rPr>
                <w:rFonts w:hint="eastAsia"/>
                <w:szCs w:val="22"/>
                <w:lang w:val="en-US" w:eastAsia="zh-CN"/>
              </w:rPr>
              <w:t>2</w:t>
            </w:r>
            <w:r>
              <w:rPr>
                <w:rFonts w:hint="eastAsia" w:ascii="宋体" w:hAnsi="宋体" w:cs="宋体"/>
                <w:szCs w:val="21"/>
              </w:rPr>
              <w:t>分</w:t>
            </w:r>
            <w:r>
              <w:rPr>
                <w:rFonts w:hint="eastAsia" w:ascii="宋体" w:hAnsi="宋体"/>
                <w:szCs w:val="21"/>
              </w:rPr>
              <w:t>）</w:t>
            </w:r>
          </w:p>
        </w:tc>
        <w:tc>
          <w:tcPr>
            <w:tcW w:w="1932" w:type="dxa"/>
            <w:vMerge w:val="continue"/>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rPr>
                <w:kern w:val="0"/>
                <w:szCs w:val="21"/>
              </w:rPr>
            </w:pPr>
            <w:r>
              <w:rPr>
                <w:rFonts w:hint="eastAsia"/>
                <w:szCs w:val="21"/>
              </w:rPr>
              <w:t>成交候</w:t>
            </w:r>
            <w:r>
              <w:rPr>
                <w:szCs w:val="21"/>
              </w:rPr>
              <w:t>选人最终得分</w:t>
            </w:r>
          </w:p>
        </w:tc>
        <w:tc>
          <w:tcPr>
            <w:tcW w:w="7045" w:type="dxa"/>
            <w:gridSpan w:val="4"/>
            <w:vAlign w:val="center"/>
          </w:tcPr>
          <w:p>
            <w:pPr>
              <w:spacing w:line="300" w:lineRule="exact"/>
              <w:rPr>
                <w:rFonts w:hint="eastAsia"/>
                <w:szCs w:val="21"/>
              </w:rPr>
            </w:pPr>
            <w:r>
              <w:rPr>
                <w:rFonts w:hint="eastAsia"/>
                <w:szCs w:val="21"/>
              </w:rPr>
              <w:t>成交候选人</w:t>
            </w:r>
            <w:r>
              <w:rPr>
                <w:szCs w:val="21"/>
              </w:rPr>
              <w:t>评标得分＝综合得分（</w:t>
            </w:r>
            <w:r>
              <w:rPr>
                <w:rFonts w:hint="eastAsia"/>
                <w:szCs w:val="21"/>
              </w:rPr>
              <w:t>报价</w:t>
            </w:r>
            <w:r>
              <w:rPr>
                <w:szCs w:val="21"/>
              </w:rPr>
              <w:t>得分+</w:t>
            </w:r>
            <w:r>
              <w:rPr>
                <w:rFonts w:hint="eastAsia"/>
                <w:szCs w:val="21"/>
              </w:rPr>
              <w:t>技术</w:t>
            </w:r>
            <w:r>
              <w:rPr>
                <w:szCs w:val="21"/>
              </w:rPr>
              <w:t>得分）</w:t>
            </w:r>
            <w:r>
              <w:rPr>
                <w:rFonts w:hint="eastAsia"/>
                <w:szCs w:val="21"/>
              </w:rPr>
              <w:t>，对综合得分由高到低的先后顺序推荐3名成交候选人。若不足3名，则只选取相应的数量。</w:t>
            </w:r>
          </w:p>
        </w:tc>
      </w:tr>
    </w:tbl>
    <w:p>
      <w:pPr>
        <w:numPr>
          <w:ilvl w:val="0"/>
          <w:numId w:val="3"/>
        </w:numPr>
        <w:spacing w:line="380" w:lineRule="exact"/>
        <w:rPr>
          <w:rFonts w:hint="eastAsia"/>
          <w:b/>
          <w:szCs w:val="21"/>
        </w:rPr>
      </w:pPr>
      <w:r>
        <w:rPr>
          <w:rFonts w:hint="eastAsia"/>
          <w:b/>
          <w:szCs w:val="21"/>
        </w:rPr>
        <w:t>竞争性比选</w:t>
      </w:r>
      <w:r>
        <w:rPr>
          <w:b/>
          <w:szCs w:val="21"/>
        </w:rPr>
        <w:t>须知</w:t>
      </w:r>
      <w:r>
        <w:rPr>
          <w:rFonts w:hint="eastAsia"/>
          <w:b/>
          <w:szCs w:val="21"/>
        </w:rPr>
        <w:t>:</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（一）竞争性比选公告发布时间：凡有意参加竞标者，请于2021年</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月</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eastAsia="zh-CN"/>
        </w:rPr>
        <w:t>日（北京时间，下同）起在高速集团官网（http://www.cegc.com.cn/gw/index）、</w:t>
      </w:r>
      <w:r>
        <w:rPr>
          <w:rFonts w:hint="eastAsia" w:ascii="宋体" w:hAnsi="宋体" w:eastAsia="宋体" w:cs="宋体"/>
          <w:color w:val="000000"/>
          <w:sz w:val="24"/>
          <w:szCs w:val="24"/>
          <w:lang w:val="en-US" w:eastAsia="zh-CN"/>
        </w:rPr>
        <w:t>高速</w:t>
      </w:r>
      <w:r>
        <w:rPr>
          <w:rFonts w:hint="eastAsia" w:ascii="宋体" w:hAnsi="宋体" w:eastAsia="宋体" w:cs="宋体"/>
          <w:color w:val="000000"/>
          <w:sz w:val="24"/>
          <w:szCs w:val="24"/>
          <w:lang w:eastAsia="zh-CN"/>
        </w:rPr>
        <w:t>集团招</w:t>
      </w:r>
      <w:r>
        <w:rPr>
          <w:rFonts w:hint="eastAsia" w:ascii="宋体" w:hAnsi="宋体" w:eastAsia="宋体" w:cs="宋体"/>
          <w:color w:val="000000"/>
          <w:sz w:val="24"/>
          <w:szCs w:val="24"/>
          <w:lang w:val="en-US" w:eastAsia="zh-CN"/>
        </w:rPr>
        <w:t>投</w:t>
      </w:r>
      <w:r>
        <w:rPr>
          <w:rFonts w:hint="eastAsia" w:ascii="宋体" w:hAnsi="宋体" w:eastAsia="宋体" w:cs="宋体"/>
          <w:color w:val="000000"/>
          <w:sz w:val="24"/>
          <w:szCs w:val="24"/>
          <w:lang w:eastAsia="zh-CN"/>
        </w:rPr>
        <w:t>标平台（</w:t>
      </w:r>
      <w:r>
        <w:rPr>
          <w:rFonts w:hint="eastAsia" w:ascii="宋体" w:hAnsi="宋体" w:eastAsia="宋体" w:cs="宋体"/>
          <w:color w:val="000000"/>
          <w:sz w:val="24"/>
          <w:szCs w:val="24"/>
          <w:lang w:eastAsia="zh-CN"/>
        </w:rPr>
        <w:fldChar w:fldCharType="begin"/>
      </w:r>
      <w:r>
        <w:rPr>
          <w:rFonts w:hint="eastAsia" w:ascii="宋体" w:hAnsi="宋体" w:eastAsia="宋体" w:cs="宋体"/>
          <w:color w:val="000000"/>
          <w:sz w:val="24"/>
          <w:szCs w:val="24"/>
          <w:lang w:eastAsia="zh-CN"/>
        </w:rPr>
        <w:instrText xml:space="preserve"> HYPERLINK "http://43.240.249.108:8088" </w:instrText>
      </w:r>
      <w:r>
        <w:rPr>
          <w:rFonts w:hint="eastAsia" w:ascii="宋体" w:hAnsi="宋体" w:eastAsia="宋体" w:cs="宋体"/>
          <w:color w:val="000000"/>
          <w:sz w:val="24"/>
          <w:szCs w:val="24"/>
          <w:lang w:eastAsia="zh-CN"/>
        </w:rPr>
        <w:fldChar w:fldCharType="separate"/>
      </w:r>
      <w:r>
        <w:rPr>
          <w:rFonts w:hint="eastAsia" w:ascii="宋体" w:hAnsi="宋体" w:eastAsia="宋体" w:cs="宋体"/>
          <w:color w:val="000000"/>
          <w:sz w:val="24"/>
          <w:szCs w:val="24"/>
          <w:lang w:eastAsia="zh-CN"/>
        </w:rPr>
        <w:t>http://43.240.249.108:8088</w:t>
      </w:r>
      <w:r>
        <w:rPr>
          <w:rFonts w:hint="eastAsia" w:ascii="宋体" w:hAnsi="宋体" w:eastAsia="宋体" w:cs="宋体"/>
          <w:color w:val="000000"/>
          <w:sz w:val="24"/>
          <w:szCs w:val="24"/>
          <w:lang w:eastAsia="zh-CN"/>
        </w:rPr>
        <w:fldChar w:fldCharType="end"/>
      </w:r>
      <w:r>
        <w:rPr>
          <w:rFonts w:hint="eastAsia" w:ascii="宋体" w:hAnsi="宋体" w:eastAsia="宋体" w:cs="宋体"/>
          <w:color w:val="000000"/>
          <w:sz w:val="24"/>
          <w:szCs w:val="24"/>
          <w:lang w:eastAsia="zh-CN"/>
        </w:rPr>
        <w:t>）上自行下载竞争性比选文件等全部内容。不管下载与否都视为潜在比选申请人全部知晓有关比选过程和全部内容。</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（二）竞争性比选地点：重庆市渝北区</w:t>
      </w:r>
      <w:r>
        <w:rPr>
          <w:rFonts w:hint="eastAsia" w:ascii="宋体" w:hAnsi="宋体" w:eastAsia="宋体" w:cs="宋体"/>
          <w:color w:val="000000"/>
          <w:sz w:val="24"/>
          <w:szCs w:val="24"/>
          <w:lang w:val="en-US" w:eastAsia="zh-CN"/>
        </w:rPr>
        <w:t>香锦城</w:t>
      </w:r>
      <w:r>
        <w:rPr>
          <w:rFonts w:hint="eastAsia" w:ascii="宋体" w:hAnsi="宋体" w:eastAsia="宋体" w:cs="宋体"/>
          <w:color w:val="000000"/>
          <w:sz w:val="24"/>
          <w:szCs w:val="24"/>
          <w:lang w:eastAsia="zh-CN"/>
        </w:rPr>
        <w:t>路</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号</w:t>
      </w:r>
      <w:r>
        <w:rPr>
          <w:rFonts w:hint="eastAsia" w:ascii="宋体" w:hAnsi="宋体" w:eastAsia="宋体" w:cs="宋体"/>
          <w:color w:val="000000"/>
          <w:sz w:val="24"/>
          <w:szCs w:val="24"/>
          <w:lang w:val="en-US" w:eastAsia="zh-CN"/>
        </w:rPr>
        <w:t>交建大厦7楼会议室</w:t>
      </w:r>
      <w:r>
        <w:rPr>
          <w:rFonts w:hint="eastAsia" w:ascii="宋体" w:hAnsi="宋体" w:eastAsia="宋体" w:cs="宋体"/>
          <w:color w:val="000000"/>
          <w:sz w:val="24"/>
          <w:szCs w:val="24"/>
          <w:lang w:eastAsia="zh-CN"/>
        </w:rPr>
        <w:t>。</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）竞争性比选</w:t>
      </w:r>
      <w:r>
        <w:rPr>
          <w:rFonts w:hint="eastAsia" w:ascii="宋体" w:hAnsi="宋体" w:eastAsia="宋体" w:cs="宋体"/>
          <w:color w:val="000000"/>
          <w:sz w:val="24"/>
          <w:szCs w:val="24"/>
          <w:lang w:val="en-US" w:eastAsia="zh-CN"/>
        </w:rPr>
        <w:t>报价文件提交</w:t>
      </w:r>
      <w:r>
        <w:rPr>
          <w:rFonts w:hint="eastAsia" w:ascii="宋体" w:hAnsi="宋体" w:eastAsia="宋体" w:cs="宋体"/>
          <w:color w:val="000000"/>
          <w:sz w:val="24"/>
          <w:szCs w:val="24"/>
          <w:lang w:eastAsia="zh-CN"/>
        </w:rPr>
        <w:t>截止时间（</w:t>
      </w:r>
      <w:r>
        <w:rPr>
          <w:rFonts w:hint="eastAsia" w:ascii="宋体" w:hAnsi="宋体" w:eastAsia="宋体" w:cs="宋体"/>
          <w:color w:val="000000"/>
          <w:sz w:val="24"/>
          <w:szCs w:val="24"/>
          <w:lang w:val="en-US" w:eastAsia="zh-CN"/>
        </w:rPr>
        <w:t>即开标时间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2021</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月</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eastAsia="zh-CN"/>
        </w:rPr>
        <w:t>日</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eastAsia="zh-CN"/>
        </w:rPr>
        <w:t>时00分（北京时间）。</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lang w:eastAsia="zh-CN"/>
        </w:rPr>
        <w:t>）各</w:t>
      </w:r>
      <w:r>
        <w:rPr>
          <w:rFonts w:hint="eastAsia" w:ascii="宋体" w:hAnsi="宋体" w:eastAsia="宋体" w:cs="宋体"/>
          <w:color w:val="000000"/>
          <w:sz w:val="24"/>
          <w:szCs w:val="24"/>
          <w:lang w:val="en-US" w:eastAsia="zh-CN"/>
        </w:rPr>
        <w:t>竞标</w:t>
      </w:r>
      <w:r>
        <w:rPr>
          <w:rFonts w:hint="eastAsia" w:ascii="宋体" w:hAnsi="宋体" w:eastAsia="宋体" w:cs="宋体"/>
          <w:color w:val="000000"/>
          <w:sz w:val="24"/>
          <w:szCs w:val="24"/>
          <w:lang w:eastAsia="zh-CN"/>
        </w:rPr>
        <w:t>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lang w:eastAsia="zh-CN"/>
        </w:rPr>
        <w:t>）竞争性比选响应文件的份数及编制要求</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竞争性比选响应文件正本1份，副本1份，竞争性比选响应文件按竞争性比选文件中规定格式排版，并应编制目录，逐页标注页码。</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lang w:eastAsia="zh-CN"/>
        </w:rPr>
        <w:t>）竞争性比选申请文件密封要求：</w:t>
      </w:r>
    </w:p>
    <w:p>
      <w:pPr>
        <w:spacing w:line="380" w:lineRule="exact"/>
        <w:ind w:firstLine="420" w:firstLineChars="200"/>
        <w:rPr>
          <w:rFonts w:hint="eastAsia" w:ascii="宋体" w:hAnsi="宋体" w:cs="宋体"/>
          <w:szCs w:val="21"/>
        </w:rPr>
      </w:pPr>
      <w:r>
        <w:rPr>
          <w:rFonts w:hint="eastAsia" w:ascii="宋体" w:hAnsi="宋体" w:cs="宋体"/>
          <w:szCs w:val="21"/>
        </w:rPr>
        <w:t>按第三条要求制作的比选申请文件，将竞争性比选申请文件密封到一个封套中，再在封套上写明：</w:t>
      </w:r>
    </w:p>
    <w:p>
      <w:pPr>
        <w:spacing w:line="400" w:lineRule="exact"/>
        <w:ind w:firstLine="420" w:firstLineChars="200"/>
        <w:jc w:val="center"/>
        <w:rPr>
          <w:rFonts w:hint="eastAsia" w:ascii="宋体" w:hAnsi="宋体" w:cs="宋体"/>
          <w:szCs w:val="21"/>
          <w:u w:val="single"/>
        </w:rPr>
      </w:pPr>
      <w:r>
        <w:rPr>
          <w:rFonts w:hint="eastAsia" w:ascii="宋体" w:hAnsi="宋体" w:cs="宋体"/>
          <w:szCs w:val="21"/>
          <w:u w:val="single"/>
          <w:lang w:eastAsia="zh-CN"/>
        </w:rPr>
        <w:t>大观服务区等服务区LNG加气站施工监理项目</w:t>
      </w:r>
      <w:r>
        <w:rPr>
          <w:rFonts w:hint="eastAsia" w:ascii="宋体" w:hAnsi="宋体" w:cs="宋体"/>
          <w:szCs w:val="21"/>
          <w:u w:val="single"/>
        </w:rPr>
        <w:t>竞争性比选申请文件</w:t>
      </w:r>
    </w:p>
    <w:p>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在2021年 </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 xml:space="preserve">月 </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eastAsia="zh-CN"/>
        </w:rPr>
        <w:t>日</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eastAsia="zh-CN"/>
        </w:rPr>
        <w:t>时 00 分前不得开启（盖单位章）</w:t>
      </w:r>
    </w:p>
    <w:p>
      <w:pPr>
        <w:spacing w:line="380" w:lineRule="exact"/>
        <w:ind w:firstLine="360" w:firstLineChars="200"/>
        <w:jc w:val="left"/>
        <w:rPr>
          <w:rFonts w:hint="eastAsia" w:ascii="宋体" w:hAnsi="宋体" w:cs="宋体"/>
          <w:sz w:val="18"/>
          <w:szCs w:val="18"/>
        </w:rPr>
      </w:pPr>
      <w:r>
        <w:rPr>
          <w:rFonts w:hint="eastAsia" w:ascii="宋体" w:hAnsi="宋体" w:cs="宋体"/>
          <w:sz w:val="18"/>
          <w:szCs w:val="18"/>
        </w:rPr>
        <w:t>（七）竞标报价及结算方式：</w:t>
      </w:r>
    </w:p>
    <w:p>
      <w:pPr>
        <w:spacing w:line="380" w:lineRule="exact"/>
        <w:ind w:firstLine="360" w:firstLineChars="200"/>
        <w:jc w:val="left"/>
        <w:rPr>
          <w:rFonts w:hint="eastAsia" w:ascii="宋体" w:hAnsi="宋体" w:cs="宋体"/>
          <w:sz w:val="18"/>
          <w:szCs w:val="18"/>
        </w:rPr>
      </w:pPr>
      <w:r>
        <w:rPr>
          <w:rFonts w:hint="eastAsia" w:ascii="宋体" w:hAnsi="宋体" w:cs="宋体"/>
          <w:sz w:val="18"/>
          <w:szCs w:val="18"/>
        </w:rPr>
        <w:t>（1）比选申请人的竞标报价不得超过本次监理服务费最高竞标限价，否则作否决投标处理。</w:t>
      </w:r>
    </w:p>
    <w:p>
      <w:pPr>
        <w:spacing w:line="380" w:lineRule="exact"/>
        <w:ind w:firstLine="360" w:firstLineChars="200"/>
        <w:jc w:val="left"/>
        <w:rPr>
          <w:rFonts w:hint="eastAsia" w:ascii="宋体" w:hAnsi="宋体" w:cs="宋体"/>
          <w:sz w:val="18"/>
          <w:szCs w:val="18"/>
        </w:rPr>
      </w:pPr>
      <w:r>
        <w:rPr>
          <w:rFonts w:hint="eastAsia" w:ascii="宋体" w:hAnsi="宋体" w:cs="宋体"/>
          <w:sz w:val="18"/>
          <w:szCs w:val="18"/>
        </w:rPr>
        <w:t>（2）比选申请人应根据本比选文件对监理服务的质量要求,结合自身实力和市场行情自主确定其竞标报价。</w:t>
      </w:r>
    </w:p>
    <w:p>
      <w:pPr>
        <w:spacing w:line="380" w:lineRule="exact"/>
        <w:ind w:firstLine="360" w:firstLineChars="200"/>
        <w:jc w:val="left"/>
        <w:rPr>
          <w:rFonts w:hint="eastAsia" w:ascii="宋体" w:hAnsi="宋体" w:cs="宋体"/>
          <w:sz w:val="18"/>
          <w:szCs w:val="18"/>
        </w:rPr>
      </w:pPr>
      <w:r>
        <w:rPr>
          <w:rFonts w:hint="eastAsia" w:ascii="宋体" w:hAnsi="宋体" w:cs="宋体"/>
          <w:sz w:val="18"/>
          <w:szCs w:val="18"/>
        </w:rPr>
        <w:t>竞标报价为完成本次比选确定的监理范围和监理工作内容所需的全部费用包括工程缺陷责任期阶段（含协助施工招标、施工准备）等服务的工作人员的工资、劳保、医疗、福利、津贴、保险、差旅费、治疗费，监理机构的管理费、税金、利润，并且包含检测设备、检测试验费、办公用品、交通工具、通讯设备，来渝的外地企业应综合考虑参加本项目投标及履行合同产生的一切费税等全部费用。比选人除此以外不支付其它费用，比选申请人也不得与本项目的承包商发生任何经济关系。</w:t>
      </w:r>
    </w:p>
    <w:p>
      <w:pPr>
        <w:spacing w:line="380" w:lineRule="exact"/>
        <w:ind w:firstLine="360" w:firstLineChars="200"/>
        <w:jc w:val="left"/>
        <w:rPr>
          <w:rFonts w:hint="eastAsia" w:ascii="宋体" w:hAnsi="宋体" w:cs="宋体"/>
          <w:sz w:val="18"/>
          <w:szCs w:val="18"/>
        </w:rPr>
      </w:pPr>
      <w:r>
        <w:rPr>
          <w:rFonts w:hint="eastAsia" w:ascii="宋体" w:hAnsi="宋体" w:cs="宋体"/>
          <w:sz w:val="18"/>
          <w:szCs w:val="18"/>
        </w:rPr>
        <w:t>竞标报价包括竣工验收、办理结算、协助审计等（办理竣工验收、结算和协助审计的监理工作时间不受以上监理工作时间的影响，不另行调整监理费用）事项的所有费用。在施工监理服务期内无论物价变动、国家或地方政府的法律法规的变动、施工工期、监理服务期是否延长，均不增减监理服务费。</w:t>
      </w:r>
    </w:p>
    <w:p>
      <w:pPr>
        <w:spacing w:line="380" w:lineRule="exact"/>
        <w:ind w:firstLine="360" w:firstLineChars="200"/>
        <w:jc w:val="left"/>
        <w:rPr>
          <w:rFonts w:hint="eastAsia" w:ascii="宋体" w:hAnsi="宋体" w:cs="宋体"/>
          <w:sz w:val="18"/>
          <w:szCs w:val="18"/>
        </w:rPr>
      </w:pPr>
      <w:r>
        <w:rPr>
          <w:rFonts w:hint="eastAsia" w:ascii="宋体" w:hAnsi="宋体" w:cs="宋体"/>
          <w:sz w:val="18"/>
          <w:szCs w:val="18"/>
        </w:rPr>
        <w:t>比选人提供监理办公用房。其余必须的办公设备设施、交通工具、置办各种试验检测设备等由比选申请人自行考虑，纳入竞标报价中。</w:t>
      </w:r>
    </w:p>
    <w:p>
      <w:pPr>
        <w:spacing w:line="380" w:lineRule="exact"/>
        <w:ind w:firstLine="420" w:firstLineChars="200"/>
        <w:rPr>
          <w:rFonts w:hint="eastAsia"/>
          <w:szCs w:val="21"/>
        </w:rPr>
      </w:pPr>
      <w:r>
        <w:rPr>
          <w:rFonts w:hint="eastAsia"/>
          <w:szCs w:val="21"/>
        </w:rPr>
        <w:t>（</w:t>
      </w:r>
      <w:r>
        <w:rPr>
          <w:rFonts w:hint="eastAsia"/>
          <w:szCs w:val="21"/>
          <w:lang w:val="en-US" w:eastAsia="zh-CN"/>
        </w:rPr>
        <w:t>八</w:t>
      </w:r>
      <w:r>
        <w:rPr>
          <w:rFonts w:hint="eastAsia"/>
          <w:szCs w:val="21"/>
        </w:rPr>
        <w:t>）监理服务合同（以最终甲方与乙方签订的合同为准）。</w:t>
      </w:r>
    </w:p>
    <w:p>
      <w:pPr>
        <w:spacing w:line="38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九</w:t>
      </w:r>
      <w:r>
        <w:rPr>
          <w:rFonts w:hint="eastAsia" w:ascii="宋体" w:hAnsi="宋体" w:cs="宋体"/>
          <w:szCs w:val="21"/>
        </w:rPr>
        <w:t>）比选人联系方式：</w:t>
      </w:r>
    </w:p>
    <w:p>
      <w:pPr>
        <w:spacing w:line="380" w:lineRule="exact"/>
        <w:ind w:firstLine="360" w:firstLineChars="200"/>
        <w:jc w:val="left"/>
        <w:rPr>
          <w:rFonts w:hint="eastAsia" w:ascii="宋体" w:hAnsi="宋体" w:cs="宋体"/>
          <w:sz w:val="18"/>
          <w:szCs w:val="18"/>
        </w:rPr>
      </w:pPr>
      <w:r>
        <w:rPr>
          <w:rFonts w:hint="eastAsia" w:ascii="宋体" w:hAnsi="宋体" w:cs="宋体"/>
          <w:sz w:val="18"/>
          <w:szCs w:val="18"/>
          <w:lang w:val="en-US" w:eastAsia="zh-CN"/>
        </w:rPr>
        <w:t>竞争性比选</w:t>
      </w:r>
      <w:r>
        <w:rPr>
          <w:rFonts w:hint="eastAsia" w:ascii="宋体" w:hAnsi="宋体" w:cs="宋体"/>
          <w:sz w:val="18"/>
          <w:szCs w:val="18"/>
        </w:rPr>
        <w:t>人：重庆高速资产经营管理有限公司</w:t>
      </w:r>
    </w:p>
    <w:p>
      <w:pPr>
        <w:spacing w:line="380" w:lineRule="exact"/>
        <w:ind w:firstLine="360" w:firstLineChars="200"/>
        <w:jc w:val="left"/>
        <w:rPr>
          <w:rFonts w:hint="eastAsia" w:ascii="宋体" w:hAnsi="宋体" w:cs="宋体"/>
          <w:sz w:val="18"/>
          <w:szCs w:val="18"/>
        </w:rPr>
      </w:pPr>
      <w:r>
        <w:rPr>
          <w:rFonts w:hint="eastAsia" w:ascii="宋体" w:hAnsi="宋体" w:cs="宋体"/>
          <w:sz w:val="18"/>
          <w:szCs w:val="18"/>
        </w:rPr>
        <w:t>地  址：重庆市</w:t>
      </w:r>
      <w:r>
        <w:rPr>
          <w:rFonts w:hint="eastAsia" w:ascii="宋体" w:hAnsi="宋体" w:cs="宋体"/>
          <w:sz w:val="18"/>
          <w:szCs w:val="18"/>
          <w:lang w:val="en-US" w:eastAsia="zh-CN"/>
        </w:rPr>
        <w:t>渝北区香锦路4</w:t>
      </w:r>
      <w:r>
        <w:rPr>
          <w:rFonts w:hint="eastAsia" w:ascii="宋体" w:hAnsi="宋体" w:cs="宋体"/>
          <w:sz w:val="18"/>
          <w:szCs w:val="18"/>
        </w:rPr>
        <w:t>号重庆</w:t>
      </w:r>
      <w:r>
        <w:rPr>
          <w:rFonts w:hint="eastAsia" w:ascii="宋体" w:hAnsi="宋体" w:cs="宋体"/>
          <w:sz w:val="18"/>
          <w:szCs w:val="18"/>
          <w:lang w:val="en-US" w:eastAsia="zh-CN"/>
        </w:rPr>
        <w:t>交建</w:t>
      </w:r>
      <w:r>
        <w:rPr>
          <w:rFonts w:hint="eastAsia" w:ascii="宋体" w:hAnsi="宋体" w:cs="宋体"/>
          <w:sz w:val="18"/>
          <w:szCs w:val="18"/>
        </w:rPr>
        <w:t>大厦</w:t>
      </w:r>
    </w:p>
    <w:p>
      <w:pPr>
        <w:spacing w:line="380" w:lineRule="exact"/>
        <w:ind w:firstLine="360" w:firstLineChars="200"/>
        <w:jc w:val="left"/>
        <w:rPr>
          <w:rFonts w:hint="eastAsia" w:ascii="宋体" w:hAnsi="宋体" w:cs="宋体"/>
          <w:sz w:val="18"/>
          <w:szCs w:val="18"/>
          <w:lang w:val="en-US" w:eastAsia="zh-CN"/>
        </w:rPr>
      </w:pPr>
      <w:r>
        <w:rPr>
          <w:rFonts w:hint="eastAsia" w:ascii="宋体" w:hAnsi="宋体" w:cs="宋体"/>
          <w:sz w:val="18"/>
          <w:szCs w:val="18"/>
        </w:rPr>
        <w:t>联系人：</w:t>
      </w:r>
      <w:r>
        <w:rPr>
          <w:rFonts w:hint="eastAsia" w:ascii="宋体" w:hAnsi="宋体" w:cs="宋体"/>
          <w:sz w:val="18"/>
          <w:szCs w:val="18"/>
          <w:lang w:val="en-US" w:eastAsia="zh-CN"/>
        </w:rPr>
        <w:t>沈老师</w:t>
      </w:r>
      <w:r>
        <w:rPr>
          <w:rFonts w:hint="eastAsia" w:ascii="宋体" w:hAnsi="宋体" w:cs="宋体"/>
          <w:sz w:val="18"/>
          <w:szCs w:val="18"/>
        </w:rPr>
        <w:t xml:space="preserve">  </w:t>
      </w:r>
      <w:r>
        <w:rPr>
          <w:rFonts w:hint="eastAsia" w:ascii="宋体" w:hAnsi="宋体" w:cs="宋体"/>
          <w:sz w:val="18"/>
          <w:szCs w:val="18"/>
          <w:lang w:val="en-US" w:eastAsia="zh-CN"/>
        </w:rPr>
        <w:t>秦老师</w:t>
      </w:r>
    </w:p>
    <w:p>
      <w:pPr>
        <w:spacing w:line="360" w:lineRule="auto"/>
        <w:ind w:firstLine="420" w:firstLineChars="200"/>
        <w:jc w:val="left"/>
        <w:rPr>
          <w:rFonts w:ascii="宋体" w:hAnsi="宋体" w:cs="宋体"/>
          <w:szCs w:val="21"/>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lang w:val="en-US" w:eastAsia="zh-CN"/>
        </w:rPr>
        <w:t>023-86852261</w:t>
      </w:r>
    </w:p>
    <w:p>
      <w:pPr>
        <w:spacing w:line="380" w:lineRule="exact"/>
        <w:ind w:firstLine="360" w:firstLineChars="200"/>
        <w:jc w:val="left"/>
        <w:rPr>
          <w:rFonts w:hint="eastAsia"/>
        </w:rPr>
      </w:pPr>
      <w:r>
        <w:rPr>
          <w:rFonts w:hint="eastAsia" w:ascii="宋体" w:hAnsi="宋体" w:cs="宋体"/>
          <w:sz w:val="18"/>
          <w:szCs w:val="18"/>
        </w:rPr>
        <w:t xml:space="preserve">     </w:t>
      </w:r>
    </w:p>
    <w:p>
      <w:pPr>
        <w:spacing w:line="360" w:lineRule="auto"/>
        <w:jc w:val="center"/>
        <w:rPr>
          <w:rFonts w:hint="eastAsia" w:ascii="宋体" w:hAnsi="宋体" w:cs="宋体"/>
          <w:b/>
          <w:sz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ascii="宋体" w:hAnsi="宋体" w:cs="宋体"/>
          <w:b/>
          <w:sz w:val="36"/>
        </w:rPr>
      </w:pPr>
      <w:r>
        <w:rPr>
          <w:rFonts w:hint="eastAsia" w:ascii="宋体" w:hAnsi="宋体" w:cs="宋体"/>
          <w:b/>
          <w:sz w:val="36"/>
        </w:rPr>
        <w:t>竞争性比选申请文件格式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hint="eastAsia" w:ascii="宋体" w:hAnsi="宋体" w:cs="宋体"/>
          <w:b/>
          <w:sz w:val="32"/>
          <w:szCs w:val="36"/>
        </w:rPr>
      </w:pPr>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cs="宋体"/>
          <w:b/>
          <w:sz w:val="40"/>
          <w:szCs w:val="44"/>
        </w:rPr>
      </w:pPr>
      <w:r>
        <w:rPr>
          <w:rFonts w:hint="eastAsia" w:ascii="宋体" w:hAnsi="宋体" w:cs="宋体"/>
          <w:b/>
          <w:sz w:val="40"/>
          <w:szCs w:val="44"/>
          <w:u w:val="single"/>
          <w:lang w:eastAsia="zh-CN"/>
        </w:rPr>
        <w:t>大观服务区等服务区LNG加气站施工监理项目</w:t>
      </w:r>
      <w:r>
        <w:rPr>
          <w:rFonts w:hint="eastAsia" w:ascii="宋体" w:hAnsi="宋体" w:cs="宋体"/>
          <w:b/>
          <w:sz w:val="40"/>
          <w:szCs w:val="44"/>
          <w:u w:val="single"/>
        </w:rPr>
        <w:t>竞争性比选申请文件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4"/>
        <w:rPr>
          <w:rFonts w:hint="eastAsia"/>
          <w:color w:val="auto"/>
        </w:rPr>
      </w:pPr>
    </w:p>
    <w:p>
      <w:pPr>
        <w:pStyle w:val="24"/>
        <w:rPr>
          <w:rFonts w:hint="eastAsia"/>
          <w:color w:val="auto"/>
        </w:r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二、法定代表人（单位负责人）身份证明及授权委托书</w:t>
      </w:r>
    </w:p>
    <w:p>
      <w:pPr>
        <w:tabs>
          <w:tab w:val="left" w:pos="900"/>
          <w:tab w:val="left" w:pos="1080"/>
        </w:tabs>
        <w:spacing w:line="360" w:lineRule="auto"/>
        <w:outlineLvl w:val="0"/>
        <w:rPr>
          <w:szCs w:val="21"/>
        </w:rPr>
      </w:pPr>
      <w:r>
        <w:rPr>
          <w:rFonts w:hint="eastAsia"/>
          <w:szCs w:val="21"/>
        </w:rPr>
        <w:t>三、比选申请单位有效的营业执照、资质证书等证明材料</w:t>
      </w:r>
    </w:p>
    <w:p>
      <w:pPr>
        <w:tabs>
          <w:tab w:val="left" w:pos="900"/>
          <w:tab w:val="left" w:pos="1080"/>
        </w:tabs>
        <w:spacing w:line="360" w:lineRule="auto"/>
        <w:outlineLvl w:val="0"/>
        <w:rPr>
          <w:rFonts w:hint="eastAsia"/>
          <w:szCs w:val="21"/>
        </w:rPr>
      </w:pPr>
      <w:r>
        <w:rPr>
          <w:rFonts w:hint="eastAsia"/>
          <w:szCs w:val="21"/>
        </w:rPr>
        <w:t>四、比选申请单位的业绩证明材料</w:t>
      </w:r>
    </w:p>
    <w:p>
      <w:pPr>
        <w:tabs>
          <w:tab w:val="left" w:pos="900"/>
          <w:tab w:val="left" w:pos="1080"/>
        </w:tabs>
        <w:spacing w:line="360" w:lineRule="auto"/>
        <w:outlineLvl w:val="0"/>
        <w:rPr>
          <w:rFonts w:hint="eastAsia"/>
          <w:szCs w:val="21"/>
        </w:rPr>
      </w:pPr>
      <w:r>
        <w:rPr>
          <w:rFonts w:hint="eastAsia"/>
          <w:szCs w:val="21"/>
          <w:lang w:val="en-US" w:eastAsia="zh-CN"/>
        </w:rPr>
        <w:t>五</w:t>
      </w:r>
      <w:r>
        <w:rPr>
          <w:rFonts w:hint="eastAsia"/>
          <w:szCs w:val="21"/>
        </w:rPr>
        <w:t>、比选申请单位主要管理人员的证明材料</w:t>
      </w:r>
    </w:p>
    <w:p>
      <w:pPr>
        <w:tabs>
          <w:tab w:val="left" w:pos="900"/>
          <w:tab w:val="left" w:pos="1080"/>
        </w:tabs>
        <w:spacing w:line="360" w:lineRule="auto"/>
        <w:outlineLvl w:val="0"/>
        <w:rPr>
          <w:rFonts w:hint="eastAsia"/>
          <w:szCs w:val="21"/>
        </w:rPr>
      </w:pPr>
      <w:r>
        <w:rPr>
          <w:rFonts w:hint="eastAsia"/>
          <w:szCs w:val="21"/>
          <w:lang w:val="en-US" w:eastAsia="zh-CN"/>
        </w:rPr>
        <w:t>六</w:t>
      </w:r>
      <w:r>
        <w:rPr>
          <w:rFonts w:hint="eastAsia"/>
          <w:szCs w:val="21"/>
        </w:rPr>
        <w:t>、比选申请单位技术部分</w:t>
      </w:r>
    </w:p>
    <w:p>
      <w:pPr>
        <w:tabs>
          <w:tab w:val="left" w:pos="900"/>
          <w:tab w:val="left" w:pos="1080"/>
        </w:tabs>
        <w:spacing w:line="360" w:lineRule="auto"/>
        <w:outlineLvl w:val="0"/>
        <w:rPr>
          <w:rFonts w:hint="eastAsia" w:eastAsia="宋体"/>
          <w:szCs w:val="21"/>
          <w:lang w:val="en-US" w:eastAsia="zh-CN"/>
        </w:rPr>
      </w:pPr>
      <w:r>
        <w:rPr>
          <w:rFonts w:hint="eastAsia"/>
          <w:szCs w:val="21"/>
          <w:lang w:val="en-US" w:eastAsia="zh-CN"/>
        </w:rPr>
        <w:t>七</w:t>
      </w:r>
      <w:r>
        <w:rPr>
          <w:rFonts w:hint="eastAsia"/>
          <w:szCs w:val="21"/>
        </w:rPr>
        <w:t>、</w:t>
      </w:r>
      <w:r>
        <w:rPr>
          <w:rFonts w:hint="eastAsia"/>
          <w:szCs w:val="21"/>
          <w:lang w:val="en-US" w:eastAsia="zh-CN"/>
        </w:rPr>
        <w:t>报价清单</w:t>
      </w:r>
    </w:p>
    <w:p>
      <w:pPr>
        <w:tabs>
          <w:tab w:val="left" w:pos="900"/>
          <w:tab w:val="left" w:pos="1080"/>
        </w:tabs>
        <w:spacing w:line="360" w:lineRule="auto"/>
        <w:outlineLvl w:val="0"/>
        <w:rPr>
          <w:rFonts w:hint="eastAsia"/>
          <w:szCs w:val="21"/>
        </w:rPr>
      </w:pPr>
      <w:r>
        <w:rPr>
          <w:rFonts w:hint="eastAsia"/>
          <w:szCs w:val="21"/>
          <w:lang w:val="en-US" w:eastAsia="zh-CN"/>
        </w:rPr>
        <w:t>八、</w:t>
      </w:r>
      <w:r>
        <w:rPr>
          <w:rFonts w:hint="eastAsia"/>
          <w:szCs w:val="21"/>
        </w:rPr>
        <w:t>其他材料</w:t>
      </w:r>
      <w:bookmarkStart w:id="35" w:name="_GoBack"/>
      <w:bookmarkEnd w:id="35"/>
    </w:p>
    <w:p>
      <w:pPr>
        <w:tabs>
          <w:tab w:val="left" w:pos="900"/>
          <w:tab w:val="left" w:pos="1080"/>
        </w:tabs>
        <w:spacing w:line="360" w:lineRule="auto"/>
        <w:outlineLvl w:val="0"/>
        <w:rPr>
          <w:szCs w:val="21"/>
        </w:rPr>
      </w:pPr>
    </w:p>
    <w:p>
      <w:pPr>
        <w:pStyle w:val="2"/>
      </w:pPr>
    </w:p>
    <w:p>
      <w:pPr>
        <w:tabs>
          <w:tab w:val="left" w:pos="900"/>
          <w:tab w:val="left" w:pos="1080"/>
        </w:tabs>
        <w:spacing w:line="300" w:lineRule="auto"/>
        <w:jc w:val="center"/>
        <w:outlineLvl w:val="0"/>
        <w:rPr>
          <w:rFonts w:hint="eastAsia" w:ascii="宋体" w:hAnsi="宋体" w:cs="宋体"/>
          <w:b/>
          <w:sz w:val="24"/>
        </w:rPr>
      </w:pPr>
    </w:p>
    <w:p>
      <w:pPr>
        <w:pStyle w:val="24"/>
        <w:rPr>
          <w:rFonts w:hint="eastAsia"/>
          <w:color w:val="auto"/>
        </w:rPr>
      </w:pPr>
    </w:p>
    <w:p>
      <w:pPr>
        <w:pStyle w:val="24"/>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jc w:val="center"/>
        <w:outlineLvl w:val="2"/>
        <w:rPr>
          <w:rFonts w:hint="eastAsia" w:ascii="宋体" w:hAnsi="宋体" w:cs="宋体"/>
          <w:b/>
          <w:sz w:val="28"/>
          <w:szCs w:val="28"/>
        </w:rPr>
      </w:pPr>
      <w:bookmarkStart w:id="32" w:name="_Toc265510122"/>
      <w:r>
        <w:rPr>
          <w:rFonts w:hint="eastAsia" w:ascii="宋体" w:hAnsi="宋体" w:cs="宋体"/>
          <w:b/>
          <w:sz w:val="28"/>
          <w:szCs w:val="28"/>
        </w:rPr>
        <w:t>一、报价书</w:t>
      </w:r>
      <w:bookmarkEnd w:id="32"/>
    </w:p>
    <w:p>
      <w:pPr>
        <w:spacing w:line="440" w:lineRule="exact"/>
        <w:rPr>
          <w:rFonts w:hint="eastAsia" w:eastAsia="宋体"/>
          <w:szCs w:val="21"/>
          <w:lang w:eastAsia="zh-CN"/>
        </w:rPr>
      </w:pPr>
      <w:r>
        <w:rPr>
          <w:rFonts w:hint="eastAsia" w:ascii="宋体" w:hAnsi="宋体"/>
          <w:b/>
          <w:u w:val="single"/>
        </w:rPr>
        <w:t>致：</w:t>
      </w:r>
      <w:r>
        <w:rPr>
          <w:rFonts w:hint="eastAsia" w:ascii="宋体" w:hAnsi="宋体"/>
          <w:b/>
          <w:u w:val="single"/>
          <w:lang w:eastAsia="zh-CN"/>
        </w:rPr>
        <w:t>重庆高速资产经营管理有限公司</w:t>
      </w:r>
    </w:p>
    <w:p>
      <w:pPr>
        <w:pStyle w:val="9"/>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1、我们已经仔细地研究了</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项目名称）竞争性比选文件的全部内容，包括但不限于比选申请人须知、合同条件、监理工作要求，以及全部补遗和澄清文件。我们已了解并完全理解了比选文件规定的监理的合同范围、工作要求、监理目标、技术标准和要求，并考虑到了潜在所有风险。据此，我方愿意以人民币（大写）</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）的竞标总报价，作为本工程监理和保修阶段监理工作所需的全部费用，暂定监理费不作为评标依据承包本工程的监理工作。</w:t>
      </w:r>
    </w:p>
    <w:p>
      <w:pPr>
        <w:pStyle w:val="9"/>
        <w:spacing w:after="0" w:line="400" w:lineRule="exac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 监理服务期：</w:t>
      </w:r>
      <w:r>
        <w:rPr>
          <w:rFonts w:hint="eastAsia" w:ascii="宋体" w:hAnsi="宋体" w:cs="宋体"/>
          <w:b w:val="0"/>
          <w:bCs w:val="0"/>
          <w:sz w:val="21"/>
          <w:szCs w:val="21"/>
          <w:u w:val="single"/>
          <w:lang w:val="en-US" w:eastAsia="zh-CN"/>
        </w:rPr>
        <w:t>12个月</w:t>
      </w:r>
      <w:r>
        <w:rPr>
          <w:rFonts w:hint="eastAsia" w:ascii="宋体" w:hAnsi="宋体" w:eastAsia="宋体" w:cs="宋体"/>
          <w:b w:val="0"/>
          <w:bCs w:val="0"/>
          <w:sz w:val="21"/>
          <w:szCs w:val="21"/>
          <w:u w:val="single"/>
        </w:rPr>
        <w:t>（缺陷责任期24个月，具体期限按国家有关规定执行；以</w:t>
      </w:r>
      <w:r>
        <w:rPr>
          <w:rFonts w:hint="eastAsia" w:ascii="宋体" w:hAnsi="宋体" w:cs="宋体"/>
          <w:b w:val="0"/>
          <w:bCs w:val="0"/>
          <w:sz w:val="21"/>
          <w:szCs w:val="21"/>
          <w:u w:val="single"/>
          <w:lang w:eastAsia="zh-CN"/>
        </w:rPr>
        <w:t>竞争性比选人</w:t>
      </w:r>
      <w:r>
        <w:rPr>
          <w:rFonts w:hint="eastAsia" w:ascii="宋体" w:hAnsi="宋体" w:eastAsia="宋体" w:cs="宋体"/>
          <w:b w:val="0"/>
          <w:bCs w:val="0"/>
          <w:sz w:val="21"/>
          <w:szCs w:val="21"/>
          <w:u w:val="single"/>
        </w:rPr>
        <w:t xml:space="preserve">的书面进场通知为监理服务期的起始时间，以项目竣工验收合格、监理资料交接完成且审计机构完成工程审核、缺陷责任期（竣工后24个月）满后为监理服务期的完成时间。）。 </w:t>
      </w:r>
    </w:p>
    <w:p>
      <w:pPr>
        <w:pStyle w:val="9"/>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如果贵方接受我单位中标，我单位保证在竞争性比选文件规定的期限内，按本比选申请配备的人员和设备开始本工程的驻地监理工作，否则，贵方有权单方面终止合同，并令我单位立即退场，工程项目另行处理，由此造成的一切损失由我单位负责赔偿。</w:t>
      </w:r>
    </w:p>
    <w:p>
      <w:pPr>
        <w:pStyle w:val="9"/>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4.我们同意在从规定的递交比选申请文件截止之日起到投标有效期满前遵守本比选申请文件。且本比选申请文件一直对我们具有约束力，并可随时被接受中标。</w:t>
      </w:r>
    </w:p>
    <w:p>
      <w:pPr>
        <w:pStyle w:val="9"/>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5.如果我们中标，我们将及时签订监理合同。</w:t>
      </w:r>
    </w:p>
    <w:p>
      <w:pPr>
        <w:pStyle w:val="9"/>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6.在制定和签署一份正式协议书之前，本比选申请文件连同你方的书面成交通知，应构成在我们双方之间有约束力的合同。</w:t>
      </w:r>
    </w:p>
    <w:p>
      <w:pPr>
        <w:pStyle w:val="9"/>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7.我们声明，本比选申请文件的全部内容总监理工程师和各专业监理工程师都已了解和熟悉，并承诺成交后严格按此竞争性比选申请文件执行。</w:t>
      </w:r>
    </w:p>
    <w:p>
      <w:pPr>
        <w:pStyle w:val="9"/>
        <w:spacing w:after="0" w:line="400" w:lineRule="exact"/>
        <w:ind w:firstLine="525" w:firstLineChars="25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8.我方声明，本项目我方派驻的监理总监理工程师为</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，未经许可，不得随意更换。</w:t>
      </w:r>
    </w:p>
    <w:p>
      <w:pPr>
        <w:spacing w:line="400" w:lineRule="exact"/>
        <w:ind w:firstLine="3675" w:firstLineChars="1750"/>
        <w:rPr>
          <w:szCs w:val="21"/>
        </w:rPr>
      </w:pPr>
      <w:r>
        <w:rPr>
          <w:rFonts w:hint="eastAsia"/>
          <w:szCs w:val="21"/>
        </w:rPr>
        <w:t>比选申请人</w:t>
      </w:r>
      <w:r>
        <w:rPr>
          <w:szCs w:val="21"/>
        </w:rPr>
        <w:t>：</w:t>
      </w:r>
      <w:r>
        <w:rPr>
          <w:szCs w:val="21"/>
          <w:u w:val="single"/>
        </w:rPr>
        <w:t xml:space="preserve">                      </w:t>
      </w:r>
      <w:r>
        <w:rPr>
          <w:szCs w:val="21"/>
        </w:rPr>
        <w:t>（盖单位章）</w:t>
      </w:r>
    </w:p>
    <w:p>
      <w:pPr>
        <w:spacing w:line="400" w:lineRule="exact"/>
        <w:ind w:firstLine="3675" w:firstLineChars="1750"/>
        <w:rPr>
          <w:szCs w:val="21"/>
        </w:rPr>
      </w:pPr>
      <w:r>
        <w:rPr>
          <w:rFonts w:hint="eastAsia"/>
          <w:szCs w:val="21"/>
        </w:rPr>
        <w:t>法定代表人（单位负责人）</w:t>
      </w:r>
      <w:r>
        <w:rPr>
          <w:szCs w:val="21"/>
        </w:rPr>
        <w:t>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00" w:lineRule="exact"/>
        <w:ind w:firstLine="3675" w:firstLineChars="1750"/>
        <w:rPr>
          <w:rFonts w:hint="eastAsia"/>
          <w:szCs w:val="21"/>
        </w:rPr>
      </w:pPr>
      <w:r>
        <w:rPr>
          <w:szCs w:val="21"/>
        </w:rPr>
        <w:t>地址：</w:t>
      </w:r>
      <w:r>
        <w:rPr>
          <w:szCs w:val="21"/>
          <w:u w:val="single"/>
        </w:rPr>
        <w:t xml:space="preserve">                                     </w:t>
      </w:r>
    </w:p>
    <w:p>
      <w:pPr>
        <w:spacing w:line="400" w:lineRule="exact"/>
        <w:ind w:firstLine="3675" w:firstLineChars="1750"/>
        <w:rPr>
          <w:szCs w:val="21"/>
        </w:rPr>
      </w:pPr>
      <w:r>
        <w:rPr>
          <w:szCs w:val="21"/>
        </w:rPr>
        <w:t>网址：</w:t>
      </w:r>
      <w:r>
        <w:rPr>
          <w:szCs w:val="21"/>
          <w:u w:val="single"/>
        </w:rPr>
        <w:t xml:space="preserve">                                     </w:t>
      </w:r>
    </w:p>
    <w:p>
      <w:pPr>
        <w:spacing w:line="400" w:lineRule="exact"/>
        <w:ind w:firstLine="3675" w:firstLineChars="1750"/>
        <w:rPr>
          <w:rFonts w:hint="eastAsia"/>
          <w:szCs w:val="21"/>
        </w:rPr>
      </w:pPr>
      <w:r>
        <w:rPr>
          <w:szCs w:val="21"/>
        </w:rPr>
        <w:t>电话：</w:t>
      </w:r>
      <w:r>
        <w:rPr>
          <w:szCs w:val="21"/>
          <w:u w:val="single"/>
        </w:rPr>
        <w:t xml:space="preserve">                                     </w:t>
      </w:r>
    </w:p>
    <w:p>
      <w:pPr>
        <w:spacing w:line="400" w:lineRule="exact"/>
        <w:ind w:firstLine="3675" w:firstLineChars="1750"/>
        <w:rPr>
          <w:rFonts w:hint="eastAsia"/>
          <w:szCs w:val="21"/>
        </w:rPr>
      </w:pPr>
      <w:r>
        <w:rPr>
          <w:szCs w:val="21"/>
        </w:rPr>
        <w:t>传真：</w:t>
      </w:r>
      <w:r>
        <w:rPr>
          <w:szCs w:val="21"/>
          <w:u w:val="single"/>
        </w:rPr>
        <w:t xml:space="preserve">                                     </w:t>
      </w:r>
    </w:p>
    <w:p>
      <w:pPr>
        <w:spacing w:line="40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00" w:lineRule="atLeast"/>
        <w:jc w:val="center"/>
        <w:rPr>
          <w:rFonts w:hint="eastAsia" w:ascii="宋体" w:hAnsi="宋体" w:cs="宋体"/>
          <w:b/>
          <w:sz w:val="28"/>
          <w:szCs w:val="28"/>
        </w:rPr>
      </w:pPr>
    </w:p>
    <w:p>
      <w:pPr>
        <w:spacing w:line="400" w:lineRule="atLeast"/>
        <w:jc w:val="center"/>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spacing w:line="400" w:lineRule="atLeast"/>
        <w:jc w:val="center"/>
        <w:rPr>
          <w:rFonts w:hint="eastAsia" w:ascii="宋体" w:hAnsi="宋体" w:cs="宋体"/>
          <w:b/>
          <w:sz w:val="28"/>
          <w:szCs w:val="28"/>
        </w:rPr>
      </w:pPr>
      <w:r>
        <w:rPr>
          <w:rFonts w:hint="eastAsia" w:ascii="宋体" w:hAnsi="宋体" w:cs="宋体"/>
          <w:b/>
          <w:sz w:val="28"/>
          <w:szCs w:val="28"/>
        </w:rPr>
        <w:t>二、法定代表人（单位负责人）身份证明及授权委托书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（一）法定代表人（单位负责人）身份证明</w:t>
      </w:r>
      <w:bookmarkEnd w:id="33"/>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r>
        <w:rPr>
          <w:szCs w:val="21"/>
        </w:rPr>
        <w:t xml:space="preserve">                             </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（法定代表人（单位负责人）手签）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r>
        <w:rPr>
          <w:rFonts w:hint="eastAsia"/>
          <w:szCs w:val="21"/>
        </w:rPr>
        <w:t>系</w:t>
      </w:r>
      <w:r>
        <w:rPr>
          <w:szCs w:val="21"/>
          <w:u w:val="single"/>
        </w:rPr>
        <w:t xml:space="preserve">       </w:t>
      </w:r>
      <w:r>
        <w:rPr>
          <w:szCs w:val="21"/>
        </w:rPr>
        <w:t xml:space="preserve"> </w:t>
      </w:r>
      <w:r>
        <w:rPr>
          <w:rFonts w:hint="eastAsia"/>
          <w:szCs w:val="21"/>
        </w:rPr>
        <w:t>（比选申请人名称）的法定代表人（单位负责人）。</w:t>
      </w:r>
    </w:p>
    <w:p>
      <w:pPr>
        <w:spacing w:line="440" w:lineRule="exact"/>
        <w:ind w:firstLine="420" w:firstLineChars="200"/>
        <w:rPr>
          <w:szCs w:val="21"/>
        </w:rPr>
      </w:pPr>
      <w:r>
        <w:rPr>
          <w:rFonts w:hint="eastAsia"/>
          <w:szCs w:val="21"/>
        </w:rPr>
        <w:t>特此证明。</w:t>
      </w:r>
    </w:p>
    <w:p>
      <w:pPr>
        <w:spacing w:line="440" w:lineRule="exact"/>
        <w:rPr>
          <w:b/>
          <w:szCs w:val="21"/>
        </w:rPr>
      </w:pPr>
      <w:r>
        <w:rPr>
          <w:b/>
          <w:szCs w:val="21"/>
        </w:rPr>
        <w:t>附</w:t>
      </w:r>
      <w:r>
        <w:rPr>
          <w:rFonts w:hint="eastAsia"/>
          <w:b/>
          <w:szCs w:val="21"/>
        </w:rPr>
        <w:t>：法定代表人（单位负责人）身份证明</w:t>
      </w: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注：法定代表人（单位负责人）的签字必须是亲笔签名，不得用印章、签名章或其他电子制版签名。</w:t>
      </w:r>
    </w:p>
    <w:p>
      <w:pPr>
        <w:topLinePunct/>
        <w:spacing w:line="440" w:lineRule="exact"/>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w:t>
      </w:r>
      <w:r>
        <w:rPr>
          <w:rFonts w:hint="eastAsia"/>
          <w:szCs w:val="21"/>
        </w:rPr>
        <w:t>法定代表人（单位负责人）</w:t>
      </w: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bCs/>
          <w:szCs w:val="21"/>
          <w:u w:val="single"/>
          <w:lang w:eastAsia="zh-CN"/>
        </w:rPr>
        <w:t>大观服务区等服务区LNG加气站施工监理项目</w:t>
      </w:r>
      <w:r>
        <w:rPr>
          <w:rFonts w:hint="eastAsia" w:ascii="宋体" w:hAnsi="宋体"/>
          <w:b/>
          <w:bCs/>
          <w:szCs w:val="21"/>
          <w:u w:val="single"/>
        </w:rPr>
        <w:t>竞争性比选文件的</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b/>
          <w:bCs/>
          <w:kern w:val="0"/>
          <w:szCs w:val="21"/>
        </w:rPr>
      </w:pPr>
      <w:r>
        <w:rPr>
          <w:rFonts w:hint="eastAsia" w:ascii="宋体" w:hAnsi="宋体" w:cs="宋体"/>
          <w:b/>
          <w:bCs/>
          <w:kern w:val="0"/>
          <w:szCs w:val="21"/>
        </w:rPr>
        <w:t>附：</w:t>
      </w:r>
      <w:r>
        <w:rPr>
          <w:rFonts w:hint="eastAsia"/>
          <w:b/>
          <w:szCs w:val="21"/>
        </w:rPr>
        <w:t>法定代表人（单位负责人）及授权人的</w:t>
      </w:r>
      <w:r>
        <w:rPr>
          <w:rFonts w:hint="eastAsia" w:ascii="宋体" w:hAnsi="宋体" w:cs="宋体"/>
          <w:b/>
          <w:bCs/>
          <w:kern w:val="0"/>
          <w:szCs w:val="21"/>
        </w:rPr>
        <w:t>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szCs w:val="21"/>
        </w:rPr>
        <w:t>法定代表人（单位负责人）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24"/>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三、比选申请单位有效的营业执照、资质证书等证明材料</w:t>
      </w:r>
    </w:p>
    <w:p>
      <w:pPr>
        <w:tabs>
          <w:tab w:val="left" w:pos="900"/>
          <w:tab w:val="left" w:pos="1080"/>
        </w:tabs>
        <w:spacing w:line="300" w:lineRule="auto"/>
        <w:jc w:val="center"/>
        <w:outlineLvl w:val="0"/>
        <w:rPr>
          <w:rFonts w:ascii="宋体" w:hAnsi="宋体" w:cs="宋体"/>
          <w:b/>
          <w:sz w:val="28"/>
          <w:szCs w:val="28"/>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b/>
          <w:sz w:val="28"/>
          <w:szCs w:val="28"/>
        </w:rPr>
        <w:t>四、比选申请单位的业绩证明材料</w:t>
      </w: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、比选申请单位主要管理人员的证明材料</w:t>
      </w:r>
    </w:p>
    <w:p>
      <w:pPr>
        <w:rPr>
          <w:rFonts w:hint="eastAsia"/>
        </w:rPr>
      </w:pPr>
      <w:r>
        <w:rPr>
          <w:rFonts w:hint="eastAsia" w:ascii="宋体" w:hAnsi="宋体"/>
        </w:rPr>
        <w:t xml:space="preserve">比选申请人:                                 项目名称: </w:t>
      </w:r>
      <w:r>
        <w:rPr>
          <w:rFonts w:hint="eastAsia" w:ascii="宋体" w:hAnsi="宋体"/>
          <w:u w:val="single"/>
        </w:rPr>
        <w:t xml:space="preserve">  </w:t>
      </w:r>
      <w:r>
        <w:rPr>
          <w:rFonts w:hint="eastAsia" w:ascii="宋体" w:hAnsi="宋体"/>
        </w:rPr>
        <w:t xml:space="preserve">                          </w:t>
      </w:r>
    </w:p>
    <w:tbl>
      <w:tblPr>
        <w:tblStyle w:val="22"/>
        <w:tblW w:w="8893" w:type="dxa"/>
        <w:jc w:val="center"/>
        <w:tblInd w:w="0"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505"/>
      </w:tblGrid>
      <w:tr>
        <w:tblPrEx>
          <w:tblLayout w:type="fixed"/>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kern w:val="0"/>
                <w:szCs w:val="21"/>
              </w:rPr>
            </w:pPr>
            <w:r>
              <w:rPr>
                <w:rFonts w:hint="eastAsia" w:ascii="宋体" w:hAnsi="宋体"/>
                <w:kern w:val="0"/>
                <w:szCs w:val="21"/>
              </w:rPr>
              <w:t>姓</w:t>
            </w:r>
            <w:r>
              <w:rPr>
                <w:rFonts w:ascii="宋体" w:hAnsi="宋体"/>
                <w:kern w:val="0"/>
                <w:szCs w:val="21"/>
              </w:rPr>
              <w:tab/>
            </w:r>
            <w:r>
              <w:rPr>
                <w:rFonts w:hint="eastAsia" w:ascii="宋体" w:hAnsi="宋体"/>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年</w:t>
            </w:r>
            <w:r>
              <w:rPr>
                <w:rFonts w:ascii="宋体" w:hAnsi="宋体"/>
                <w:kern w:val="0"/>
                <w:szCs w:val="21"/>
              </w:rPr>
              <w:t xml:space="preserve">  </w:t>
            </w:r>
            <w:r>
              <w:rPr>
                <w:rFonts w:hint="eastAsia" w:ascii="宋体" w:hAnsi="宋体"/>
                <w:kern w:val="0"/>
                <w:szCs w:val="21"/>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学历</w:t>
            </w:r>
          </w:p>
        </w:tc>
        <w:tc>
          <w:tcPr>
            <w:tcW w:w="2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kern w:val="0"/>
                <w:szCs w:val="21"/>
              </w:rPr>
            </w:pPr>
            <w:r>
              <w:rPr>
                <w:rFonts w:hint="eastAsia" w:ascii="宋体" w:hAnsi="宋体"/>
                <w:kern w:val="0"/>
                <w:szCs w:val="21"/>
              </w:rPr>
              <w:t>职</w:t>
            </w:r>
            <w:r>
              <w:rPr>
                <w:rFonts w:ascii="宋体" w:hAnsi="宋体"/>
                <w:kern w:val="0"/>
                <w:szCs w:val="21"/>
              </w:rPr>
              <w:tab/>
            </w:r>
            <w:r>
              <w:rPr>
                <w:rFonts w:hint="eastAsia" w:ascii="宋体" w:hAnsi="宋体"/>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职</w:t>
            </w:r>
            <w:r>
              <w:rPr>
                <w:rFonts w:ascii="宋体" w:hAnsi="宋体"/>
                <w:kern w:val="0"/>
                <w:szCs w:val="21"/>
              </w:rPr>
              <w:t xml:space="preserve">  </w:t>
            </w:r>
            <w:r>
              <w:rPr>
                <w:rFonts w:hint="eastAsia" w:ascii="宋体" w:hAnsi="宋体"/>
                <w:kern w:val="0"/>
                <w:szCs w:val="21"/>
              </w:rPr>
              <w:t>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拟在本合同任职</w:t>
            </w:r>
          </w:p>
        </w:tc>
        <w:tc>
          <w:tcPr>
            <w:tcW w:w="2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450" w:hRule="exact"/>
          <w:jc w:val="center"/>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毕业学校</w:t>
            </w:r>
          </w:p>
        </w:tc>
        <w:tc>
          <w:tcPr>
            <w:tcW w:w="770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pacing w:line="380" w:lineRule="exact"/>
              <w:jc w:val="center"/>
              <w:rPr>
                <w:rFonts w:ascii="宋体" w:hAnsi="宋体"/>
                <w:kern w:val="0"/>
                <w:szCs w:val="21"/>
              </w:rPr>
            </w:pPr>
            <w:r>
              <w:rPr>
                <w:rFonts w:hint="eastAsia" w:ascii="宋体" w:hAnsi="宋体"/>
                <w:kern w:val="0"/>
                <w:szCs w:val="21"/>
              </w:rPr>
              <w:t>年</w:t>
            </w:r>
            <w:r>
              <w:rPr>
                <w:rFonts w:hint="eastAsia" w:ascii="宋体" w:hAnsi="宋体"/>
                <w:spacing w:val="-1"/>
                <w:kern w:val="0"/>
                <w:szCs w:val="21"/>
              </w:rPr>
              <w:t>毕</w:t>
            </w:r>
            <w:r>
              <w:rPr>
                <w:rFonts w:hint="eastAsia" w:ascii="宋体" w:hAnsi="宋体"/>
                <w:kern w:val="0"/>
                <w:szCs w:val="21"/>
              </w:rPr>
              <w:t>业于</w:t>
            </w:r>
            <w:r>
              <w:rPr>
                <w:rFonts w:ascii="宋体" w:hAnsi="宋体"/>
                <w:kern w:val="0"/>
                <w:szCs w:val="21"/>
              </w:rPr>
              <w:tab/>
            </w:r>
            <w:r>
              <w:rPr>
                <w:rFonts w:hint="eastAsia" w:ascii="宋体" w:hAnsi="宋体"/>
                <w:kern w:val="0"/>
                <w:szCs w:val="21"/>
              </w:rPr>
              <w:t>学校</w:t>
            </w:r>
            <w:r>
              <w:rPr>
                <w:rFonts w:ascii="宋体" w:hAnsi="宋体"/>
                <w:kern w:val="0"/>
                <w:szCs w:val="21"/>
              </w:rPr>
              <w:tab/>
            </w:r>
            <w:r>
              <w:rPr>
                <w:rFonts w:hint="eastAsia" w:ascii="宋体" w:hAnsi="宋体"/>
                <w:kern w:val="0"/>
                <w:szCs w:val="21"/>
              </w:rPr>
              <w:t>专业</w:t>
            </w:r>
          </w:p>
        </w:tc>
      </w:tr>
      <w:tr>
        <w:tblPrEx>
          <w:tblLayout w:type="fixed"/>
          <w:tblCellMar>
            <w:top w:w="0" w:type="dxa"/>
            <w:left w:w="0" w:type="dxa"/>
            <w:bottom w:w="0" w:type="dxa"/>
            <w:right w:w="0" w:type="dxa"/>
          </w:tblCellMar>
        </w:tblPrEx>
        <w:trPr>
          <w:trHeight w:val="450" w:hRule="exact"/>
          <w:jc w:val="center"/>
        </w:trPr>
        <w:tc>
          <w:tcPr>
            <w:tcW w:w="889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主要工作经历</w:t>
            </w:r>
          </w:p>
        </w:tc>
      </w:tr>
      <w:tr>
        <w:tblPrEx>
          <w:tblLayout w:type="fixed"/>
          <w:tblCellMar>
            <w:top w:w="0" w:type="dxa"/>
            <w:left w:w="0" w:type="dxa"/>
            <w:bottom w:w="0" w:type="dxa"/>
            <w:right w:w="0" w:type="dxa"/>
          </w:tblCellMar>
        </w:tblPrEx>
        <w:trPr>
          <w:trHeight w:val="45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pacing w:line="380" w:lineRule="exact"/>
              <w:jc w:val="center"/>
              <w:rPr>
                <w:rFonts w:ascii="宋体" w:hAnsi="宋体"/>
                <w:kern w:val="0"/>
                <w:szCs w:val="21"/>
              </w:rPr>
            </w:pPr>
            <w:r>
              <w:rPr>
                <w:rFonts w:hint="eastAsia" w:ascii="宋体" w:hAnsi="宋体"/>
                <w:kern w:val="0"/>
                <w:szCs w:val="21"/>
              </w:rPr>
              <w:t>时</w:t>
            </w:r>
            <w:r>
              <w:rPr>
                <w:rFonts w:ascii="宋体" w:hAnsi="宋体"/>
                <w:kern w:val="0"/>
                <w:szCs w:val="21"/>
              </w:rPr>
              <w:tab/>
            </w:r>
            <w:r>
              <w:rPr>
                <w:rFonts w:hint="eastAsia" w:ascii="宋体" w:hAnsi="宋体"/>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担任职务</w:t>
            </w: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r>
              <w:rPr>
                <w:rFonts w:hint="eastAsia" w:ascii="宋体" w:hAnsi="宋体"/>
                <w:kern w:val="0"/>
                <w:szCs w:val="21"/>
              </w:rPr>
              <w:t>备注</w:t>
            </w: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700"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r>
        <w:tblPrEx>
          <w:tblLayout w:type="fixed"/>
          <w:tblCellMar>
            <w:top w:w="0" w:type="dxa"/>
            <w:left w:w="0" w:type="dxa"/>
            <w:bottom w:w="0" w:type="dxa"/>
            <w:right w:w="0" w:type="dxa"/>
          </w:tblCellMar>
        </w:tblPrEx>
        <w:trPr>
          <w:trHeight w:val="701" w:hRule="exact"/>
          <w:jc w:val="center"/>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c>
          <w:tcPr>
            <w:tcW w:w="26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jc w:val="center"/>
              <w:rPr>
                <w:rFonts w:ascii="宋体" w:hAnsi="宋体"/>
                <w:kern w:val="0"/>
                <w:szCs w:val="21"/>
              </w:rPr>
            </w:pPr>
          </w:p>
        </w:tc>
      </w:tr>
    </w:tbl>
    <w:p>
      <w:pPr>
        <w:ind w:left="602" w:leftChars="160" w:hanging="266" w:hangingChars="126"/>
        <w:rPr>
          <w:rFonts w:hint="eastAsia" w:ascii="宋体" w:hAnsi="宋体"/>
          <w:b/>
          <w:kern w:val="0"/>
        </w:rPr>
      </w:pPr>
      <w:r>
        <w:rPr>
          <w:rFonts w:hint="eastAsia" w:ascii="宋体" w:hAnsi="宋体"/>
          <w:b/>
          <w:kern w:val="0"/>
        </w:rPr>
        <w:t>注：附主要管理人员的相关证明材料。</w:t>
      </w:r>
    </w:p>
    <w:p>
      <w:pPr>
        <w:pStyle w:val="2"/>
        <w:rPr>
          <w:rFonts w:hint="eastAsia"/>
        </w:rPr>
      </w:pPr>
    </w:p>
    <w:p>
      <w:pPr>
        <w:sectPr>
          <w:pgSz w:w="11906" w:h="16838"/>
          <w:pgMar w:top="1440" w:right="1800" w:bottom="1440" w:left="1800" w:header="851" w:footer="992" w:gutter="0"/>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六</w:t>
      </w:r>
      <w:r>
        <w:rPr>
          <w:rFonts w:hint="eastAsia" w:ascii="宋体" w:hAnsi="宋体" w:cs="宋体"/>
          <w:b/>
          <w:sz w:val="28"/>
          <w:szCs w:val="28"/>
        </w:rPr>
        <w:t>、比选申请单位技术部分</w:t>
      </w:r>
    </w:p>
    <w:p>
      <w:pPr>
        <w:tabs>
          <w:tab w:val="left" w:pos="900"/>
          <w:tab w:val="left" w:pos="1080"/>
        </w:tabs>
        <w:spacing w:line="300" w:lineRule="auto"/>
        <w:jc w:val="left"/>
        <w:outlineLvl w:val="0"/>
        <w:rPr>
          <w:rFonts w:hint="eastAsia"/>
          <w:b/>
        </w:rPr>
      </w:pPr>
      <w:r>
        <w:rPr>
          <w:rFonts w:hint="eastAsia"/>
          <w:b/>
        </w:rPr>
        <w:t>由比选申请单位根据比选文件自行编制，格式自拟。</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tabs>
          <w:tab w:val="left" w:pos="900"/>
          <w:tab w:val="left" w:pos="1080"/>
        </w:tabs>
        <w:spacing w:line="360" w:lineRule="auto"/>
        <w:jc w:val="center"/>
        <w:outlineLvl w:val="0"/>
        <w:rPr>
          <w:b/>
          <w:bCs/>
          <w:sz w:val="28"/>
          <w:szCs w:val="28"/>
        </w:rPr>
        <w:sectPr>
          <w:pgSz w:w="11906" w:h="16838"/>
          <w:pgMar w:top="1440" w:right="1800" w:bottom="1440" w:left="1800" w:header="851" w:footer="992" w:gutter="0"/>
          <w:cols w:space="720" w:num="1"/>
          <w:docGrid w:type="lines" w:linePitch="312" w:charSpace="0"/>
        </w:sectPr>
      </w:pPr>
    </w:p>
    <w:p>
      <w:pPr>
        <w:tabs>
          <w:tab w:val="left" w:pos="900"/>
          <w:tab w:val="left" w:pos="1080"/>
        </w:tabs>
        <w:spacing w:line="360" w:lineRule="auto"/>
        <w:jc w:val="center"/>
        <w:outlineLvl w:val="0"/>
        <w:rPr>
          <w:rFonts w:hint="eastAsia"/>
          <w:b/>
          <w:bCs/>
          <w:color w:val="auto"/>
          <w:sz w:val="28"/>
          <w:szCs w:val="28"/>
          <w:lang w:val="en-US" w:eastAsia="zh-CN"/>
        </w:rPr>
      </w:pPr>
      <w:r>
        <w:rPr>
          <w:rFonts w:hint="eastAsia"/>
          <w:b/>
          <w:bCs/>
          <w:color w:val="auto"/>
          <w:sz w:val="28"/>
          <w:szCs w:val="28"/>
          <w:lang w:val="en-US" w:eastAsia="zh-CN"/>
        </w:rPr>
        <w:t>七</w:t>
      </w:r>
      <w:r>
        <w:rPr>
          <w:rFonts w:hint="eastAsia"/>
          <w:b/>
          <w:bCs/>
          <w:color w:val="auto"/>
          <w:sz w:val="28"/>
          <w:szCs w:val="28"/>
          <w:lang w:eastAsia="zh-CN"/>
        </w:rPr>
        <w:t>、</w:t>
      </w:r>
      <w:r>
        <w:rPr>
          <w:rFonts w:hint="eastAsia"/>
          <w:b/>
          <w:bCs/>
          <w:color w:val="auto"/>
          <w:sz w:val="28"/>
          <w:szCs w:val="28"/>
          <w:lang w:val="en-US" w:eastAsia="zh-CN"/>
        </w:rPr>
        <w:t>报价清单</w:t>
      </w:r>
    </w:p>
    <w:tbl>
      <w:tblPr>
        <w:tblStyle w:val="23"/>
        <w:tblW w:w="94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902"/>
        <w:gridCol w:w="1172"/>
        <w:gridCol w:w="1115"/>
        <w:gridCol w:w="1529"/>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92"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center"/>
              <w:textAlignment w:val="auto"/>
              <w:outlineLvl w:val="2"/>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序号</w:t>
            </w:r>
          </w:p>
        </w:tc>
        <w:tc>
          <w:tcPr>
            <w:tcW w:w="1902"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center"/>
              <w:textAlignment w:val="auto"/>
              <w:outlineLvl w:val="2"/>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项目名称</w:t>
            </w:r>
          </w:p>
        </w:tc>
        <w:tc>
          <w:tcPr>
            <w:tcW w:w="1172"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center"/>
              <w:textAlignment w:val="auto"/>
              <w:outlineLvl w:val="2"/>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建安费（元）</w:t>
            </w:r>
          </w:p>
        </w:tc>
        <w:tc>
          <w:tcPr>
            <w:tcW w:w="1115"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center"/>
              <w:textAlignment w:val="auto"/>
              <w:outlineLvl w:val="2"/>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费率（%）</w:t>
            </w:r>
          </w:p>
        </w:tc>
        <w:tc>
          <w:tcPr>
            <w:tcW w:w="1529"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center"/>
              <w:textAlignment w:val="auto"/>
              <w:outlineLvl w:val="2"/>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小计(元)</w:t>
            </w:r>
          </w:p>
        </w:tc>
        <w:tc>
          <w:tcPr>
            <w:tcW w:w="3094"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center"/>
              <w:textAlignment w:val="auto"/>
              <w:outlineLvl w:val="2"/>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both"/>
              <w:textAlignment w:val="auto"/>
              <w:outlineLvl w:val="2"/>
              <w:rPr>
                <w:rFonts w:hint="default" w:ascii="宋体" w:hAnsi="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1</w:t>
            </w:r>
          </w:p>
        </w:tc>
        <w:tc>
          <w:tcPr>
            <w:tcW w:w="1902"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both"/>
              <w:textAlignment w:val="auto"/>
              <w:outlineLvl w:val="2"/>
              <w:rPr>
                <w:rFonts w:hint="eastAsia" w:ascii="宋体" w:hAnsi="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大观服务区等服务区LNG加气站施工监理项目</w:t>
            </w:r>
          </w:p>
        </w:tc>
        <w:tc>
          <w:tcPr>
            <w:tcW w:w="1172"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both"/>
              <w:textAlignment w:val="auto"/>
              <w:outlineLvl w:val="2"/>
              <w:rPr>
                <w:rFonts w:hint="default" w:ascii="宋体" w:hAnsi="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16000000</w:t>
            </w:r>
          </w:p>
        </w:tc>
        <w:tc>
          <w:tcPr>
            <w:tcW w:w="1115"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both"/>
              <w:textAlignment w:val="auto"/>
              <w:outlineLvl w:val="2"/>
              <w:rPr>
                <w:rFonts w:hint="eastAsia" w:ascii="宋体" w:hAnsi="宋体" w:cs="宋体"/>
                <w:b w:val="0"/>
                <w:bCs w:val="0"/>
                <w:i w:val="0"/>
                <w:color w:val="auto"/>
                <w:kern w:val="0"/>
                <w:sz w:val="22"/>
                <w:szCs w:val="22"/>
                <w:u w:val="none"/>
                <w:lang w:val="en-US" w:eastAsia="zh-CN" w:bidi="ar"/>
              </w:rPr>
            </w:pPr>
          </w:p>
        </w:tc>
        <w:tc>
          <w:tcPr>
            <w:tcW w:w="1529"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both"/>
              <w:textAlignment w:val="auto"/>
              <w:outlineLvl w:val="2"/>
              <w:rPr>
                <w:rFonts w:hint="eastAsia" w:ascii="宋体" w:hAnsi="宋体" w:cs="宋体"/>
                <w:b w:val="0"/>
                <w:bCs w:val="0"/>
                <w:i w:val="0"/>
                <w:color w:val="auto"/>
                <w:kern w:val="0"/>
                <w:sz w:val="22"/>
                <w:szCs w:val="22"/>
                <w:u w:val="none"/>
                <w:lang w:val="en-US" w:eastAsia="zh-CN" w:bidi="ar"/>
              </w:rPr>
            </w:pPr>
          </w:p>
        </w:tc>
        <w:tc>
          <w:tcPr>
            <w:tcW w:w="3094" w:type="dxa"/>
            <w:vAlign w:val="center"/>
          </w:tcPr>
          <w:p>
            <w:pPr>
              <w:pStyle w:val="6"/>
              <w:keepNext/>
              <w:keepLines/>
              <w:pageBreakBefore w:val="0"/>
              <w:widowControl w:val="0"/>
              <w:numPr>
                <w:ilvl w:val="0"/>
                <w:numId w:val="4"/>
              </w:numPr>
              <w:kinsoku/>
              <w:wordWrap/>
              <w:overflowPunct/>
              <w:topLinePunct w:val="0"/>
              <w:autoSpaceDE/>
              <w:autoSpaceDN/>
              <w:bidi w:val="0"/>
              <w:adjustRightInd w:val="0"/>
              <w:snapToGrid w:val="0"/>
              <w:spacing w:before="260" w:after="260" w:line="300" w:lineRule="exact"/>
              <w:jc w:val="left"/>
              <w:textAlignment w:val="auto"/>
              <w:outlineLvl w:val="2"/>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本项目建安费暂定</w:t>
            </w:r>
            <w:r>
              <w:rPr>
                <w:rFonts w:hint="eastAsia" w:ascii="宋体" w:hAnsi="宋体" w:cs="宋体"/>
                <w:b w:val="0"/>
                <w:bCs w:val="0"/>
                <w:i w:val="0"/>
                <w:color w:val="auto"/>
                <w:kern w:val="0"/>
                <w:sz w:val="22"/>
                <w:szCs w:val="22"/>
                <w:u w:val="none"/>
                <w:lang w:val="en-US" w:eastAsia="zh-CN" w:bidi="ar"/>
              </w:rPr>
              <w:t>1600</w:t>
            </w:r>
            <w:r>
              <w:rPr>
                <w:rFonts w:hint="eastAsia" w:ascii="宋体" w:hAnsi="宋体" w:eastAsia="宋体" w:cs="宋体"/>
                <w:b w:val="0"/>
                <w:bCs w:val="0"/>
                <w:i w:val="0"/>
                <w:color w:val="auto"/>
                <w:kern w:val="0"/>
                <w:sz w:val="22"/>
                <w:szCs w:val="22"/>
                <w:u w:val="none"/>
                <w:lang w:val="en-US" w:eastAsia="zh-CN" w:bidi="ar"/>
              </w:rPr>
              <w:t>万元，仅作为投标人共同报价的基础，投标人不得更改，否则按否决投标处理。</w:t>
            </w:r>
          </w:p>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left"/>
              <w:textAlignment w:val="auto"/>
              <w:outlineLvl w:val="2"/>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2、监理费结算金额=项目经审计后的实际建安费总和*投标人填报费率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center"/>
              <w:textAlignment w:val="auto"/>
              <w:outlineLvl w:val="2"/>
              <w:rPr>
                <w:rFonts w:hint="default" w:ascii="宋体" w:hAnsi="宋体" w:eastAsia="宋体" w:cs="宋体"/>
                <w:b w:val="0"/>
                <w:bCs w:val="0"/>
                <w:i w:val="0"/>
                <w:color w:val="auto"/>
                <w:kern w:val="0"/>
                <w:sz w:val="22"/>
                <w:szCs w:val="22"/>
                <w:u w:val="none"/>
                <w:lang w:val="en-US" w:eastAsia="zh-CN" w:bidi="ar"/>
              </w:rPr>
            </w:pPr>
            <w:r>
              <w:rPr>
                <w:rFonts w:hint="eastAsia" w:ascii="宋体" w:hAnsi="宋体" w:cs="宋体"/>
                <w:b w:val="0"/>
                <w:bCs w:val="0"/>
                <w:i w:val="0"/>
                <w:color w:val="auto"/>
                <w:kern w:val="0"/>
                <w:sz w:val="22"/>
                <w:szCs w:val="22"/>
                <w:u w:val="none"/>
                <w:lang w:val="en-US" w:eastAsia="zh-CN" w:bidi="ar"/>
              </w:rPr>
              <w:t>2</w:t>
            </w:r>
          </w:p>
        </w:tc>
        <w:tc>
          <w:tcPr>
            <w:tcW w:w="4189" w:type="dxa"/>
            <w:gridSpan w:val="3"/>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center"/>
              <w:textAlignment w:val="auto"/>
              <w:outlineLvl w:val="2"/>
              <w:rPr>
                <w:rFonts w:hint="default"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合计</w:t>
            </w:r>
          </w:p>
        </w:tc>
        <w:tc>
          <w:tcPr>
            <w:tcW w:w="1529"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left"/>
              <w:textAlignment w:val="auto"/>
              <w:outlineLvl w:val="2"/>
              <w:rPr>
                <w:rFonts w:hint="eastAsia" w:ascii="宋体" w:hAnsi="宋体" w:eastAsia="宋体" w:cs="宋体"/>
                <w:b w:val="0"/>
                <w:bCs w:val="0"/>
                <w:i w:val="0"/>
                <w:color w:val="auto"/>
                <w:kern w:val="0"/>
                <w:sz w:val="22"/>
                <w:szCs w:val="22"/>
                <w:u w:val="none"/>
                <w:lang w:val="en-US" w:eastAsia="zh-CN" w:bidi="ar"/>
              </w:rPr>
            </w:pPr>
          </w:p>
        </w:tc>
        <w:tc>
          <w:tcPr>
            <w:tcW w:w="3094" w:type="dxa"/>
            <w:vAlign w:val="center"/>
          </w:tcPr>
          <w:p>
            <w:pPr>
              <w:pStyle w:val="6"/>
              <w:keepNext/>
              <w:keepLines/>
              <w:pageBreakBefore w:val="0"/>
              <w:widowControl w:val="0"/>
              <w:numPr>
                <w:ilvl w:val="0"/>
                <w:numId w:val="0"/>
              </w:numPr>
              <w:kinsoku/>
              <w:wordWrap/>
              <w:overflowPunct/>
              <w:topLinePunct w:val="0"/>
              <w:autoSpaceDE/>
              <w:autoSpaceDN/>
              <w:bidi w:val="0"/>
              <w:adjustRightInd w:val="0"/>
              <w:snapToGrid w:val="0"/>
              <w:spacing w:before="260" w:after="260" w:line="300" w:lineRule="exact"/>
              <w:jc w:val="left"/>
              <w:textAlignment w:val="auto"/>
              <w:outlineLvl w:val="2"/>
              <w:rPr>
                <w:rFonts w:hint="eastAsia" w:ascii="宋体" w:hAnsi="宋体" w:eastAsia="宋体" w:cs="宋体"/>
                <w:b w:val="0"/>
                <w:bCs w:val="0"/>
                <w:i w:val="0"/>
                <w:color w:val="auto"/>
                <w:kern w:val="0"/>
                <w:sz w:val="22"/>
                <w:szCs w:val="22"/>
                <w:u w:val="none"/>
                <w:lang w:val="en-US" w:eastAsia="zh-CN" w:bidi="ar"/>
              </w:rPr>
            </w:pPr>
          </w:p>
        </w:tc>
      </w:tr>
    </w:tbl>
    <w:p>
      <w:pPr>
        <w:tabs>
          <w:tab w:val="left" w:pos="900"/>
          <w:tab w:val="left" w:pos="1080"/>
        </w:tabs>
        <w:spacing w:line="360" w:lineRule="auto"/>
        <w:jc w:val="center"/>
        <w:outlineLvl w:val="0"/>
        <w:rPr>
          <w:rFonts w:hint="eastAsia"/>
          <w:b/>
          <w:bCs/>
          <w:sz w:val="28"/>
          <w:szCs w:val="28"/>
          <w:lang w:eastAsia="zh-CN"/>
        </w:rPr>
      </w:pPr>
    </w:p>
    <w:p>
      <w:pPr>
        <w:tabs>
          <w:tab w:val="left" w:pos="900"/>
          <w:tab w:val="left" w:pos="1080"/>
        </w:tabs>
        <w:spacing w:line="360" w:lineRule="auto"/>
        <w:jc w:val="center"/>
        <w:outlineLvl w:val="0"/>
        <w:rPr>
          <w:rFonts w:hint="eastAsia"/>
          <w:b/>
          <w:bCs/>
          <w:sz w:val="28"/>
          <w:szCs w:val="28"/>
          <w:lang w:eastAsia="zh-CN"/>
        </w:rPr>
      </w:pPr>
    </w:p>
    <w:p>
      <w:pPr>
        <w:pStyle w:val="2"/>
        <w:rPr>
          <w:rFonts w:hint="eastAsia"/>
          <w:b w:val="0"/>
          <w:bCs w:val="0"/>
          <w:sz w:val="28"/>
          <w:szCs w:val="28"/>
          <w:lang w:eastAsia="zh-CN"/>
        </w:rPr>
      </w:pPr>
    </w:p>
    <w:p>
      <w:pPr>
        <w:rPr>
          <w:rFonts w:hint="eastAsia"/>
          <w:b/>
          <w:bCs/>
          <w:sz w:val="28"/>
          <w:szCs w:val="28"/>
          <w:lang w:eastAsia="zh-CN"/>
        </w:rPr>
      </w:pPr>
    </w:p>
    <w:p>
      <w:pPr>
        <w:pStyle w:val="2"/>
        <w:rPr>
          <w:rFonts w:hint="eastAsia"/>
          <w:b w:val="0"/>
          <w:bCs w:val="0"/>
          <w:sz w:val="28"/>
          <w:szCs w:val="28"/>
          <w:lang w:eastAsia="zh-CN"/>
        </w:rPr>
      </w:pPr>
    </w:p>
    <w:p>
      <w:pPr>
        <w:rPr>
          <w:rFonts w:hint="eastAsia"/>
          <w:b/>
          <w:bCs/>
          <w:sz w:val="28"/>
          <w:szCs w:val="28"/>
          <w:lang w:eastAsia="zh-CN"/>
        </w:rPr>
      </w:pPr>
    </w:p>
    <w:p>
      <w:pPr>
        <w:pStyle w:val="2"/>
        <w:rPr>
          <w:rFonts w:hint="eastAsia"/>
          <w:b w:val="0"/>
          <w:bCs w:val="0"/>
          <w:sz w:val="28"/>
          <w:szCs w:val="28"/>
          <w:lang w:eastAsia="zh-CN"/>
        </w:rPr>
      </w:pPr>
    </w:p>
    <w:p>
      <w:pPr>
        <w:rPr>
          <w:rFonts w:hint="eastAsia"/>
          <w:b w:val="0"/>
          <w:bCs w:val="0"/>
          <w:sz w:val="28"/>
          <w:szCs w:val="28"/>
          <w:lang w:eastAsia="zh-CN"/>
        </w:rPr>
      </w:pPr>
    </w:p>
    <w:p>
      <w:pPr>
        <w:pStyle w:val="2"/>
        <w:rPr>
          <w:rFonts w:hint="eastAsia"/>
          <w:b w:val="0"/>
          <w:bCs w:val="0"/>
          <w:sz w:val="28"/>
          <w:szCs w:val="28"/>
          <w:lang w:eastAsia="zh-CN"/>
        </w:rPr>
      </w:pPr>
    </w:p>
    <w:p>
      <w:pPr>
        <w:rPr>
          <w:rFonts w:hint="eastAsia"/>
          <w:b w:val="0"/>
          <w:bCs w:val="0"/>
          <w:sz w:val="28"/>
          <w:szCs w:val="28"/>
          <w:lang w:eastAsia="zh-CN"/>
        </w:rPr>
      </w:pPr>
    </w:p>
    <w:p>
      <w:pPr>
        <w:pStyle w:val="2"/>
        <w:rPr>
          <w:rFonts w:hint="eastAsia"/>
          <w:b w:val="0"/>
          <w:bCs w:val="0"/>
          <w:sz w:val="28"/>
          <w:szCs w:val="28"/>
          <w:lang w:eastAsia="zh-CN"/>
        </w:rPr>
      </w:pPr>
    </w:p>
    <w:p>
      <w:pPr>
        <w:rPr>
          <w:rFonts w:hint="eastAsia"/>
          <w:b/>
          <w:bCs/>
          <w:sz w:val="28"/>
          <w:szCs w:val="28"/>
          <w:lang w:eastAsia="zh-CN"/>
        </w:rPr>
      </w:pPr>
    </w:p>
    <w:p>
      <w:pPr>
        <w:pStyle w:val="2"/>
        <w:rPr>
          <w:rFonts w:hint="eastAsia"/>
          <w:b w:val="0"/>
          <w:bCs w:val="0"/>
          <w:sz w:val="28"/>
          <w:szCs w:val="28"/>
          <w:lang w:eastAsia="zh-CN"/>
        </w:rPr>
      </w:pPr>
    </w:p>
    <w:p>
      <w:pPr>
        <w:rPr>
          <w:rFonts w:hint="eastAsia"/>
          <w:b/>
          <w:bCs/>
          <w:sz w:val="28"/>
          <w:szCs w:val="28"/>
          <w:lang w:eastAsia="zh-CN"/>
        </w:rPr>
      </w:pPr>
    </w:p>
    <w:p>
      <w:pPr>
        <w:pStyle w:val="2"/>
        <w:rPr>
          <w:rFonts w:hint="eastAsia"/>
          <w:lang w:eastAsia="zh-CN"/>
        </w:rPr>
      </w:pPr>
    </w:p>
    <w:p>
      <w:pPr>
        <w:rPr>
          <w:rFonts w:hint="eastAsia"/>
          <w:lang w:eastAsia="zh-CN"/>
        </w:rPr>
      </w:pPr>
    </w:p>
    <w:p>
      <w:pPr>
        <w:tabs>
          <w:tab w:val="left" w:pos="900"/>
          <w:tab w:val="left" w:pos="1080"/>
        </w:tabs>
        <w:spacing w:line="360" w:lineRule="auto"/>
        <w:jc w:val="center"/>
        <w:outlineLvl w:val="0"/>
        <w:rPr>
          <w:rFonts w:hint="eastAsia"/>
          <w:b/>
          <w:bCs/>
          <w:sz w:val="28"/>
          <w:szCs w:val="28"/>
        </w:rPr>
      </w:pPr>
      <w:r>
        <w:rPr>
          <w:rFonts w:hint="eastAsia"/>
          <w:b/>
          <w:bCs/>
          <w:sz w:val="28"/>
          <w:szCs w:val="28"/>
          <w:lang w:val="en-US" w:eastAsia="zh-CN"/>
        </w:rPr>
        <w:t>八</w:t>
      </w:r>
      <w:r>
        <w:rPr>
          <w:rFonts w:hint="eastAsia"/>
          <w:b/>
          <w:bCs/>
          <w:sz w:val="28"/>
          <w:szCs w:val="28"/>
        </w:rPr>
        <w:t>、其他材料</w:t>
      </w:r>
    </w:p>
    <w:p>
      <w:pPr>
        <w:pStyle w:val="2"/>
      </w:pPr>
      <w:r>
        <w:rPr>
          <w:rFonts w:hint="eastAsia"/>
        </w:rPr>
        <w:t>由比选申请人自行提供，格式自拟。</w:t>
      </w:r>
    </w:p>
    <w:p>
      <w:pPr>
        <w:rPr>
          <w:rFonts w:ascii="宋体" w:hAnsi="宋体"/>
          <w:b/>
          <w:sz w:val="36"/>
        </w:rPr>
      </w:pPr>
    </w:p>
    <w:sectPr>
      <w:headerReference r:id="rId6" w:type="default"/>
      <w:footerReference r:id="rId7"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00" w:usb3="00000000" w:csb0="00000000" w:csb1="00000000"/>
  </w:font>
  <w:font w:name="fontmu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Romantic">
    <w:altName w:val="Segoe Print"/>
    <w:panose1 w:val="00000400000000000000"/>
    <w:charset w:val="02"/>
    <w:family w:val="auto"/>
    <w:pitch w:val="default"/>
    <w:sig w:usb0="00000000" w:usb1="00000000" w:usb2="00000000" w:usb3="00000000" w:csb0="80000000" w:csb1="00000000"/>
  </w:font>
  <w:font w:name="方正姚体">
    <w:altName w:val="宋体"/>
    <w:panose1 w:val="02010601030101010101"/>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BatangChe">
    <w:altName w:val="Malgun Gothic"/>
    <w:panose1 w:val="02030609000101010101"/>
    <w:charset w:val="81"/>
    <w:family w:val="modern"/>
    <w:pitch w:val="default"/>
    <w:sig w:usb0="00000000" w:usb1="00000000" w:usb2="00000030" w:usb3="00000000" w:csb0="4008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Swis721 Cn BT">
    <w:altName w:val="Segoe Print"/>
    <w:panose1 w:val="020B0506020202030204"/>
    <w:charset w:val="00"/>
    <w:family w:val="swiss"/>
    <w:pitch w:val="default"/>
    <w:sig w:usb0="00000000" w:usb1="00000000" w:usb2="00000000" w:usb3="00000000" w:csb0="0000001B" w:csb1="00000000"/>
  </w:font>
  <w:font w:name="文鼎CS长美黑">
    <w:altName w:val="宋体"/>
    <w:panose1 w:val="00000000000000000000"/>
    <w:charset w:val="86"/>
    <w:family w:val="modern"/>
    <w:pitch w:val="default"/>
    <w:sig w:usb0="00000000" w:usb1="00000000" w:usb2="00000010" w:usb3="00000000" w:csb0="00040000" w:csb1="00000000"/>
  </w:font>
  <w:font w:name="ATKPMP+ºÚÌå">
    <w:altName w:val="Segoe Print"/>
    <w:panose1 w:val="00000000000000000000"/>
    <w:charset w:val="01"/>
    <w:family w:val="modern"/>
    <w:pitch w:val="default"/>
    <w:sig w:usb0="00000000" w:usb1="00000000" w:usb2="01010101" w:usb3="01010101" w:csb0="01010101" w:csb1="01010101"/>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8EF7"/>
    <w:multiLevelType w:val="singleLevel"/>
    <w:tmpl w:val="12C08EF7"/>
    <w:lvl w:ilvl="0" w:tentative="0">
      <w:start w:val="1"/>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647037"/>
    <w:multiLevelType w:val="singleLevel"/>
    <w:tmpl w:val="48647037"/>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2692377"/>
    <w:rsid w:val="03F645CA"/>
    <w:rsid w:val="03FA09BE"/>
    <w:rsid w:val="03FB5E46"/>
    <w:rsid w:val="051C7A24"/>
    <w:rsid w:val="05D22312"/>
    <w:rsid w:val="06115AC4"/>
    <w:rsid w:val="06C20FDE"/>
    <w:rsid w:val="086434A7"/>
    <w:rsid w:val="086B6512"/>
    <w:rsid w:val="0BBF09A7"/>
    <w:rsid w:val="0BCE5435"/>
    <w:rsid w:val="0BF9347B"/>
    <w:rsid w:val="0C707D3A"/>
    <w:rsid w:val="0C7F5C97"/>
    <w:rsid w:val="0C926EAD"/>
    <w:rsid w:val="0CE56CA4"/>
    <w:rsid w:val="0E827993"/>
    <w:rsid w:val="0FDC39C3"/>
    <w:rsid w:val="122D1F78"/>
    <w:rsid w:val="12FB0BD5"/>
    <w:rsid w:val="133676D0"/>
    <w:rsid w:val="157950FF"/>
    <w:rsid w:val="178A70D6"/>
    <w:rsid w:val="193F2457"/>
    <w:rsid w:val="1A0D4D83"/>
    <w:rsid w:val="1AB37EEE"/>
    <w:rsid w:val="1AF11DFF"/>
    <w:rsid w:val="1C06581A"/>
    <w:rsid w:val="1C915B68"/>
    <w:rsid w:val="1D760770"/>
    <w:rsid w:val="1DA57798"/>
    <w:rsid w:val="20366009"/>
    <w:rsid w:val="203F5D95"/>
    <w:rsid w:val="2118036E"/>
    <w:rsid w:val="25441F39"/>
    <w:rsid w:val="25EE5343"/>
    <w:rsid w:val="25FD7BC0"/>
    <w:rsid w:val="267A49E2"/>
    <w:rsid w:val="27536553"/>
    <w:rsid w:val="27F46C54"/>
    <w:rsid w:val="2A761395"/>
    <w:rsid w:val="2A7D1611"/>
    <w:rsid w:val="2F1D677A"/>
    <w:rsid w:val="2F377B90"/>
    <w:rsid w:val="2F402FCD"/>
    <w:rsid w:val="300A55B3"/>
    <w:rsid w:val="32284440"/>
    <w:rsid w:val="33C22F6A"/>
    <w:rsid w:val="36165E8F"/>
    <w:rsid w:val="369115D3"/>
    <w:rsid w:val="382626DA"/>
    <w:rsid w:val="3AC25058"/>
    <w:rsid w:val="3AD628A1"/>
    <w:rsid w:val="3BFB3656"/>
    <w:rsid w:val="3C0B453D"/>
    <w:rsid w:val="3C624734"/>
    <w:rsid w:val="3D765FB2"/>
    <w:rsid w:val="3E4A6FED"/>
    <w:rsid w:val="3ECC3EAA"/>
    <w:rsid w:val="415A7A9A"/>
    <w:rsid w:val="41B651E6"/>
    <w:rsid w:val="42450FD8"/>
    <w:rsid w:val="42C667F7"/>
    <w:rsid w:val="43415B03"/>
    <w:rsid w:val="43685B14"/>
    <w:rsid w:val="4378246C"/>
    <w:rsid w:val="43CB7A2B"/>
    <w:rsid w:val="44323ABD"/>
    <w:rsid w:val="44E80768"/>
    <w:rsid w:val="450C7A86"/>
    <w:rsid w:val="4591449F"/>
    <w:rsid w:val="47594FFE"/>
    <w:rsid w:val="47A81287"/>
    <w:rsid w:val="47C23C86"/>
    <w:rsid w:val="48C2713F"/>
    <w:rsid w:val="490143C1"/>
    <w:rsid w:val="4A887DD5"/>
    <w:rsid w:val="4AAC78A7"/>
    <w:rsid w:val="4AB90AA7"/>
    <w:rsid w:val="4AEA4235"/>
    <w:rsid w:val="4C2410AE"/>
    <w:rsid w:val="4D005889"/>
    <w:rsid w:val="4DA67C4F"/>
    <w:rsid w:val="4E65355A"/>
    <w:rsid w:val="4F4E60F4"/>
    <w:rsid w:val="521C51D0"/>
    <w:rsid w:val="54396D19"/>
    <w:rsid w:val="54710045"/>
    <w:rsid w:val="565F1A15"/>
    <w:rsid w:val="5B74650D"/>
    <w:rsid w:val="5C8B5E09"/>
    <w:rsid w:val="5F0461BD"/>
    <w:rsid w:val="5F214CFC"/>
    <w:rsid w:val="5F7C2B47"/>
    <w:rsid w:val="621F1A2C"/>
    <w:rsid w:val="62224681"/>
    <w:rsid w:val="62B25944"/>
    <w:rsid w:val="62E908F6"/>
    <w:rsid w:val="63A020E1"/>
    <w:rsid w:val="67686B92"/>
    <w:rsid w:val="679B3764"/>
    <w:rsid w:val="67A6641B"/>
    <w:rsid w:val="68382B41"/>
    <w:rsid w:val="68575FBB"/>
    <w:rsid w:val="6C1D5873"/>
    <w:rsid w:val="6D552011"/>
    <w:rsid w:val="6E9B039A"/>
    <w:rsid w:val="6F503036"/>
    <w:rsid w:val="6F670725"/>
    <w:rsid w:val="6F6E1BD3"/>
    <w:rsid w:val="6FFD6B93"/>
    <w:rsid w:val="705F3B9E"/>
    <w:rsid w:val="70ED098A"/>
    <w:rsid w:val="7236277D"/>
    <w:rsid w:val="72C67931"/>
    <w:rsid w:val="72E10006"/>
    <w:rsid w:val="731E664B"/>
    <w:rsid w:val="75826CDC"/>
    <w:rsid w:val="75DB71C7"/>
    <w:rsid w:val="77841DDD"/>
    <w:rsid w:val="78EE584F"/>
    <w:rsid w:val="7969750B"/>
    <w:rsid w:val="7F312B78"/>
    <w:rsid w:val="7F9027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jc w:val="center"/>
      <w:outlineLvl w:val="0"/>
    </w:pPr>
    <w:rPr>
      <w:rFonts w:eastAsia="仿宋_GB2312"/>
      <w:sz w:val="30"/>
      <w:szCs w:val="20"/>
    </w:rPr>
  </w:style>
  <w:style w:type="paragraph" w:styleId="4">
    <w:name w:val="heading 2"/>
    <w:basedOn w:val="1"/>
    <w:next w:val="5"/>
    <w:link w:val="26"/>
    <w:qFormat/>
    <w:uiPriority w:val="0"/>
    <w:pPr>
      <w:keepNext/>
      <w:jc w:val="center"/>
      <w:outlineLvl w:val="1"/>
    </w:pPr>
    <w:rPr>
      <w:rFonts w:eastAsia="仿宋_GB2312"/>
      <w:sz w:val="28"/>
      <w:szCs w:val="20"/>
    </w:rPr>
  </w:style>
  <w:style w:type="paragraph" w:styleId="6">
    <w:name w:val="heading 3"/>
    <w:basedOn w:val="1"/>
    <w:next w:val="5"/>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5">
    <w:name w:val="Normal Indent"/>
    <w:basedOn w:val="1"/>
    <w:unhideWhenUsed/>
    <w:qFormat/>
    <w:uiPriority w:val="99"/>
    <w:pPr>
      <w:ind w:firstLine="420" w:firstLineChars="200"/>
    </w:pPr>
  </w:style>
  <w:style w:type="paragraph" w:styleId="8">
    <w:name w:val="annotation text"/>
    <w:basedOn w:val="1"/>
    <w:unhideWhenUsed/>
    <w:qFormat/>
    <w:uiPriority w:val="99"/>
    <w:pPr>
      <w:jc w:val="left"/>
    </w:pPr>
    <w:rPr>
      <w:rFonts w:ascii="Times New Roman" w:hAnsi="Times New Roman"/>
      <w:szCs w:val="24"/>
    </w:rPr>
  </w:style>
  <w:style w:type="paragraph" w:styleId="9">
    <w:name w:val="Body Text"/>
    <w:basedOn w:val="1"/>
    <w:link w:val="31"/>
    <w:qFormat/>
    <w:uiPriority w:val="0"/>
    <w:pPr>
      <w:jc w:val="center"/>
    </w:pPr>
    <w:rPr>
      <w:rFonts w:ascii="仿宋_GB2312"/>
      <w:b/>
      <w:bCs/>
      <w:sz w:val="40"/>
    </w:rPr>
  </w:style>
  <w:style w:type="paragraph" w:styleId="10">
    <w:name w:val="Plain Text"/>
    <w:basedOn w:val="1"/>
    <w:unhideWhenUsed/>
    <w:qFormat/>
    <w:uiPriority w:val="99"/>
    <w:rPr>
      <w:rFonts w:ascii="宋体" w:hAnsi="Courier New"/>
      <w:color w:val="auto"/>
      <w:kern w:val="2"/>
      <w:szCs w:val="21"/>
    </w:rPr>
  </w:style>
  <w:style w:type="paragraph" w:styleId="11">
    <w:name w:val="Date"/>
    <w:basedOn w:val="1"/>
    <w:next w:val="1"/>
    <w:link w:val="28"/>
    <w:unhideWhenUsed/>
    <w:qFormat/>
    <w:uiPriority w:val="99"/>
    <w:pPr>
      <w:ind w:left="100" w:leftChars="2500"/>
    </w:pPr>
  </w:style>
  <w:style w:type="paragraph" w:styleId="12">
    <w:name w:val="Balloon Text"/>
    <w:basedOn w:val="1"/>
    <w:link w:val="32"/>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6">
    <w:name w:val="index 1"/>
    <w:basedOn w:val="1"/>
    <w:next w:val="1"/>
    <w:unhideWhenUsed/>
    <w:qFormat/>
    <w:uiPriority w:val="99"/>
    <w:pPr>
      <w:spacing w:line="360" w:lineRule="auto"/>
      <w:jc w:val="center"/>
    </w:pPr>
    <w:rPr>
      <w:rFonts w:ascii="宋体" w:hAnsi="宋体" w:cs="Arial"/>
      <w:b/>
      <w:kern w:val="1"/>
      <w:sz w:val="24"/>
      <w:szCs w:val="24"/>
    </w:rPr>
  </w:style>
  <w:style w:type="character" w:styleId="18">
    <w:name w:val="Strong"/>
    <w:basedOn w:val="17"/>
    <w:qFormat/>
    <w:uiPriority w:val="0"/>
    <w:rPr>
      <w:b/>
    </w:rPr>
  </w:style>
  <w:style w:type="character" w:styleId="19">
    <w:name w:val="FollowedHyperlink"/>
    <w:basedOn w:val="17"/>
    <w:unhideWhenUsed/>
    <w:qFormat/>
    <w:uiPriority w:val="99"/>
    <w:rPr>
      <w:color w:val="003399"/>
      <w:u w:val="none"/>
    </w:rPr>
  </w:style>
  <w:style w:type="character" w:styleId="20">
    <w:name w:val="Hyperlink"/>
    <w:basedOn w:val="17"/>
    <w:unhideWhenUsed/>
    <w:qFormat/>
    <w:uiPriority w:val="99"/>
    <w:rPr>
      <w:color w:val="0000FF"/>
      <w:u w:val="none"/>
    </w:rPr>
  </w:style>
  <w:style w:type="character" w:styleId="21">
    <w:name w:val="annotation reference"/>
    <w:basedOn w:val="17"/>
    <w:unhideWhenUsed/>
    <w:qFormat/>
    <w:uiPriority w:val="99"/>
    <w:rPr>
      <w:rFonts w:ascii="Verdana" w:hAnsi="Verdana" w:cs="Times New Roman"/>
      <w:kern w:val="0"/>
      <w:sz w:val="21"/>
      <w:szCs w:val="21"/>
      <w:lang w:eastAsia="en-US"/>
    </w:rPr>
  </w:style>
  <w:style w:type="table" w:styleId="23">
    <w:name w:val="Table Grid"/>
    <w:basedOn w:val="2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5">
    <w:name w:val="标题 1 Char"/>
    <w:basedOn w:val="17"/>
    <w:link w:val="3"/>
    <w:qFormat/>
    <w:uiPriority w:val="0"/>
    <w:rPr>
      <w:rFonts w:eastAsia="仿宋_GB2312"/>
      <w:kern w:val="2"/>
      <w:sz w:val="30"/>
    </w:rPr>
  </w:style>
  <w:style w:type="character" w:customStyle="1" w:styleId="26">
    <w:name w:val="标题 2 Char"/>
    <w:basedOn w:val="17"/>
    <w:link w:val="4"/>
    <w:qFormat/>
    <w:uiPriority w:val="0"/>
    <w:rPr>
      <w:rFonts w:eastAsia="仿宋_GB2312"/>
      <w:kern w:val="2"/>
      <w:sz w:val="28"/>
    </w:rPr>
  </w:style>
  <w:style w:type="paragraph" w:customStyle="1" w:styleId="27">
    <w:name w:val="列出段落1"/>
    <w:basedOn w:val="1"/>
    <w:qFormat/>
    <w:uiPriority w:val="34"/>
    <w:pPr>
      <w:ind w:firstLine="420" w:firstLineChars="200"/>
    </w:pPr>
  </w:style>
  <w:style w:type="character" w:customStyle="1" w:styleId="28">
    <w:name w:val="日期 Char"/>
    <w:basedOn w:val="17"/>
    <w:link w:val="11"/>
    <w:semiHidden/>
    <w:qFormat/>
    <w:uiPriority w:val="99"/>
    <w:rPr>
      <w:kern w:val="2"/>
      <w:sz w:val="21"/>
      <w:szCs w:val="24"/>
    </w:rPr>
  </w:style>
  <w:style w:type="character" w:customStyle="1" w:styleId="29">
    <w:name w:val="页眉 Char"/>
    <w:basedOn w:val="17"/>
    <w:link w:val="14"/>
    <w:semiHidden/>
    <w:qFormat/>
    <w:uiPriority w:val="99"/>
    <w:rPr>
      <w:kern w:val="2"/>
      <w:sz w:val="18"/>
      <w:szCs w:val="18"/>
    </w:rPr>
  </w:style>
  <w:style w:type="character" w:customStyle="1" w:styleId="30">
    <w:name w:val="页脚 Char"/>
    <w:basedOn w:val="17"/>
    <w:link w:val="13"/>
    <w:qFormat/>
    <w:uiPriority w:val="99"/>
    <w:rPr>
      <w:kern w:val="2"/>
      <w:sz w:val="18"/>
      <w:szCs w:val="18"/>
    </w:rPr>
  </w:style>
  <w:style w:type="character" w:customStyle="1" w:styleId="31">
    <w:name w:val="正文文本 Char"/>
    <w:basedOn w:val="17"/>
    <w:link w:val="9"/>
    <w:qFormat/>
    <w:uiPriority w:val="0"/>
    <w:rPr>
      <w:rFonts w:ascii="仿宋_GB2312"/>
      <w:b/>
      <w:bCs/>
      <w:kern w:val="2"/>
      <w:sz w:val="40"/>
      <w:szCs w:val="24"/>
    </w:rPr>
  </w:style>
  <w:style w:type="character" w:customStyle="1" w:styleId="32">
    <w:name w:val="批注框文本 Char"/>
    <w:basedOn w:val="17"/>
    <w:link w:val="12"/>
    <w:semiHidden/>
    <w:qFormat/>
    <w:uiPriority w:val="99"/>
    <w:rPr>
      <w:kern w:val="2"/>
      <w:sz w:val="18"/>
      <w:szCs w:val="18"/>
    </w:rPr>
  </w:style>
  <w:style w:type="paragraph" w:customStyle="1" w:styleId="3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4">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64</Words>
  <Characters>365</Characters>
  <Lines>3</Lines>
  <Paragraphs>1</Paragraphs>
  <ScaleCrop>false</ScaleCrop>
  <LinksUpToDate>false</LinksUpToDate>
  <CharactersWithSpaces>428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秦文</cp:lastModifiedBy>
  <cp:lastPrinted>2021-06-15T10:00:00Z</cp:lastPrinted>
  <dcterms:modified xsi:type="dcterms:W3CDTF">2021-11-12T04:34:36Z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694D932B581346B4990DCEAE34E626D4</vt:lpwstr>
  </property>
</Properties>
</file>