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9" w:leftChars="-95"/>
        <w:jc w:val="left"/>
        <w:rPr>
          <w:b/>
          <w:sz w:val="32"/>
          <w:szCs w:val="32"/>
        </w:rPr>
      </w:pPr>
      <w:r>
        <w:rPr>
          <w:rFonts w:hint="eastAsia" w:ascii="宋体" w:hAnsi="宋体" w:cs="宋体"/>
          <w:b/>
          <w:spacing w:val="21"/>
          <w:kern w:val="1"/>
          <w:sz w:val="32"/>
          <w:szCs w:val="52"/>
          <w:shd w:val="clear" w:color="auto" w:fill="FFFFFF"/>
        </w:rPr>
        <w:t>项目名称</w:t>
      </w:r>
      <w:r>
        <w:rPr>
          <w:rFonts w:ascii="宋体" w:hAnsi="宋体" w:cs="宋体"/>
          <w:b/>
          <w:spacing w:val="21"/>
          <w:kern w:val="1"/>
          <w:sz w:val="32"/>
          <w:szCs w:val="52"/>
          <w:shd w:val="clear" w:color="auto" w:fill="FFFFFF"/>
        </w:rPr>
        <w:t>：</w:t>
      </w:r>
      <w:r>
        <w:rPr>
          <w:rFonts w:hint="eastAsia" w:ascii="宋体" w:hAnsi="宋体" w:cs="宋体"/>
          <w:b/>
          <w:spacing w:val="21"/>
          <w:kern w:val="1"/>
          <w:sz w:val="32"/>
          <w:szCs w:val="52"/>
          <w:shd w:val="clear" w:color="auto" w:fill="FFFFFF"/>
        </w:rPr>
        <w:t>合长高速石船</w:t>
      </w:r>
      <w:r>
        <w:rPr>
          <w:rFonts w:hint="eastAsia"/>
          <w:b/>
          <w:sz w:val="32"/>
          <w:szCs w:val="32"/>
        </w:rPr>
        <w:t>服务区（左、右）加油加气站站房、</w:t>
      </w:r>
      <w:r>
        <w:rPr>
          <w:rFonts w:hint="eastAsia"/>
          <w:b/>
          <w:sz w:val="32"/>
          <w:szCs w:val="32"/>
          <w:lang w:eastAsia="zh-CN"/>
        </w:rPr>
        <w:t>罩棚、双层储油罐及双层输油管道</w:t>
      </w:r>
      <w:r>
        <w:rPr>
          <w:rFonts w:hint="eastAsia"/>
          <w:b/>
          <w:sz w:val="32"/>
          <w:szCs w:val="32"/>
        </w:rPr>
        <w:t>施工质量检测项目</w:t>
      </w:r>
    </w:p>
    <w:p>
      <w:pPr>
        <w:jc w:val="center"/>
        <w:rPr>
          <w:rFonts w:ascii="宋体" w:hAnsi="宋体" w:cs="宋体"/>
          <w:b/>
          <w:spacing w:val="21"/>
          <w:kern w:val="1"/>
          <w:sz w:val="52"/>
          <w:szCs w:val="52"/>
          <w:shd w:val="clear" w:color="auto" w:fill="FFFFFF"/>
        </w:rPr>
      </w:pPr>
    </w:p>
    <w:p>
      <w:pPr>
        <w:pStyle w:val="2"/>
        <w:rPr>
          <w:rFonts w:ascii="宋体" w:hAnsi="宋体" w:cs="宋体"/>
          <w:spacing w:val="21"/>
          <w:kern w:val="1"/>
          <w:sz w:val="52"/>
          <w:szCs w:val="52"/>
          <w:shd w:val="clear" w:color="auto" w:fill="FFFFFF"/>
        </w:rPr>
      </w:pPr>
    </w:p>
    <w:p/>
    <w:p>
      <w:pPr>
        <w:jc w:val="center"/>
        <w:rPr>
          <w:rFonts w:ascii="宋体" w:hAnsi="宋体" w:cs="宋体"/>
          <w:b/>
          <w:spacing w:val="21"/>
          <w:kern w:val="1"/>
          <w:sz w:val="52"/>
          <w:szCs w:val="52"/>
          <w:shd w:val="clear" w:color="auto" w:fill="FFFFFF"/>
        </w:rPr>
      </w:pPr>
    </w:p>
    <w:p>
      <w:pPr>
        <w:jc w:val="center"/>
        <w:rPr>
          <w:rFonts w:ascii="宋体" w:hAnsi="宋体" w:cs="宋体"/>
          <w:b/>
          <w:spacing w:val="21"/>
          <w:kern w:val="1"/>
          <w:sz w:val="52"/>
          <w:szCs w:val="52"/>
          <w:shd w:val="clear" w:color="auto" w:fill="FFFFFF"/>
        </w:rPr>
      </w:pPr>
    </w:p>
    <w:p>
      <w:pPr>
        <w:jc w:val="center"/>
        <w:rPr>
          <w:rFonts w:ascii="宋体" w:hAnsi="宋体" w:cs="宋体"/>
          <w:b/>
          <w:spacing w:val="21"/>
          <w:kern w:val="1"/>
          <w:sz w:val="52"/>
          <w:szCs w:val="52"/>
          <w:shd w:val="clear" w:color="auto" w:fill="FFFFFF"/>
        </w:rPr>
      </w:pPr>
    </w:p>
    <w:p>
      <w:pPr>
        <w:jc w:val="center"/>
        <w:rPr>
          <w:rFonts w:ascii="宋体" w:hAnsi="宋体" w:cs="宋体"/>
          <w:b/>
          <w:spacing w:val="21"/>
          <w:kern w:val="1"/>
          <w:sz w:val="72"/>
          <w:szCs w:val="52"/>
          <w:shd w:val="clear" w:color="auto" w:fill="FFFFFF"/>
        </w:rPr>
      </w:pPr>
      <w:r>
        <w:rPr>
          <w:rFonts w:hint="eastAsia" w:ascii="宋体" w:hAnsi="宋体" w:cs="宋体"/>
          <w:b/>
          <w:spacing w:val="21"/>
          <w:kern w:val="1"/>
          <w:sz w:val="72"/>
          <w:szCs w:val="52"/>
          <w:shd w:val="clear" w:color="auto" w:fill="FFFFFF"/>
        </w:rPr>
        <w:t>竞争性比选</w:t>
      </w:r>
      <w:r>
        <w:rPr>
          <w:rFonts w:ascii="宋体" w:hAnsi="宋体" w:cs="宋体"/>
          <w:b/>
          <w:spacing w:val="21"/>
          <w:kern w:val="1"/>
          <w:sz w:val="72"/>
          <w:szCs w:val="52"/>
          <w:shd w:val="clear" w:color="auto" w:fill="FFFFFF"/>
        </w:rPr>
        <w:t>文件</w:t>
      </w: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spacing w:val="93"/>
          <w:kern w:val="1"/>
          <w:szCs w:val="21"/>
          <w:shd w:val="clear" w:color="auto" w:fill="FFFFFF"/>
        </w:rPr>
      </w:pPr>
    </w:p>
    <w:p>
      <w:pPr>
        <w:pStyle w:val="10"/>
        <w:spacing w:line="360" w:lineRule="auto"/>
        <w:ind w:left="96"/>
        <w:jc w:val="center"/>
        <w:rPr>
          <w:rFonts w:ascii="宋体" w:hAnsi="宋体" w:cs="宋体"/>
          <w:b/>
          <w:sz w:val="36"/>
          <w:szCs w:val="32"/>
          <w:shd w:val="clear" w:color="auto" w:fill="FFFFFF"/>
        </w:rPr>
      </w:pPr>
      <w:r>
        <w:rPr>
          <w:rFonts w:hint="eastAsia" w:ascii="宋体" w:hAnsi="宋体" w:cs="宋体"/>
          <w:b/>
          <w:sz w:val="36"/>
          <w:szCs w:val="32"/>
          <w:shd w:val="clear" w:color="auto" w:fill="FFFFFF"/>
        </w:rPr>
        <w:t>重庆高速中油渝富能源发展有限公司</w:t>
      </w:r>
    </w:p>
    <w:p>
      <w:pPr>
        <w:pStyle w:val="10"/>
        <w:spacing w:line="360" w:lineRule="auto"/>
        <w:ind w:left="96"/>
        <w:jc w:val="center"/>
        <w:rPr>
          <w:rFonts w:ascii="宋体" w:hAnsi="宋体"/>
          <w:b/>
          <w:sz w:val="36"/>
          <w:szCs w:val="30"/>
          <w:shd w:val="clear" w:color="auto" w:fill="FFFFFF"/>
        </w:rPr>
      </w:pPr>
      <w:r>
        <w:rPr>
          <w:rFonts w:ascii="宋体" w:hAnsi="宋体" w:cs="宋体"/>
          <w:b/>
          <w:sz w:val="36"/>
          <w:szCs w:val="32"/>
          <w:shd w:val="clear" w:color="auto" w:fill="FFFFFF"/>
        </w:rPr>
        <w:t>202</w:t>
      </w:r>
      <w:r>
        <w:rPr>
          <w:rFonts w:hint="eastAsia" w:ascii="宋体" w:hAnsi="宋体" w:cs="宋体"/>
          <w:b/>
          <w:sz w:val="36"/>
          <w:szCs w:val="32"/>
          <w:shd w:val="clear" w:color="auto" w:fill="FFFFFF"/>
        </w:rPr>
        <w:t>1</w:t>
      </w:r>
      <w:r>
        <w:rPr>
          <w:rFonts w:ascii="宋体" w:hAnsi="宋体" w:cs="宋体"/>
          <w:b/>
          <w:sz w:val="36"/>
          <w:szCs w:val="32"/>
          <w:shd w:val="clear" w:color="auto" w:fill="FFFFFF"/>
        </w:rPr>
        <w:t>年</w:t>
      </w:r>
      <w:r>
        <w:rPr>
          <w:rFonts w:hint="eastAsia" w:ascii="宋体" w:hAnsi="宋体" w:cs="宋体"/>
          <w:b/>
          <w:sz w:val="36"/>
          <w:szCs w:val="32"/>
          <w:shd w:val="clear" w:color="auto" w:fill="FFFFFF"/>
        </w:rPr>
        <w:t>8</w:t>
      </w:r>
      <w:r>
        <w:rPr>
          <w:rFonts w:ascii="宋体" w:hAnsi="宋体" w:cs="宋体"/>
          <w:b/>
          <w:sz w:val="36"/>
          <w:szCs w:val="32"/>
          <w:shd w:val="clear" w:color="auto" w:fill="FFFFFF"/>
        </w:rPr>
        <w:t>月</w:t>
      </w:r>
    </w:p>
    <w:p>
      <w:pPr>
        <w:jc w:val="center"/>
        <w:rPr>
          <w:rFonts w:ascii="宋体" w:hAnsi="宋体"/>
          <w:b/>
          <w:color w:val="000000"/>
          <w:sz w:val="36"/>
          <w:szCs w:val="36"/>
        </w:rPr>
        <w:sectPr>
          <w:headerReference r:id="rId3" w:type="default"/>
          <w:pgSz w:w="11906" w:h="16838"/>
          <w:pgMar w:top="567" w:right="1797" w:bottom="1276" w:left="1797" w:header="851" w:footer="992" w:gutter="0"/>
          <w:pgBorders>
            <w:top w:val="none" w:sz="0" w:space="0"/>
            <w:left w:val="none" w:sz="0" w:space="0"/>
            <w:bottom w:val="none" w:sz="0" w:space="0"/>
            <w:right w:val="none" w:sz="0" w:space="0"/>
          </w:pgBorders>
          <w:cols w:space="720" w:num="1"/>
          <w:docGrid w:type="lines" w:linePitch="312" w:charSpace="0"/>
        </w:sectPr>
      </w:pPr>
    </w:p>
    <w:p>
      <w:pPr>
        <w:pStyle w:val="3"/>
        <w:keepLines w:val="0"/>
        <w:pageBreakBefore w:val="0"/>
        <w:widowControl w:val="0"/>
        <w:tabs>
          <w:tab w:val="left" w:pos="1530"/>
          <w:tab w:val="left" w:pos="3360"/>
          <w:tab w:val="left" w:pos="4082"/>
        </w:tabs>
        <w:kinsoku/>
        <w:wordWrap/>
        <w:overflowPunct/>
        <w:topLinePunct w:val="0"/>
        <w:autoSpaceDE/>
        <w:autoSpaceDN/>
        <w:bidi w:val="0"/>
        <w:adjustRightInd/>
        <w:snapToGrid w:val="0"/>
        <w:spacing w:before="0" w:after="0" w:line="400" w:lineRule="exact"/>
        <w:ind w:right="0" w:rightChars="0" w:firstLine="663" w:firstLineChars="150"/>
        <w:jc w:val="center"/>
        <w:textAlignment w:val="auto"/>
        <w:rPr>
          <w:rFonts w:ascii="宋体" w:hAnsi="宋体"/>
          <w:shd w:val="clear" w:color="auto" w:fill="FFFFFF"/>
        </w:rPr>
      </w:pPr>
      <w:r>
        <w:rPr>
          <w:rFonts w:hint="eastAsia" w:ascii="宋体" w:hAnsi="宋体"/>
          <w:shd w:val="clear" w:color="auto" w:fill="FFFFFF"/>
        </w:rPr>
        <w:t>第</w:t>
      </w:r>
      <w:r>
        <w:rPr>
          <w:rFonts w:ascii="宋体" w:hAnsi="宋体"/>
          <w:shd w:val="clear" w:color="auto" w:fill="FFFFFF"/>
        </w:rPr>
        <w:t>一篇</w:t>
      </w:r>
      <w:r>
        <w:rPr>
          <w:rFonts w:hint="eastAsia" w:ascii="宋体" w:hAnsi="宋体"/>
          <w:shd w:val="clear" w:color="auto" w:fill="FFFFFF"/>
        </w:rPr>
        <w:t xml:space="preserve"> 竞争性比选公告</w:t>
      </w:r>
    </w:p>
    <w:p>
      <w:pPr>
        <w:pageBreakBefore w:val="0"/>
        <w:widowControl w:val="0"/>
        <w:kinsoku/>
        <w:wordWrap/>
        <w:overflowPunct/>
        <w:topLinePunct w:val="0"/>
        <w:autoSpaceDE/>
        <w:autoSpaceDN/>
        <w:bidi w:val="0"/>
        <w:adjustRightInd/>
        <w:spacing w:line="400" w:lineRule="exact"/>
        <w:ind w:right="0" w:rightChars="0"/>
        <w:textAlignment w:val="auto"/>
        <w:rPr>
          <w:rFonts w:ascii="宋体" w:hAnsi="宋体" w:cs="仿宋"/>
          <w:b/>
          <w:bCs/>
          <w:sz w:val="24"/>
          <w:shd w:val="clear" w:color="auto" w:fill="FFFFFF"/>
        </w:rPr>
      </w:pPr>
      <w:bookmarkStart w:id="0" w:name="_Toc364092047"/>
      <w:bookmarkStart w:id="1" w:name="_Toc363658624"/>
      <w:bookmarkStart w:id="2" w:name="_Toc363658041"/>
      <w:bookmarkStart w:id="3" w:name="_Toc18337216"/>
      <w:r>
        <w:rPr>
          <w:rFonts w:hint="eastAsia" w:ascii="宋体" w:hAnsi="宋体" w:cs="仿宋"/>
          <w:b/>
          <w:bCs/>
          <w:sz w:val="24"/>
          <w:shd w:val="clear" w:color="auto" w:fill="FFFFFF"/>
        </w:rPr>
        <w:t>一、竞争性比选</w:t>
      </w:r>
      <w:r>
        <w:rPr>
          <w:rFonts w:ascii="宋体" w:hAnsi="宋体" w:cs="仿宋"/>
          <w:b/>
          <w:bCs/>
          <w:sz w:val="24"/>
          <w:shd w:val="clear" w:color="auto" w:fill="FFFFFF"/>
        </w:rPr>
        <w:t>条件</w:t>
      </w:r>
      <w:bookmarkEnd w:id="0"/>
      <w:bookmarkEnd w:id="1"/>
      <w:bookmarkEnd w:id="2"/>
      <w:bookmarkEnd w:id="3"/>
    </w:p>
    <w:p>
      <w:pPr>
        <w:pStyle w:val="10"/>
        <w:pageBreakBefore w:val="0"/>
        <w:widowControl w:val="0"/>
        <w:kinsoku/>
        <w:wordWrap/>
        <w:overflowPunct/>
        <w:topLinePunct w:val="0"/>
        <w:autoSpaceDE/>
        <w:autoSpaceDN/>
        <w:bidi w:val="0"/>
        <w:adjustRightInd/>
        <w:spacing w:line="400" w:lineRule="exact"/>
        <w:ind w:left="96" w:right="0" w:rightChars="0" w:firstLine="420" w:firstLineChars="200"/>
        <w:jc w:val="left"/>
        <w:textAlignment w:val="auto"/>
        <w:rPr>
          <w:rFonts w:ascii="宋体" w:hAnsi="宋体" w:cs="宋体"/>
          <w:b/>
          <w:bCs/>
          <w:szCs w:val="28"/>
        </w:rPr>
      </w:pPr>
      <w:r>
        <w:rPr>
          <w:rFonts w:hint="eastAsia" w:ascii="宋体" w:hAnsi="宋体" w:cs="宋体"/>
          <w:szCs w:val="28"/>
        </w:rPr>
        <w:t>本</w:t>
      </w:r>
      <w:r>
        <w:rPr>
          <w:rFonts w:hint="eastAsia" w:ascii="宋体" w:hAnsi="宋体" w:cs="宋体"/>
          <w:szCs w:val="28"/>
          <w:lang w:val="zh-CN"/>
        </w:rPr>
        <w:t>竞争性比选</w:t>
      </w:r>
      <w:r>
        <w:rPr>
          <w:rFonts w:hint="eastAsia" w:ascii="宋体" w:hAnsi="宋体" w:cs="宋体"/>
          <w:szCs w:val="28"/>
        </w:rPr>
        <w:t>项目</w:t>
      </w:r>
      <w:r>
        <w:rPr>
          <w:rFonts w:hint="eastAsia" w:ascii="宋体" w:hAnsi="宋体" w:cs="宋体"/>
          <w:b/>
          <w:bCs/>
          <w:szCs w:val="28"/>
          <w:u w:val="single"/>
        </w:rPr>
        <w:t>合长高速石船服务区（左、右）加油加气站站房、</w:t>
      </w:r>
      <w:r>
        <w:rPr>
          <w:rFonts w:hint="eastAsia" w:ascii="宋体" w:hAnsi="宋体" w:cs="宋体"/>
          <w:b/>
          <w:bCs/>
          <w:szCs w:val="28"/>
          <w:u w:val="single"/>
          <w:lang w:eastAsia="zh-CN"/>
        </w:rPr>
        <w:t>罩棚、双层储油罐及双层输油管道</w:t>
      </w:r>
      <w:r>
        <w:rPr>
          <w:rFonts w:hint="eastAsia" w:ascii="宋体" w:hAnsi="宋体" w:cs="宋体"/>
          <w:b/>
          <w:bCs/>
          <w:szCs w:val="28"/>
          <w:u w:val="single"/>
        </w:rPr>
        <w:t>施工质量检测项目</w:t>
      </w:r>
      <w:r>
        <w:rPr>
          <w:rFonts w:hint="eastAsia" w:ascii="宋体" w:hAnsi="宋体" w:cs="宋体"/>
          <w:szCs w:val="28"/>
        </w:rPr>
        <w:t>，项目业主为</w:t>
      </w:r>
      <w:r>
        <w:rPr>
          <w:rFonts w:hint="eastAsia" w:ascii="宋体" w:hAnsi="宋体" w:cs="宋体"/>
          <w:b/>
          <w:bCs/>
          <w:szCs w:val="28"/>
          <w:u w:val="single"/>
        </w:rPr>
        <w:t>重庆高速中油渝富能源发展有限公司</w:t>
      </w:r>
      <w:r>
        <w:rPr>
          <w:rFonts w:hint="eastAsia" w:ascii="宋体" w:hAnsi="宋体" w:cs="宋体"/>
          <w:szCs w:val="28"/>
        </w:rPr>
        <w:t>，建设资金来自</w:t>
      </w:r>
      <w:r>
        <w:rPr>
          <w:rFonts w:hint="eastAsia" w:ascii="宋体" w:hAnsi="宋体" w:cs="宋体"/>
          <w:b/>
          <w:bCs/>
          <w:szCs w:val="28"/>
          <w:u w:val="single"/>
        </w:rPr>
        <w:t>业主自筹</w:t>
      </w:r>
      <w:r>
        <w:rPr>
          <w:rFonts w:hint="eastAsia" w:ascii="宋体" w:hAnsi="宋体" w:cs="宋体"/>
          <w:szCs w:val="28"/>
        </w:rPr>
        <w:t>，项目已具备</w:t>
      </w:r>
      <w:r>
        <w:rPr>
          <w:rFonts w:hint="eastAsia" w:ascii="宋体" w:hAnsi="宋体" w:cs="宋体"/>
          <w:szCs w:val="28"/>
          <w:lang w:val="zh-CN"/>
        </w:rPr>
        <w:t>竞争性比选</w:t>
      </w:r>
      <w:r>
        <w:rPr>
          <w:rFonts w:hint="eastAsia" w:ascii="宋体" w:hAnsi="宋体" w:cs="宋体"/>
          <w:szCs w:val="28"/>
        </w:rPr>
        <w:t>条件，现欢迎各</w:t>
      </w:r>
      <w:r>
        <w:rPr>
          <w:rFonts w:ascii="宋体" w:hAnsi="宋体" w:cs="宋体"/>
          <w:szCs w:val="28"/>
        </w:rPr>
        <w:t>潜</w:t>
      </w:r>
      <w:r>
        <w:rPr>
          <w:rFonts w:hint="eastAsia" w:ascii="宋体" w:hAnsi="宋体" w:cs="宋体"/>
          <w:szCs w:val="28"/>
        </w:rPr>
        <w:t>在比选申请人参加本项目的公开竞争性比选报价。</w:t>
      </w:r>
    </w:p>
    <w:p>
      <w:pPr>
        <w:pageBreakBefore w:val="0"/>
        <w:widowControl w:val="0"/>
        <w:kinsoku/>
        <w:wordWrap/>
        <w:overflowPunct/>
        <w:topLinePunct w:val="0"/>
        <w:autoSpaceDE/>
        <w:autoSpaceDN/>
        <w:bidi w:val="0"/>
        <w:adjustRightInd/>
        <w:spacing w:line="400" w:lineRule="exact"/>
        <w:ind w:right="0" w:rightChars="0"/>
        <w:textAlignment w:val="auto"/>
        <w:rPr>
          <w:rFonts w:ascii="宋体" w:hAnsi="宋体" w:cs="仿宋"/>
          <w:b/>
          <w:bCs/>
          <w:sz w:val="24"/>
          <w:shd w:val="clear" w:color="auto" w:fill="FFFFFF"/>
        </w:rPr>
      </w:pPr>
      <w:bookmarkStart w:id="4" w:name="_Toc364092049"/>
      <w:bookmarkStart w:id="5" w:name="_Toc152042289"/>
      <w:bookmarkStart w:id="6" w:name="_Toc363658043"/>
      <w:bookmarkStart w:id="7" w:name="_Toc144974481"/>
      <w:bookmarkStart w:id="8" w:name="_Toc18337217"/>
      <w:bookmarkStart w:id="9" w:name="_Toc363658626"/>
      <w:bookmarkStart w:id="10" w:name="_Toc152045513"/>
      <w:r>
        <w:rPr>
          <w:rFonts w:hint="eastAsia" w:ascii="宋体" w:hAnsi="宋体" w:cs="仿宋"/>
          <w:b/>
          <w:bCs/>
          <w:sz w:val="24"/>
          <w:shd w:val="clear" w:color="auto" w:fill="FFFFFF"/>
        </w:rPr>
        <w:t>二、</w:t>
      </w:r>
      <w:r>
        <w:rPr>
          <w:rFonts w:ascii="宋体" w:hAnsi="宋体" w:cs="仿宋"/>
          <w:b/>
          <w:bCs/>
          <w:sz w:val="24"/>
          <w:shd w:val="clear" w:color="auto" w:fill="FFFFFF"/>
        </w:rPr>
        <w:t>项目概况</w:t>
      </w:r>
      <w:bookmarkEnd w:id="4"/>
      <w:bookmarkEnd w:id="5"/>
      <w:bookmarkEnd w:id="6"/>
      <w:bookmarkEnd w:id="7"/>
      <w:bookmarkEnd w:id="8"/>
      <w:bookmarkEnd w:id="9"/>
      <w:bookmarkEnd w:id="10"/>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ascii="宋体" w:hAnsi="宋体" w:cs="宋体"/>
          <w:szCs w:val="28"/>
        </w:rPr>
      </w:pPr>
      <w:r>
        <w:rPr>
          <w:rFonts w:hint="eastAsia" w:ascii="宋体" w:hAnsi="宋体" w:cs="宋体"/>
          <w:szCs w:val="28"/>
        </w:rPr>
        <w:t>1、项目概况：本次竞争性比选包括合长高速石船服务区（左、右）加油加气站站房、</w:t>
      </w:r>
      <w:r>
        <w:rPr>
          <w:rFonts w:hint="eastAsia" w:ascii="宋体" w:hAnsi="宋体" w:cs="宋体"/>
          <w:szCs w:val="28"/>
          <w:lang w:eastAsia="zh-CN"/>
        </w:rPr>
        <w:t>罩棚、双层储油罐及双层输油管道</w:t>
      </w:r>
      <w:r>
        <w:rPr>
          <w:rFonts w:hint="eastAsia" w:ascii="宋体" w:hAnsi="宋体" w:cs="宋体"/>
          <w:szCs w:val="28"/>
        </w:rPr>
        <w:t xml:space="preserve">施工质量检测项目。  </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ascii="宋体" w:hAnsi="宋体" w:cs="宋体"/>
          <w:szCs w:val="28"/>
        </w:rPr>
      </w:pPr>
      <w:r>
        <w:rPr>
          <w:rFonts w:hint="eastAsia" w:ascii="宋体" w:hAnsi="宋体" w:cs="宋体"/>
          <w:szCs w:val="28"/>
        </w:rPr>
        <w:t>2、项目名称：合长高速石船服务区（左、右）加油加气站站房、</w:t>
      </w:r>
      <w:r>
        <w:rPr>
          <w:rFonts w:hint="eastAsia" w:ascii="宋体" w:hAnsi="宋体" w:cs="宋体"/>
          <w:szCs w:val="28"/>
          <w:lang w:eastAsia="zh-CN"/>
        </w:rPr>
        <w:t>罩棚、双层储油罐及双层输油管道</w:t>
      </w:r>
      <w:r>
        <w:rPr>
          <w:rFonts w:hint="eastAsia" w:ascii="宋体" w:hAnsi="宋体" w:cs="宋体"/>
          <w:szCs w:val="28"/>
        </w:rPr>
        <w:t>施工质量检测项目。</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ascii="宋体" w:hAnsi="宋体" w:cs="宋体"/>
          <w:szCs w:val="28"/>
        </w:rPr>
      </w:pPr>
      <w:r>
        <w:rPr>
          <w:rFonts w:hint="eastAsia" w:ascii="宋体" w:hAnsi="宋体" w:cs="宋体"/>
          <w:szCs w:val="28"/>
        </w:rPr>
        <w:t>3、项目地点：石船服务区（左、右）加油站位于重庆市渝北区石船镇。</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ascii="宋体" w:hAnsi="宋体" w:cs="宋体"/>
          <w:szCs w:val="28"/>
        </w:rPr>
      </w:pPr>
      <w:r>
        <w:rPr>
          <w:rFonts w:hint="eastAsia" w:ascii="宋体" w:hAnsi="宋体" w:cs="宋体"/>
          <w:szCs w:val="28"/>
        </w:rPr>
        <w:t>4、服务期：比选人发出通知后20个工作日内完成各分项服务内容。</w:t>
      </w:r>
    </w:p>
    <w:p>
      <w:pPr>
        <w:pageBreakBefore w:val="0"/>
        <w:widowControl w:val="0"/>
        <w:kinsoku/>
        <w:wordWrap/>
        <w:overflowPunct/>
        <w:topLinePunct w:val="0"/>
        <w:autoSpaceDE/>
        <w:autoSpaceDN/>
        <w:bidi w:val="0"/>
        <w:adjustRightInd/>
        <w:spacing w:line="400" w:lineRule="exact"/>
        <w:ind w:right="0" w:rightChars="0"/>
        <w:textAlignment w:val="auto"/>
        <w:rPr>
          <w:rFonts w:ascii="宋体" w:hAnsi="宋体" w:cs="仿宋"/>
          <w:b/>
          <w:bCs/>
          <w:sz w:val="24"/>
          <w:shd w:val="clear" w:color="auto" w:fill="FFFFFF"/>
        </w:rPr>
      </w:pPr>
      <w:r>
        <w:rPr>
          <w:rFonts w:hint="eastAsia" w:ascii="宋体" w:hAnsi="宋体" w:cs="仿宋"/>
          <w:b/>
          <w:bCs/>
          <w:sz w:val="24"/>
          <w:shd w:val="clear" w:color="auto" w:fill="FFFFFF"/>
        </w:rPr>
        <w:t>三、竞争性比选申请人资格要求（须同时满足以下要求）：</w:t>
      </w:r>
      <w:bookmarkStart w:id="11" w:name="_Toc296602413"/>
      <w:bookmarkEnd w:id="11"/>
      <w:bookmarkStart w:id="12" w:name="_Toc246996912"/>
      <w:bookmarkEnd w:id="12"/>
      <w:bookmarkStart w:id="13" w:name="_Toc247085683"/>
      <w:bookmarkEnd w:id="13"/>
      <w:bookmarkStart w:id="14" w:name="_Toc246996169"/>
      <w:bookmarkEnd w:id="14"/>
      <w:bookmarkStart w:id="15" w:name="_Toc179632539"/>
      <w:bookmarkEnd w:id="15"/>
      <w:bookmarkStart w:id="16" w:name="_Toc152045522"/>
      <w:bookmarkEnd w:id="16"/>
      <w:bookmarkStart w:id="17" w:name="_Toc152042298"/>
      <w:bookmarkEnd w:id="17"/>
      <w:bookmarkStart w:id="18" w:name="_Toc144974490"/>
      <w:bookmarkEnd w:id="18"/>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szCs w:val="28"/>
        </w:rPr>
      </w:pPr>
      <w:r>
        <w:rPr>
          <w:rFonts w:hint="eastAsia" w:ascii="宋体" w:hAnsi="宋体" w:cs="宋体"/>
          <w:szCs w:val="28"/>
        </w:rPr>
        <w:t>1.营业执照</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szCs w:val="28"/>
        </w:rPr>
      </w:pPr>
      <w:r>
        <w:rPr>
          <w:rFonts w:hint="eastAsia" w:ascii="宋体" w:hAnsi="宋体" w:cs="宋体"/>
          <w:szCs w:val="28"/>
        </w:rPr>
        <w:t>投标人须具有有效的营业执照。</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szCs w:val="28"/>
        </w:rPr>
      </w:pPr>
      <w:r>
        <w:rPr>
          <w:rFonts w:hint="eastAsia" w:ascii="宋体" w:hAnsi="宋体" w:cs="宋体"/>
          <w:szCs w:val="28"/>
        </w:rPr>
        <w:t>注：投标人须提供营业执照副本复印件，并加盖投标人单位公章。联合体投标的，联合体各方均须提供营业执照。</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szCs w:val="28"/>
        </w:rPr>
      </w:pPr>
      <w:r>
        <w:rPr>
          <w:rFonts w:hint="eastAsia" w:ascii="宋体" w:hAnsi="宋体" w:cs="宋体"/>
          <w:szCs w:val="28"/>
        </w:rPr>
        <w:t>2.一般纳税人资格</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szCs w:val="28"/>
        </w:rPr>
      </w:pPr>
      <w:r>
        <w:rPr>
          <w:rFonts w:hint="eastAsia" w:ascii="宋体" w:hAnsi="宋体" w:cs="宋体"/>
          <w:szCs w:val="28"/>
        </w:rPr>
        <w:t>投标人须具有一般纳税人资格。注：投标人须提供其拥有增值税一般纳税人资格的证明文件，提供以下①、②项之一证明文件均可：</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szCs w:val="28"/>
        </w:rPr>
      </w:pPr>
      <w:r>
        <w:rPr>
          <w:rFonts w:hint="eastAsia" w:ascii="宋体" w:hAnsi="宋体" w:cs="宋体"/>
          <w:szCs w:val="28"/>
        </w:rPr>
        <w:t>①《增值税一般纳税人资格登记表》或《一般纳税人资格证书》复印件；</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szCs w:val="28"/>
        </w:rPr>
      </w:pPr>
      <w:r>
        <w:rPr>
          <w:rFonts w:hint="eastAsia" w:ascii="宋体" w:hAnsi="宋体" w:cs="宋体"/>
          <w:szCs w:val="28"/>
        </w:rPr>
        <w:t>②已办理“三证合一”的企业需提供由其主管国税机关出具的一般纳税人税务事项通知书复印件。</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szCs w:val="28"/>
        </w:rPr>
      </w:pPr>
      <w:r>
        <w:rPr>
          <w:rFonts w:hint="eastAsia" w:ascii="宋体" w:hAnsi="宋体" w:cs="宋体"/>
          <w:szCs w:val="28"/>
        </w:rPr>
        <w:t>证明资料的复印件须加盖投标人单位公章。</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szCs w:val="28"/>
        </w:rPr>
      </w:pPr>
      <w:r>
        <w:rPr>
          <w:rFonts w:hint="eastAsia" w:ascii="宋体" w:hAnsi="宋体" w:cs="宋体"/>
          <w:szCs w:val="28"/>
        </w:rPr>
        <w:t>3.认证证书</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szCs w:val="28"/>
        </w:rPr>
      </w:pPr>
      <w:r>
        <w:rPr>
          <w:rFonts w:hint="eastAsia" w:ascii="宋体" w:hAnsi="宋体" w:cs="宋体"/>
          <w:szCs w:val="28"/>
        </w:rPr>
        <w:t>投标人须具有国家认证认可监督管理委员会或国家质量监督检验检疫总局或省技术监督主管部门颁发的计量认证证书（CMA）。注：投标人须提供计量认证证书复印件，并加盖投标人单位公章。</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szCs w:val="28"/>
        </w:rPr>
      </w:pPr>
      <w:r>
        <w:rPr>
          <w:rFonts w:hint="eastAsia" w:ascii="宋体" w:hAnsi="宋体" w:cs="宋体"/>
          <w:szCs w:val="28"/>
        </w:rPr>
        <w:t>4.资质条件</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default" w:eastAsia="宋体"/>
          <w:lang w:val="en-US" w:eastAsia="zh-CN"/>
        </w:rPr>
      </w:pPr>
      <w:r>
        <w:rPr>
          <w:rFonts w:hint="eastAsia" w:ascii="宋体" w:hAnsi="宋体" w:cs="宋体"/>
          <w:szCs w:val="28"/>
        </w:rPr>
        <w:t>投标人须具有省级（直辖市、自治区 ）以上建设行政主管部门颁发的建设工程质量检测机构资质证书（检测类别须同时包含见证取样检测、地基基础工程检测、主体结构检测、钢结构检测、建筑门窗检测、室内环境检测、建筑制品检测、市政道路及桥梁检测）</w:t>
      </w:r>
      <w:r>
        <w:rPr>
          <w:rFonts w:hint="eastAsia" w:ascii="宋体" w:hAnsi="宋体" w:cs="宋体"/>
          <w:szCs w:val="28"/>
          <w:lang w:eastAsia="zh-CN"/>
        </w:rPr>
        <w:t>。</w:t>
      </w:r>
      <w:r>
        <w:rPr>
          <w:rFonts w:hint="eastAsia" w:ascii="宋体" w:hAnsi="宋体" w:cs="宋体"/>
          <w:szCs w:val="28"/>
        </w:rPr>
        <w:t>注：投标人须提供有效的资质证书副本复印件，并加盖投标人单位公章。</w:t>
      </w:r>
    </w:p>
    <w:p>
      <w:pPr>
        <w:pageBreakBefore w:val="0"/>
        <w:widowControl w:val="0"/>
        <w:kinsoku/>
        <w:wordWrap/>
        <w:overflowPunct/>
        <w:topLinePunct w:val="0"/>
        <w:autoSpaceDE/>
        <w:autoSpaceDN/>
        <w:bidi w:val="0"/>
        <w:adjustRightInd/>
        <w:spacing w:line="400" w:lineRule="exact"/>
        <w:ind w:right="0" w:rightChars="0"/>
        <w:textAlignment w:val="auto"/>
        <w:rPr>
          <w:rFonts w:ascii="宋体" w:hAnsi="宋体" w:cs="仿宋"/>
          <w:b/>
          <w:bCs/>
          <w:sz w:val="24"/>
          <w:shd w:val="clear" w:color="auto" w:fill="FFFFFF"/>
        </w:rPr>
      </w:pPr>
      <w:r>
        <w:rPr>
          <w:rFonts w:hint="eastAsia" w:ascii="宋体" w:hAnsi="宋体" w:cs="仿宋"/>
          <w:b/>
          <w:bCs/>
          <w:sz w:val="24"/>
          <w:shd w:val="clear" w:color="auto" w:fill="FFFFFF"/>
        </w:rPr>
        <w:t>四、竞争性比选文件的获取</w:t>
      </w:r>
    </w:p>
    <w:p>
      <w:pPr>
        <w:pageBreakBefore w:val="0"/>
        <w:widowControl w:val="0"/>
        <w:kinsoku/>
        <w:wordWrap/>
        <w:overflowPunct/>
        <w:topLinePunct w:val="0"/>
        <w:autoSpaceDE/>
        <w:autoSpaceDN/>
        <w:bidi w:val="0"/>
        <w:adjustRightInd/>
        <w:spacing w:line="400" w:lineRule="exact"/>
        <w:ind w:right="0" w:rightChars="0" w:firstLine="420" w:firstLineChars="200"/>
        <w:jc w:val="both"/>
        <w:textAlignment w:val="auto"/>
        <w:rPr>
          <w:rFonts w:hint="eastAsia" w:ascii="宋体" w:hAnsi="宋体" w:cs="宋体"/>
          <w:bCs/>
          <w:szCs w:val="28"/>
        </w:rPr>
      </w:pPr>
      <w:r>
        <w:rPr>
          <w:rFonts w:hint="eastAsia" w:ascii="宋体" w:hAnsi="宋体" w:cs="宋体"/>
          <w:bCs/>
          <w:szCs w:val="28"/>
          <w:lang w:val="en-US" w:eastAsia="zh-CN"/>
        </w:rPr>
        <w:t>1、</w:t>
      </w:r>
      <w:r>
        <w:rPr>
          <w:rFonts w:hint="eastAsia" w:ascii="宋体" w:hAnsi="宋体" w:cs="宋体"/>
          <w:bCs/>
          <w:szCs w:val="28"/>
        </w:rPr>
        <w:t>凡有意参加竞标者，请于2021年</w:t>
      </w:r>
      <w:r>
        <w:rPr>
          <w:rFonts w:hint="eastAsia" w:ascii="宋体" w:hAnsi="宋体" w:cs="宋体"/>
          <w:bCs/>
          <w:szCs w:val="28"/>
          <w:lang w:val="en-US" w:eastAsia="zh-CN"/>
        </w:rPr>
        <w:t xml:space="preserve"> 9 </w:t>
      </w:r>
      <w:r>
        <w:rPr>
          <w:rFonts w:hint="eastAsia" w:ascii="宋体" w:hAnsi="宋体" w:cs="宋体"/>
          <w:bCs/>
          <w:szCs w:val="28"/>
        </w:rPr>
        <w:t>月</w:t>
      </w:r>
      <w:r>
        <w:rPr>
          <w:rFonts w:hint="eastAsia" w:ascii="宋体" w:hAnsi="宋体" w:cs="宋体"/>
          <w:bCs/>
          <w:szCs w:val="28"/>
          <w:lang w:val="en-US" w:eastAsia="zh-CN"/>
        </w:rPr>
        <w:t xml:space="preserve"> 24 </w:t>
      </w:r>
      <w:r>
        <w:rPr>
          <w:rFonts w:hint="eastAsia" w:ascii="宋体" w:hAnsi="宋体" w:cs="宋体"/>
          <w:bCs/>
          <w:szCs w:val="28"/>
        </w:rPr>
        <w:t>日（北京时间，下同）起在高速集团官网</w:t>
      </w:r>
      <w:r>
        <w:rPr>
          <w:rFonts w:hint="eastAsia" w:ascii="宋体" w:hAnsi="宋体" w:cs="宋体"/>
          <w:bCs/>
          <w:szCs w:val="28"/>
          <w:lang w:eastAsia="zh-CN"/>
        </w:rPr>
        <w:t>（</w:t>
      </w:r>
      <w:r>
        <w:rPr>
          <w:rFonts w:hint="eastAsia" w:ascii="宋体" w:hAnsi="宋体" w:cs="宋体"/>
          <w:bCs/>
          <w:szCs w:val="28"/>
        </w:rPr>
        <w:t>http://www.cegc.com.cn/gw/index</w:t>
      </w:r>
      <w:r>
        <w:rPr>
          <w:rFonts w:hint="eastAsia" w:ascii="宋体" w:hAnsi="宋体" w:cs="宋体"/>
          <w:bCs/>
          <w:szCs w:val="28"/>
          <w:lang w:eastAsia="zh-CN"/>
        </w:rPr>
        <w:t>）、</w:t>
      </w:r>
      <w:r>
        <w:rPr>
          <w:rFonts w:hint="eastAsia" w:ascii="宋体" w:hAnsi="宋体" w:cs="宋体"/>
          <w:bCs/>
          <w:szCs w:val="28"/>
          <w:lang w:val="en-US" w:eastAsia="zh-CN"/>
        </w:rPr>
        <w:t>高速</w:t>
      </w:r>
      <w:r>
        <w:rPr>
          <w:rFonts w:hint="eastAsia" w:ascii="宋体" w:hAnsi="宋体" w:cs="宋体"/>
          <w:bCs/>
          <w:szCs w:val="28"/>
        </w:rPr>
        <w:t>集团招</w:t>
      </w:r>
      <w:r>
        <w:rPr>
          <w:rFonts w:hint="eastAsia" w:ascii="宋体" w:hAnsi="宋体" w:cs="宋体"/>
          <w:bCs/>
          <w:szCs w:val="28"/>
          <w:lang w:val="en-US" w:eastAsia="zh-CN"/>
        </w:rPr>
        <w:t>投</w:t>
      </w:r>
      <w:r>
        <w:rPr>
          <w:rFonts w:hint="eastAsia" w:ascii="宋体" w:hAnsi="宋体" w:cs="宋体"/>
          <w:bCs/>
          <w:szCs w:val="28"/>
          <w:lang w:eastAsia="zh-CN"/>
        </w:rPr>
        <w:t>标</w:t>
      </w:r>
      <w:r>
        <w:rPr>
          <w:rFonts w:hint="eastAsia" w:ascii="宋体" w:hAnsi="宋体" w:cs="宋体"/>
          <w:bCs/>
          <w:szCs w:val="28"/>
        </w:rPr>
        <w:t>平台</w:t>
      </w:r>
      <w:r>
        <w:rPr>
          <w:rFonts w:hint="eastAsia" w:ascii="宋体" w:hAnsi="宋体" w:cs="宋体"/>
          <w:bCs/>
          <w:szCs w:val="28"/>
          <w:lang w:eastAsia="zh-CN"/>
        </w:rPr>
        <w:t>（</w:t>
      </w:r>
      <w:r>
        <w:rPr>
          <w:rFonts w:hint="eastAsia" w:ascii="宋体" w:hAnsi="宋体" w:cs="宋体"/>
          <w:bCs/>
          <w:szCs w:val="28"/>
        </w:rPr>
        <w:fldChar w:fldCharType="begin"/>
      </w:r>
      <w:r>
        <w:rPr>
          <w:rFonts w:hint="eastAsia" w:ascii="宋体" w:hAnsi="宋体" w:cs="宋体"/>
          <w:bCs/>
          <w:szCs w:val="28"/>
        </w:rPr>
        <w:instrText xml:space="preserve"> HYPERLINK "http://43.240.249.108:8088" </w:instrText>
      </w:r>
      <w:r>
        <w:rPr>
          <w:rFonts w:hint="eastAsia" w:ascii="宋体" w:hAnsi="宋体" w:cs="宋体"/>
          <w:bCs/>
          <w:szCs w:val="28"/>
        </w:rPr>
        <w:fldChar w:fldCharType="separate"/>
      </w:r>
      <w:r>
        <w:rPr>
          <w:rFonts w:hint="eastAsia" w:ascii="宋体" w:hAnsi="宋体" w:cs="宋体"/>
          <w:bCs/>
          <w:szCs w:val="28"/>
        </w:rPr>
        <w:t>http://43.240.249.108:8088</w:t>
      </w:r>
      <w:r>
        <w:rPr>
          <w:rFonts w:hint="eastAsia" w:ascii="宋体" w:hAnsi="宋体" w:cs="宋体"/>
          <w:bCs/>
          <w:szCs w:val="28"/>
        </w:rPr>
        <w:fldChar w:fldCharType="end"/>
      </w:r>
      <w:r>
        <w:rPr>
          <w:rFonts w:hint="eastAsia" w:ascii="宋体" w:hAnsi="宋体" w:cs="宋体"/>
          <w:bCs/>
          <w:szCs w:val="28"/>
          <w:lang w:eastAsia="zh-CN"/>
        </w:rPr>
        <w:t>）</w:t>
      </w:r>
      <w:r>
        <w:rPr>
          <w:rFonts w:hint="eastAsia" w:ascii="宋体" w:hAnsi="宋体" w:cs="宋体"/>
          <w:bCs/>
          <w:szCs w:val="28"/>
        </w:rPr>
        <w:t>上自行下载竞争性比选文件等全部内容。不管下载与否都视为潜在比选申请人全部知晓有关比选过程和全部内容。</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rPr>
      </w:pPr>
      <w:r>
        <w:rPr>
          <w:rFonts w:hint="eastAsia" w:ascii="宋体" w:hAnsi="宋体" w:cs="宋体"/>
          <w:bCs/>
          <w:szCs w:val="28"/>
          <w:lang w:val="en-US" w:eastAsia="zh-CN"/>
        </w:rPr>
        <w:t>2、</w:t>
      </w:r>
      <w:r>
        <w:rPr>
          <w:rFonts w:hint="eastAsia" w:ascii="宋体" w:hAnsi="宋体" w:cs="宋体"/>
          <w:bCs/>
          <w:szCs w:val="28"/>
          <w:lang w:eastAsia="zh-CN"/>
        </w:rPr>
        <w:t>竞争性比选</w:t>
      </w:r>
      <w:r>
        <w:rPr>
          <w:rFonts w:hint="eastAsia" w:ascii="宋体" w:hAnsi="宋体" w:cs="宋体"/>
          <w:bCs/>
          <w:szCs w:val="28"/>
          <w:lang w:val="en-US" w:eastAsia="zh-CN"/>
        </w:rPr>
        <w:t>报价文件提交</w:t>
      </w:r>
      <w:r>
        <w:rPr>
          <w:rFonts w:hint="eastAsia" w:ascii="宋体" w:hAnsi="宋体" w:cs="宋体"/>
          <w:bCs/>
          <w:szCs w:val="28"/>
        </w:rPr>
        <w:t>截止时间</w:t>
      </w:r>
      <w:r>
        <w:rPr>
          <w:rFonts w:hint="eastAsia" w:ascii="宋体" w:hAnsi="宋体" w:cs="宋体"/>
          <w:bCs/>
          <w:szCs w:val="28"/>
          <w:lang w:eastAsia="zh-CN"/>
        </w:rPr>
        <w:t>（</w:t>
      </w:r>
      <w:r>
        <w:rPr>
          <w:rFonts w:hint="eastAsia" w:ascii="宋体" w:hAnsi="宋体" w:cs="宋体"/>
          <w:bCs/>
          <w:szCs w:val="28"/>
          <w:lang w:val="en-US" w:eastAsia="zh-CN"/>
        </w:rPr>
        <w:t>即开标时间</w:t>
      </w:r>
      <w:r>
        <w:rPr>
          <w:rFonts w:hint="eastAsia" w:ascii="宋体" w:hAnsi="宋体" w:cs="宋体"/>
          <w:bCs/>
          <w:szCs w:val="28"/>
          <w:lang w:eastAsia="zh-CN"/>
        </w:rPr>
        <w:t>）</w:t>
      </w:r>
      <w:r>
        <w:rPr>
          <w:rFonts w:hint="eastAsia" w:ascii="宋体" w:hAnsi="宋体" w:cs="宋体"/>
          <w:bCs/>
          <w:szCs w:val="28"/>
        </w:rPr>
        <w:t>：</w:t>
      </w:r>
      <w:r>
        <w:rPr>
          <w:rFonts w:hint="eastAsia" w:ascii="宋体" w:hAnsi="宋体" w:cs="宋体"/>
          <w:bCs/>
          <w:szCs w:val="28"/>
          <w:lang w:val="en-US" w:eastAsia="zh-CN"/>
        </w:rPr>
        <w:t xml:space="preserve">  2021</w:t>
      </w:r>
      <w:r>
        <w:rPr>
          <w:rFonts w:hint="eastAsia" w:ascii="宋体" w:hAnsi="宋体" w:cs="宋体"/>
          <w:bCs/>
          <w:szCs w:val="28"/>
        </w:rPr>
        <w:t>年</w:t>
      </w:r>
      <w:r>
        <w:rPr>
          <w:rFonts w:hint="eastAsia" w:ascii="宋体" w:hAnsi="宋体" w:cs="宋体"/>
          <w:bCs/>
          <w:szCs w:val="28"/>
          <w:lang w:val="en-US" w:eastAsia="zh-CN"/>
        </w:rPr>
        <w:t xml:space="preserve"> 9 </w:t>
      </w:r>
      <w:r>
        <w:rPr>
          <w:rFonts w:hint="eastAsia" w:ascii="宋体" w:hAnsi="宋体" w:cs="宋体"/>
          <w:bCs/>
          <w:szCs w:val="28"/>
        </w:rPr>
        <w:t>月</w:t>
      </w:r>
      <w:r>
        <w:rPr>
          <w:rFonts w:hint="eastAsia" w:ascii="宋体" w:hAnsi="宋体" w:cs="宋体"/>
          <w:bCs/>
          <w:szCs w:val="28"/>
          <w:lang w:val="en-US" w:eastAsia="zh-CN"/>
        </w:rPr>
        <w:t xml:space="preserve"> 29 </w:t>
      </w:r>
      <w:r>
        <w:rPr>
          <w:rFonts w:hint="eastAsia" w:ascii="宋体" w:hAnsi="宋体" w:cs="宋体"/>
          <w:bCs/>
          <w:szCs w:val="28"/>
        </w:rPr>
        <w:t>日</w:t>
      </w:r>
      <w:r>
        <w:rPr>
          <w:rFonts w:hint="eastAsia" w:ascii="宋体" w:hAnsi="宋体" w:cs="宋体"/>
          <w:bCs/>
          <w:szCs w:val="28"/>
          <w:lang w:val="en-US" w:eastAsia="zh-CN"/>
        </w:rPr>
        <w:t>9</w:t>
      </w:r>
      <w:r>
        <w:rPr>
          <w:rFonts w:hint="eastAsia" w:ascii="宋体" w:hAnsi="宋体" w:cs="宋体"/>
          <w:bCs/>
          <w:szCs w:val="28"/>
        </w:rPr>
        <w:t>时00分（北京时间）。</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3、</w:t>
      </w:r>
      <w:r>
        <w:rPr>
          <w:rFonts w:hint="eastAsia" w:ascii="宋体" w:hAnsi="宋体" w:cs="宋体"/>
          <w:bCs/>
          <w:szCs w:val="28"/>
          <w:lang w:eastAsia="zh-CN"/>
        </w:rPr>
        <w:t>竞争性比选</w:t>
      </w:r>
      <w:r>
        <w:rPr>
          <w:rFonts w:hint="eastAsia" w:ascii="宋体" w:hAnsi="宋体" w:cs="宋体"/>
          <w:bCs/>
          <w:szCs w:val="28"/>
        </w:rPr>
        <w:t>地点：</w:t>
      </w:r>
      <w:r>
        <w:rPr>
          <w:rFonts w:hint="eastAsia" w:ascii="宋体" w:hAnsi="宋体" w:cs="宋体"/>
          <w:bCs/>
          <w:szCs w:val="28"/>
          <w:lang w:val="en-US" w:eastAsia="zh-CN"/>
        </w:rPr>
        <w:t>重庆市渝北区龙溪街道锦龙支路19号1幢201会议室</w:t>
      </w:r>
      <w:r>
        <w:rPr>
          <w:rFonts w:hint="eastAsia" w:ascii="宋体" w:hAnsi="宋体" w:cs="宋体"/>
          <w:bCs/>
          <w:szCs w:val="28"/>
        </w:rPr>
        <w:t>。</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rPr>
      </w:pPr>
      <w:r>
        <w:rPr>
          <w:rFonts w:hint="eastAsia" w:ascii="宋体" w:hAnsi="宋体" w:cs="宋体"/>
          <w:bCs/>
          <w:szCs w:val="28"/>
          <w:lang w:val="en-US" w:eastAsia="zh-CN"/>
        </w:rPr>
        <w:t>4</w:t>
      </w:r>
      <w:r>
        <w:rPr>
          <w:rFonts w:hint="eastAsia" w:ascii="宋体" w:hAnsi="宋体" w:cs="宋体"/>
          <w:bCs/>
          <w:szCs w:val="28"/>
          <w:lang w:eastAsia="zh-CN"/>
        </w:rPr>
        <w:t>、</w:t>
      </w:r>
      <w:r>
        <w:rPr>
          <w:rFonts w:hint="eastAsia" w:ascii="宋体" w:hAnsi="宋体" w:cs="宋体"/>
          <w:bCs/>
          <w:szCs w:val="28"/>
        </w:rPr>
        <w:t xml:space="preserve"> 逾期送达的或者未送达指定地点的比选申请文件，比选人不予受理。</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5、</w:t>
      </w:r>
      <w:r>
        <w:rPr>
          <w:rFonts w:hint="eastAsia" w:ascii="宋体" w:hAnsi="宋体" w:cs="宋体"/>
          <w:bCs/>
          <w:szCs w:val="28"/>
        </w:rPr>
        <w:t>各</w:t>
      </w:r>
      <w:r>
        <w:rPr>
          <w:rFonts w:hint="eastAsia" w:ascii="宋体" w:hAnsi="宋体" w:cs="宋体"/>
          <w:bCs/>
          <w:szCs w:val="28"/>
          <w:lang w:val="en-US" w:eastAsia="zh-CN"/>
        </w:rPr>
        <w:t>竞标</w:t>
      </w:r>
      <w:r>
        <w:rPr>
          <w:rFonts w:hint="eastAsia" w:ascii="宋体" w:hAnsi="宋体" w:cs="宋体"/>
          <w:bCs/>
          <w:szCs w:val="28"/>
        </w:rPr>
        <w:t>人应根据本次</w:t>
      </w:r>
      <w:r>
        <w:rPr>
          <w:rFonts w:hint="eastAsia" w:ascii="宋体" w:hAnsi="宋体" w:cs="宋体"/>
          <w:bCs/>
          <w:szCs w:val="28"/>
          <w:lang w:eastAsia="zh-CN"/>
        </w:rPr>
        <w:t>竞争性比选</w:t>
      </w:r>
      <w:r>
        <w:rPr>
          <w:rFonts w:hint="eastAsia" w:ascii="宋体" w:hAnsi="宋体" w:cs="宋体"/>
          <w:bCs/>
          <w:szCs w:val="28"/>
        </w:rPr>
        <w:t>的具体要求，编制规范的</w:t>
      </w:r>
      <w:r>
        <w:rPr>
          <w:rFonts w:hint="eastAsia" w:ascii="宋体" w:hAnsi="宋体" w:cs="宋体"/>
          <w:bCs/>
          <w:szCs w:val="28"/>
          <w:lang w:eastAsia="zh-CN"/>
        </w:rPr>
        <w:t>竞争性比选</w:t>
      </w:r>
      <w:r>
        <w:rPr>
          <w:rFonts w:hint="eastAsia" w:ascii="宋体" w:hAnsi="宋体" w:cs="宋体"/>
          <w:bCs/>
          <w:szCs w:val="28"/>
        </w:rPr>
        <w:t>响应文件（</w:t>
      </w:r>
      <w:r>
        <w:rPr>
          <w:rFonts w:hint="eastAsia" w:ascii="宋体" w:hAnsi="宋体" w:cs="宋体"/>
          <w:bCs/>
          <w:szCs w:val="28"/>
          <w:lang w:eastAsia="zh-CN"/>
        </w:rPr>
        <w:t>竞争性比选</w:t>
      </w:r>
      <w:r>
        <w:rPr>
          <w:rFonts w:hint="eastAsia" w:ascii="宋体" w:hAnsi="宋体" w:cs="宋体"/>
          <w:bCs/>
          <w:szCs w:val="28"/>
        </w:rPr>
        <w:t>响应文件，要求填写规范，密封完好并在封口处加盖单位公章，所有</w:t>
      </w:r>
      <w:r>
        <w:rPr>
          <w:rFonts w:hint="eastAsia" w:ascii="宋体" w:hAnsi="宋体" w:cs="宋体"/>
          <w:bCs/>
          <w:szCs w:val="28"/>
          <w:lang w:eastAsia="zh-CN"/>
        </w:rPr>
        <w:t>竞争性比选</w:t>
      </w:r>
      <w:r>
        <w:rPr>
          <w:rFonts w:hint="eastAsia" w:ascii="宋体" w:hAnsi="宋体" w:cs="宋体"/>
          <w:bCs/>
          <w:szCs w:val="28"/>
        </w:rPr>
        <w:t>响应文件均只能作一次性提交，提交后不得更改。</w:t>
      </w:r>
    </w:p>
    <w:p>
      <w:pPr>
        <w:pageBreakBefore w:val="0"/>
        <w:widowControl w:val="0"/>
        <w:kinsoku/>
        <w:wordWrap/>
        <w:overflowPunct/>
        <w:topLinePunct w:val="0"/>
        <w:autoSpaceDE/>
        <w:autoSpaceDN/>
        <w:bidi w:val="0"/>
        <w:adjustRightInd/>
        <w:spacing w:line="400" w:lineRule="exact"/>
        <w:ind w:right="0" w:rightChars="0"/>
        <w:textAlignment w:val="auto"/>
        <w:rPr>
          <w:rFonts w:ascii="宋体" w:hAnsi="宋体" w:cs="仿宋"/>
          <w:b/>
          <w:bCs/>
          <w:sz w:val="24"/>
          <w:shd w:val="clear" w:color="auto" w:fill="FFFFFF"/>
        </w:rPr>
      </w:pPr>
      <w:r>
        <w:rPr>
          <w:rFonts w:hint="eastAsia" w:ascii="宋体" w:hAnsi="宋体" w:cs="仿宋"/>
          <w:b/>
          <w:bCs/>
          <w:sz w:val="24"/>
          <w:shd w:val="clear" w:color="auto" w:fill="FFFFFF"/>
        </w:rPr>
        <w:t>五、监督部门</w:t>
      </w:r>
    </w:p>
    <w:p>
      <w:pPr>
        <w:pStyle w:val="10"/>
        <w:pageBreakBefore w:val="0"/>
        <w:widowControl w:val="0"/>
        <w:kinsoku/>
        <w:wordWrap/>
        <w:overflowPunct/>
        <w:topLinePunct w:val="0"/>
        <w:autoSpaceDE/>
        <w:autoSpaceDN/>
        <w:bidi w:val="0"/>
        <w:adjustRightInd/>
        <w:spacing w:line="400" w:lineRule="exact"/>
        <w:ind w:left="0" w:right="0" w:rightChars="0" w:firstLine="420" w:firstLineChars="200"/>
        <w:jc w:val="left"/>
        <w:textAlignment w:val="auto"/>
        <w:rPr>
          <w:rFonts w:ascii="宋体" w:hAnsi="宋体"/>
          <w:szCs w:val="28"/>
        </w:rPr>
      </w:pPr>
      <w:r>
        <w:rPr>
          <w:rFonts w:hint="eastAsia" w:ascii="宋体" w:hAnsi="宋体"/>
          <w:szCs w:val="28"/>
        </w:rPr>
        <w:t>本竞争性比选项目的监督部门为重庆高速中油富渝能源发展有限公司。</w:t>
      </w:r>
    </w:p>
    <w:p>
      <w:pPr>
        <w:pageBreakBefore w:val="0"/>
        <w:widowControl w:val="0"/>
        <w:kinsoku/>
        <w:wordWrap/>
        <w:overflowPunct/>
        <w:topLinePunct w:val="0"/>
        <w:autoSpaceDE/>
        <w:autoSpaceDN/>
        <w:bidi w:val="0"/>
        <w:adjustRightInd/>
        <w:spacing w:line="400" w:lineRule="exact"/>
        <w:ind w:right="0" w:rightChars="0"/>
        <w:textAlignment w:val="auto"/>
        <w:rPr>
          <w:rFonts w:ascii="宋体" w:hAnsi="宋体" w:cs="仿宋"/>
          <w:b/>
          <w:bCs/>
          <w:sz w:val="24"/>
          <w:shd w:val="clear" w:color="auto" w:fill="FFFFFF"/>
        </w:rPr>
      </w:pPr>
      <w:r>
        <w:rPr>
          <w:rFonts w:hint="eastAsia" w:ascii="宋体" w:hAnsi="宋体" w:cs="仿宋"/>
          <w:b/>
          <w:bCs/>
          <w:sz w:val="24"/>
          <w:shd w:val="clear" w:color="auto" w:fill="FFFFFF"/>
        </w:rPr>
        <w:t>六、竞争性比选申请文件组成及密封、份数要求</w:t>
      </w:r>
    </w:p>
    <w:p>
      <w:pPr>
        <w:pageBreakBefore w:val="0"/>
        <w:widowControl w:val="0"/>
        <w:kinsoku/>
        <w:wordWrap/>
        <w:overflowPunct/>
        <w:topLinePunct w:val="0"/>
        <w:autoSpaceDE/>
        <w:autoSpaceDN/>
        <w:bidi w:val="0"/>
        <w:adjustRightInd/>
        <w:spacing w:line="400" w:lineRule="exact"/>
        <w:ind w:right="0" w:rightChars="0" w:firstLine="422" w:firstLineChars="200"/>
        <w:textAlignment w:val="auto"/>
        <w:rPr>
          <w:rFonts w:ascii="宋体" w:hAnsi="宋体"/>
          <w:b/>
          <w:bCs/>
          <w:szCs w:val="28"/>
        </w:rPr>
      </w:pPr>
      <w:r>
        <w:rPr>
          <w:rFonts w:hint="eastAsia" w:ascii="宋体" w:hAnsi="宋体"/>
          <w:b/>
          <w:bCs/>
          <w:szCs w:val="28"/>
        </w:rPr>
        <w:t>1、竞争性比选申请文件组成：</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ascii="宋体" w:hAnsi="宋体"/>
          <w:szCs w:val="28"/>
        </w:rPr>
      </w:pPr>
      <w:r>
        <w:rPr>
          <w:rFonts w:hint="eastAsia" w:ascii="宋体" w:hAnsi="宋体"/>
          <w:szCs w:val="28"/>
        </w:rPr>
        <w:t>①报价函</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ascii="宋体" w:hAnsi="宋体"/>
          <w:szCs w:val="28"/>
        </w:rPr>
      </w:pPr>
      <w:r>
        <w:rPr>
          <w:rFonts w:hint="eastAsia" w:ascii="宋体" w:hAnsi="宋体"/>
          <w:szCs w:val="28"/>
        </w:rPr>
        <w:t>②法定代表人身份证明及授权委托书</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ascii="宋体" w:hAnsi="宋体"/>
          <w:szCs w:val="28"/>
        </w:rPr>
      </w:pPr>
      <w:r>
        <w:rPr>
          <w:rFonts w:hint="eastAsia" w:ascii="宋体" w:hAnsi="宋体"/>
          <w:szCs w:val="28"/>
        </w:rPr>
        <w:t>③有效的营业执照</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ascii="宋体" w:hAnsi="宋体"/>
          <w:szCs w:val="28"/>
        </w:rPr>
      </w:pPr>
      <w:r>
        <w:rPr>
          <w:rFonts w:hint="eastAsia" w:ascii="宋体" w:hAnsi="宋体"/>
          <w:szCs w:val="28"/>
        </w:rPr>
        <w:t>④有效的</w:t>
      </w:r>
      <w:r>
        <w:rPr>
          <w:rFonts w:hint="eastAsia" w:ascii="宋体" w:hAnsi="宋体" w:cs="宋体"/>
          <w:szCs w:val="28"/>
        </w:rPr>
        <w:t>资质</w:t>
      </w:r>
      <w:r>
        <w:rPr>
          <w:rFonts w:hint="eastAsia" w:ascii="宋体" w:hAnsi="宋体"/>
          <w:szCs w:val="28"/>
        </w:rPr>
        <w:t>证书</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ascii="宋体" w:hAnsi="宋体"/>
          <w:szCs w:val="28"/>
        </w:rPr>
      </w:pPr>
      <w:r>
        <w:rPr>
          <w:rFonts w:hint="eastAsia" w:ascii="宋体" w:hAnsi="宋体"/>
          <w:szCs w:val="28"/>
        </w:rPr>
        <w:t>⑤业绩证明</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ascii="宋体" w:hAnsi="宋体"/>
          <w:szCs w:val="28"/>
        </w:rPr>
      </w:pPr>
      <w:r>
        <w:rPr>
          <w:rFonts w:hint="eastAsia" w:ascii="宋体" w:hAnsi="宋体"/>
          <w:szCs w:val="28"/>
        </w:rPr>
        <w:t>⑥技术部分</w:t>
      </w:r>
    </w:p>
    <w:p>
      <w:pPr>
        <w:pageBreakBefore w:val="0"/>
        <w:widowControl w:val="0"/>
        <w:kinsoku/>
        <w:wordWrap/>
        <w:overflowPunct/>
        <w:topLinePunct w:val="0"/>
        <w:autoSpaceDE/>
        <w:autoSpaceDN/>
        <w:bidi w:val="0"/>
        <w:adjustRightInd/>
        <w:spacing w:line="400" w:lineRule="exact"/>
        <w:ind w:right="0" w:rightChars="0" w:firstLine="422" w:firstLineChars="200"/>
        <w:textAlignment w:val="auto"/>
        <w:rPr>
          <w:szCs w:val="21"/>
        </w:rPr>
      </w:pPr>
      <w:r>
        <w:rPr>
          <w:b/>
          <w:szCs w:val="21"/>
        </w:rPr>
        <w:t>（注：以上所有文件均须</w:t>
      </w:r>
      <w:r>
        <w:rPr>
          <w:rFonts w:hint="eastAsia"/>
          <w:b/>
          <w:szCs w:val="21"/>
        </w:rPr>
        <w:t>比选申请人</w:t>
      </w:r>
      <w:r>
        <w:rPr>
          <w:b/>
          <w:szCs w:val="21"/>
        </w:rPr>
        <w:t>法定代表人或其授权代理人签署并加盖单位公章）</w:t>
      </w:r>
    </w:p>
    <w:p>
      <w:pPr>
        <w:pageBreakBefore w:val="0"/>
        <w:widowControl w:val="0"/>
        <w:kinsoku/>
        <w:wordWrap/>
        <w:overflowPunct/>
        <w:topLinePunct w:val="0"/>
        <w:autoSpaceDE/>
        <w:autoSpaceDN/>
        <w:bidi w:val="0"/>
        <w:adjustRightInd/>
        <w:spacing w:line="400" w:lineRule="exact"/>
        <w:ind w:right="0" w:rightChars="0" w:firstLine="422" w:firstLineChars="200"/>
        <w:textAlignment w:val="auto"/>
        <w:rPr>
          <w:rFonts w:ascii="宋体" w:hAnsi="宋体"/>
          <w:b/>
          <w:bCs/>
          <w:szCs w:val="28"/>
        </w:rPr>
      </w:pPr>
      <w:r>
        <w:rPr>
          <w:rFonts w:hint="eastAsia" w:ascii="宋体" w:hAnsi="宋体"/>
          <w:b/>
          <w:bCs/>
          <w:szCs w:val="28"/>
        </w:rPr>
        <w:t>2、密封要求：</w:t>
      </w:r>
    </w:p>
    <w:p>
      <w:pPr>
        <w:pageBreakBefore w:val="0"/>
        <w:widowControl w:val="0"/>
        <w:kinsoku/>
        <w:wordWrap/>
        <w:overflowPunct/>
        <w:topLinePunct w:val="0"/>
        <w:autoSpaceDE/>
        <w:autoSpaceDN/>
        <w:bidi w:val="0"/>
        <w:adjustRightInd/>
        <w:spacing w:line="400" w:lineRule="exact"/>
        <w:ind w:right="0" w:rightChars="0" w:firstLine="480"/>
        <w:textAlignment w:val="auto"/>
        <w:rPr>
          <w:rFonts w:ascii="宋体" w:hAnsi="宋体" w:cs="宋体"/>
          <w:b/>
          <w:kern w:val="1"/>
          <w:sz w:val="24"/>
          <w:shd w:val="clear" w:color="auto" w:fill="FFFFFF"/>
        </w:rPr>
      </w:pPr>
      <w:r>
        <w:rPr>
          <w:rFonts w:hint="eastAsia" w:ascii="宋体" w:hAnsi="宋体" w:cs="宋体"/>
          <w:b/>
          <w:kern w:val="1"/>
          <w:sz w:val="24"/>
          <w:shd w:val="clear" w:color="auto" w:fill="FFFFFF"/>
        </w:rPr>
        <w:t>将竞争性比选申请文件</w:t>
      </w:r>
      <w:r>
        <w:rPr>
          <w:rFonts w:ascii="宋体" w:hAnsi="宋体" w:cs="宋体"/>
          <w:b/>
          <w:kern w:val="1"/>
          <w:sz w:val="24"/>
          <w:shd w:val="clear" w:color="auto" w:fill="FFFFFF"/>
        </w:rPr>
        <w:t>密封到一个封套中，再在封套上写明</w:t>
      </w:r>
      <w:r>
        <w:rPr>
          <w:rFonts w:hint="eastAsia" w:ascii="宋体" w:hAnsi="宋体" w:cs="宋体"/>
          <w:b/>
          <w:kern w:val="1"/>
          <w:sz w:val="24"/>
          <w:shd w:val="clear" w:color="auto" w:fill="FFFFFF"/>
        </w:rPr>
        <w:t>以下内容：</w:t>
      </w:r>
    </w:p>
    <w:p>
      <w:pPr>
        <w:pageBreakBefore w:val="0"/>
        <w:widowControl w:val="0"/>
        <w:kinsoku/>
        <w:wordWrap/>
        <w:overflowPunct/>
        <w:topLinePunct w:val="0"/>
        <w:autoSpaceDE/>
        <w:autoSpaceDN/>
        <w:bidi w:val="0"/>
        <w:adjustRightInd/>
        <w:spacing w:line="400" w:lineRule="exact"/>
        <w:ind w:right="0" w:rightChars="0"/>
        <w:jc w:val="center"/>
        <w:textAlignment w:val="auto"/>
        <w:rPr>
          <w:rFonts w:ascii="宋体" w:hAnsi="宋体" w:cs="宋体"/>
          <w:b/>
          <w:kern w:val="1"/>
          <w:sz w:val="24"/>
          <w:u w:val="single"/>
          <w:shd w:val="clear" w:color="auto" w:fill="FFFFFF"/>
        </w:rPr>
      </w:pPr>
      <w:r>
        <w:rPr>
          <w:rFonts w:hint="eastAsia" w:ascii="宋体" w:hAnsi="宋体" w:cs="宋体"/>
          <w:b/>
          <w:kern w:val="1"/>
          <w:sz w:val="24"/>
          <w:u w:val="single"/>
          <w:shd w:val="clear" w:color="auto" w:fill="FFFFFF"/>
        </w:rPr>
        <w:t>《合长高速石船服务区（左、右）加油加气站站房、</w:t>
      </w:r>
      <w:r>
        <w:rPr>
          <w:rFonts w:hint="eastAsia" w:ascii="宋体" w:hAnsi="宋体" w:cs="宋体"/>
          <w:b/>
          <w:kern w:val="1"/>
          <w:sz w:val="24"/>
          <w:u w:val="single"/>
          <w:shd w:val="clear" w:color="auto" w:fill="FFFFFF"/>
          <w:lang w:eastAsia="zh-CN"/>
        </w:rPr>
        <w:t>罩棚、双层储油罐及双层输油管道</w:t>
      </w:r>
      <w:r>
        <w:rPr>
          <w:rFonts w:hint="eastAsia" w:ascii="宋体" w:hAnsi="宋体" w:cs="宋体"/>
          <w:b/>
          <w:kern w:val="1"/>
          <w:sz w:val="24"/>
          <w:u w:val="single"/>
          <w:shd w:val="clear" w:color="auto" w:fill="FFFFFF"/>
        </w:rPr>
        <w:t>施工质量检测项目》竞争性比选申请</w:t>
      </w:r>
      <w:r>
        <w:rPr>
          <w:rFonts w:ascii="宋体" w:hAnsi="宋体" w:cs="宋体"/>
          <w:b/>
          <w:kern w:val="1"/>
          <w:sz w:val="24"/>
          <w:u w:val="single"/>
          <w:shd w:val="clear" w:color="auto" w:fill="FFFFFF"/>
        </w:rPr>
        <w:t>文件</w:t>
      </w:r>
    </w:p>
    <w:p>
      <w:pPr>
        <w:pageBreakBefore w:val="0"/>
        <w:widowControl w:val="0"/>
        <w:kinsoku/>
        <w:wordWrap/>
        <w:overflowPunct/>
        <w:topLinePunct w:val="0"/>
        <w:autoSpaceDE/>
        <w:autoSpaceDN/>
        <w:bidi w:val="0"/>
        <w:adjustRightInd/>
        <w:spacing w:line="400" w:lineRule="exact"/>
        <w:ind w:right="0" w:rightChars="0"/>
        <w:jc w:val="center"/>
        <w:textAlignment w:val="auto"/>
        <w:rPr>
          <w:rFonts w:ascii="宋体" w:hAnsi="宋体" w:cs="宋体"/>
          <w:b/>
          <w:kern w:val="1"/>
          <w:sz w:val="24"/>
          <w:u w:val="single"/>
          <w:shd w:val="clear" w:color="auto" w:fill="FFFFFF"/>
        </w:rPr>
      </w:pPr>
      <w:r>
        <w:rPr>
          <w:rFonts w:ascii="宋体" w:hAnsi="宋体" w:cs="宋体"/>
          <w:b/>
          <w:kern w:val="1"/>
          <w:sz w:val="24"/>
          <w:u w:val="single"/>
          <w:shd w:val="clear" w:color="auto" w:fill="FFFFFF"/>
        </w:rPr>
        <w:t>在2</w:t>
      </w:r>
      <w:r>
        <w:rPr>
          <w:rFonts w:hint="eastAsia" w:ascii="宋体" w:hAnsi="宋体" w:cs="宋体"/>
          <w:b/>
          <w:kern w:val="1"/>
          <w:sz w:val="24"/>
          <w:u w:val="single"/>
          <w:shd w:val="clear" w:color="auto" w:fill="FFFFFF"/>
        </w:rPr>
        <w:t xml:space="preserve">021年 </w:t>
      </w:r>
      <w:r>
        <w:rPr>
          <w:rFonts w:hint="eastAsia" w:ascii="宋体" w:hAnsi="宋体" w:cs="宋体"/>
          <w:b/>
          <w:kern w:val="1"/>
          <w:sz w:val="24"/>
          <w:u w:val="single"/>
          <w:shd w:val="clear" w:color="auto" w:fill="FFFFFF"/>
          <w:lang w:val="en-US" w:eastAsia="zh-CN"/>
        </w:rPr>
        <w:t>9</w:t>
      </w:r>
      <w:r>
        <w:rPr>
          <w:rFonts w:hint="eastAsia" w:ascii="宋体" w:hAnsi="宋体" w:cs="宋体"/>
          <w:b/>
          <w:kern w:val="1"/>
          <w:sz w:val="24"/>
          <w:u w:val="single"/>
          <w:shd w:val="clear" w:color="auto" w:fill="FFFFFF"/>
        </w:rPr>
        <w:t xml:space="preserve"> 月 </w:t>
      </w:r>
      <w:r>
        <w:rPr>
          <w:rFonts w:hint="eastAsia" w:ascii="宋体" w:hAnsi="宋体" w:cs="宋体"/>
          <w:b/>
          <w:kern w:val="1"/>
          <w:sz w:val="24"/>
          <w:u w:val="single"/>
          <w:shd w:val="clear" w:color="auto" w:fill="FFFFFF"/>
          <w:lang w:val="en-US" w:eastAsia="zh-CN"/>
        </w:rPr>
        <w:t>29</w:t>
      </w:r>
      <w:r>
        <w:rPr>
          <w:rFonts w:hint="eastAsia" w:ascii="宋体" w:hAnsi="宋体" w:cs="宋体"/>
          <w:b/>
          <w:kern w:val="1"/>
          <w:sz w:val="24"/>
          <w:u w:val="single"/>
          <w:shd w:val="clear" w:color="auto" w:fill="FFFFFF"/>
        </w:rPr>
        <w:t xml:space="preserve"> 日 </w:t>
      </w:r>
      <w:bookmarkStart w:id="24" w:name="_GoBack"/>
      <w:bookmarkEnd w:id="24"/>
      <w:r>
        <w:rPr>
          <w:rFonts w:hint="eastAsia" w:ascii="宋体" w:hAnsi="宋体" w:cs="宋体"/>
          <w:b/>
          <w:kern w:val="1"/>
          <w:sz w:val="24"/>
          <w:u w:val="single"/>
          <w:shd w:val="clear" w:color="auto" w:fill="FFFFFF"/>
        </w:rPr>
        <w:t xml:space="preserve"> 9 时 00 分</w:t>
      </w:r>
      <w:r>
        <w:rPr>
          <w:rFonts w:ascii="宋体" w:hAnsi="宋体" w:cs="宋体"/>
          <w:b/>
          <w:kern w:val="1"/>
          <w:sz w:val="24"/>
          <w:u w:val="single"/>
          <w:shd w:val="clear" w:color="auto" w:fill="FFFFFF"/>
        </w:rPr>
        <w:t>前不得开启</w:t>
      </w:r>
      <w:r>
        <w:rPr>
          <w:rFonts w:hint="eastAsia" w:ascii="宋体" w:hAnsi="宋体" w:cs="宋体"/>
          <w:b/>
          <w:kern w:val="1"/>
          <w:sz w:val="24"/>
          <w:u w:val="single"/>
          <w:shd w:val="clear" w:color="auto" w:fill="FFFFFF"/>
        </w:rPr>
        <w:t>（盖单位章）</w:t>
      </w:r>
    </w:p>
    <w:p>
      <w:pPr>
        <w:pageBreakBefore w:val="0"/>
        <w:widowControl w:val="0"/>
        <w:kinsoku/>
        <w:wordWrap/>
        <w:overflowPunct/>
        <w:topLinePunct w:val="0"/>
        <w:autoSpaceDE/>
        <w:autoSpaceDN/>
        <w:bidi w:val="0"/>
        <w:adjustRightInd/>
        <w:spacing w:line="400" w:lineRule="exact"/>
        <w:ind w:right="0" w:rightChars="0" w:firstLine="422" w:firstLineChars="200"/>
        <w:textAlignment w:val="auto"/>
        <w:rPr>
          <w:rFonts w:ascii="宋体" w:hAnsi="宋体"/>
          <w:b/>
          <w:bCs/>
          <w:szCs w:val="28"/>
        </w:rPr>
      </w:pPr>
      <w:r>
        <w:rPr>
          <w:rFonts w:hint="eastAsia" w:ascii="宋体" w:hAnsi="宋体"/>
          <w:b/>
          <w:bCs/>
          <w:szCs w:val="28"/>
        </w:rPr>
        <w:t>3、份数要求：</w:t>
      </w:r>
    </w:p>
    <w:p>
      <w:pPr>
        <w:pageBreakBefore w:val="0"/>
        <w:widowControl w:val="0"/>
        <w:kinsoku/>
        <w:wordWrap/>
        <w:overflowPunct/>
        <w:topLinePunct w:val="0"/>
        <w:autoSpaceDE/>
        <w:autoSpaceDN/>
        <w:bidi w:val="0"/>
        <w:adjustRightInd/>
        <w:spacing w:line="400" w:lineRule="exact"/>
        <w:ind w:right="0" w:rightChars="0" w:firstLine="422" w:firstLineChars="200"/>
        <w:textAlignment w:val="auto"/>
        <w:rPr>
          <w:rFonts w:ascii="宋体" w:hAnsi="宋体"/>
          <w:b/>
          <w:bCs/>
          <w:szCs w:val="28"/>
        </w:rPr>
      </w:pPr>
      <w:r>
        <w:rPr>
          <w:rFonts w:hint="eastAsia" w:ascii="宋体" w:hAnsi="宋体"/>
          <w:b/>
          <w:bCs/>
          <w:szCs w:val="28"/>
        </w:rPr>
        <w:t>竞争性比选申请文件一式两份，其中正本一份，副本一份，每套纸质竞争性比选文件须在封面清楚地标明“正本”或“副本”的字样，副本应为正本的完整复印件，副本与正本不一致时以正本为准。</w:t>
      </w:r>
    </w:p>
    <w:p>
      <w:pPr>
        <w:pageBreakBefore w:val="0"/>
        <w:widowControl w:val="0"/>
        <w:kinsoku/>
        <w:wordWrap/>
        <w:overflowPunct/>
        <w:topLinePunct w:val="0"/>
        <w:autoSpaceDE/>
        <w:autoSpaceDN/>
        <w:bidi w:val="0"/>
        <w:adjustRightInd/>
        <w:spacing w:line="400" w:lineRule="exact"/>
        <w:ind w:right="0" w:rightChars="0"/>
        <w:textAlignment w:val="auto"/>
        <w:rPr>
          <w:rFonts w:ascii="宋体" w:hAnsi="宋体" w:cs="仿宋"/>
          <w:b/>
          <w:bCs/>
          <w:sz w:val="24"/>
          <w:shd w:val="clear" w:color="auto" w:fill="FFFFFF"/>
        </w:rPr>
      </w:pPr>
      <w:r>
        <w:rPr>
          <w:rFonts w:hint="eastAsia" w:ascii="宋体" w:hAnsi="宋体" w:cs="仿宋"/>
          <w:b/>
          <w:bCs/>
          <w:sz w:val="24"/>
          <w:shd w:val="clear" w:color="auto" w:fill="FFFFFF"/>
        </w:rPr>
        <w:t>七</w:t>
      </w:r>
      <w:r>
        <w:rPr>
          <w:rFonts w:ascii="宋体" w:hAnsi="宋体" w:cs="仿宋"/>
          <w:b/>
          <w:bCs/>
          <w:sz w:val="24"/>
          <w:shd w:val="clear" w:color="auto" w:fill="FFFFFF"/>
        </w:rPr>
        <w:t>、评</w:t>
      </w:r>
      <w:r>
        <w:rPr>
          <w:rFonts w:hint="eastAsia" w:ascii="宋体" w:hAnsi="宋体" w:cs="仿宋"/>
          <w:b/>
          <w:bCs/>
          <w:sz w:val="24"/>
          <w:shd w:val="clear" w:color="auto" w:fill="FFFFFF"/>
        </w:rPr>
        <w:t>标办法</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ascii="宋体" w:hAnsi="宋体"/>
          <w:szCs w:val="28"/>
        </w:rPr>
      </w:pPr>
      <w:r>
        <w:rPr>
          <w:rFonts w:hint="eastAsia" w:ascii="宋体" w:hAnsi="宋体"/>
          <w:szCs w:val="28"/>
        </w:rPr>
        <w:t>本次竞争性比选采用综合评估法。</w:t>
      </w:r>
    </w:p>
    <w:p>
      <w:pPr>
        <w:pageBreakBefore w:val="0"/>
        <w:widowControl w:val="0"/>
        <w:kinsoku/>
        <w:wordWrap/>
        <w:overflowPunct/>
        <w:topLinePunct w:val="0"/>
        <w:autoSpaceDE/>
        <w:autoSpaceDN/>
        <w:bidi w:val="0"/>
        <w:adjustRightInd/>
        <w:spacing w:line="400" w:lineRule="exact"/>
        <w:ind w:right="0" w:rightChars="0"/>
        <w:textAlignment w:val="auto"/>
        <w:rPr>
          <w:rFonts w:ascii="宋体" w:hAnsi="宋体" w:cs="仿宋"/>
          <w:b/>
          <w:bCs/>
          <w:sz w:val="24"/>
          <w:shd w:val="clear" w:color="auto" w:fill="FFFFFF"/>
        </w:rPr>
      </w:pPr>
      <w:bookmarkStart w:id="19" w:name="_Toc19552714"/>
      <w:r>
        <w:rPr>
          <w:rFonts w:hint="eastAsia" w:ascii="宋体" w:hAnsi="宋体" w:cs="仿宋"/>
          <w:b/>
          <w:bCs/>
          <w:sz w:val="24"/>
          <w:shd w:val="clear" w:color="auto" w:fill="FFFFFF"/>
        </w:rPr>
        <w:t>八、联系方式</w:t>
      </w:r>
      <w:bookmarkEnd w:id="19"/>
    </w:p>
    <w:p>
      <w:pPr>
        <w:pageBreakBefore w:val="0"/>
        <w:widowControl w:val="0"/>
        <w:kinsoku/>
        <w:wordWrap/>
        <w:overflowPunct/>
        <w:topLinePunct w:val="0"/>
        <w:autoSpaceDE/>
        <w:autoSpaceDN/>
        <w:bidi w:val="0"/>
        <w:adjustRightInd/>
        <w:spacing w:line="400" w:lineRule="exact"/>
        <w:ind w:right="0" w:rightChars="0" w:firstLine="420" w:firstLineChars="200"/>
        <w:jc w:val="left"/>
        <w:textAlignment w:val="auto"/>
        <w:rPr>
          <w:szCs w:val="21"/>
        </w:rPr>
      </w:pPr>
      <w:r>
        <w:rPr>
          <w:rFonts w:hint="eastAsia"/>
          <w:szCs w:val="21"/>
        </w:rPr>
        <w:t>比选人：重庆高速中油富渝能源发展有限公司</w:t>
      </w:r>
    </w:p>
    <w:p>
      <w:pPr>
        <w:pageBreakBefore w:val="0"/>
        <w:widowControl w:val="0"/>
        <w:kinsoku/>
        <w:wordWrap/>
        <w:overflowPunct/>
        <w:topLinePunct w:val="0"/>
        <w:autoSpaceDE/>
        <w:autoSpaceDN/>
        <w:bidi w:val="0"/>
        <w:adjustRightInd/>
        <w:spacing w:line="400" w:lineRule="exact"/>
        <w:ind w:right="0" w:rightChars="0" w:firstLine="420" w:firstLineChars="200"/>
        <w:jc w:val="left"/>
        <w:textAlignment w:val="auto"/>
        <w:rPr>
          <w:szCs w:val="21"/>
        </w:rPr>
      </w:pPr>
      <w:r>
        <w:rPr>
          <w:rFonts w:hint="eastAsia"/>
          <w:szCs w:val="21"/>
        </w:rPr>
        <w:t>地址：重庆市渝北区龙溪街道锦龙支路19号</w:t>
      </w:r>
    </w:p>
    <w:p>
      <w:pPr>
        <w:pageBreakBefore w:val="0"/>
        <w:widowControl w:val="0"/>
        <w:kinsoku/>
        <w:wordWrap/>
        <w:overflowPunct/>
        <w:topLinePunct w:val="0"/>
        <w:autoSpaceDE/>
        <w:autoSpaceDN/>
        <w:bidi w:val="0"/>
        <w:adjustRightInd/>
        <w:spacing w:line="400" w:lineRule="exact"/>
        <w:ind w:right="0" w:rightChars="0" w:firstLine="420" w:firstLineChars="200"/>
        <w:jc w:val="left"/>
        <w:textAlignment w:val="auto"/>
      </w:pPr>
      <w:r>
        <w:rPr>
          <w:rFonts w:hint="eastAsia"/>
          <w:szCs w:val="21"/>
        </w:rPr>
        <w:t>联系人：肖琅天     电话：13452139220</w:t>
      </w:r>
      <w:bookmarkStart w:id="20" w:name="_Toc18337225"/>
    </w:p>
    <w:p>
      <w:pPr>
        <w:pStyle w:val="3"/>
        <w:pageBreakBefore w:val="0"/>
        <w:widowControl w:val="0"/>
        <w:tabs>
          <w:tab w:val="left" w:pos="3360"/>
        </w:tabs>
        <w:kinsoku/>
        <w:wordWrap/>
        <w:overflowPunct/>
        <w:topLinePunct w:val="0"/>
        <w:autoSpaceDE/>
        <w:autoSpaceDN/>
        <w:bidi w:val="0"/>
        <w:adjustRightInd/>
        <w:spacing w:before="0" w:after="0" w:line="400" w:lineRule="exact"/>
        <w:ind w:right="0" w:rightChars="0"/>
        <w:jc w:val="center"/>
        <w:textAlignment w:val="auto"/>
        <w:rPr>
          <w:rFonts w:ascii="宋体" w:hAnsi="宋体"/>
          <w:color w:val="000000"/>
        </w:rPr>
      </w:pPr>
      <w:r>
        <w:rPr>
          <w:rFonts w:hint="eastAsia" w:ascii="宋体" w:hAnsi="宋体"/>
          <w:color w:val="000000"/>
        </w:rPr>
        <w:t>第二篇  项目竞争性比选要求</w:t>
      </w:r>
      <w:bookmarkEnd w:id="20"/>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ascii="宋体" w:hAnsi="宋体" w:cs="宋体"/>
          <w:szCs w:val="28"/>
        </w:rPr>
      </w:pPr>
      <w:bookmarkStart w:id="21" w:name="page12"/>
      <w:bookmarkEnd w:id="21"/>
      <w:r>
        <w:rPr>
          <w:rFonts w:hint="eastAsia" w:ascii="宋体" w:hAnsi="宋体" w:cs="宋体"/>
          <w:bCs/>
          <w:szCs w:val="28"/>
        </w:rPr>
        <w:t>1、项目地点：石船</w:t>
      </w:r>
      <w:r>
        <w:rPr>
          <w:rFonts w:hint="eastAsia" w:ascii="宋体" w:hAnsi="宋体" w:cs="宋体"/>
          <w:szCs w:val="28"/>
        </w:rPr>
        <w:t>服务区位于重庆市渝北区石船镇。</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ascii="宋体" w:hAnsi="宋体" w:cs="宋体"/>
          <w:bCs/>
          <w:szCs w:val="28"/>
        </w:rPr>
      </w:pPr>
      <w:r>
        <w:rPr>
          <w:rFonts w:hint="eastAsia" w:ascii="宋体" w:hAnsi="宋体" w:cs="宋体"/>
          <w:bCs/>
          <w:szCs w:val="28"/>
        </w:rPr>
        <w:t>2、服务期：</w:t>
      </w:r>
      <w:r>
        <w:rPr>
          <w:rFonts w:hint="eastAsia" w:ascii="宋体" w:hAnsi="宋体" w:cs="宋体"/>
          <w:szCs w:val="28"/>
        </w:rPr>
        <w:t>比选人发出通知后20个工作日内完成各分项服务内容。</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ascii="宋体" w:hAnsi="宋体" w:cs="宋体"/>
          <w:bCs/>
          <w:szCs w:val="28"/>
        </w:rPr>
      </w:pPr>
      <w:r>
        <w:rPr>
          <w:rFonts w:hint="eastAsia" w:ascii="宋体" w:hAnsi="宋体" w:cs="宋体"/>
          <w:bCs/>
          <w:szCs w:val="28"/>
        </w:rPr>
        <w:t>3、竞争性比选范围：⑴本次竞争性比选范围:主要包括站房、</w:t>
      </w:r>
      <w:r>
        <w:rPr>
          <w:rFonts w:hint="eastAsia" w:ascii="宋体" w:hAnsi="宋体" w:cs="宋体"/>
          <w:bCs/>
          <w:szCs w:val="28"/>
          <w:lang w:eastAsia="zh-CN"/>
        </w:rPr>
        <w:t>罩棚、双层储油罐及双层输油管道</w:t>
      </w:r>
      <w:r>
        <w:rPr>
          <w:rFonts w:hint="eastAsia" w:ascii="宋体" w:hAnsi="宋体" w:cs="宋体"/>
          <w:bCs/>
          <w:szCs w:val="28"/>
        </w:rPr>
        <w:t>施工质量检测等全部工作内容。</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ascii="宋体" w:hAnsi="宋体" w:cs="宋体"/>
          <w:szCs w:val="28"/>
        </w:rPr>
      </w:pPr>
      <w:r>
        <w:rPr>
          <w:rFonts w:hint="eastAsia" w:ascii="宋体" w:hAnsi="宋体" w:cs="宋体"/>
          <w:bCs/>
          <w:szCs w:val="28"/>
        </w:rPr>
        <w:t>4、本项目的最高限价为：192000元，</w:t>
      </w:r>
      <w:r>
        <w:rPr>
          <w:rFonts w:hint="eastAsia" w:ascii="宋体" w:hAnsi="宋体" w:cs="宋体"/>
          <w:bCs/>
          <w:szCs w:val="28"/>
          <w:lang w:val="en-US" w:eastAsia="zh-CN"/>
        </w:rPr>
        <w:t>其中</w:t>
      </w:r>
      <w:r>
        <w:rPr>
          <w:rFonts w:hint="eastAsia" w:ascii="宋体" w:hAnsi="宋体" w:cs="宋体"/>
          <w:bCs/>
          <w:szCs w:val="28"/>
        </w:rPr>
        <w:t>罩棚、输油管</w:t>
      </w:r>
      <w:r>
        <w:rPr>
          <w:rFonts w:hint="eastAsia" w:ascii="宋体" w:hAnsi="宋体" w:cs="宋体"/>
          <w:bCs/>
          <w:szCs w:val="28"/>
          <w:lang w:val="en-US" w:eastAsia="zh-CN"/>
        </w:rPr>
        <w:t>及</w:t>
      </w:r>
      <w:r>
        <w:rPr>
          <w:rFonts w:hint="eastAsia" w:ascii="宋体" w:hAnsi="宋体" w:cs="宋体"/>
          <w:bCs/>
          <w:szCs w:val="28"/>
        </w:rPr>
        <w:t>油罐</w:t>
      </w:r>
      <w:r>
        <w:rPr>
          <w:rFonts w:hint="eastAsia" w:ascii="宋体" w:hAnsi="宋体" w:cs="宋体"/>
          <w:bCs/>
          <w:szCs w:val="28"/>
          <w:lang w:val="en-US" w:eastAsia="zh-CN"/>
        </w:rPr>
        <w:t>检测限价130000元，站房检测限价62000元，</w:t>
      </w:r>
      <w:r>
        <w:rPr>
          <w:rFonts w:hint="eastAsia" w:ascii="宋体" w:hAnsi="宋体" w:cs="宋体"/>
          <w:bCs/>
          <w:szCs w:val="28"/>
        </w:rPr>
        <w:t>根据国家现行法律法规、《重庆市招标投标条例》及高速集团、资产公司相关规定，拟采取竞争性比选方式确定项目检测单位，</w:t>
      </w:r>
      <w:r>
        <w:rPr>
          <w:rFonts w:hint="eastAsia" w:ascii="宋体" w:hAnsi="宋体" w:cs="宋体"/>
          <w:szCs w:val="28"/>
        </w:rPr>
        <w:t>比选对象为满足竞争性比选文件的所有比选申请人。投标报价格式见下表</w:t>
      </w:r>
      <w:r>
        <w:rPr>
          <w:rFonts w:hint="eastAsia" w:ascii="宋体" w:hAnsi="宋体" w:cs="宋体"/>
          <w:szCs w:val="28"/>
          <w:lang w:eastAsia="zh-CN"/>
        </w:rPr>
        <w:t>。</w:t>
      </w:r>
    </w:p>
    <w:p>
      <w:pPr>
        <w:pageBreakBefore w:val="0"/>
        <w:widowControl w:val="0"/>
        <w:kinsoku/>
        <w:wordWrap/>
        <w:overflowPunct/>
        <w:topLinePunct w:val="0"/>
        <w:autoSpaceDE/>
        <w:autoSpaceDN/>
        <w:bidi w:val="0"/>
        <w:adjustRightInd/>
        <w:spacing w:before="319" w:beforeLines="100" w:line="400" w:lineRule="exact"/>
        <w:ind w:right="0" w:rightChars="0"/>
        <w:jc w:val="center"/>
        <w:textAlignment w:val="auto"/>
        <w:rPr>
          <w:rFonts w:hint="eastAsia" w:hAnsi="黑体" w:eastAsia="黑体"/>
          <w:color w:val="000000"/>
          <w:sz w:val="28"/>
          <w:szCs w:val="28"/>
          <w:lang w:val="en-US" w:eastAsia="zh-CN"/>
        </w:rPr>
      </w:pPr>
      <w:r>
        <w:rPr>
          <w:rFonts w:hAnsi="黑体" w:eastAsia="黑体"/>
          <w:color w:val="000000"/>
          <w:sz w:val="28"/>
          <w:szCs w:val="28"/>
        </w:rPr>
        <w:t>表</w:t>
      </w:r>
      <w:r>
        <w:rPr>
          <w:rFonts w:eastAsia="黑体"/>
          <w:color w:val="000000"/>
          <w:sz w:val="28"/>
          <w:szCs w:val="28"/>
        </w:rPr>
        <w:t>1</w:t>
      </w:r>
      <w:r>
        <w:rPr>
          <w:rFonts w:hint="eastAsia" w:eastAsia="黑体"/>
          <w:color w:val="000000"/>
          <w:sz w:val="28"/>
          <w:szCs w:val="28"/>
        </w:rPr>
        <w:t xml:space="preserve"> </w:t>
      </w:r>
      <w:r>
        <w:rPr>
          <w:rFonts w:hAnsi="黑体" w:eastAsia="黑体"/>
          <w:color w:val="000000"/>
          <w:sz w:val="28"/>
          <w:szCs w:val="28"/>
        </w:rPr>
        <w:t>罩棚</w:t>
      </w:r>
      <w:r>
        <w:rPr>
          <w:rFonts w:hint="eastAsia" w:hAnsi="黑体" w:eastAsia="黑体"/>
          <w:color w:val="000000"/>
          <w:sz w:val="28"/>
          <w:szCs w:val="28"/>
        </w:rPr>
        <w:t>、输油管、油罐</w:t>
      </w:r>
      <w:r>
        <w:rPr>
          <w:rFonts w:hint="eastAsia" w:hAnsi="黑体" w:eastAsia="黑体"/>
          <w:color w:val="000000"/>
          <w:sz w:val="28"/>
          <w:szCs w:val="28"/>
          <w:lang w:val="en-US" w:eastAsia="zh-CN"/>
        </w:rPr>
        <w:t>及</w:t>
      </w:r>
      <w:r>
        <w:rPr>
          <w:rFonts w:hint="eastAsia" w:hAnsi="黑体" w:eastAsia="黑体"/>
          <w:color w:val="000000"/>
          <w:sz w:val="28"/>
          <w:szCs w:val="28"/>
        </w:rPr>
        <w:t>站房</w:t>
      </w:r>
      <w:r>
        <w:rPr>
          <w:rFonts w:hAnsi="黑体" w:eastAsia="黑体"/>
          <w:color w:val="000000"/>
          <w:sz w:val="28"/>
          <w:szCs w:val="28"/>
        </w:rPr>
        <w:t>检测项目</w:t>
      </w:r>
      <w:r>
        <w:rPr>
          <w:rFonts w:hint="eastAsia" w:hAnsi="黑体" w:eastAsia="黑体"/>
          <w:color w:val="000000"/>
          <w:sz w:val="28"/>
          <w:szCs w:val="28"/>
          <w:lang w:val="en-US" w:eastAsia="zh-CN"/>
        </w:rPr>
        <w:t>报价表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3423"/>
        <w:gridCol w:w="3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78" w:type="dxa"/>
            <w:vAlign w:val="center"/>
          </w:tcPr>
          <w:p>
            <w:pPr>
              <w:pageBreakBefore w:val="0"/>
              <w:widowControl w:val="0"/>
              <w:kinsoku/>
              <w:wordWrap/>
              <w:overflowPunct/>
              <w:topLinePunct w:val="0"/>
              <w:autoSpaceDE/>
              <w:autoSpaceDN/>
              <w:bidi w:val="0"/>
              <w:adjustRightInd/>
              <w:spacing w:line="400" w:lineRule="exact"/>
              <w:ind w:right="0" w:rightChars="0"/>
              <w:jc w:val="center"/>
              <w:textAlignment w:val="auto"/>
              <w:rPr>
                <w:rFonts w:eastAsia="黑体"/>
                <w:color w:val="000000"/>
                <w:sz w:val="24"/>
              </w:rPr>
            </w:pPr>
            <w:r>
              <w:rPr>
                <w:rFonts w:hAnsi="黑体" w:eastAsia="黑体"/>
                <w:color w:val="000000"/>
                <w:sz w:val="24"/>
              </w:rPr>
              <w:t>序号</w:t>
            </w:r>
          </w:p>
        </w:tc>
        <w:tc>
          <w:tcPr>
            <w:tcW w:w="3423" w:type="dxa"/>
            <w:vAlign w:val="center"/>
          </w:tcPr>
          <w:p>
            <w:pPr>
              <w:pageBreakBefore w:val="0"/>
              <w:widowControl w:val="0"/>
              <w:kinsoku/>
              <w:wordWrap/>
              <w:overflowPunct/>
              <w:topLinePunct w:val="0"/>
              <w:autoSpaceDE/>
              <w:autoSpaceDN/>
              <w:bidi w:val="0"/>
              <w:adjustRightInd/>
              <w:spacing w:line="400" w:lineRule="exact"/>
              <w:ind w:right="0" w:rightChars="0"/>
              <w:jc w:val="center"/>
              <w:textAlignment w:val="auto"/>
              <w:rPr>
                <w:rFonts w:eastAsia="黑体"/>
                <w:color w:val="000000"/>
                <w:sz w:val="24"/>
              </w:rPr>
            </w:pPr>
            <w:r>
              <w:rPr>
                <w:rFonts w:hAnsi="黑体" w:eastAsia="黑体"/>
                <w:color w:val="000000"/>
                <w:sz w:val="24"/>
              </w:rPr>
              <w:t>项目</w:t>
            </w:r>
          </w:p>
        </w:tc>
        <w:tc>
          <w:tcPr>
            <w:tcW w:w="3421" w:type="dxa"/>
            <w:vAlign w:val="center"/>
          </w:tcPr>
          <w:p>
            <w:pPr>
              <w:pageBreakBefore w:val="0"/>
              <w:widowControl w:val="0"/>
              <w:kinsoku/>
              <w:wordWrap/>
              <w:overflowPunct/>
              <w:topLinePunct w:val="0"/>
              <w:autoSpaceDE/>
              <w:autoSpaceDN/>
              <w:bidi w:val="0"/>
              <w:adjustRightInd/>
              <w:spacing w:line="400" w:lineRule="exact"/>
              <w:ind w:right="0" w:rightChars="0"/>
              <w:jc w:val="center"/>
              <w:textAlignment w:val="auto"/>
              <w:rPr>
                <w:rFonts w:hAnsi="黑体" w:eastAsia="黑体"/>
                <w:color w:val="000000"/>
                <w:sz w:val="24"/>
              </w:rPr>
            </w:pPr>
            <w:r>
              <w:rPr>
                <w:rFonts w:hint="eastAsia" w:hAnsi="黑体" w:eastAsia="黑体"/>
                <w:color w:val="000000"/>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Align w:val="center"/>
          </w:tcPr>
          <w:p>
            <w:pPr>
              <w:pageBreakBefore w:val="0"/>
              <w:widowControl w:val="0"/>
              <w:kinsoku/>
              <w:wordWrap/>
              <w:overflowPunct/>
              <w:topLinePunct w:val="0"/>
              <w:autoSpaceDE/>
              <w:autoSpaceDN/>
              <w:bidi w:val="0"/>
              <w:adjustRightInd/>
              <w:spacing w:line="400" w:lineRule="exact"/>
              <w:ind w:right="0" w:rightChars="0"/>
              <w:jc w:val="center"/>
              <w:textAlignment w:val="auto"/>
              <w:rPr>
                <w:color w:val="000000"/>
                <w:sz w:val="24"/>
              </w:rPr>
            </w:pPr>
            <w:r>
              <w:rPr>
                <w:rFonts w:hint="eastAsia"/>
                <w:color w:val="000000"/>
                <w:sz w:val="24"/>
              </w:rPr>
              <w:t>1</w:t>
            </w:r>
          </w:p>
        </w:tc>
        <w:tc>
          <w:tcPr>
            <w:tcW w:w="3423" w:type="dxa"/>
            <w:vAlign w:val="center"/>
          </w:tcPr>
          <w:p>
            <w:pPr>
              <w:pageBreakBefore w:val="0"/>
              <w:widowControl w:val="0"/>
              <w:kinsoku/>
              <w:wordWrap/>
              <w:overflowPunct/>
              <w:topLinePunct w:val="0"/>
              <w:autoSpaceDE/>
              <w:autoSpaceDN/>
              <w:bidi w:val="0"/>
              <w:adjustRightInd/>
              <w:spacing w:line="400" w:lineRule="exact"/>
              <w:ind w:right="0" w:rightChars="0"/>
              <w:jc w:val="center"/>
              <w:textAlignment w:val="auto"/>
              <w:rPr>
                <w:color w:val="000000"/>
                <w:sz w:val="24"/>
              </w:rPr>
            </w:pPr>
            <w:r>
              <w:rPr>
                <w:rFonts w:hint="eastAsia"/>
                <w:color w:val="000000"/>
                <w:sz w:val="24"/>
              </w:rPr>
              <w:t>罩棚</w:t>
            </w:r>
            <w:r>
              <w:rPr>
                <w:rFonts w:hint="eastAsia"/>
                <w:color w:val="000000"/>
                <w:sz w:val="24"/>
                <w:lang w:eastAsia="zh-CN"/>
              </w:rPr>
              <w:t>、</w:t>
            </w:r>
            <w:r>
              <w:rPr>
                <w:rFonts w:hint="eastAsia"/>
                <w:color w:val="000000"/>
                <w:sz w:val="24"/>
              </w:rPr>
              <w:t>双层输油管道</w:t>
            </w:r>
            <w:r>
              <w:rPr>
                <w:rFonts w:hint="eastAsia"/>
                <w:color w:val="000000"/>
                <w:sz w:val="24"/>
                <w:lang w:eastAsia="zh-CN"/>
              </w:rPr>
              <w:t>、</w:t>
            </w:r>
            <w:r>
              <w:rPr>
                <w:rFonts w:hint="eastAsia"/>
                <w:color w:val="000000"/>
                <w:sz w:val="24"/>
              </w:rPr>
              <w:t>双层储油罐检测</w:t>
            </w:r>
          </w:p>
        </w:tc>
        <w:tc>
          <w:tcPr>
            <w:tcW w:w="3421" w:type="dxa"/>
            <w:vAlign w:val="center"/>
          </w:tcPr>
          <w:p>
            <w:pPr>
              <w:pageBreakBefore w:val="0"/>
              <w:widowControl w:val="0"/>
              <w:kinsoku/>
              <w:wordWrap/>
              <w:overflowPunct/>
              <w:topLinePunct w:val="0"/>
              <w:autoSpaceDE/>
              <w:autoSpaceDN/>
              <w:bidi w:val="0"/>
              <w:adjustRightInd/>
              <w:spacing w:line="400" w:lineRule="exact"/>
              <w:ind w:right="0" w:rightChars="0"/>
              <w:jc w:val="center"/>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78" w:type="dxa"/>
            <w:vAlign w:val="center"/>
          </w:tcPr>
          <w:p>
            <w:pPr>
              <w:pageBreakBefore w:val="0"/>
              <w:widowControl w:val="0"/>
              <w:kinsoku/>
              <w:wordWrap/>
              <w:overflowPunct/>
              <w:topLinePunct w:val="0"/>
              <w:autoSpaceDE/>
              <w:autoSpaceDN/>
              <w:bidi w:val="0"/>
              <w:adjustRightInd/>
              <w:spacing w:line="400" w:lineRule="exact"/>
              <w:ind w:right="0" w:rightChars="0"/>
              <w:jc w:val="center"/>
              <w:textAlignment w:val="auto"/>
              <w:rPr>
                <w:rFonts w:hint="eastAsia" w:eastAsia="宋体"/>
                <w:color w:val="000000"/>
                <w:sz w:val="24"/>
                <w:lang w:val="en-US" w:eastAsia="zh-CN"/>
              </w:rPr>
            </w:pPr>
            <w:r>
              <w:rPr>
                <w:rFonts w:hint="eastAsia"/>
                <w:color w:val="000000"/>
                <w:sz w:val="24"/>
                <w:lang w:val="en-US" w:eastAsia="zh-CN"/>
              </w:rPr>
              <w:t>2</w:t>
            </w:r>
          </w:p>
        </w:tc>
        <w:tc>
          <w:tcPr>
            <w:tcW w:w="3423" w:type="dxa"/>
            <w:vAlign w:val="center"/>
          </w:tcPr>
          <w:p>
            <w:pPr>
              <w:pageBreakBefore w:val="0"/>
              <w:widowControl w:val="0"/>
              <w:kinsoku/>
              <w:wordWrap/>
              <w:overflowPunct/>
              <w:topLinePunct w:val="0"/>
              <w:autoSpaceDE/>
              <w:autoSpaceDN/>
              <w:bidi w:val="0"/>
              <w:adjustRightInd/>
              <w:spacing w:line="400" w:lineRule="exact"/>
              <w:ind w:right="0" w:rightChars="0"/>
              <w:jc w:val="center"/>
              <w:textAlignment w:val="auto"/>
              <w:rPr>
                <w:color w:val="000000"/>
                <w:sz w:val="24"/>
              </w:rPr>
            </w:pPr>
            <w:r>
              <w:rPr>
                <w:rFonts w:hint="eastAsia"/>
                <w:color w:val="000000"/>
                <w:sz w:val="24"/>
              </w:rPr>
              <w:t>站房检测</w:t>
            </w:r>
          </w:p>
        </w:tc>
        <w:tc>
          <w:tcPr>
            <w:tcW w:w="3421" w:type="dxa"/>
            <w:vAlign w:val="center"/>
          </w:tcPr>
          <w:p>
            <w:pPr>
              <w:pageBreakBefore w:val="0"/>
              <w:widowControl w:val="0"/>
              <w:kinsoku/>
              <w:wordWrap/>
              <w:overflowPunct/>
              <w:topLinePunct w:val="0"/>
              <w:autoSpaceDE/>
              <w:autoSpaceDN/>
              <w:bidi w:val="0"/>
              <w:adjustRightInd/>
              <w:spacing w:line="400" w:lineRule="exact"/>
              <w:ind w:right="0" w:rightChars="0"/>
              <w:jc w:val="center"/>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1" w:type="dxa"/>
            <w:gridSpan w:val="2"/>
            <w:vAlign w:val="center"/>
          </w:tcPr>
          <w:p>
            <w:pPr>
              <w:pageBreakBefore w:val="0"/>
              <w:widowControl w:val="0"/>
              <w:kinsoku/>
              <w:wordWrap/>
              <w:overflowPunct/>
              <w:topLinePunct w:val="0"/>
              <w:autoSpaceDE/>
              <w:autoSpaceDN/>
              <w:bidi w:val="0"/>
              <w:adjustRightInd/>
              <w:spacing w:line="400" w:lineRule="exact"/>
              <w:ind w:right="0" w:rightChars="0"/>
              <w:jc w:val="center"/>
              <w:textAlignment w:val="auto"/>
              <w:rPr>
                <w:color w:val="000000"/>
                <w:sz w:val="24"/>
              </w:rPr>
            </w:pPr>
            <w:r>
              <w:rPr>
                <w:rFonts w:hint="eastAsia"/>
                <w:color w:val="000000"/>
                <w:sz w:val="24"/>
              </w:rPr>
              <w:t>合计（元）</w:t>
            </w:r>
          </w:p>
        </w:tc>
        <w:tc>
          <w:tcPr>
            <w:tcW w:w="3421" w:type="dxa"/>
            <w:vAlign w:val="center"/>
          </w:tcPr>
          <w:p>
            <w:pPr>
              <w:pageBreakBefore w:val="0"/>
              <w:widowControl w:val="0"/>
              <w:kinsoku/>
              <w:wordWrap/>
              <w:overflowPunct/>
              <w:topLinePunct w:val="0"/>
              <w:autoSpaceDE/>
              <w:autoSpaceDN/>
              <w:bidi w:val="0"/>
              <w:adjustRightInd/>
              <w:spacing w:line="400" w:lineRule="exact"/>
              <w:ind w:right="0" w:rightChars="0"/>
              <w:jc w:val="center"/>
              <w:textAlignment w:val="auto"/>
              <w:rPr>
                <w:color w:val="000000"/>
                <w:sz w:val="24"/>
              </w:rPr>
            </w:pPr>
          </w:p>
        </w:tc>
      </w:tr>
    </w:tbl>
    <w:p>
      <w:pPr>
        <w:pStyle w:val="2"/>
        <w:pageBreakBefore w:val="0"/>
        <w:widowControl w:val="0"/>
        <w:kinsoku/>
        <w:wordWrap/>
        <w:overflowPunct/>
        <w:topLinePunct w:val="0"/>
        <w:autoSpaceDE/>
        <w:autoSpaceDN/>
        <w:bidi w:val="0"/>
        <w:adjustRightInd/>
        <w:spacing w:after="0" w:line="400" w:lineRule="exact"/>
        <w:ind w:right="0" w:rightChars="0"/>
        <w:textAlignment w:val="auto"/>
      </w:pPr>
    </w:p>
    <w:p>
      <w:pPr>
        <w:pageBreakBefore w:val="0"/>
        <w:widowControl w:val="0"/>
        <w:kinsoku/>
        <w:wordWrap/>
        <w:overflowPunct/>
        <w:topLinePunct w:val="0"/>
        <w:autoSpaceDE/>
        <w:autoSpaceDN/>
        <w:bidi w:val="0"/>
        <w:adjustRightInd/>
        <w:spacing w:line="400" w:lineRule="exact"/>
        <w:ind w:right="0" w:rightChars="0" w:firstLine="420" w:firstLineChars="200"/>
        <w:jc w:val="left"/>
        <w:textAlignment w:val="auto"/>
        <w:rPr>
          <w:rFonts w:ascii="宋体" w:hAnsi="宋体" w:cs="宋体"/>
          <w:bCs/>
          <w:szCs w:val="28"/>
        </w:rPr>
      </w:pPr>
      <w:r>
        <w:rPr>
          <w:rFonts w:hint="eastAsia" w:ascii="宋体" w:hAnsi="宋体" w:cs="宋体"/>
          <w:bCs/>
          <w:szCs w:val="28"/>
        </w:rPr>
        <w:t>5、成交单位须在成交通知书发出后</w:t>
      </w:r>
      <w:r>
        <w:rPr>
          <w:rFonts w:hint="eastAsia" w:ascii="宋体" w:hAnsi="宋体" w:cs="宋体"/>
          <w:bCs/>
          <w:szCs w:val="28"/>
          <w:lang w:val="en-US" w:eastAsia="zh-CN"/>
        </w:rPr>
        <w:t>10</w:t>
      </w:r>
      <w:r>
        <w:rPr>
          <w:rFonts w:hint="eastAsia" w:ascii="宋体" w:hAnsi="宋体" w:cs="宋体"/>
          <w:bCs/>
          <w:szCs w:val="28"/>
        </w:rPr>
        <w:t>个工作日内与业主单位签订合同。若因成交单位的原因导致未在规定时间内签订合同，业主则有权选择排名第二成交候选人签订合同。</w:t>
      </w:r>
    </w:p>
    <w:p>
      <w:pPr>
        <w:pageBreakBefore w:val="0"/>
        <w:widowControl w:val="0"/>
        <w:kinsoku/>
        <w:wordWrap/>
        <w:overflowPunct/>
        <w:topLinePunct w:val="0"/>
        <w:autoSpaceDE/>
        <w:autoSpaceDN/>
        <w:bidi w:val="0"/>
        <w:adjustRightInd/>
        <w:spacing w:line="400" w:lineRule="exact"/>
        <w:ind w:right="0" w:rightChars="0" w:firstLine="420" w:firstLineChars="200"/>
        <w:jc w:val="left"/>
        <w:textAlignment w:val="auto"/>
        <w:rPr>
          <w:rFonts w:hint="eastAsia" w:ascii="宋体" w:hAnsi="宋体" w:cs="宋体"/>
          <w:bCs/>
          <w:szCs w:val="28"/>
        </w:rPr>
      </w:pPr>
      <w:r>
        <w:rPr>
          <w:rFonts w:hint="eastAsia" w:ascii="宋体" w:hAnsi="宋体" w:cs="宋体"/>
          <w:bCs/>
          <w:szCs w:val="28"/>
        </w:rPr>
        <w:t>6、成交单位须在比选人规定的时间内提交项目各阶段成果资料，成果资料一式四份，其中，服务区左侧加油加气站、右侧加油加气站成果资料应单独成册并通过专家审查合格。在加油加气站、服务区相关手续办理过程中，成交单位应无条件配合比选人完善相关手续，否则成交单位应支付成交总额10%的违约金，并承担由此导致的比选人全部损失。</w:t>
      </w:r>
    </w:p>
    <w:p>
      <w:pPr>
        <w:pageBreakBefore w:val="0"/>
        <w:widowControl w:val="0"/>
        <w:kinsoku/>
        <w:wordWrap/>
        <w:overflowPunct/>
        <w:topLinePunct w:val="0"/>
        <w:autoSpaceDE/>
        <w:autoSpaceDN/>
        <w:bidi w:val="0"/>
        <w:adjustRightInd/>
        <w:spacing w:line="400" w:lineRule="exact"/>
        <w:ind w:right="0" w:rightChars="0" w:firstLine="420" w:firstLineChars="200"/>
        <w:jc w:val="left"/>
        <w:textAlignment w:val="auto"/>
        <w:rPr>
          <w:rFonts w:hint="eastAsia" w:ascii="宋体" w:hAnsi="宋体" w:eastAsia="宋体" w:cs="宋体"/>
          <w:bCs/>
          <w:color w:val="FF0000"/>
          <w:szCs w:val="28"/>
          <w:lang w:val="en-US" w:eastAsia="zh-CN"/>
        </w:rPr>
      </w:pPr>
      <w:r>
        <w:rPr>
          <w:rFonts w:hint="eastAsia" w:ascii="宋体" w:hAnsi="宋体" w:cs="宋体"/>
          <w:bCs/>
          <w:szCs w:val="28"/>
          <w:lang w:val="en-US" w:eastAsia="zh-CN"/>
        </w:rPr>
        <w:t>7、</w:t>
      </w:r>
      <w:r>
        <w:rPr>
          <w:rFonts w:hint="eastAsia" w:ascii="宋体" w:hAnsi="宋体" w:cs="宋体"/>
          <w:bCs/>
          <w:szCs w:val="28"/>
        </w:rPr>
        <w:t>有下列情形之一的，比选人在分析竞争性比选失败原因并采取相应措施后，</w:t>
      </w:r>
      <w:r>
        <w:rPr>
          <w:rFonts w:hint="eastAsia" w:ascii="宋体" w:hAnsi="宋体" w:cs="宋体"/>
          <w:bCs/>
          <w:szCs w:val="28"/>
          <w:lang w:eastAsia="zh-CN"/>
        </w:rPr>
        <w:t>应</w:t>
      </w:r>
      <w:r>
        <w:rPr>
          <w:rFonts w:hint="eastAsia" w:ascii="宋体" w:hAnsi="宋体" w:cs="宋体"/>
          <w:bCs/>
          <w:szCs w:val="28"/>
        </w:rPr>
        <w:t>重新进行比选：</w:t>
      </w:r>
      <w:r>
        <w:rPr>
          <w:rFonts w:hint="eastAsia" w:ascii="宋体" w:hAnsi="宋体" w:cs="宋体"/>
          <w:szCs w:val="28"/>
        </w:rPr>
        <w:t>①</w:t>
      </w:r>
      <w:r>
        <w:rPr>
          <w:rFonts w:hint="eastAsia" w:ascii="宋体" w:hAnsi="宋体" w:cs="宋体"/>
          <w:bCs/>
          <w:szCs w:val="28"/>
        </w:rPr>
        <w:t>投标人少于3个的；</w:t>
      </w:r>
      <w:r>
        <w:rPr>
          <w:rFonts w:hint="eastAsia" w:ascii="宋体" w:hAnsi="宋体"/>
          <w:szCs w:val="28"/>
        </w:rPr>
        <w:t>②</w:t>
      </w:r>
      <w:r>
        <w:rPr>
          <w:rFonts w:hint="eastAsia" w:ascii="宋体" w:hAnsi="宋体" w:cs="宋体"/>
          <w:bCs/>
          <w:szCs w:val="28"/>
        </w:rPr>
        <w:t>所有投标均被否决的；</w:t>
      </w:r>
      <w:r>
        <w:rPr>
          <w:rFonts w:hint="eastAsia" w:ascii="宋体" w:hAnsi="宋体"/>
          <w:szCs w:val="28"/>
        </w:rPr>
        <w:t>③</w:t>
      </w:r>
      <w:r>
        <w:rPr>
          <w:rFonts w:hint="eastAsia" w:ascii="宋体" w:hAnsi="宋体" w:cs="宋体"/>
          <w:bCs/>
          <w:szCs w:val="28"/>
        </w:rPr>
        <w:t>中标候选人均未与比选人订立书面合同的。重新比选后投标人仍少于 3 个的，可由比选人自行决定是否重新进行比选。</w:t>
      </w:r>
    </w:p>
    <w:p>
      <w:pPr>
        <w:rPr>
          <w:rFonts w:ascii="宋体" w:hAnsi="宋体" w:cs="宋体"/>
          <w:bCs/>
          <w:szCs w:val="28"/>
        </w:rPr>
      </w:pPr>
    </w:p>
    <w:p>
      <w:pPr>
        <w:pStyle w:val="2"/>
        <w:tabs>
          <w:tab w:val="right" w:leader="dot" w:pos="8805"/>
        </w:tabs>
        <w:spacing w:before="0" w:after="0" w:line="460" w:lineRule="exact"/>
        <w:jc w:val="both"/>
        <w:rPr>
          <w:rFonts w:ascii="方正仿宋_GBK" w:hAnsi="方正仿宋_GBK" w:eastAsia="方正仿宋_GBK" w:cs="方正仿宋_GBK"/>
          <w:b w:val="0"/>
          <w:caps w:val="0"/>
          <w:color w:val="000000"/>
          <w:sz w:val="32"/>
          <w:szCs w:val="32"/>
        </w:rPr>
        <w:sectPr>
          <w:pgSz w:w="11906" w:h="16838"/>
          <w:pgMar w:top="567" w:right="1797" w:bottom="1276" w:left="1797" w:header="851" w:footer="992" w:gutter="0"/>
          <w:pgBorders>
            <w:top w:val="none" w:sz="0" w:space="0"/>
            <w:left w:val="none" w:sz="0" w:space="0"/>
            <w:bottom w:val="none" w:sz="0" w:space="0"/>
            <w:right w:val="none" w:sz="0" w:space="0"/>
          </w:pgBorders>
          <w:cols w:space="0" w:num="1"/>
          <w:docGrid w:type="lines" w:linePitch="319" w:charSpace="0"/>
        </w:sectPr>
      </w:pPr>
    </w:p>
    <w:p>
      <w:pPr>
        <w:pageBreakBefore w:val="0"/>
        <w:kinsoku/>
        <w:wordWrap/>
        <w:overflowPunct/>
        <w:topLinePunct w:val="0"/>
        <w:autoSpaceDE/>
        <w:autoSpaceDN/>
        <w:bidi w:val="0"/>
        <w:spacing w:line="400" w:lineRule="exact"/>
        <w:ind w:left="0" w:leftChars="0" w:right="0" w:rightChars="0"/>
        <w:textAlignment w:val="auto"/>
      </w:pPr>
    </w:p>
    <w:p>
      <w:pPr>
        <w:pStyle w:val="3"/>
        <w:pageBreakBefore w:val="0"/>
        <w:numPr>
          <w:ilvl w:val="0"/>
          <w:numId w:val="1"/>
        </w:numPr>
        <w:tabs>
          <w:tab w:val="left" w:pos="3360"/>
        </w:tabs>
        <w:kinsoku/>
        <w:wordWrap/>
        <w:overflowPunct/>
        <w:topLinePunct w:val="0"/>
        <w:autoSpaceDE/>
        <w:autoSpaceDN/>
        <w:bidi w:val="0"/>
        <w:spacing w:before="0" w:after="0" w:line="400" w:lineRule="exact"/>
        <w:ind w:left="0" w:leftChars="0" w:right="0" w:rightChars="0"/>
        <w:jc w:val="center"/>
        <w:textAlignment w:val="auto"/>
        <w:rPr>
          <w:rFonts w:ascii="宋体" w:hAnsi="宋体"/>
          <w:color w:val="000000"/>
        </w:rPr>
      </w:pPr>
      <w:r>
        <w:rPr>
          <w:rFonts w:hint="eastAsia" w:ascii="宋体" w:hAnsi="宋体"/>
          <w:color w:val="000000"/>
        </w:rPr>
        <w:t>竞争性比选方法（综合评估法）</w:t>
      </w:r>
    </w:p>
    <w:p>
      <w:pPr>
        <w:pageBreakBefore w:val="0"/>
        <w:numPr>
          <w:ilvl w:val="0"/>
          <w:numId w:val="2"/>
        </w:numPr>
        <w:kinsoku/>
        <w:wordWrap/>
        <w:overflowPunct/>
        <w:topLinePunct w:val="0"/>
        <w:autoSpaceDE/>
        <w:autoSpaceDN/>
        <w:bidi w:val="0"/>
        <w:spacing w:line="400" w:lineRule="exact"/>
        <w:ind w:left="0" w:leftChars="0" w:right="0" w:rightChars="0"/>
        <w:textAlignment w:val="auto"/>
        <w:rPr>
          <w:rFonts w:ascii="宋体" w:hAnsi="宋体"/>
          <w:b/>
          <w:bCs/>
          <w:sz w:val="32"/>
          <w:szCs w:val="32"/>
        </w:rPr>
      </w:pPr>
      <w:r>
        <w:rPr>
          <w:rFonts w:hint="eastAsia" w:ascii="宋体" w:hAnsi="宋体"/>
          <w:b/>
          <w:bCs/>
          <w:sz w:val="32"/>
          <w:szCs w:val="32"/>
        </w:rPr>
        <w:t>报价评审（</w:t>
      </w:r>
      <w:r>
        <w:rPr>
          <w:rFonts w:hint="eastAsia" w:ascii="宋体" w:hAnsi="宋体"/>
          <w:b/>
          <w:bCs/>
          <w:sz w:val="32"/>
          <w:szCs w:val="32"/>
          <w:lang w:val="en-US" w:eastAsia="zh-CN"/>
        </w:rPr>
        <w:t>6</w:t>
      </w:r>
      <w:r>
        <w:rPr>
          <w:rFonts w:hint="eastAsia" w:ascii="宋体" w:hAnsi="宋体"/>
          <w:b/>
          <w:bCs/>
          <w:sz w:val="32"/>
          <w:szCs w:val="32"/>
        </w:rPr>
        <w:t>0分）</w:t>
      </w:r>
    </w:p>
    <w:p>
      <w:pPr>
        <w:pageBreakBefore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ascii="宋体" w:hAnsi="宋体"/>
          <w:sz w:val="24"/>
        </w:rPr>
      </w:pPr>
      <w:r>
        <w:rPr>
          <w:rFonts w:hint="eastAsia" w:ascii="宋体" w:hAnsi="宋体"/>
          <w:sz w:val="24"/>
        </w:rPr>
        <w:t>价格评审以投标人填报的综合折扣系数为评审依据计算得分，下款中“投标报价”均指投标人填报的“综合折扣系数”。</w:t>
      </w:r>
    </w:p>
    <w:p>
      <w:pPr>
        <w:pageBreakBefore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ascii="宋体" w:hAnsi="宋体"/>
          <w:sz w:val="24"/>
        </w:rPr>
      </w:pPr>
      <w:r>
        <w:rPr>
          <w:rFonts w:hint="eastAsia" w:ascii="宋体" w:hAnsi="宋体"/>
          <w:sz w:val="24"/>
        </w:rPr>
        <w:t>评标基准价：以所有通过初步评审合格的投标人的投标报价算术平均值作为评标基准价。</w:t>
      </w:r>
    </w:p>
    <w:p>
      <w:pPr>
        <w:pageBreakBefore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ascii="宋体" w:hAnsi="宋体"/>
          <w:sz w:val="24"/>
        </w:rPr>
      </w:pPr>
      <w:r>
        <w:rPr>
          <w:rFonts w:hint="eastAsia" w:ascii="宋体" w:hAnsi="宋体"/>
          <w:sz w:val="24"/>
        </w:rPr>
        <w:t>报</w:t>
      </w:r>
      <w:r>
        <w:rPr>
          <w:rFonts w:ascii="宋体" w:hAnsi="宋体"/>
          <w:sz w:val="24"/>
        </w:rPr>
        <w:t>价</w:t>
      </w:r>
      <w:r>
        <w:rPr>
          <w:rFonts w:hint="eastAsia" w:ascii="宋体" w:hAnsi="宋体"/>
          <w:sz w:val="24"/>
        </w:rPr>
        <w:t>得分：所有通过初步评审合格的投标人先得满分</w:t>
      </w:r>
      <w:r>
        <w:rPr>
          <w:rFonts w:hint="eastAsia" w:ascii="宋体" w:hAnsi="宋体"/>
          <w:sz w:val="24"/>
          <w:lang w:val="en-US" w:eastAsia="zh-CN"/>
        </w:rPr>
        <w:t>60</w:t>
      </w:r>
      <w:r>
        <w:rPr>
          <w:rFonts w:hint="eastAsia" w:ascii="宋体" w:hAnsi="宋体"/>
          <w:sz w:val="24"/>
        </w:rPr>
        <w:t>分，在此基础上，投标报价与评标基准价相比，每增加1%扣0.5分，每减少1%扣0.25分，扣完为止。</w:t>
      </w:r>
    </w:p>
    <w:p>
      <w:pPr>
        <w:pageBreakBefore w:val="0"/>
        <w:kinsoku/>
        <w:wordWrap/>
        <w:overflowPunct/>
        <w:topLinePunct w:val="0"/>
        <w:autoSpaceDE/>
        <w:autoSpaceDN/>
        <w:bidi w:val="0"/>
        <w:snapToGrid w:val="0"/>
        <w:spacing w:line="400" w:lineRule="exact"/>
        <w:ind w:left="0" w:leftChars="0" w:right="0" w:rightChars="0" w:firstLine="480" w:firstLineChars="200"/>
        <w:textAlignment w:val="auto"/>
        <w:rPr>
          <w:rFonts w:ascii="宋体" w:hAnsi="宋体" w:cs="宋体"/>
          <w:sz w:val="24"/>
        </w:rPr>
      </w:pPr>
      <w:r>
        <w:rPr>
          <w:rFonts w:hint="eastAsia" w:ascii="宋体" w:hAnsi="宋体" w:cs="宋体"/>
          <w:sz w:val="24"/>
        </w:rPr>
        <w:t>备注</w:t>
      </w:r>
      <w:r>
        <w:rPr>
          <w:rFonts w:ascii="宋体" w:hAnsi="宋体" w:cs="宋体"/>
          <w:sz w:val="24"/>
        </w:rPr>
        <w:t>：</w:t>
      </w:r>
    </w:p>
    <w:p>
      <w:pPr>
        <w:pageBreakBefore w:val="0"/>
        <w:kinsoku/>
        <w:wordWrap/>
        <w:overflowPunct/>
        <w:topLinePunct w:val="0"/>
        <w:autoSpaceDE/>
        <w:autoSpaceDN/>
        <w:bidi w:val="0"/>
        <w:snapToGrid w:val="0"/>
        <w:spacing w:line="400" w:lineRule="exact"/>
        <w:ind w:left="0" w:leftChars="0" w:right="0" w:rightChars="0" w:firstLine="480" w:firstLineChars="200"/>
        <w:textAlignment w:val="auto"/>
        <w:rPr>
          <w:rFonts w:ascii="宋体" w:hAnsi="宋体" w:cs="宋体"/>
          <w:sz w:val="24"/>
        </w:rPr>
      </w:pPr>
      <w:r>
        <w:rPr>
          <w:rFonts w:hint="eastAsia" w:ascii="宋体" w:hAnsi="宋体" w:cs="宋体"/>
          <w:sz w:val="24"/>
        </w:rPr>
        <w:t>（1）未参与评标基准价计算的有效投标报价仍计算其投标报价得分。</w:t>
      </w:r>
    </w:p>
    <w:p>
      <w:pPr>
        <w:pageBreakBefore w:val="0"/>
        <w:kinsoku/>
        <w:wordWrap/>
        <w:overflowPunct/>
        <w:topLinePunct w:val="0"/>
        <w:autoSpaceDE/>
        <w:autoSpaceDN/>
        <w:bidi w:val="0"/>
        <w:spacing w:line="400" w:lineRule="exact"/>
        <w:ind w:left="0" w:leftChars="0" w:right="0" w:rightChars="0" w:firstLine="480" w:firstLineChars="200"/>
        <w:textAlignment w:val="auto"/>
        <w:rPr>
          <w:rFonts w:ascii="宋体" w:hAnsi="宋体"/>
          <w:sz w:val="24"/>
        </w:rPr>
      </w:pPr>
      <w:r>
        <w:rPr>
          <w:rFonts w:hint="eastAsia" w:ascii="宋体" w:hAnsi="宋体" w:cs="宋体"/>
          <w:sz w:val="24"/>
        </w:rPr>
        <w:t>（2）评标</w:t>
      </w:r>
      <w:r>
        <w:rPr>
          <w:rFonts w:hint="eastAsia" w:ascii="宋体" w:hAnsi="宋体"/>
          <w:bCs/>
          <w:sz w:val="24"/>
        </w:rPr>
        <w:t>基准价、</w:t>
      </w:r>
      <w:r>
        <w:rPr>
          <w:rFonts w:ascii="宋体" w:hAnsi="宋体"/>
          <w:bCs/>
          <w:sz w:val="24"/>
        </w:rPr>
        <w:t>投标报价得分</w:t>
      </w:r>
      <w:r>
        <w:rPr>
          <w:rFonts w:hint="eastAsia" w:ascii="宋体" w:hAnsi="宋体" w:cs="宋体"/>
          <w:sz w:val="24"/>
        </w:rPr>
        <w:t>计算保留小数点后两位</w:t>
      </w:r>
      <w:r>
        <w:rPr>
          <w:rFonts w:hint="eastAsia" w:ascii="宋体" w:hAnsi="宋体"/>
          <w:sz w:val="24"/>
        </w:rPr>
        <w:t>，小数点后第三位四舍五入。</w:t>
      </w:r>
    </w:p>
    <w:p>
      <w:pPr>
        <w:pageBreakBefore w:val="0"/>
        <w:numPr>
          <w:ilvl w:val="0"/>
          <w:numId w:val="2"/>
        </w:numPr>
        <w:kinsoku/>
        <w:wordWrap/>
        <w:overflowPunct/>
        <w:topLinePunct w:val="0"/>
        <w:autoSpaceDE/>
        <w:autoSpaceDN/>
        <w:bidi w:val="0"/>
        <w:spacing w:line="400" w:lineRule="exact"/>
        <w:ind w:left="0" w:leftChars="0" w:right="0" w:rightChars="0"/>
        <w:textAlignment w:val="auto"/>
        <w:rPr>
          <w:rFonts w:ascii="宋体" w:hAnsi="宋体"/>
          <w:b/>
          <w:bCs/>
          <w:sz w:val="32"/>
          <w:szCs w:val="32"/>
        </w:rPr>
      </w:pPr>
      <w:r>
        <w:rPr>
          <w:rFonts w:hint="eastAsia" w:ascii="宋体" w:hAnsi="宋体"/>
          <w:b/>
          <w:bCs/>
          <w:sz w:val="32"/>
          <w:szCs w:val="32"/>
        </w:rPr>
        <w:t>商务、技术</w:t>
      </w:r>
      <w:r>
        <w:rPr>
          <w:rFonts w:hint="eastAsia" w:ascii="宋体" w:hAnsi="宋体"/>
          <w:sz w:val="24"/>
        </w:rPr>
        <w:t>（</w:t>
      </w:r>
      <w:r>
        <w:rPr>
          <w:rFonts w:hint="eastAsia" w:ascii="宋体" w:hAnsi="宋体"/>
          <w:b/>
          <w:bCs/>
          <w:sz w:val="32"/>
          <w:szCs w:val="32"/>
          <w:lang w:val="en-US" w:eastAsia="zh-CN"/>
        </w:rPr>
        <w:t>4</w:t>
      </w:r>
      <w:r>
        <w:rPr>
          <w:rFonts w:hint="eastAsia" w:ascii="宋体" w:hAnsi="宋体"/>
          <w:b/>
          <w:bCs/>
          <w:sz w:val="32"/>
          <w:szCs w:val="32"/>
        </w:rPr>
        <w:t>0分）</w:t>
      </w:r>
    </w:p>
    <w:tbl>
      <w:tblPr>
        <w:tblStyle w:val="16"/>
        <w:tblW w:w="13600" w:type="dxa"/>
        <w:jc w:val="center"/>
        <w:tblLayout w:type="fixed"/>
        <w:tblCellMar>
          <w:top w:w="0" w:type="dxa"/>
          <w:left w:w="108" w:type="dxa"/>
          <w:bottom w:w="0" w:type="dxa"/>
          <w:right w:w="108" w:type="dxa"/>
        </w:tblCellMar>
      </w:tblPr>
      <w:tblGrid>
        <w:gridCol w:w="956"/>
        <w:gridCol w:w="1187"/>
        <w:gridCol w:w="10586"/>
        <w:gridCol w:w="871"/>
      </w:tblGrid>
      <w:tr>
        <w:tblPrEx>
          <w:tblCellMar>
            <w:top w:w="0" w:type="dxa"/>
            <w:left w:w="108" w:type="dxa"/>
            <w:bottom w:w="0" w:type="dxa"/>
            <w:right w:w="108" w:type="dxa"/>
          </w:tblCellMar>
        </w:tblPrEx>
        <w:trPr>
          <w:trHeight w:val="555"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400" w:lineRule="exact"/>
              <w:ind w:left="0" w:leftChars="0" w:right="0" w:rightChars="0"/>
              <w:jc w:val="center"/>
              <w:textAlignment w:val="auto"/>
              <w:rPr>
                <w:rFonts w:ascii="宋体" w:hAnsi="宋体"/>
                <w:szCs w:val="21"/>
              </w:rPr>
            </w:pPr>
            <w:r>
              <w:rPr>
                <w:rFonts w:hint="eastAsia" w:ascii="宋体" w:hAnsi="宋体"/>
                <w:szCs w:val="21"/>
              </w:rPr>
              <w:t>评审项</w:t>
            </w:r>
          </w:p>
        </w:tc>
        <w:tc>
          <w:tcPr>
            <w:tcW w:w="1187"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spacing w:line="400" w:lineRule="exact"/>
              <w:ind w:left="0" w:leftChars="0" w:right="0" w:rightChars="0"/>
              <w:jc w:val="center"/>
              <w:textAlignment w:val="auto"/>
              <w:rPr>
                <w:rFonts w:ascii="宋体" w:hAnsi="宋体"/>
                <w:szCs w:val="21"/>
              </w:rPr>
            </w:pPr>
            <w:r>
              <w:rPr>
                <w:rFonts w:hint="eastAsia" w:ascii="宋体" w:hAnsi="宋体"/>
                <w:szCs w:val="21"/>
              </w:rPr>
              <w:t>评审因素</w:t>
            </w:r>
          </w:p>
        </w:tc>
        <w:tc>
          <w:tcPr>
            <w:tcW w:w="10586" w:type="dxa"/>
            <w:tcBorders>
              <w:top w:val="single" w:color="auto" w:sz="4" w:space="0"/>
              <w:left w:val="nil"/>
              <w:bottom w:val="single" w:color="auto" w:sz="4" w:space="0"/>
              <w:right w:val="single" w:color="000000" w:sz="4" w:space="0"/>
            </w:tcBorders>
            <w:vAlign w:val="center"/>
          </w:tcPr>
          <w:p>
            <w:pPr>
              <w:pageBreakBefore w:val="0"/>
              <w:kinsoku/>
              <w:wordWrap/>
              <w:overflowPunct/>
              <w:topLinePunct w:val="0"/>
              <w:autoSpaceDE/>
              <w:autoSpaceDN/>
              <w:bidi w:val="0"/>
              <w:spacing w:line="400" w:lineRule="exact"/>
              <w:ind w:left="0" w:leftChars="0" w:right="0" w:rightChars="0"/>
              <w:jc w:val="center"/>
              <w:textAlignment w:val="auto"/>
              <w:rPr>
                <w:rFonts w:ascii="宋体" w:hAnsi="宋体"/>
                <w:szCs w:val="21"/>
              </w:rPr>
            </w:pPr>
            <w:r>
              <w:rPr>
                <w:rFonts w:hint="eastAsia" w:ascii="宋体" w:hAnsi="宋体"/>
                <w:szCs w:val="21"/>
              </w:rPr>
              <w:t>评审标准</w:t>
            </w:r>
          </w:p>
        </w:tc>
        <w:tc>
          <w:tcPr>
            <w:tcW w:w="87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spacing w:line="400" w:lineRule="exact"/>
              <w:ind w:left="0" w:leftChars="0" w:right="0" w:rightChars="0"/>
              <w:jc w:val="center"/>
              <w:textAlignment w:val="auto"/>
              <w:rPr>
                <w:rFonts w:ascii="宋体" w:hAnsi="宋体"/>
                <w:szCs w:val="21"/>
              </w:rPr>
            </w:pPr>
            <w:r>
              <w:rPr>
                <w:rFonts w:hint="eastAsia" w:ascii="宋体" w:hAnsi="宋体"/>
                <w:szCs w:val="21"/>
              </w:rPr>
              <w:t>分值</w:t>
            </w:r>
          </w:p>
        </w:tc>
      </w:tr>
      <w:tr>
        <w:tblPrEx>
          <w:tblCellMar>
            <w:top w:w="0" w:type="dxa"/>
            <w:left w:w="108" w:type="dxa"/>
            <w:bottom w:w="0" w:type="dxa"/>
            <w:right w:w="108" w:type="dxa"/>
          </w:tblCellMar>
        </w:tblPrEx>
        <w:trPr>
          <w:trHeight w:val="555" w:hRule="atLeast"/>
          <w:jc w:val="center"/>
        </w:trPr>
        <w:tc>
          <w:tcPr>
            <w:tcW w:w="956" w:type="dxa"/>
            <w:vMerge w:val="restar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400" w:lineRule="exact"/>
              <w:ind w:left="0" w:leftChars="0" w:right="0" w:rightChars="0"/>
              <w:jc w:val="center"/>
              <w:textAlignment w:val="auto"/>
              <w:rPr>
                <w:rFonts w:ascii="宋体" w:hAnsi="宋体"/>
                <w:szCs w:val="21"/>
              </w:rPr>
            </w:pPr>
            <w:r>
              <w:rPr>
                <w:rFonts w:hint="eastAsia" w:ascii="宋体" w:hAnsi="宋体"/>
                <w:szCs w:val="21"/>
              </w:rPr>
              <w:t>商务</w:t>
            </w:r>
          </w:p>
        </w:tc>
        <w:tc>
          <w:tcPr>
            <w:tcW w:w="1187"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400" w:lineRule="exact"/>
              <w:ind w:left="0" w:leftChars="0" w:right="0" w:rightChars="0"/>
              <w:jc w:val="center"/>
              <w:textAlignment w:val="auto"/>
              <w:rPr>
                <w:rFonts w:ascii="宋体" w:hAnsi="宋体"/>
                <w:szCs w:val="21"/>
              </w:rPr>
            </w:pPr>
            <w:r>
              <w:rPr>
                <w:rFonts w:hint="eastAsia" w:ascii="宋体" w:hAnsi="宋体"/>
                <w:szCs w:val="21"/>
              </w:rPr>
              <w:t>注册资金</w:t>
            </w:r>
          </w:p>
        </w:tc>
        <w:tc>
          <w:tcPr>
            <w:tcW w:w="10586"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400" w:lineRule="exact"/>
              <w:ind w:left="0" w:leftChars="0" w:right="0" w:rightChars="0"/>
              <w:jc w:val="left"/>
              <w:textAlignment w:val="auto"/>
              <w:rPr>
                <w:rFonts w:ascii="宋体" w:hAnsi="宋体"/>
                <w:szCs w:val="21"/>
              </w:rPr>
            </w:pPr>
            <w:r>
              <w:rPr>
                <w:rFonts w:hint="eastAsia" w:ascii="宋体" w:hAnsi="宋体"/>
                <w:szCs w:val="21"/>
              </w:rPr>
              <w:t>注册资金以500万元为基准（500万元及以下不得分），每增加500万元得0.5分，本项目最高得2分。</w:t>
            </w:r>
          </w:p>
        </w:tc>
        <w:tc>
          <w:tcPr>
            <w:tcW w:w="87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400" w:lineRule="exact"/>
              <w:ind w:left="0" w:leftChars="0" w:right="0" w:rightChars="0"/>
              <w:jc w:val="center"/>
              <w:textAlignment w:val="auto"/>
              <w:rPr>
                <w:rFonts w:ascii="宋体" w:hAnsi="宋体"/>
                <w:szCs w:val="21"/>
              </w:rPr>
            </w:pPr>
            <w:r>
              <w:rPr>
                <w:rFonts w:hint="eastAsia" w:ascii="宋体" w:hAnsi="宋体"/>
                <w:szCs w:val="21"/>
              </w:rPr>
              <w:t>2</w:t>
            </w:r>
          </w:p>
        </w:tc>
      </w:tr>
      <w:tr>
        <w:tblPrEx>
          <w:tblCellMar>
            <w:top w:w="0" w:type="dxa"/>
            <w:left w:w="108" w:type="dxa"/>
            <w:bottom w:w="0" w:type="dxa"/>
            <w:right w:w="108" w:type="dxa"/>
          </w:tblCellMar>
        </w:tblPrEx>
        <w:trPr>
          <w:trHeight w:val="953"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400" w:lineRule="exact"/>
              <w:ind w:left="0" w:leftChars="0" w:right="0" w:rightChars="0"/>
              <w:jc w:val="left"/>
              <w:textAlignment w:val="auto"/>
              <w:rPr>
                <w:rFonts w:ascii="宋体" w:hAnsi="宋体"/>
                <w:szCs w:val="21"/>
              </w:rPr>
            </w:pPr>
          </w:p>
        </w:tc>
        <w:tc>
          <w:tcPr>
            <w:tcW w:w="1187"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400" w:lineRule="exact"/>
              <w:ind w:left="0" w:leftChars="0" w:right="0" w:rightChars="0"/>
              <w:jc w:val="center"/>
              <w:textAlignment w:val="auto"/>
              <w:rPr>
                <w:rFonts w:ascii="宋体" w:hAnsi="宋体"/>
                <w:szCs w:val="21"/>
              </w:rPr>
            </w:pPr>
            <w:r>
              <w:rPr>
                <w:rFonts w:hint="eastAsia" w:ascii="宋体" w:hAnsi="宋体"/>
                <w:szCs w:val="21"/>
              </w:rPr>
              <w:t>类似业绩</w:t>
            </w:r>
          </w:p>
        </w:tc>
        <w:tc>
          <w:tcPr>
            <w:tcW w:w="1058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400" w:lineRule="exact"/>
              <w:ind w:left="0" w:leftChars="0" w:right="0" w:rightChars="0"/>
              <w:jc w:val="left"/>
              <w:textAlignment w:val="auto"/>
              <w:rPr>
                <w:rFonts w:ascii="宋体" w:hAnsi="宋体"/>
                <w:szCs w:val="21"/>
              </w:rPr>
            </w:pPr>
            <w:r>
              <w:rPr>
                <w:rFonts w:hint="eastAsia" w:ascii="宋体" w:hAnsi="宋体"/>
                <w:szCs w:val="21"/>
              </w:rPr>
              <w:t>201</w:t>
            </w:r>
            <w:r>
              <w:rPr>
                <w:rFonts w:hint="eastAsia" w:ascii="宋体" w:hAnsi="宋体"/>
                <w:szCs w:val="21"/>
                <w:lang w:val="en-US" w:eastAsia="zh-CN"/>
              </w:rPr>
              <w:t>8</w:t>
            </w:r>
            <w:r>
              <w:rPr>
                <w:rFonts w:hint="eastAsia" w:ascii="宋体" w:hAnsi="宋体"/>
                <w:szCs w:val="21"/>
              </w:rPr>
              <w:t>年01月01日至今，最大单年累计类似业绩合同（以合同签订时间为准）金额50万元及以下不得分，在50万的基础上每增加5万元得0.5分，本项目最高得5分。</w:t>
            </w:r>
            <w:r>
              <w:rPr>
                <w:rFonts w:hint="eastAsia" w:ascii="宋体" w:hAnsi="宋体"/>
                <w:szCs w:val="21"/>
              </w:rPr>
              <w:br w:type="textWrapping"/>
            </w:r>
            <w:r>
              <w:rPr>
                <w:rFonts w:hint="eastAsia" w:ascii="宋体" w:hAnsi="宋体"/>
                <w:szCs w:val="21"/>
              </w:rPr>
              <w:t>注：须提供清晰、有效的合同（含框架合同+订单方式）关键页复印件，原件评标备查。</w:t>
            </w:r>
            <w:r>
              <w:rPr>
                <w:rFonts w:hint="eastAsia" w:ascii="宋体" w:hAnsi="宋体"/>
                <w:szCs w:val="21"/>
              </w:rPr>
              <w:br w:type="textWrapping"/>
            </w:r>
            <w:r>
              <w:rPr>
                <w:rFonts w:hint="eastAsia" w:ascii="宋体" w:hAnsi="宋体"/>
                <w:szCs w:val="21"/>
              </w:rPr>
              <w:t>特别说明：</w:t>
            </w:r>
            <w:r>
              <w:rPr>
                <w:rFonts w:hint="eastAsia" w:ascii="宋体" w:hAnsi="宋体"/>
                <w:szCs w:val="21"/>
              </w:rPr>
              <w:br w:type="textWrapping"/>
            </w:r>
            <w:r>
              <w:rPr>
                <w:rFonts w:hint="eastAsia" w:ascii="宋体" w:hAnsi="宋体"/>
                <w:szCs w:val="21"/>
              </w:rPr>
              <w:t>A 合同（含框架合同+订单方式）关键页指：含有合同所有当事人名称、合同标的物、价格、合同签订时间、合同当事人签名、盖章等内容的页面。</w:t>
            </w:r>
            <w:r>
              <w:rPr>
                <w:rFonts w:hint="eastAsia" w:ascii="宋体" w:hAnsi="宋体"/>
                <w:szCs w:val="21"/>
              </w:rPr>
              <w:br w:type="textWrapping"/>
            </w:r>
            <w:r>
              <w:rPr>
                <w:rFonts w:hint="eastAsia" w:ascii="宋体" w:hAnsi="宋体"/>
                <w:szCs w:val="21"/>
              </w:rPr>
              <w:t>B当框架合同下的订单较多时，可提供框架合同关键页+发包单位证明原件，发包单位证明原件中要有：标的物名称、价格、实施时间、证明单位中的证明人座机及证明人手机联系电话等内容。</w:t>
            </w:r>
          </w:p>
        </w:tc>
        <w:tc>
          <w:tcPr>
            <w:tcW w:w="871"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400" w:lineRule="exact"/>
              <w:ind w:left="0" w:leftChars="0" w:right="0" w:rightChars="0"/>
              <w:jc w:val="center"/>
              <w:textAlignment w:val="auto"/>
              <w:rPr>
                <w:rFonts w:ascii="宋体" w:hAnsi="宋体"/>
                <w:szCs w:val="21"/>
              </w:rPr>
            </w:pPr>
            <w:r>
              <w:rPr>
                <w:rFonts w:hint="eastAsia" w:ascii="宋体" w:hAnsi="宋体"/>
                <w:szCs w:val="21"/>
              </w:rPr>
              <w:t>5</w:t>
            </w:r>
          </w:p>
        </w:tc>
      </w:tr>
      <w:tr>
        <w:tblPrEx>
          <w:tblCellMar>
            <w:top w:w="0" w:type="dxa"/>
            <w:left w:w="108" w:type="dxa"/>
            <w:bottom w:w="0" w:type="dxa"/>
            <w:right w:w="108" w:type="dxa"/>
          </w:tblCellMar>
        </w:tblPrEx>
        <w:trPr>
          <w:trHeight w:val="615"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400" w:lineRule="exact"/>
              <w:ind w:left="0" w:leftChars="0" w:right="0" w:rightChars="0"/>
              <w:jc w:val="left"/>
              <w:textAlignment w:val="auto"/>
              <w:rPr>
                <w:rFonts w:ascii="宋体" w:hAnsi="宋体"/>
                <w:szCs w:val="21"/>
              </w:rPr>
            </w:pPr>
          </w:p>
        </w:tc>
        <w:tc>
          <w:tcPr>
            <w:tcW w:w="1187"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400" w:lineRule="exact"/>
              <w:ind w:left="0" w:leftChars="0" w:right="0" w:rightChars="0"/>
              <w:jc w:val="center"/>
              <w:textAlignment w:val="auto"/>
              <w:rPr>
                <w:rFonts w:ascii="宋体" w:hAnsi="宋体"/>
                <w:szCs w:val="21"/>
              </w:rPr>
            </w:pPr>
            <w:r>
              <w:rPr>
                <w:rFonts w:hint="eastAsia" w:ascii="宋体" w:hAnsi="宋体"/>
                <w:szCs w:val="21"/>
              </w:rPr>
              <w:t>财务状况</w:t>
            </w:r>
          </w:p>
        </w:tc>
        <w:tc>
          <w:tcPr>
            <w:tcW w:w="1058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400" w:lineRule="exact"/>
              <w:ind w:left="0" w:leftChars="0" w:right="0" w:rightChars="0"/>
              <w:jc w:val="left"/>
              <w:textAlignment w:val="auto"/>
              <w:rPr>
                <w:rFonts w:ascii="宋体" w:hAnsi="宋体"/>
                <w:szCs w:val="21"/>
              </w:rPr>
            </w:pPr>
            <w:r>
              <w:rPr>
                <w:rFonts w:hint="eastAsia" w:ascii="宋体" w:hAnsi="宋体"/>
                <w:szCs w:val="21"/>
              </w:rPr>
              <w:t>提供2017-2020年连续三年经会计事务所审计的财务报告（含审计报告正文、资产负债表、现金流量表、利润表）；三年利润均为正得0.5分，营业额及利润均递增另加1.5分，否则不得分。</w:t>
            </w:r>
          </w:p>
        </w:tc>
        <w:tc>
          <w:tcPr>
            <w:tcW w:w="871"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400" w:lineRule="exact"/>
              <w:ind w:left="0" w:leftChars="0" w:right="0" w:rightChars="0"/>
              <w:jc w:val="center"/>
              <w:textAlignment w:val="auto"/>
              <w:rPr>
                <w:rFonts w:ascii="宋体" w:hAnsi="宋体"/>
                <w:szCs w:val="21"/>
              </w:rPr>
            </w:pPr>
            <w:r>
              <w:rPr>
                <w:rFonts w:hint="eastAsia" w:ascii="宋体" w:hAnsi="宋体"/>
                <w:szCs w:val="21"/>
              </w:rPr>
              <w:t>2</w:t>
            </w:r>
          </w:p>
        </w:tc>
      </w:tr>
      <w:tr>
        <w:tblPrEx>
          <w:tblCellMar>
            <w:top w:w="0" w:type="dxa"/>
            <w:left w:w="108" w:type="dxa"/>
            <w:bottom w:w="0" w:type="dxa"/>
            <w:right w:w="108" w:type="dxa"/>
          </w:tblCellMar>
        </w:tblPrEx>
        <w:trPr>
          <w:trHeight w:val="615"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400" w:lineRule="exact"/>
              <w:ind w:left="0" w:leftChars="0" w:right="0" w:rightChars="0"/>
              <w:jc w:val="left"/>
              <w:textAlignment w:val="auto"/>
              <w:rPr>
                <w:rFonts w:ascii="宋体" w:hAnsi="宋体"/>
                <w:szCs w:val="21"/>
              </w:rPr>
            </w:pPr>
          </w:p>
        </w:tc>
        <w:tc>
          <w:tcPr>
            <w:tcW w:w="1187" w:type="dxa"/>
            <w:tcBorders>
              <w:top w:val="nil"/>
              <w:left w:val="nil"/>
              <w:bottom w:val="nil"/>
              <w:right w:val="single" w:color="auto" w:sz="4" w:space="0"/>
            </w:tcBorders>
            <w:vAlign w:val="center"/>
          </w:tcPr>
          <w:p>
            <w:pPr>
              <w:pageBreakBefore w:val="0"/>
              <w:widowControl/>
              <w:kinsoku/>
              <w:wordWrap/>
              <w:overflowPunct/>
              <w:topLinePunct w:val="0"/>
              <w:autoSpaceDE/>
              <w:autoSpaceDN/>
              <w:bidi w:val="0"/>
              <w:spacing w:line="400" w:lineRule="exact"/>
              <w:ind w:left="0" w:leftChars="0" w:right="0" w:rightChars="0"/>
              <w:jc w:val="center"/>
              <w:textAlignment w:val="auto"/>
              <w:rPr>
                <w:rFonts w:ascii="宋体" w:hAnsi="宋体"/>
                <w:szCs w:val="21"/>
              </w:rPr>
            </w:pPr>
            <w:r>
              <w:rPr>
                <w:rFonts w:hint="eastAsia" w:ascii="宋体" w:hAnsi="宋体"/>
                <w:szCs w:val="21"/>
              </w:rPr>
              <w:t>标书制作质量</w:t>
            </w:r>
          </w:p>
        </w:tc>
        <w:tc>
          <w:tcPr>
            <w:tcW w:w="1058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400" w:lineRule="exact"/>
              <w:ind w:left="0" w:leftChars="0" w:right="0" w:rightChars="0"/>
              <w:jc w:val="left"/>
              <w:textAlignment w:val="auto"/>
              <w:rPr>
                <w:rFonts w:ascii="宋体" w:hAnsi="宋体"/>
                <w:szCs w:val="21"/>
              </w:rPr>
            </w:pPr>
            <w:r>
              <w:rPr>
                <w:rFonts w:hint="eastAsia" w:ascii="宋体" w:hAnsi="宋体"/>
                <w:szCs w:val="21"/>
              </w:rPr>
              <w:t>投标文件格式和内容严格按照招标文件要求编制；同时要求目录索引正确、查找方便，目录清晰、文字清晰、资料齐全、内容完整、装订整齐，正文有页码，图纸表格等有编号。最优得1分，其次得0-0.9分，得分可相同。</w:t>
            </w:r>
          </w:p>
        </w:tc>
        <w:tc>
          <w:tcPr>
            <w:tcW w:w="871" w:type="dxa"/>
            <w:tcBorders>
              <w:top w:val="nil"/>
              <w:left w:val="nil"/>
              <w:bottom w:val="nil"/>
              <w:right w:val="single" w:color="auto" w:sz="4" w:space="0"/>
            </w:tcBorders>
            <w:vAlign w:val="center"/>
          </w:tcPr>
          <w:p>
            <w:pPr>
              <w:pageBreakBefore w:val="0"/>
              <w:widowControl/>
              <w:kinsoku/>
              <w:wordWrap/>
              <w:overflowPunct/>
              <w:topLinePunct w:val="0"/>
              <w:autoSpaceDE/>
              <w:autoSpaceDN/>
              <w:bidi w:val="0"/>
              <w:spacing w:line="400" w:lineRule="exact"/>
              <w:ind w:left="0" w:leftChars="0" w:right="0" w:rightChars="0"/>
              <w:jc w:val="center"/>
              <w:textAlignment w:val="auto"/>
              <w:rPr>
                <w:rFonts w:ascii="宋体" w:hAnsi="宋体"/>
                <w:szCs w:val="21"/>
              </w:rPr>
            </w:pPr>
            <w:r>
              <w:rPr>
                <w:rFonts w:hint="eastAsia" w:ascii="宋体" w:hAnsi="宋体"/>
                <w:szCs w:val="21"/>
              </w:rPr>
              <w:t>1</w:t>
            </w:r>
          </w:p>
        </w:tc>
      </w:tr>
      <w:tr>
        <w:tblPrEx>
          <w:tblCellMar>
            <w:top w:w="0" w:type="dxa"/>
            <w:left w:w="108" w:type="dxa"/>
            <w:bottom w:w="0" w:type="dxa"/>
            <w:right w:w="108" w:type="dxa"/>
          </w:tblCellMar>
        </w:tblPrEx>
        <w:trPr>
          <w:trHeight w:val="615"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400" w:lineRule="exact"/>
              <w:ind w:left="0" w:leftChars="0" w:right="0" w:rightChars="0"/>
              <w:jc w:val="left"/>
              <w:textAlignment w:val="auto"/>
              <w:rPr>
                <w:rFonts w:ascii="宋体" w:hAnsi="宋体"/>
                <w:szCs w:val="21"/>
              </w:rPr>
            </w:pPr>
          </w:p>
        </w:tc>
        <w:tc>
          <w:tcPr>
            <w:tcW w:w="1187"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400" w:lineRule="exact"/>
              <w:ind w:left="0" w:leftChars="0" w:right="0" w:rightChars="0"/>
              <w:jc w:val="center"/>
              <w:textAlignment w:val="auto"/>
              <w:rPr>
                <w:rFonts w:ascii="宋体" w:hAnsi="宋体"/>
                <w:szCs w:val="21"/>
              </w:rPr>
            </w:pPr>
          </w:p>
        </w:tc>
        <w:tc>
          <w:tcPr>
            <w:tcW w:w="1058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400" w:lineRule="exact"/>
              <w:ind w:left="0" w:leftChars="0" w:right="0" w:rightChars="0"/>
              <w:jc w:val="left"/>
              <w:textAlignment w:val="auto"/>
              <w:rPr>
                <w:rFonts w:ascii="宋体" w:hAnsi="宋体"/>
                <w:szCs w:val="21"/>
              </w:rPr>
            </w:pPr>
            <w:r>
              <w:rPr>
                <w:rFonts w:hint="eastAsia" w:ascii="宋体" w:hAnsi="宋体"/>
                <w:szCs w:val="21"/>
              </w:rPr>
              <w:t>共计10分</w:t>
            </w:r>
          </w:p>
        </w:tc>
        <w:tc>
          <w:tcPr>
            <w:tcW w:w="871"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400" w:lineRule="exact"/>
              <w:ind w:left="0" w:leftChars="0" w:right="0" w:rightChars="0"/>
              <w:jc w:val="center"/>
              <w:textAlignment w:val="auto"/>
              <w:rPr>
                <w:rFonts w:ascii="宋体" w:hAnsi="宋体"/>
                <w:szCs w:val="21"/>
              </w:rPr>
            </w:pPr>
          </w:p>
        </w:tc>
      </w:tr>
    </w:tbl>
    <w:p>
      <w:pPr>
        <w:pageBreakBefore w:val="0"/>
        <w:kinsoku/>
        <w:wordWrap/>
        <w:overflowPunct/>
        <w:topLinePunct w:val="0"/>
        <w:autoSpaceDE/>
        <w:autoSpaceDN/>
        <w:bidi w:val="0"/>
        <w:spacing w:line="400" w:lineRule="exact"/>
        <w:ind w:left="0" w:leftChars="0" w:right="0" w:rightChars="0"/>
        <w:textAlignment w:val="auto"/>
        <w:rPr>
          <w:rFonts w:ascii="宋体" w:hAnsi="宋体"/>
          <w:b/>
          <w:bCs/>
          <w:sz w:val="32"/>
          <w:szCs w:val="32"/>
        </w:rPr>
      </w:pPr>
    </w:p>
    <w:tbl>
      <w:tblPr>
        <w:tblStyle w:val="16"/>
        <w:tblW w:w="13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000"/>
        <w:gridCol w:w="732"/>
        <w:gridCol w:w="1782"/>
        <w:gridCol w:w="9148"/>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0"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kern w:val="0"/>
                <w:szCs w:val="21"/>
              </w:rPr>
            </w:pPr>
            <w:r>
              <w:rPr>
                <w:rFonts w:hint="eastAsia"/>
                <w:szCs w:val="21"/>
              </w:rPr>
              <w:t>评审项</w:t>
            </w:r>
          </w:p>
        </w:tc>
        <w:tc>
          <w:tcPr>
            <w:tcW w:w="1000" w:type="dxa"/>
            <w:vAlign w:val="center"/>
          </w:tcPr>
          <w:p>
            <w:pPr>
              <w:pageBreakBefore w:val="0"/>
              <w:kinsoku/>
              <w:wordWrap/>
              <w:overflowPunct/>
              <w:topLinePunct w:val="0"/>
              <w:autoSpaceDE/>
              <w:autoSpaceDN/>
              <w:bidi w:val="0"/>
              <w:spacing w:line="400" w:lineRule="exact"/>
              <w:ind w:left="0" w:leftChars="0" w:right="0" w:rightChars="0"/>
              <w:contextualSpacing/>
              <w:jc w:val="center"/>
              <w:textAlignment w:val="auto"/>
              <w:rPr>
                <w:szCs w:val="21"/>
              </w:rPr>
            </w:pPr>
            <w:r>
              <w:rPr>
                <w:rFonts w:hint="eastAsia"/>
                <w:szCs w:val="21"/>
              </w:rPr>
              <w:t>评审因素</w:t>
            </w:r>
          </w:p>
        </w:tc>
        <w:tc>
          <w:tcPr>
            <w:tcW w:w="11662" w:type="dxa"/>
            <w:gridSpan w:val="3"/>
            <w:vAlign w:val="center"/>
          </w:tcPr>
          <w:p>
            <w:pPr>
              <w:pageBreakBefore w:val="0"/>
              <w:kinsoku/>
              <w:wordWrap/>
              <w:overflowPunct/>
              <w:topLinePunct w:val="0"/>
              <w:autoSpaceDE/>
              <w:autoSpaceDN/>
              <w:bidi w:val="0"/>
              <w:spacing w:line="400" w:lineRule="exact"/>
              <w:ind w:left="0" w:leftChars="0" w:right="0" w:rightChars="0"/>
              <w:contextualSpacing/>
              <w:jc w:val="center"/>
              <w:textAlignment w:val="auto"/>
              <w:rPr>
                <w:szCs w:val="21"/>
              </w:rPr>
            </w:pPr>
            <w:r>
              <w:rPr>
                <w:rFonts w:hint="eastAsia"/>
                <w:szCs w:val="21"/>
              </w:rPr>
              <w:t>评审标准</w:t>
            </w:r>
          </w:p>
        </w:tc>
        <w:tc>
          <w:tcPr>
            <w:tcW w:w="426" w:type="dxa"/>
            <w:vAlign w:val="center"/>
          </w:tcPr>
          <w:p>
            <w:pPr>
              <w:pageBreakBefore w:val="0"/>
              <w:kinsoku/>
              <w:wordWrap/>
              <w:overflowPunct/>
              <w:topLinePunct w:val="0"/>
              <w:autoSpaceDE/>
              <w:autoSpaceDN/>
              <w:bidi w:val="0"/>
              <w:spacing w:line="400" w:lineRule="exact"/>
              <w:ind w:left="0" w:leftChars="0" w:right="0" w:rightChars="0"/>
              <w:contextualSpacing/>
              <w:jc w:val="center"/>
              <w:textAlignment w:val="auto"/>
              <w:rPr>
                <w:szCs w:val="21"/>
              </w:rPr>
            </w:pPr>
            <w:r>
              <w:rPr>
                <w:rFonts w:hint="eastAsia"/>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0" w:type="dxa"/>
            <w:vMerge w:val="restart"/>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000" w:type="dxa"/>
            <w:vMerge w:val="restart"/>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检测方案</w:t>
            </w:r>
          </w:p>
        </w:tc>
        <w:tc>
          <w:tcPr>
            <w:tcW w:w="732"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全面性</w:t>
            </w:r>
          </w:p>
        </w:tc>
        <w:tc>
          <w:tcPr>
            <w:tcW w:w="1782"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内容完整性和编制水平</w:t>
            </w:r>
          </w:p>
        </w:tc>
        <w:tc>
          <w:tcPr>
            <w:tcW w:w="9148"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r>
              <w:rPr>
                <w:rFonts w:hint="eastAsia" w:ascii="宋体" w:hAnsi="宋体" w:cs="宋体"/>
                <w:kern w:val="0"/>
                <w:szCs w:val="21"/>
              </w:rPr>
              <w:t>考察投标人编制的检测方案是否文字清晰、内容完整、编制合理，根据方案优劣给0-5分，得分可相同。</w:t>
            </w:r>
          </w:p>
        </w:tc>
        <w:tc>
          <w:tcPr>
            <w:tcW w:w="426"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0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732" w:type="dxa"/>
            <w:vMerge w:val="restart"/>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可行性</w:t>
            </w:r>
          </w:p>
        </w:tc>
        <w:tc>
          <w:tcPr>
            <w:tcW w:w="1782"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进度计划与措施</w:t>
            </w:r>
          </w:p>
        </w:tc>
        <w:tc>
          <w:tcPr>
            <w:tcW w:w="9148"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r>
              <w:rPr>
                <w:rFonts w:hint="eastAsia" w:ascii="宋体" w:hAnsi="宋体" w:cs="宋体"/>
                <w:kern w:val="0"/>
                <w:szCs w:val="21"/>
              </w:rPr>
              <w:t>拟定相关的进度计划和安排是否能够满足加油站检测工程建设重难点、关键节点的要求，并有具体相应的有效保证进度的措施。根据方案优劣给0-3分，得分可相同。</w:t>
            </w:r>
          </w:p>
        </w:tc>
        <w:tc>
          <w:tcPr>
            <w:tcW w:w="426"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0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732"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782" w:type="dxa"/>
            <w:vMerge w:val="restart"/>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资源配备计划</w:t>
            </w:r>
          </w:p>
        </w:tc>
        <w:tc>
          <w:tcPr>
            <w:tcW w:w="9148"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r>
              <w:rPr>
                <w:rFonts w:hint="eastAsia" w:ascii="宋体" w:hAnsi="宋体" w:cs="宋体"/>
                <w:kern w:val="0"/>
                <w:szCs w:val="21"/>
              </w:rPr>
              <w:t>考察投标人在本项目中承诺投入的车辆的数量及稳定性，其中每提供一辆自购车得1分，每提供一辆租赁车得0.5分，本项最高得6分，提供公司车辆行驶证复印件或车辆租赁协议（协议有效期须覆盖合同有效期）、车辆照片。</w:t>
            </w:r>
          </w:p>
        </w:tc>
        <w:tc>
          <w:tcPr>
            <w:tcW w:w="426"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8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0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732"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782"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9148"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r>
              <w:rPr>
                <w:rFonts w:hint="eastAsia" w:ascii="宋体" w:hAnsi="宋体" w:cs="宋体"/>
                <w:kern w:val="0"/>
                <w:szCs w:val="21"/>
              </w:rPr>
              <w:t>考察投标人对本项目拟配备项目组的资源配备能力，满足招标文件要求的2组项目组的基础上（每组内的人员配备须符合招标文件的要求），每增加一组得1分，本项最高得6分。</w:t>
            </w:r>
            <w:r>
              <w:rPr>
                <w:rFonts w:hint="eastAsia" w:ascii="宋体" w:hAnsi="宋体" w:cs="宋体"/>
                <w:kern w:val="0"/>
                <w:szCs w:val="21"/>
              </w:rPr>
              <w:br w:type="textWrapping"/>
            </w:r>
            <w:r>
              <w:rPr>
                <w:rFonts w:hint="eastAsia" w:ascii="宋体" w:hAnsi="宋体" w:cs="宋体"/>
                <w:kern w:val="0"/>
                <w:szCs w:val="21"/>
              </w:rPr>
              <w:t>注：1.提供人员配备表，提供相应的职业资格证书或上岗证、社保证明资料复印件等证明材料。</w:t>
            </w:r>
            <w:r>
              <w:rPr>
                <w:rFonts w:hint="eastAsia" w:ascii="宋体" w:hAnsi="宋体" w:cs="宋体"/>
                <w:kern w:val="0"/>
                <w:szCs w:val="21"/>
              </w:rPr>
              <w:br w:type="textWrapping"/>
            </w:r>
            <w:r>
              <w:rPr>
                <w:rFonts w:hint="eastAsia" w:ascii="宋体" w:hAnsi="宋体" w:cs="宋体"/>
                <w:kern w:val="0"/>
                <w:szCs w:val="21"/>
              </w:rPr>
              <w:t>2.须承诺为所配备的人员均购买“员工人身意外伤害保险”或其它相关人身意外伤害保险，保险赔付额度不低于100万元/人，且保险有效期涵盖合同有效期。</w:t>
            </w:r>
          </w:p>
        </w:tc>
        <w:tc>
          <w:tcPr>
            <w:tcW w:w="426"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0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732"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782"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确保检测方案质量的技术组织措施</w:t>
            </w:r>
          </w:p>
        </w:tc>
        <w:tc>
          <w:tcPr>
            <w:tcW w:w="9148"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r>
              <w:rPr>
                <w:rFonts w:hint="eastAsia" w:ascii="宋体" w:hAnsi="宋体" w:cs="宋体"/>
                <w:kern w:val="0"/>
                <w:szCs w:val="21"/>
              </w:rPr>
              <w:t>从加油站建设可行性、稳定性角度对检测对象进行详细描述；对防范质量安全事故提出建议，提出详细质量及服务保证措施和防范质量安全事故建议的。以上内容缺一不可，根据检测方案组织措施优劣得分0-3分，最优得3分，得分可相同。</w:t>
            </w:r>
          </w:p>
        </w:tc>
        <w:tc>
          <w:tcPr>
            <w:tcW w:w="426"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0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732" w:type="dxa"/>
            <w:vMerge w:val="restart"/>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针对性</w:t>
            </w:r>
          </w:p>
        </w:tc>
        <w:tc>
          <w:tcPr>
            <w:tcW w:w="1782"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确保安全、文明生产的技术组织措施</w:t>
            </w:r>
          </w:p>
        </w:tc>
        <w:tc>
          <w:tcPr>
            <w:tcW w:w="9148"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r>
              <w:rPr>
                <w:rFonts w:hint="eastAsia" w:ascii="宋体" w:hAnsi="宋体" w:cs="宋体"/>
                <w:kern w:val="0"/>
                <w:szCs w:val="21"/>
              </w:rPr>
              <w:t>1.考察投标人制定的生产管理流程与安全生产的技术组织措施（包含相关人员的安全培训措施、人员保险、人员安全生产承诺书、应急预案等）。评审组织措施是否适应工程的具体需要，对其提出的人员是否具有安全生产的保证。根据组织措施优劣给0-1分，得分可相同。</w:t>
            </w:r>
            <w:r>
              <w:rPr>
                <w:rFonts w:hint="eastAsia" w:ascii="宋体" w:hAnsi="宋体" w:cs="宋体"/>
                <w:kern w:val="0"/>
                <w:szCs w:val="21"/>
              </w:rPr>
              <w:br w:type="textWrapping"/>
            </w:r>
            <w:r>
              <w:rPr>
                <w:rFonts w:hint="eastAsia" w:ascii="宋体" w:hAnsi="宋体" w:cs="宋体"/>
                <w:kern w:val="0"/>
                <w:szCs w:val="21"/>
              </w:rPr>
              <w:t>2.考察投标人制定的生产管理流程与确保文明生产的技术组织措施对工程是否具有针对性，适应工程的具体需要，对其提出的人员是否具有文明生产的保证，根据组织措施优劣给0-1分，得分可相同。</w:t>
            </w:r>
          </w:p>
        </w:tc>
        <w:tc>
          <w:tcPr>
            <w:tcW w:w="426"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0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732"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782"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工作的及时性</w:t>
            </w:r>
          </w:p>
        </w:tc>
        <w:tc>
          <w:tcPr>
            <w:tcW w:w="9148"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r>
              <w:rPr>
                <w:rFonts w:hint="eastAsia" w:ascii="宋体" w:hAnsi="宋体" w:cs="宋体"/>
                <w:kern w:val="0"/>
                <w:szCs w:val="21"/>
              </w:rPr>
              <w:t>根据投标人在不同区域项目的理解及自身区域优势，制定不同片区的检测工作及时性保障措施（含现场检测及后期支撑），考察是否具有针对性、可行性、完备性，根据措施优劣给0-1分，得分可相同。</w:t>
            </w:r>
          </w:p>
        </w:tc>
        <w:tc>
          <w:tcPr>
            <w:tcW w:w="426"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0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732"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782"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工作的深度及准确性</w:t>
            </w:r>
          </w:p>
        </w:tc>
        <w:tc>
          <w:tcPr>
            <w:tcW w:w="9148"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r>
              <w:rPr>
                <w:rFonts w:hint="eastAsia" w:ascii="宋体" w:hAnsi="宋体" w:cs="宋体"/>
                <w:kern w:val="0"/>
                <w:szCs w:val="21"/>
              </w:rPr>
              <w:t>根据投标人对不同区域加油站检测工程环境的理解，制定不同片区的检测工作流程、工作质量保障措施及质量保障措施，考察是否具有针对性、可行性、完备性，根据措施优劣给0-1分，得分可相同。</w:t>
            </w:r>
          </w:p>
        </w:tc>
        <w:tc>
          <w:tcPr>
            <w:tcW w:w="426"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0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732"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782"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对加油站改造的建议</w:t>
            </w:r>
          </w:p>
        </w:tc>
        <w:tc>
          <w:tcPr>
            <w:tcW w:w="9148"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r>
              <w:rPr>
                <w:rFonts w:hint="eastAsia" w:ascii="宋体" w:hAnsi="宋体" w:cs="宋体"/>
                <w:kern w:val="0"/>
                <w:szCs w:val="21"/>
              </w:rPr>
              <w:t>根据投标人对加油站检测工程环境与重庆市各区域地质地貌、气候等条件的情况，提出对加油站检测工作相关建议。考察建议是否具有针对性、可行性、完备性，根据建议优劣给0-1分，得分可相同。</w:t>
            </w:r>
          </w:p>
        </w:tc>
        <w:tc>
          <w:tcPr>
            <w:tcW w:w="426"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0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732"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1356" w:type="dxa"/>
            <w:gridSpan w:val="3"/>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r>
              <w:rPr>
                <w:rFonts w:hint="eastAsia" w:ascii="宋体" w:hAnsi="宋体" w:cs="宋体"/>
                <w:kern w:val="0"/>
                <w:szCs w:val="21"/>
              </w:rPr>
              <w:t>注：因本类项目施工点多、量广、工期紧、协调难度大，同一投标人应针对不同区域检测环境做不同详细的描述，描述中应充分体现在不同区域中的自身优势，即同一单位同时投报不同标段时，施工组织方案“针对性”内容部分不应完全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3514" w:type="dxa"/>
            <w:gridSpan w:val="3"/>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提供《检测报告》样本</w:t>
            </w:r>
          </w:p>
        </w:tc>
        <w:tc>
          <w:tcPr>
            <w:tcW w:w="9148"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r>
              <w:rPr>
                <w:rFonts w:hint="eastAsia" w:ascii="宋体" w:hAnsi="宋体" w:cs="宋体"/>
                <w:kern w:val="0"/>
                <w:szCs w:val="21"/>
              </w:rPr>
              <w:t>针对钢结构检测、地基基础检测报告样本（各占1分），从内容全面性、深入性、格式规范性、签字盖章齐全等方面分别评审，每种报告最优得1分，其他得0-0.9分，得分可相同，不提供不得分。本项得分为两项检测报告合计得分，最高2分。</w:t>
            </w:r>
            <w:r>
              <w:rPr>
                <w:rFonts w:hint="eastAsia" w:ascii="宋体" w:hAnsi="宋体" w:cs="宋体"/>
                <w:kern w:val="0"/>
                <w:szCs w:val="21"/>
              </w:rPr>
              <w:br w:type="textWrapping"/>
            </w:r>
            <w:r>
              <w:rPr>
                <w:rFonts w:hint="eastAsia" w:ascii="宋体" w:hAnsi="宋体" w:cs="宋体"/>
                <w:kern w:val="0"/>
                <w:szCs w:val="21"/>
              </w:rPr>
              <w:t>注：本次提供的《检测报告》样本作为后续站点提交的范本执行。</w:t>
            </w:r>
          </w:p>
        </w:tc>
        <w:tc>
          <w:tcPr>
            <w:tcW w:w="426"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00"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3514" w:type="dxa"/>
            <w:gridSpan w:val="3"/>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hint="eastAsia" w:ascii="宋体" w:hAnsi="宋体" w:cs="宋体"/>
                <w:kern w:val="0"/>
                <w:szCs w:val="21"/>
              </w:rPr>
            </w:pPr>
            <w:r>
              <w:rPr>
                <w:rFonts w:hint="eastAsia" w:ascii="宋体" w:hAnsi="宋体" w:cs="宋体"/>
                <w:kern w:val="0"/>
                <w:szCs w:val="21"/>
              </w:rPr>
              <w:t>项目检测人员</w:t>
            </w:r>
          </w:p>
        </w:tc>
        <w:tc>
          <w:tcPr>
            <w:tcW w:w="9148"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hint="eastAsia" w:ascii="宋体" w:hAnsi="宋体" w:cs="宋体"/>
                <w:kern w:val="0"/>
                <w:szCs w:val="21"/>
              </w:rPr>
            </w:pPr>
            <w:r>
              <w:rPr>
                <w:rFonts w:hint="eastAsia" w:ascii="宋体" w:hAnsi="宋体" w:cs="宋体"/>
                <w:kern w:val="0"/>
                <w:szCs w:val="21"/>
              </w:rPr>
              <w:t>项目检测人员中每具有一名正高级工程师，得1分。</w:t>
            </w:r>
          </w:p>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hint="eastAsia" w:ascii="宋体" w:hAnsi="宋体" w:cs="宋体"/>
                <w:kern w:val="0"/>
                <w:szCs w:val="21"/>
              </w:rPr>
            </w:pPr>
            <w:r>
              <w:rPr>
                <w:rFonts w:hint="eastAsia" w:ascii="宋体" w:hAnsi="宋体" w:cs="宋体"/>
                <w:kern w:val="0"/>
                <w:szCs w:val="21"/>
              </w:rPr>
              <w:t>项目检测人员中每具有一名一级注册结构工程师，得1分。</w:t>
            </w:r>
          </w:p>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hint="eastAsia" w:ascii="宋体" w:hAnsi="宋体" w:cs="宋体"/>
                <w:kern w:val="0"/>
                <w:szCs w:val="21"/>
              </w:rPr>
            </w:pPr>
            <w:r>
              <w:rPr>
                <w:rFonts w:hint="eastAsia" w:ascii="宋体" w:hAnsi="宋体" w:cs="宋体"/>
                <w:kern w:val="0"/>
                <w:szCs w:val="21"/>
              </w:rPr>
              <w:t>项目检测人员中每具有一名注册岩土工程师，得1分。</w:t>
            </w:r>
          </w:p>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hint="eastAsia" w:ascii="宋体" w:hAnsi="宋体" w:cs="宋体"/>
                <w:kern w:val="0"/>
                <w:szCs w:val="21"/>
              </w:rPr>
            </w:pPr>
            <w:r>
              <w:rPr>
                <w:rFonts w:hint="eastAsia" w:ascii="宋体" w:hAnsi="宋体" w:cs="宋体"/>
                <w:kern w:val="0"/>
                <w:szCs w:val="21"/>
              </w:rPr>
              <w:t>注：同一检测人员同时满足以上2条或3条的，得2分或3分。</w:t>
            </w:r>
          </w:p>
        </w:tc>
        <w:tc>
          <w:tcPr>
            <w:tcW w:w="426"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color w:val="FF0000"/>
                <w:kern w:val="0"/>
                <w:szCs w:val="21"/>
              </w:rPr>
            </w:pPr>
            <w:r>
              <w:rPr>
                <w:rFonts w:hint="eastAsia" w:ascii="宋体" w:hAnsi="宋体" w:cs="宋体"/>
                <w:color w:val="FF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3088" w:type="dxa"/>
            <w:gridSpan w:val="5"/>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共计30分</w:t>
            </w:r>
          </w:p>
        </w:tc>
      </w:tr>
    </w:tbl>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sectPr>
          <w:pgSz w:w="16838" w:h="11906" w:orient="landscape"/>
          <w:pgMar w:top="1797" w:right="567" w:bottom="1797" w:left="1276" w:header="851" w:footer="992" w:gutter="0"/>
          <w:pgBorders>
            <w:top w:val="none" w:sz="0" w:space="0"/>
            <w:left w:val="none" w:sz="0" w:space="0"/>
            <w:bottom w:val="none" w:sz="0" w:space="0"/>
            <w:right w:val="none" w:sz="0" w:space="0"/>
          </w:pgBorders>
          <w:cols w:space="0" w:num="1"/>
          <w:docGrid w:type="lines" w:linePitch="319" w:charSpace="0"/>
        </w:sectPr>
      </w:pPr>
    </w:p>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r>
        <w:rPr>
          <w:rFonts w:hint="eastAsia" w:ascii="宋体" w:hAnsi="宋体"/>
          <w:shd w:val="clear" w:color="auto" w:fill="FFFFFF"/>
        </w:rPr>
        <w:t>第四篇  竞争性比选申请</w:t>
      </w:r>
      <w:r>
        <w:rPr>
          <w:rFonts w:ascii="宋体" w:hAnsi="宋体"/>
          <w:shd w:val="clear" w:color="auto" w:fill="FFFFFF"/>
        </w:rPr>
        <w:t>文件格式</w:t>
      </w:r>
    </w:p>
    <w:p>
      <w:pPr>
        <w:jc w:val="center"/>
        <w:rPr>
          <w:rFonts w:ascii="宋体" w:hAnsi="宋体"/>
          <w:b/>
          <w:kern w:val="1"/>
          <w:sz w:val="24"/>
          <w:shd w:val="clear" w:color="auto" w:fill="FFFFFF"/>
        </w:rPr>
      </w:pPr>
    </w:p>
    <w:p>
      <w:pPr>
        <w:jc w:val="center"/>
        <w:outlineLvl w:val="0"/>
        <w:rPr>
          <w:rFonts w:ascii="宋体" w:hAnsi="宋体"/>
          <w:b/>
          <w:kern w:val="1"/>
          <w:sz w:val="24"/>
          <w:shd w:val="clear" w:color="auto" w:fill="FFFFFF"/>
        </w:rPr>
      </w:pPr>
      <w:r>
        <w:rPr>
          <w:rFonts w:hint="eastAsia" w:ascii="宋体" w:hAnsi="宋体"/>
          <w:b/>
          <w:kern w:val="1"/>
          <w:sz w:val="24"/>
          <w:shd w:val="clear" w:color="auto" w:fill="FFFFFF"/>
        </w:rPr>
        <w:t>竞争性比选申请</w:t>
      </w:r>
      <w:r>
        <w:rPr>
          <w:rFonts w:ascii="宋体" w:hAnsi="宋体"/>
          <w:b/>
          <w:kern w:val="1"/>
          <w:sz w:val="24"/>
          <w:shd w:val="clear" w:color="auto" w:fill="FFFFFF"/>
        </w:rPr>
        <w:t>文件封面</w:t>
      </w:r>
    </w:p>
    <w:p>
      <w:pPr>
        <w:jc w:val="center"/>
        <w:rPr>
          <w:rFonts w:ascii="宋体" w:hAnsi="宋体"/>
          <w:b/>
          <w:kern w:val="1"/>
          <w:sz w:val="24"/>
          <w:shd w:val="clear" w:color="auto" w:fill="FFFFFF"/>
        </w:rPr>
        <w:sectPr>
          <w:pgSz w:w="11906" w:h="16838"/>
          <w:pgMar w:top="567" w:right="1797" w:bottom="1276" w:left="1797" w:header="851" w:footer="992" w:gutter="0"/>
          <w:pgBorders>
            <w:top w:val="none" w:sz="0" w:space="0"/>
            <w:left w:val="none" w:sz="0" w:space="0"/>
            <w:bottom w:val="none" w:sz="0" w:space="0"/>
            <w:right w:val="none" w:sz="0" w:space="0"/>
          </w:pgBorders>
          <w:cols w:space="0" w:num="1"/>
          <w:docGrid w:type="lines" w:linePitch="319" w:charSpace="0"/>
        </w:sectPr>
      </w:pPr>
      <w:r>
        <w:rPr>
          <w:rFonts w:ascii="宋体" w:hAnsi="宋体"/>
          <w:b/>
          <w:kern w:val="1"/>
          <w:sz w:val="24"/>
          <w:shd w:val="clear" w:color="auto" w:fill="FFFFFF"/>
        </w:rPr>
        <w:t>（以下内容为示例）</w:t>
      </w:r>
    </w:p>
    <w:p>
      <w:pPr>
        <w:ind w:left="-199" w:leftChars="-95"/>
        <w:jc w:val="center"/>
        <w:rPr>
          <w:b/>
          <w:sz w:val="36"/>
          <w:szCs w:val="36"/>
        </w:rPr>
      </w:pPr>
      <w:r>
        <w:rPr>
          <w:rFonts w:hint="eastAsia"/>
          <w:b/>
          <w:sz w:val="36"/>
          <w:szCs w:val="36"/>
        </w:rPr>
        <w:t>合长高速石船服务区（左、右）加油加气站站房、罩棚、双层储油罐及双层输油管道施工质量检测项目</w:t>
      </w:r>
    </w:p>
    <w:p>
      <w:pPr>
        <w:pStyle w:val="23"/>
        <w:jc w:val="center"/>
        <w:rPr>
          <w:rFonts w:ascii="宋体" w:hAnsi="宋体" w:eastAsia="宋体" w:cs="Times New Roman"/>
          <w:b/>
          <w:bCs/>
          <w:kern w:val="1"/>
          <w:sz w:val="36"/>
          <w:szCs w:val="36"/>
          <w:shd w:val="clear" w:color="auto" w:fill="FFFFFF"/>
        </w:rPr>
      </w:pPr>
    </w:p>
    <w:p>
      <w:pPr>
        <w:pStyle w:val="23"/>
        <w:jc w:val="center"/>
      </w:pPr>
    </w:p>
    <w:p>
      <w:pPr>
        <w:pStyle w:val="23"/>
      </w:pPr>
    </w:p>
    <w:p>
      <w:pPr>
        <w:pStyle w:val="23"/>
      </w:pPr>
    </w:p>
    <w:p>
      <w:pPr>
        <w:pStyle w:val="23"/>
      </w:pPr>
    </w:p>
    <w:p>
      <w:pPr>
        <w:pStyle w:val="23"/>
      </w:pPr>
    </w:p>
    <w:p>
      <w:pPr>
        <w:pStyle w:val="23"/>
      </w:pPr>
    </w:p>
    <w:p>
      <w:pPr>
        <w:pStyle w:val="23"/>
      </w:pPr>
    </w:p>
    <w:p>
      <w:pPr>
        <w:pStyle w:val="23"/>
      </w:pPr>
    </w:p>
    <w:p>
      <w:pPr>
        <w:pStyle w:val="23"/>
      </w:pPr>
    </w:p>
    <w:p>
      <w:pPr>
        <w:jc w:val="center"/>
        <w:rPr>
          <w:rFonts w:ascii="宋体" w:hAnsi="宋体"/>
          <w:kern w:val="1"/>
          <w:sz w:val="32"/>
          <w:szCs w:val="32"/>
          <w:shd w:val="clear" w:color="auto" w:fill="FFFFFF"/>
        </w:rPr>
      </w:pPr>
      <w:r>
        <w:rPr>
          <w:rFonts w:hint="eastAsia" w:ascii="宋体" w:hAnsi="宋体"/>
          <w:kern w:val="1"/>
          <w:sz w:val="32"/>
          <w:szCs w:val="32"/>
          <w:shd w:val="clear" w:color="auto" w:fill="FFFFFF"/>
        </w:rPr>
        <w:t>竞争性比选申请</w:t>
      </w:r>
      <w:r>
        <w:rPr>
          <w:rFonts w:ascii="宋体" w:hAnsi="宋体"/>
          <w:kern w:val="1"/>
          <w:sz w:val="32"/>
          <w:szCs w:val="32"/>
          <w:shd w:val="clear" w:color="auto" w:fill="FFFFFF"/>
        </w:rPr>
        <w:t>文件</w:t>
      </w: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rPr>
          <w:rFonts w:ascii="宋体" w:hAnsi="宋体"/>
          <w:kern w:val="1"/>
          <w:sz w:val="32"/>
          <w:szCs w:val="32"/>
          <w:shd w:val="clear" w:color="auto" w:fill="FFFFFF"/>
        </w:rPr>
      </w:pPr>
    </w:p>
    <w:p>
      <w:pPr>
        <w:pStyle w:val="4"/>
      </w:pPr>
    </w:p>
    <w:p>
      <w:pPr>
        <w:jc w:val="center"/>
        <w:rPr>
          <w:rFonts w:ascii="宋体" w:hAnsi="宋体"/>
          <w:kern w:val="1"/>
          <w:sz w:val="32"/>
          <w:szCs w:val="32"/>
          <w:shd w:val="clear" w:color="auto" w:fill="FFFFFF"/>
        </w:rPr>
      </w:pPr>
    </w:p>
    <w:p>
      <w:pPr>
        <w:jc w:val="center"/>
        <w:rPr>
          <w:rFonts w:ascii="宋体" w:hAnsi="宋体"/>
          <w:kern w:val="1"/>
          <w:sz w:val="32"/>
          <w:szCs w:val="32"/>
          <w:u w:val="single"/>
          <w:shd w:val="clear" w:color="auto" w:fill="FFFFFF"/>
        </w:rPr>
      </w:pPr>
      <w:r>
        <w:rPr>
          <w:rFonts w:hint="eastAsia" w:ascii="宋体" w:hAnsi="宋体"/>
          <w:kern w:val="1"/>
          <w:sz w:val="32"/>
          <w:szCs w:val="32"/>
          <w:u w:val="single"/>
          <w:shd w:val="clear" w:color="auto" w:fill="FFFFFF"/>
        </w:rPr>
        <w:t>比选申请人名称</w:t>
      </w:r>
      <w:r>
        <w:rPr>
          <w:rFonts w:ascii="宋体" w:hAnsi="宋体"/>
          <w:kern w:val="1"/>
          <w:sz w:val="32"/>
          <w:szCs w:val="32"/>
          <w:u w:val="single"/>
          <w:shd w:val="clear" w:color="auto" w:fill="FFFFFF"/>
        </w:rPr>
        <w:t>全称（盖单位公章）</w:t>
      </w:r>
    </w:p>
    <w:p>
      <w:pPr>
        <w:jc w:val="center"/>
        <w:rPr>
          <w:rFonts w:ascii="宋体" w:hAnsi="宋体"/>
          <w:kern w:val="1"/>
          <w:sz w:val="32"/>
          <w:szCs w:val="32"/>
          <w:u w:val="single"/>
          <w:shd w:val="clear" w:color="auto" w:fill="FFFFFF"/>
        </w:rPr>
      </w:pPr>
      <w:r>
        <w:rPr>
          <w:rFonts w:hint="eastAsia" w:ascii="宋体" w:hAnsi="宋体"/>
          <w:kern w:val="1"/>
          <w:sz w:val="32"/>
          <w:szCs w:val="32"/>
          <w:u w:val="single"/>
          <w:shd w:val="clear" w:color="auto" w:fill="FFFFFF"/>
        </w:rPr>
        <w:t>2021年   月   日</w:t>
      </w: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sectPr>
          <w:headerReference r:id="rId4" w:type="default"/>
          <w:pgSz w:w="11906" w:h="16838"/>
          <w:pgMar w:top="567" w:right="1797" w:bottom="1276" w:left="1797" w:header="851" w:footer="992" w:gutter="0"/>
          <w:pgBorders>
            <w:top w:val="none" w:sz="0" w:space="0"/>
            <w:left w:val="none" w:sz="0" w:space="0"/>
            <w:bottom w:val="none" w:sz="0" w:space="0"/>
            <w:right w:val="none" w:sz="0" w:space="0"/>
          </w:pgBorders>
          <w:cols w:space="0" w:num="1"/>
          <w:docGrid w:type="lines" w:linePitch="319" w:charSpace="0"/>
        </w:sectPr>
      </w:pPr>
    </w:p>
    <w:p>
      <w:pPr>
        <w:tabs>
          <w:tab w:val="left" w:pos="900"/>
          <w:tab w:val="left" w:pos="1080"/>
        </w:tabs>
        <w:spacing w:line="300" w:lineRule="auto"/>
        <w:jc w:val="center"/>
        <w:outlineLvl w:val="0"/>
        <w:rPr>
          <w:rFonts w:ascii="宋体" w:hAnsi="宋体" w:cs="Arial"/>
          <w:b/>
          <w:kern w:val="1"/>
          <w:sz w:val="24"/>
          <w:shd w:val="clear" w:color="auto" w:fill="FFFFFF"/>
        </w:rPr>
      </w:pPr>
      <w:r>
        <w:rPr>
          <w:rFonts w:ascii="宋体" w:hAnsi="宋体" w:cs="Arial"/>
          <w:b/>
          <w:kern w:val="1"/>
          <w:sz w:val="24"/>
          <w:shd w:val="clear" w:color="auto" w:fill="FFFFFF"/>
        </w:rPr>
        <w:t>目录</w:t>
      </w:r>
    </w:p>
    <w:p>
      <w:pPr>
        <w:tabs>
          <w:tab w:val="left" w:pos="900"/>
          <w:tab w:val="left" w:pos="1080"/>
        </w:tabs>
        <w:spacing w:line="300" w:lineRule="auto"/>
        <w:jc w:val="center"/>
        <w:outlineLvl w:val="0"/>
        <w:rPr>
          <w:rFonts w:ascii="宋体" w:hAnsi="宋体" w:cs="Arial"/>
          <w:b/>
          <w:kern w:val="1"/>
          <w:sz w:val="24"/>
          <w:shd w:val="clear" w:color="auto" w:fill="FFFFFF"/>
        </w:rPr>
      </w:pPr>
    </w:p>
    <w:p>
      <w:pPr>
        <w:spacing w:line="360" w:lineRule="auto"/>
        <w:rPr>
          <w:rFonts w:ascii="宋体" w:hAnsi="宋体"/>
          <w:b/>
          <w:kern w:val="1"/>
          <w:sz w:val="24"/>
          <w:shd w:val="clear" w:color="auto" w:fill="FFFFFF"/>
        </w:rPr>
      </w:pPr>
      <w:r>
        <w:rPr>
          <w:rFonts w:ascii="宋体" w:hAnsi="宋体"/>
          <w:b/>
          <w:kern w:val="1"/>
          <w:sz w:val="24"/>
          <w:shd w:val="clear" w:color="auto" w:fill="FFFFFF"/>
        </w:rPr>
        <w:t>一、</w:t>
      </w:r>
      <w:r>
        <w:rPr>
          <w:rFonts w:hint="eastAsia" w:ascii="宋体" w:hAnsi="宋体" w:cs="Arial"/>
          <w:b/>
          <w:kern w:val="1"/>
          <w:sz w:val="24"/>
          <w:shd w:val="clear" w:color="auto" w:fill="FFFFFF"/>
        </w:rPr>
        <w:t>报价函</w:t>
      </w:r>
    </w:p>
    <w:p>
      <w:pPr>
        <w:spacing w:line="360" w:lineRule="auto"/>
        <w:rPr>
          <w:rFonts w:ascii="宋体" w:hAnsi="宋体"/>
          <w:b/>
          <w:kern w:val="1"/>
          <w:sz w:val="24"/>
          <w:shd w:val="clear" w:color="auto" w:fill="FFFFFF"/>
        </w:rPr>
      </w:pPr>
      <w:r>
        <w:rPr>
          <w:rFonts w:ascii="宋体" w:hAnsi="宋体"/>
          <w:b/>
          <w:kern w:val="1"/>
          <w:sz w:val="24"/>
          <w:shd w:val="clear" w:color="auto" w:fill="FFFFFF"/>
        </w:rPr>
        <w:t>二、法定代表人身份证明及授权委托书</w:t>
      </w:r>
    </w:p>
    <w:p>
      <w:pPr>
        <w:spacing w:line="360" w:lineRule="auto"/>
        <w:rPr>
          <w:rFonts w:ascii="宋体" w:hAnsi="宋体"/>
          <w:b/>
          <w:kern w:val="1"/>
          <w:sz w:val="24"/>
          <w:shd w:val="clear" w:color="auto" w:fill="FFFFFF"/>
        </w:rPr>
      </w:pPr>
      <w:r>
        <w:rPr>
          <w:rFonts w:ascii="宋体" w:hAnsi="宋体"/>
          <w:b/>
          <w:kern w:val="1"/>
          <w:sz w:val="24"/>
          <w:shd w:val="clear" w:color="auto" w:fill="FFFFFF"/>
        </w:rPr>
        <w:t>三、有效</w:t>
      </w:r>
      <w:r>
        <w:rPr>
          <w:rFonts w:hint="eastAsia" w:ascii="宋体" w:hAnsi="宋体"/>
          <w:b/>
          <w:kern w:val="1"/>
          <w:sz w:val="24"/>
          <w:shd w:val="clear" w:color="auto" w:fill="FFFFFF"/>
        </w:rPr>
        <w:t>的</w:t>
      </w:r>
      <w:r>
        <w:rPr>
          <w:rFonts w:ascii="宋体" w:hAnsi="宋体"/>
          <w:b/>
          <w:kern w:val="1"/>
          <w:sz w:val="24"/>
          <w:shd w:val="clear" w:color="auto" w:fill="FFFFFF"/>
        </w:rPr>
        <w:t>营业执照</w:t>
      </w:r>
    </w:p>
    <w:p>
      <w:pPr>
        <w:spacing w:line="360" w:lineRule="auto"/>
        <w:rPr>
          <w:rFonts w:ascii="宋体" w:hAnsi="宋体"/>
          <w:b/>
          <w:kern w:val="1"/>
          <w:sz w:val="24"/>
          <w:shd w:val="clear" w:color="auto" w:fill="FFFFFF"/>
        </w:rPr>
      </w:pPr>
      <w:r>
        <w:rPr>
          <w:rFonts w:hint="eastAsia" w:ascii="宋体" w:hAnsi="宋体"/>
          <w:b/>
          <w:kern w:val="1"/>
          <w:sz w:val="24"/>
          <w:shd w:val="clear" w:color="auto" w:fill="FFFFFF"/>
        </w:rPr>
        <w:t>四</w:t>
      </w:r>
      <w:r>
        <w:rPr>
          <w:rFonts w:ascii="宋体" w:hAnsi="宋体"/>
          <w:b/>
          <w:kern w:val="1"/>
          <w:sz w:val="24"/>
          <w:shd w:val="clear" w:color="auto" w:fill="FFFFFF"/>
        </w:rPr>
        <w:t>、有效</w:t>
      </w:r>
      <w:r>
        <w:rPr>
          <w:rFonts w:hint="eastAsia" w:ascii="宋体" w:hAnsi="宋体"/>
          <w:b/>
          <w:kern w:val="1"/>
          <w:sz w:val="24"/>
          <w:shd w:val="clear" w:color="auto" w:fill="FFFFFF"/>
        </w:rPr>
        <w:t>的资质证书</w:t>
      </w:r>
    </w:p>
    <w:p>
      <w:pPr>
        <w:spacing w:line="360" w:lineRule="auto"/>
        <w:rPr>
          <w:rFonts w:ascii="宋体" w:hAnsi="宋体"/>
          <w:b/>
          <w:kern w:val="1"/>
          <w:sz w:val="24"/>
          <w:shd w:val="clear" w:color="auto" w:fill="FFFFFF"/>
        </w:rPr>
      </w:pPr>
      <w:r>
        <w:rPr>
          <w:rFonts w:hint="eastAsia" w:ascii="宋体" w:hAnsi="宋体"/>
          <w:b/>
          <w:kern w:val="1"/>
          <w:sz w:val="24"/>
          <w:shd w:val="clear" w:color="auto" w:fill="FFFFFF"/>
        </w:rPr>
        <w:t>五、业绩证明</w:t>
      </w:r>
    </w:p>
    <w:p>
      <w:pPr>
        <w:spacing w:line="360" w:lineRule="auto"/>
        <w:rPr>
          <w:rFonts w:ascii="宋体" w:hAnsi="宋体"/>
          <w:b/>
          <w:kern w:val="1"/>
          <w:sz w:val="24"/>
          <w:shd w:val="clear" w:color="auto" w:fill="FFFFFF"/>
        </w:rPr>
      </w:pPr>
      <w:r>
        <w:rPr>
          <w:rFonts w:hint="eastAsia" w:ascii="宋体" w:hAnsi="宋体"/>
          <w:b/>
          <w:kern w:val="1"/>
          <w:sz w:val="24"/>
          <w:shd w:val="clear" w:color="auto" w:fill="FFFFFF"/>
        </w:rPr>
        <w:t>六、技术部分</w:t>
      </w:r>
    </w:p>
    <w:p>
      <w:pPr>
        <w:tabs>
          <w:tab w:val="left" w:pos="900"/>
          <w:tab w:val="left" w:pos="1080"/>
        </w:tabs>
        <w:spacing w:line="300" w:lineRule="auto"/>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spacing w:line="440" w:lineRule="exact"/>
        <w:ind w:firstLine="2003"/>
        <w:outlineLvl w:val="1"/>
        <w:rPr>
          <w:rFonts w:ascii="宋体" w:hAnsi="宋体"/>
          <w:b/>
          <w:kern w:val="1"/>
          <w:shd w:val="clear" w:color="auto" w:fill="FFFFFF"/>
        </w:rPr>
        <w:sectPr>
          <w:pgSz w:w="11906" w:h="16838"/>
          <w:pgMar w:top="567" w:right="1797" w:bottom="1276" w:left="1797" w:header="851" w:footer="992" w:gutter="0"/>
          <w:pgBorders>
            <w:top w:val="none" w:sz="0" w:space="0"/>
            <w:left w:val="none" w:sz="0" w:space="0"/>
            <w:bottom w:val="none" w:sz="0" w:space="0"/>
            <w:right w:val="none" w:sz="0" w:space="0"/>
          </w:pgBorders>
          <w:cols w:space="0" w:num="1"/>
          <w:docGrid w:type="lines" w:linePitch="319" w:charSpace="0"/>
        </w:sectPr>
      </w:pPr>
    </w:p>
    <w:p>
      <w:pPr>
        <w:tabs>
          <w:tab w:val="left" w:pos="900"/>
          <w:tab w:val="left" w:pos="1080"/>
        </w:tabs>
        <w:spacing w:line="300" w:lineRule="auto"/>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一、报价函</w:t>
      </w:r>
    </w:p>
    <w:p>
      <w:pPr>
        <w:pStyle w:val="15"/>
        <w:jc w:val="both"/>
        <w:rPr>
          <w:u w:val="single"/>
          <w:shd w:val="clear" w:color="auto" w:fill="FFFFFF"/>
        </w:rPr>
      </w:pPr>
    </w:p>
    <w:p>
      <w:pPr>
        <w:spacing w:line="360" w:lineRule="auto"/>
        <w:rPr>
          <w:rFonts w:ascii="宋体" w:hAnsi="宋体"/>
          <w:b/>
          <w:szCs w:val="21"/>
        </w:rPr>
      </w:pPr>
      <w:r>
        <w:rPr>
          <w:rFonts w:hint="eastAsia"/>
          <w:szCs w:val="21"/>
        </w:rPr>
        <w:t>重庆高速中油富渝能源发展有限公司</w:t>
      </w:r>
      <w:r>
        <w:rPr>
          <w:rFonts w:ascii="宋体" w:hAnsi="宋体"/>
          <w:b/>
          <w:szCs w:val="21"/>
        </w:rPr>
        <w:t>：</w:t>
      </w:r>
    </w:p>
    <w:p>
      <w:pPr>
        <w:spacing w:line="360" w:lineRule="auto"/>
        <w:ind w:firstLine="420" w:firstLineChars="200"/>
        <w:rPr>
          <w:rFonts w:ascii="宋体" w:hAnsi="宋体"/>
          <w:szCs w:val="21"/>
        </w:rPr>
      </w:pPr>
      <w:r>
        <w:rPr>
          <w:rFonts w:ascii="宋体" w:hAnsi="宋体"/>
          <w:szCs w:val="21"/>
        </w:rPr>
        <w:t>1．我方已仔细研究了</w:t>
      </w:r>
      <w:r>
        <w:rPr>
          <w:rFonts w:hint="eastAsia" w:ascii="宋体" w:hAnsi="宋体"/>
          <w:b/>
          <w:bCs/>
          <w:szCs w:val="21"/>
          <w:u w:val="single"/>
        </w:rPr>
        <w:t>合长高速石船服务区（左、右）加油加气站站房、</w:t>
      </w:r>
      <w:r>
        <w:rPr>
          <w:rFonts w:hint="eastAsia" w:ascii="宋体" w:hAnsi="宋体"/>
          <w:b/>
          <w:bCs/>
          <w:szCs w:val="21"/>
          <w:u w:val="single"/>
          <w:lang w:eastAsia="zh-CN"/>
        </w:rPr>
        <w:t>罩棚、双层储油罐及双层输油管道</w:t>
      </w:r>
      <w:r>
        <w:rPr>
          <w:rFonts w:hint="eastAsia" w:ascii="宋体" w:hAnsi="宋体"/>
          <w:b/>
          <w:bCs/>
          <w:szCs w:val="21"/>
          <w:u w:val="single"/>
        </w:rPr>
        <w:t>施工质量检测项目</w:t>
      </w:r>
      <w:r>
        <w:rPr>
          <w:rFonts w:hint="eastAsia" w:ascii="宋体" w:hAnsi="宋体"/>
          <w:szCs w:val="21"/>
        </w:rPr>
        <w:t>竞争性比选文件</w:t>
      </w:r>
      <w:r>
        <w:rPr>
          <w:rFonts w:ascii="宋体" w:hAnsi="宋体"/>
          <w:szCs w:val="21"/>
        </w:rPr>
        <w:t>的全部内容，愿意以人民币（大写）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）的</w:t>
      </w:r>
      <w:r>
        <w:rPr>
          <w:rFonts w:hint="eastAsia" w:ascii="宋体" w:hAnsi="宋体"/>
          <w:szCs w:val="21"/>
        </w:rPr>
        <w:t>竞标</w:t>
      </w:r>
      <w:r>
        <w:rPr>
          <w:rFonts w:ascii="宋体" w:hAnsi="宋体"/>
          <w:szCs w:val="21"/>
        </w:rPr>
        <w:t>总报价</w:t>
      </w:r>
      <w:r>
        <w:rPr>
          <w:rFonts w:hint="eastAsia" w:ascii="宋体" w:hAnsi="宋体"/>
          <w:szCs w:val="21"/>
        </w:rPr>
        <w:t>，</w:t>
      </w:r>
      <w:r>
        <w:rPr>
          <w:rFonts w:ascii="宋体" w:hAnsi="宋体"/>
          <w:szCs w:val="21"/>
        </w:rPr>
        <w:t>按合同约定实施和完成承包工程。</w:t>
      </w:r>
    </w:p>
    <w:p>
      <w:pPr>
        <w:spacing w:before="319" w:beforeLines="100"/>
        <w:jc w:val="center"/>
        <w:rPr>
          <w:rFonts w:hint="eastAsia" w:hAnsi="黑体" w:eastAsia="黑体"/>
          <w:color w:val="000000"/>
          <w:sz w:val="28"/>
          <w:szCs w:val="28"/>
          <w:lang w:val="en-US" w:eastAsia="zh-CN"/>
        </w:rPr>
      </w:pPr>
      <w:r>
        <w:rPr>
          <w:rFonts w:hAnsi="黑体" w:eastAsia="黑体"/>
          <w:color w:val="000000"/>
          <w:sz w:val="28"/>
          <w:szCs w:val="28"/>
        </w:rPr>
        <w:t>表</w:t>
      </w:r>
      <w:r>
        <w:rPr>
          <w:rFonts w:eastAsia="黑体"/>
          <w:color w:val="000000"/>
          <w:sz w:val="28"/>
          <w:szCs w:val="28"/>
        </w:rPr>
        <w:t>1</w:t>
      </w:r>
      <w:r>
        <w:rPr>
          <w:rFonts w:hint="eastAsia" w:eastAsia="黑体"/>
          <w:color w:val="000000"/>
          <w:sz w:val="28"/>
          <w:szCs w:val="28"/>
        </w:rPr>
        <w:t xml:space="preserve"> </w:t>
      </w:r>
      <w:r>
        <w:rPr>
          <w:rFonts w:hAnsi="黑体" w:eastAsia="黑体"/>
          <w:color w:val="000000"/>
          <w:sz w:val="28"/>
          <w:szCs w:val="28"/>
        </w:rPr>
        <w:t>罩棚</w:t>
      </w:r>
      <w:r>
        <w:rPr>
          <w:rFonts w:hint="eastAsia" w:hAnsi="黑体" w:eastAsia="黑体"/>
          <w:color w:val="000000"/>
          <w:sz w:val="28"/>
          <w:szCs w:val="28"/>
        </w:rPr>
        <w:t>、输油管、油罐</w:t>
      </w:r>
      <w:r>
        <w:rPr>
          <w:rFonts w:hint="eastAsia" w:hAnsi="黑体" w:eastAsia="黑体"/>
          <w:color w:val="000000"/>
          <w:sz w:val="28"/>
          <w:szCs w:val="28"/>
          <w:lang w:val="en-US" w:eastAsia="zh-CN"/>
        </w:rPr>
        <w:t>及</w:t>
      </w:r>
      <w:r>
        <w:rPr>
          <w:rFonts w:hint="eastAsia" w:hAnsi="黑体" w:eastAsia="黑体"/>
          <w:color w:val="000000"/>
          <w:sz w:val="28"/>
          <w:szCs w:val="28"/>
        </w:rPr>
        <w:t>站房</w:t>
      </w:r>
      <w:r>
        <w:rPr>
          <w:rFonts w:hAnsi="黑体" w:eastAsia="黑体"/>
          <w:color w:val="000000"/>
          <w:sz w:val="28"/>
          <w:szCs w:val="28"/>
        </w:rPr>
        <w:t>检测项目</w:t>
      </w:r>
      <w:r>
        <w:rPr>
          <w:rFonts w:hint="eastAsia" w:hAnsi="黑体" w:eastAsia="黑体"/>
          <w:color w:val="000000"/>
          <w:sz w:val="28"/>
          <w:szCs w:val="28"/>
          <w:lang w:val="en-US" w:eastAsia="zh-CN"/>
        </w:rPr>
        <w:t>报价表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3423"/>
        <w:gridCol w:w="3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78" w:type="dxa"/>
            <w:vAlign w:val="center"/>
          </w:tcPr>
          <w:p>
            <w:pPr>
              <w:jc w:val="center"/>
              <w:rPr>
                <w:rFonts w:eastAsia="黑体"/>
                <w:color w:val="000000"/>
                <w:sz w:val="24"/>
              </w:rPr>
            </w:pPr>
            <w:r>
              <w:rPr>
                <w:rFonts w:hAnsi="黑体" w:eastAsia="黑体"/>
                <w:color w:val="000000"/>
                <w:sz w:val="24"/>
              </w:rPr>
              <w:t>序号</w:t>
            </w:r>
          </w:p>
        </w:tc>
        <w:tc>
          <w:tcPr>
            <w:tcW w:w="3423" w:type="dxa"/>
            <w:vAlign w:val="center"/>
          </w:tcPr>
          <w:p>
            <w:pPr>
              <w:jc w:val="center"/>
              <w:rPr>
                <w:rFonts w:eastAsia="黑体"/>
                <w:color w:val="000000"/>
                <w:sz w:val="24"/>
              </w:rPr>
            </w:pPr>
            <w:r>
              <w:rPr>
                <w:rFonts w:hAnsi="黑体" w:eastAsia="黑体"/>
                <w:color w:val="000000"/>
                <w:sz w:val="24"/>
              </w:rPr>
              <w:t>项目</w:t>
            </w:r>
          </w:p>
        </w:tc>
        <w:tc>
          <w:tcPr>
            <w:tcW w:w="3421" w:type="dxa"/>
            <w:vAlign w:val="center"/>
          </w:tcPr>
          <w:p>
            <w:pPr>
              <w:jc w:val="center"/>
              <w:rPr>
                <w:rFonts w:hAnsi="黑体" w:eastAsia="黑体"/>
                <w:color w:val="000000"/>
                <w:sz w:val="24"/>
              </w:rPr>
            </w:pPr>
            <w:r>
              <w:rPr>
                <w:rFonts w:hint="eastAsia" w:hAnsi="黑体" w:eastAsia="黑体"/>
                <w:color w:val="000000"/>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Align w:val="center"/>
          </w:tcPr>
          <w:p>
            <w:pPr>
              <w:jc w:val="center"/>
              <w:rPr>
                <w:color w:val="000000"/>
                <w:sz w:val="24"/>
              </w:rPr>
            </w:pPr>
            <w:r>
              <w:rPr>
                <w:rFonts w:hint="eastAsia"/>
                <w:color w:val="000000"/>
                <w:sz w:val="24"/>
              </w:rPr>
              <w:t>1</w:t>
            </w:r>
          </w:p>
        </w:tc>
        <w:tc>
          <w:tcPr>
            <w:tcW w:w="3423" w:type="dxa"/>
            <w:vAlign w:val="center"/>
          </w:tcPr>
          <w:p>
            <w:pPr>
              <w:jc w:val="center"/>
              <w:rPr>
                <w:color w:val="000000"/>
                <w:sz w:val="24"/>
              </w:rPr>
            </w:pPr>
            <w:r>
              <w:rPr>
                <w:rFonts w:hint="eastAsia"/>
                <w:color w:val="000000"/>
                <w:sz w:val="24"/>
              </w:rPr>
              <w:t>罩棚</w:t>
            </w:r>
            <w:r>
              <w:rPr>
                <w:rFonts w:hint="eastAsia"/>
                <w:color w:val="000000"/>
                <w:sz w:val="24"/>
                <w:lang w:eastAsia="zh-CN"/>
              </w:rPr>
              <w:t>、</w:t>
            </w:r>
            <w:r>
              <w:rPr>
                <w:rFonts w:hint="eastAsia"/>
                <w:color w:val="000000"/>
                <w:sz w:val="24"/>
              </w:rPr>
              <w:t>双层输油管道</w:t>
            </w:r>
            <w:r>
              <w:rPr>
                <w:rFonts w:hint="eastAsia"/>
                <w:color w:val="000000"/>
                <w:sz w:val="24"/>
                <w:lang w:eastAsia="zh-CN"/>
              </w:rPr>
              <w:t>、</w:t>
            </w:r>
            <w:r>
              <w:rPr>
                <w:rFonts w:hint="eastAsia"/>
                <w:color w:val="000000"/>
                <w:sz w:val="24"/>
              </w:rPr>
              <w:t>双层储油罐检测</w:t>
            </w:r>
          </w:p>
        </w:tc>
        <w:tc>
          <w:tcPr>
            <w:tcW w:w="3421" w:type="dxa"/>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78" w:type="dxa"/>
            <w:vAlign w:val="center"/>
          </w:tcPr>
          <w:p>
            <w:pPr>
              <w:jc w:val="center"/>
              <w:rPr>
                <w:rFonts w:hint="eastAsia" w:eastAsia="宋体"/>
                <w:color w:val="000000"/>
                <w:sz w:val="24"/>
                <w:lang w:val="en-US" w:eastAsia="zh-CN"/>
              </w:rPr>
            </w:pPr>
            <w:r>
              <w:rPr>
                <w:rFonts w:hint="eastAsia"/>
                <w:color w:val="000000"/>
                <w:sz w:val="24"/>
                <w:lang w:val="en-US" w:eastAsia="zh-CN"/>
              </w:rPr>
              <w:t>2</w:t>
            </w:r>
          </w:p>
        </w:tc>
        <w:tc>
          <w:tcPr>
            <w:tcW w:w="3423" w:type="dxa"/>
            <w:vAlign w:val="center"/>
          </w:tcPr>
          <w:p>
            <w:pPr>
              <w:jc w:val="center"/>
              <w:rPr>
                <w:color w:val="000000"/>
                <w:sz w:val="24"/>
              </w:rPr>
            </w:pPr>
            <w:r>
              <w:rPr>
                <w:rFonts w:hint="eastAsia"/>
                <w:color w:val="000000"/>
                <w:sz w:val="24"/>
              </w:rPr>
              <w:t>站房检测</w:t>
            </w:r>
          </w:p>
        </w:tc>
        <w:tc>
          <w:tcPr>
            <w:tcW w:w="3421" w:type="dxa"/>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1" w:type="dxa"/>
            <w:gridSpan w:val="2"/>
            <w:vAlign w:val="center"/>
          </w:tcPr>
          <w:p>
            <w:pPr>
              <w:jc w:val="center"/>
              <w:rPr>
                <w:color w:val="000000"/>
                <w:sz w:val="24"/>
              </w:rPr>
            </w:pPr>
            <w:r>
              <w:rPr>
                <w:rFonts w:hint="eastAsia"/>
                <w:color w:val="000000"/>
                <w:sz w:val="24"/>
              </w:rPr>
              <w:t>合计（元）</w:t>
            </w:r>
          </w:p>
        </w:tc>
        <w:tc>
          <w:tcPr>
            <w:tcW w:w="3421" w:type="dxa"/>
            <w:vAlign w:val="center"/>
          </w:tcPr>
          <w:p>
            <w:pPr>
              <w:jc w:val="center"/>
              <w:rPr>
                <w:color w:val="000000"/>
                <w:sz w:val="24"/>
              </w:rPr>
            </w:pPr>
          </w:p>
        </w:tc>
      </w:tr>
    </w:tbl>
    <w:p>
      <w:pPr>
        <w:pStyle w:val="2"/>
      </w:pPr>
    </w:p>
    <w:p>
      <w:pPr>
        <w:spacing w:line="360" w:lineRule="auto"/>
        <w:ind w:firstLine="420" w:firstLineChars="200"/>
        <w:rPr>
          <w:rFonts w:ascii="宋体" w:hAnsi="宋体"/>
          <w:szCs w:val="21"/>
        </w:rPr>
      </w:pPr>
      <w:r>
        <w:rPr>
          <w:rFonts w:hint="eastAsia" w:ascii="宋体" w:hAnsi="宋体"/>
          <w:szCs w:val="21"/>
        </w:rPr>
        <w:t>2.我方承诺在竞争性比选文件规定的竞标有效期内不修改、撤销竞争性比选申请文件。</w:t>
      </w:r>
    </w:p>
    <w:p>
      <w:pPr>
        <w:spacing w:line="360" w:lineRule="auto"/>
        <w:rPr>
          <w:rFonts w:ascii="宋体" w:hAnsi="宋体"/>
          <w:szCs w:val="21"/>
        </w:rPr>
      </w:pPr>
    </w:p>
    <w:p>
      <w:pPr>
        <w:spacing w:line="360" w:lineRule="auto"/>
        <w:jc w:val="right"/>
        <w:rPr>
          <w:rFonts w:ascii="宋体" w:hAnsi="宋体"/>
          <w:szCs w:val="21"/>
        </w:rPr>
      </w:pPr>
      <w:r>
        <w:rPr>
          <w:rFonts w:hint="eastAsia" w:ascii="宋体" w:hAnsi="宋体"/>
          <w:szCs w:val="21"/>
        </w:rPr>
        <w:t xml:space="preserve"> 竞争性比选申请</w:t>
      </w:r>
      <w:r>
        <w:rPr>
          <w:rFonts w:ascii="宋体" w:hAnsi="宋体"/>
          <w:szCs w:val="21"/>
        </w:rPr>
        <w:t>人：</w:t>
      </w:r>
      <w:r>
        <w:rPr>
          <w:rFonts w:ascii="宋体" w:hAnsi="宋体"/>
          <w:szCs w:val="21"/>
          <w:u w:val="single"/>
        </w:rPr>
        <w:t xml:space="preserve">                      </w:t>
      </w:r>
      <w:r>
        <w:rPr>
          <w:rFonts w:ascii="宋体" w:hAnsi="宋体"/>
          <w:szCs w:val="21"/>
        </w:rPr>
        <w:t>（盖单位章）</w:t>
      </w:r>
    </w:p>
    <w:p>
      <w:pPr>
        <w:spacing w:line="360" w:lineRule="auto"/>
        <w:jc w:val="right"/>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pPr>
        <w:spacing w:line="360" w:lineRule="auto"/>
        <w:jc w:val="right"/>
        <w:rPr>
          <w:rFonts w:ascii="宋体" w:hAnsi="宋体"/>
          <w:szCs w:val="21"/>
        </w:rPr>
        <w:sectPr>
          <w:pgSz w:w="11906" w:h="16838"/>
          <w:pgMar w:top="567" w:right="1797" w:bottom="1276" w:left="1797" w:header="851" w:footer="992" w:gutter="0"/>
          <w:pgBorders>
            <w:top w:val="none" w:sz="0" w:space="0"/>
            <w:left w:val="none" w:sz="0" w:space="0"/>
            <w:bottom w:val="none" w:sz="0" w:space="0"/>
            <w:right w:val="none" w:sz="0" w:space="0"/>
          </w:pgBorders>
          <w:cols w:space="0" w:num="1"/>
          <w:docGrid w:type="lines" w:linePitch="319" w:charSpace="0"/>
        </w:sectPr>
      </w:pP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tabs>
          <w:tab w:val="left" w:pos="900"/>
          <w:tab w:val="left" w:pos="1080"/>
        </w:tabs>
        <w:spacing w:line="300" w:lineRule="auto"/>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二</w:t>
      </w:r>
      <w:r>
        <w:rPr>
          <w:rFonts w:ascii="宋体" w:hAnsi="宋体" w:cs="Arial"/>
          <w:b/>
          <w:kern w:val="1"/>
          <w:sz w:val="32"/>
          <w:szCs w:val="22"/>
          <w:shd w:val="clear" w:color="auto" w:fill="FFFFFF"/>
        </w:rPr>
        <w:t>、</w:t>
      </w:r>
      <w:r>
        <w:rPr>
          <w:rFonts w:hint="eastAsia" w:ascii="宋体" w:hAnsi="宋体" w:cs="Arial"/>
          <w:b/>
          <w:kern w:val="1"/>
          <w:sz w:val="32"/>
          <w:szCs w:val="22"/>
          <w:shd w:val="clear" w:color="auto" w:fill="FFFFFF"/>
        </w:rPr>
        <w:t>法定代表人身份证明及授权委托书</w:t>
      </w:r>
    </w:p>
    <w:p>
      <w:pPr>
        <w:spacing w:line="440" w:lineRule="exact"/>
        <w:rPr>
          <w:rFonts w:ascii="宋体" w:hAnsi="宋体"/>
          <w:kern w:val="1"/>
          <w:sz w:val="24"/>
          <w:shd w:val="clear" w:color="auto" w:fill="FFFFFF"/>
        </w:rPr>
      </w:pPr>
    </w:p>
    <w:p>
      <w:pPr>
        <w:spacing w:line="440" w:lineRule="exact"/>
        <w:ind w:firstLine="482"/>
        <w:jc w:val="center"/>
        <w:outlineLvl w:val="2"/>
        <w:rPr>
          <w:rFonts w:ascii="宋体" w:hAnsi="宋体"/>
          <w:b/>
          <w:kern w:val="1"/>
          <w:sz w:val="24"/>
          <w:shd w:val="clear" w:color="auto" w:fill="FFFFFF"/>
        </w:rPr>
      </w:pPr>
      <w:bookmarkStart w:id="22" w:name="_Toc262547328"/>
      <w:bookmarkEnd w:id="22"/>
      <w:r>
        <w:rPr>
          <w:rFonts w:hint="eastAsia" w:ascii="宋体" w:hAnsi="宋体"/>
          <w:b/>
          <w:kern w:val="1"/>
          <w:sz w:val="24"/>
          <w:shd w:val="clear" w:color="auto" w:fill="FFFFFF"/>
        </w:rPr>
        <w:t>（一）法定代表人身份证明</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竞争性比选申请人名称：</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rPr>
        <w:t xml:space="preserve"> </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单位性质：</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地址：</w:t>
      </w:r>
      <w:r>
        <w:rPr>
          <w:rFonts w:ascii="宋体" w:hAnsi="宋体"/>
          <w:kern w:val="1"/>
          <w:szCs w:val="21"/>
          <w:u w:val="single"/>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成立时间：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日</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经营期限：</w:t>
      </w:r>
      <w:r>
        <w:rPr>
          <w:rFonts w:ascii="宋体" w:hAnsi="宋体"/>
          <w:kern w:val="1"/>
          <w:szCs w:val="21"/>
          <w:u w:val="single"/>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姓名：</w:t>
      </w:r>
      <w:r>
        <w:rPr>
          <w:rFonts w:ascii="宋体" w:hAnsi="宋体"/>
          <w:kern w:val="1"/>
          <w:szCs w:val="21"/>
          <w:shd w:val="clear" w:color="auto" w:fill="FFFFFF"/>
        </w:rPr>
        <w:t xml:space="preserve"> </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rPr>
        <w:t xml:space="preserve">   （法人手签）</w:t>
      </w:r>
      <w:r>
        <w:rPr>
          <w:rFonts w:ascii="宋体" w:hAnsi="宋体"/>
          <w:kern w:val="1"/>
          <w:szCs w:val="21"/>
          <w:shd w:val="clear" w:color="auto" w:fill="FFFFFF"/>
        </w:rPr>
        <w:t xml:space="preserve"> </w:t>
      </w:r>
      <w:r>
        <w:rPr>
          <w:rFonts w:hint="eastAsia" w:ascii="宋体" w:hAnsi="宋体"/>
          <w:kern w:val="1"/>
          <w:szCs w:val="21"/>
          <w:shd w:val="clear" w:color="auto" w:fill="FFFFFF"/>
        </w:rPr>
        <w:t>性别：</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年龄：</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职务：</w:t>
      </w:r>
      <w:r>
        <w:rPr>
          <w:rFonts w:ascii="宋体" w:hAnsi="宋体"/>
          <w:kern w:val="1"/>
          <w:szCs w:val="21"/>
          <w:u w:val="single"/>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系</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（竞争性比选申请人名称）的法定代表人。</w:t>
      </w:r>
    </w:p>
    <w:p>
      <w:pPr>
        <w:spacing w:line="440" w:lineRule="exact"/>
        <w:ind w:firstLine="480"/>
        <w:rPr>
          <w:rFonts w:ascii="宋体" w:hAnsi="宋体"/>
          <w:kern w:val="1"/>
          <w:szCs w:val="21"/>
          <w:shd w:val="clear" w:color="auto" w:fill="FFFFFF"/>
        </w:rPr>
      </w:pPr>
      <w:r>
        <w:rPr>
          <w:rFonts w:hint="eastAsia" w:ascii="宋体" w:hAnsi="宋体"/>
          <w:kern w:val="1"/>
          <w:szCs w:val="21"/>
          <w:shd w:val="clear" w:color="auto" w:fill="FFFFFF"/>
        </w:rPr>
        <w:t>特此证明。</w:t>
      </w:r>
    </w:p>
    <w:p>
      <w:pPr>
        <w:spacing w:line="440" w:lineRule="exact"/>
        <w:rPr>
          <w:rFonts w:ascii="宋体" w:hAnsi="宋体"/>
          <w:kern w:val="1"/>
          <w:szCs w:val="21"/>
          <w:shd w:val="clear" w:color="auto" w:fill="FFFFFF"/>
        </w:rPr>
      </w:pPr>
    </w:p>
    <w:p>
      <w:pPr>
        <w:spacing w:line="440" w:lineRule="exact"/>
        <w:rPr>
          <w:rFonts w:ascii="宋体" w:hAnsi="宋体"/>
          <w:kern w:val="1"/>
          <w:szCs w:val="21"/>
          <w:shd w:val="clear" w:color="auto" w:fill="FFFFFF"/>
        </w:rPr>
      </w:pPr>
    </w:p>
    <w:p>
      <w:pPr>
        <w:spacing w:line="440" w:lineRule="exact"/>
        <w:rPr>
          <w:rFonts w:ascii="宋体" w:hAnsi="宋体"/>
          <w:kern w:val="1"/>
          <w:szCs w:val="21"/>
          <w:shd w:val="clear" w:color="auto" w:fill="FFFFFF"/>
        </w:rPr>
      </w:pPr>
      <w:r>
        <w:rPr>
          <w:rFonts w:ascii="宋体" w:hAnsi="宋体"/>
          <w:kern w:val="1"/>
          <w:szCs w:val="21"/>
          <w:shd w:val="clear" w:color="auto" w:fill="FFFFFF"/>
        </w:rPr>
        <w:t xml:space="preserve">                         </w:t>
      </w:r>
      <w:r>
        <w:rPr>
          <w:rFonts w:hint="eastAsia" w:ascii="宋体" w:hAnsi="宋体"/>
          <w:kern w:val="1"/>
          <w:szCs w:val="21"/>
          <w:shd w:val="clear" w:color="auto" w:fill="FFFFFF"/>
        </w:rPr>
        <w:t>竞争性比选申请人</w:t>
      </w:r>
      <w:r>
        <w:rPr>
          <w:rFonts w:ascii="宋体" w:hAnsi="宋体"/>
          <w:kern w:val="1"/>
          <w:szCs w:val="21"/>
          <w:shd w:val="clear" w:color="auto" w:fill="FFFFFF"/>
        </w:rPr>
        <w:t xml:space="preserve"> </w:t>
      </w:r>
      <w:r>
        <w:rPr>
          <w:rFonts w:hint="eastAsia" w:ascii="宋体" w:hAnsi="宋体"/>
          <w:kern w:val="1"/>
          <w:szCs w:val="21"/>
          <w:shd w:val="clear" w:color="auto" w:fill="FFFFFF"/>
        </w:rPr>
        <w:t>：</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（盖单位章）</w:t>
      </w:r>
    </w:p>
    <w:p>
      <w:pPr>
        <w:spacing w:line="440" w:lineRule="exact"/>
        <w:rPr>
          <w:rFonts w:ascii="宋体" w:hAnsi="宋体"/>
          <w:kern w:val="1"/>
          <w:szCs w:val="21"/>
          <w:shd w:val="clear" w:color="auto" w:fill="FFFFFF"/>
        </w:rPr>
      </w:pPr>
      <w:r>
        <w:rPr>
          <w:rFonts w:ascii="宋体" w:hAnsi="宋体"/>
          <w:kern w:val="1"/>
          <w:szCs w:val="21"/>
          <w:shd w:val="clear" w:color="auto" w:fill="FFFFFF"/>
        </w:rPr>
        <w:t xml:space="preserve">                                   </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日</w:t>
      </w:r>
      <w:r>
        <w:rPr>
          <w:rFonts w:ascii="宋体" w:hAnsi="宋体"/>
          <w:kern w:val="1"/>
          <w:szCs w:val="21"/>
          <w:shd w:val="clear" w:color="auto" w:fill="FFFFFF"/>
        </w:rPr>
        <w:t xml:space="preserve">           </w:t>
      </w:r>
    </w:p>
    <w:p>
      <w:pPr>
        <w:ind w:firstLine="105"/>
        <w:rPr>
          <w:rFonts w:ascii="宋体" w:hAnsi="宋体" w:cs="宋体"/>
          <w:kern w:val="1"/>
          <w:szCs w:val="21"/>
          <w:shd w:val="clear" w:color="auto" w:fill="FFFFFF"/>
        </w:rPr>
      </w:pPr>
    </w:p>
    <w:p>
      <w:pPr>
        <w:spacing w:line="440" w:lineRule="exact"/>
        <w:ind w:firstLine="400"/>
        <w:jc w:val="center"/>
        <w:outlineLvl w:val="2"/>
        <w:rPr>
          <w:rFonts w:ascii="宋体" w:hAnsi="宋体"/>
          <w:b/>
          <w:kern w:val="1"/>
          <w:sz w:val="24"/>
          <w:shd w:val="clear" w:color="auto" w:fill="FFFFFF"/>
        </w:rPr>
      </w:pPr>
      <w:r>
        <w:rPr>
          <w:rFonts w:ascii="宋体" w:hAnsi="宋体" w:cs="宋体"/>
          <w:kern w:val="1"/>
          <w:szCs w:val="21"/>
          <w:shd w:val="clear" w:color="auto" w:fill="FFFFFF"/>
        </w:rPr>
        <w:br w:type="page"/>
      </w:r>
      <w:bookmarkStart w:id="23" w:name="_Toc262547329"/>
      <w:bookmarkEnd w:id="23"/>
      <w:r>
        <w:rPr>
          <w:rFonts w:ascii="宋体" w:hAnsi="宋体"/>
          <w:kern w:val="1"/>
          <w:sz w:val="24"/>
          <w:shd w:val="clear" w:color="auto" w:fill="FFFFFF"/>
        </w:rPr>
        <w:t>（二）</w:t>
      </w:r>
      <w:r>
        <w:rPr>
          <w:rFonts w:ascii="宋体" w:hAnsi="宋体"/>
          <w:b/>
          <w:kern w:val="1"/>
          <w:sz w:val="24"/>
          <w:shd w:val="clear" w:color="auto" w:fill="FFFFFF"/>
        </w:rPr>
        <w:t xml:space="preserve">授权委托书 </w:t>
      </w:r>
    </w:p>
    <w:p>
      <w:pPr>
        <w:spacing w:line="360" w:lineRule="auto"/>
        <w:jc w:val="left"/>
        <w:rPr>
          <w:rFonts w:ascii="宋体" w:hAnsi="宋体" w:cs="PMingLiU-ExtB"/>
          <w:sz w:val="12"/>
          <w:szCs w:val="12"/>
          <w:shd w:val="clear" w:color="auto" w:fill="FFFFFF"/>
        </w:rPr>
      </w:pPr>
    </w:p>
    <w:p>
      <w:pPr>
        <w:spacing w:line="360" w:lineRule="auto"/>
        <w:jc w:val="left"/>
        <w:rPr>
          <w:rFonts w:ascii="宋体" w:hAnsi="宋体" w:cs="PMingLiU-ExtB"/>
          <w:sz w:val="20"/>
          <w:shd w:val="clear" w:color="auto" w:fill="FFFFFF"/>
        </w:rPr>
      </w:pP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本人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（姓名）系</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w:t>
      </w:r>
      <w:r>
        <w:rPr>
          <w:rFonts w:hint="eastAsia" w:ascii="宋体" w:hAnsi="宋体"/>
          <w:kern w:val="1"/>
          <w:szCs w:val="21"/>
          <w:shd w:val="clear" w:color="auto" w:fill="FFFFFF"/>
        </w:rPr>
        <w:t>竞争性比选申请人</w:t>
      </w:r>
      <w:r>
        <w:rPr>
          <w:rFonts w:ascii="宋体" w:hAnsi="宋体" w:cs="PMingLiU-ExtB"/>
          <w:szCs w:val="21"/>
          <w:shd w:val="clear" w:color="auto" w:fill="FFFFFF"/>
        </w:rPr>
        <w:t>名称</w:t>
      </w:r>
      <w:r>
        <w:rPr>
          <w:rFonts w:ascii="宋体" w:hAnsi="宋体" w:cs="PMingLiU-ExtB"/>
          <w:spacing w:val="1"/>
          <w:szCs w:val="21"/>
          <w:shd w:val="clear" w:color="auto" w:fill="FFFFFF"/>
        </w:rPr>
        <w:t>）</w:t>
      </w:r>
      <w:r>
        <w:rPr>
          <w:rFonts w:ascii="宋体" w:hAnsi="宋体" w:cs="PMingLiU-ExtB"/>
          <w:szCs w:val="21"/>
          <w:shd w:val="clear" w:color="auto" w:fill="FFFFFF"/>
        </w:rPr>
        <w:t>的法定代</w:t>
      </w:r>
      <w:r>
        <w:rPr>
          <w:rFonts w:ascii="宋体" w:hAnsi="宋体" w:cs="PMingLiU-ExtB"/>
          <w:spacing w:val="1"/>
          <w:szCs w:val="21"/>
          <w:shd w:val="clear" w:color="auto" w:fill="FFFFFF"/>
        </w:rPr>
        <w:t>表</w:t>
      </w:r>
      <w:r>
        <w:rPr>
          <w:rFonts w:ascii="宋体" w:hAnsi="宋体" w:cs="PMingLiU-ExtB"/>
          <w:szCs w:val="21"/>
          <w:shd w:val="clear" w:color="auto" w:fill="FFFFFF"/>
        </w:rPr>
        <w:t>人，现委托</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（姓</w:t>
      </w:r>
      <w:r>
        <w:rPr>
          <w:rFonts w:ascii="宋体" w:hAnsi="宋体" w:cs="宋体"/>
          <w:szCs w:val="21"/>
          <w:shd w:val="clear" w:color="auto" w:fill="FFFFFF"/>
        </w:rPr>
        <w:t xml:space="preserve"> </w:t>
      </w:r>
      <w:r>
        <w:rPr>
          <w:rFonts w:ascii="宋体" w:hAnsi="宋体" w:cs="PMingLiU-ExtB"/>
          <w:szCs w:val="21"/>
          <w:shd w:val="clear" w:color="auto" w:fill="FFFFFF"/>
        </w:rPr>
        <w:t>名）为我方代理人。代理人根据授权，以我方名义签署、澄清、说明、补正、递交、撤回、</w:t>
      </w:r>
      <w:r>
        <w:rPr>
          <w:rFonts w:ascii="宋体" w:hAnsi="宋体" w:cs="宋体"/>
          <w:szCs w:val="21"/>
          <w:shd w:val="clear" w:color="auto" w:fill="FFFFFF"/>
        </w:rPr>
        <w:t xml:space="preserve"> </w:t>
      </w:r>
      <w:r>
        <w:rPr>
          <w:rFonts w:ascii="宋体" w:hAnsi="宋体" w:cs="PMingLiU-ExtB"/>
          <w:szCs w:val="21"/>
          <w:shd w:val="clear" w:color="auto" w:fill="FFFFFF"/>
        </w:rPr>
        <w:t>修改《</w:t>
      </w:r>
      <w:r>
        <w:rPr>
          <w:rFonts w:hint="eastAsia" w:ascii="宋体" w:hAnsi="宋体"/>
          <w:b/>
          <w:bCs/>
          <w:szCs w:val="21"/>
          <w:u w:val="single"/>
        </w:rPr>
        <w:t>合长高速石船服务区（左、右）加油加气站站房、</w:t>
      </w:r>
      <w:r>
        <w:rPr>
          <w:rFonts w:hint="eastAsia" w:ascii="宋体" w:hAnsi="宋体"/>
          <w:b/>
          <w:bCs/>
          <w:szCs w:val="21"/>
          <w:u w:val="single"/>
          <w:lang w:eastAsia="zh-CN"/>
        </w:rPr>
        <w:t>罩棚、双层储油罐及双层输油管道</w:t>
      </w:r>
      <w:r>
        <w:rPr>
          <w:rFonts w:hint="eastAsia" w:ascii="宋体" w:hAnsi="宋体"/>
          <w:b/>
          <w:bCs/>
          <w:szCs w:val="21"/>
          <w:u w:val="single"/>
        </w:rPr>
        <w:t>施工质量检测项目</w:t>
      </w:r>
      <w:r>
        <w:rPr>
          <w:rFonts w:ascii="宋体" w:hAnsi="宋体" w:cs="PMingLiU-ExtB"/>
          <w:szCs w:val="21"/>
          <w:shd w:val="clear" w:color="auto" w:fill="FFFFFF"/>
        </w:rPr>
        <w:t>》报价文件、签订合同和处理有关事宜，</w:t>
      </w:r>
      <w:r>
        <w:rPr>
          <w:rFonts w:ascii="宋体" w:hAnsi="宋体" w:cs="宋体"/>
          <w:szCs w:val="21"/>
          <w:shd w:val="clear" w:color="auto" w:fill="FFFFFF"/>
        </w:rPr>
        <w:t xml:space="preserve"> </w:t>
      </w:r>
      <w:r>
        <w:rPr>
          <w:rFonts w:ascii="宋体" w:hAnsi="宋体" w:cs="PMingLiU-ExtB"/>
          <w:szCs w:val="21"/>
          <w:shd w:val="clear" w:color="auto" w:fill="FFFFFF"/>
        </w:rPr>
        <w:t>其法律后果由我方承担。</w:t>
      </w:r>
    </w:p>
    <w:p>
      <w:pPr>
        <w:tabs>
          <w:tab w:val="left" w:pos="1680"/>
          <w:tab w:val="left" w:pos="4215"/>
          <w:tab w:val="left" w:pos="4305"/>
          <w:tab w:val="left" w:pos="8000"/>
        </w:tabs>
        <w:spacing w:line="360" w:lineRule="auto"/>
        <w:ind w:firstLine="420"/>
        <w:rPr>
          <w:rFonts w:ascii="宋体" w:hAnsi="宋体" w:cs="宋体"/>
          <w:szCs w:val="21"/>
          <w:shd w:val="clear" w:color="auto" w:fill="FFFFFF"/>
        </w:rPr>
      </w:pPr>
      <w:r>
        <w:rPr>
          <w:rFonts w:ascii="宋体" w:hAnsi="宋体" w:cs="PMingLiU-ExtB"/>
          <w:szCs w:val="21"/>
          <w:shd w:val="clear" w:color="auto" w:fill="FFFFFF"/>
        </w:rPr>
        <w:t>委托</w:t>
      </w:r>
      <w:r>
        <w:rPr>
          <w:rFonts w:ascii="宋体" w:hAnsi="宋体" w:cs="PMingLiU-ExtB"/>
          <w:spacing w:val="-1"/>
          <w:szCs w:val="21"/>
          <w:shd w:val="clear" w:color="auto" w:fill="FFFFFF"/>
        </w:rPr>
        <w:t>期</w:t>
      </w:r>
      <w:r>
        <w:rPr>
          <w:rFonts w:ascii="宋体" w:hAnsi="宋体" w:cs="PMingLiU-ExtB"/>
          <w:szCs w:val="21"/>
          <w:shd w:val="clear" w:color="auto" w:fill="FFFFFF"/>
        </w:rPr>
        <w:t>限：</w:t>
      </w:r>
      <w:r>
        <w:rPr>
          <w:rFonts w:ascii="宋体" w:hAnsi="宋体" w:cs="PMingLiU-ExtB"/>
          <w:w w:val="200"/>
          <w:szCs w:val="21"/>
          <w:shd w:val="clear" w:color="auto" w:fill="FFFFFF"/>
        </w:rPr>
        <w:t xml:space="preserve"> </w:t>
      </w:r>
      <w:r>
        <w:rPr>
          <w:rFonts w:ascii="宋体" w:hAnsi="宋体" w:cs="PMingLiU-ExtB"/>
          <w:szCs w:val="21"/>
          <w:u w:val="single"/>
          <w:shd w:val="clear" w:color="auto" w:fill="FFFFFF"/>
        </w:rPr>
        <w:t xml:space="preserve">                                   </w:t>
      </w: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代理人无转委托权。</w:t>
      </w: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附：法定代表人身份证明。</w:t>
      </w:r>
    </w:p>
    <w:p>
      <w:pPr>
        <w:spacing w:line="360" w:lineRule="auto"/>
        <w:jc w:val="left"/>
        <w:rPr>
          <w:rFonts w:ascii="宋体" w:hAnsi="宋体" w:cs="PMingLiU-ExtB"/>
          <w:sz w:val="24"/>
          <w:shd w:val="clear" w:color="auto" w:fill="FFFFFF"/>
        </w:rPr>
      </w:pPr>
    </w:p>
    <w:p>
      <w:pPr>
        <w:spacing w:line="360" w:lineRule="auto"/>
        <w:jc w:val="left"/>
        <w:rPr>
          <w:rFonts w:ascii="宋体" w:hAnsi="宋体" w:cs="PMingLiU-ExtB"/>
          <w:sz w:val="24"/>
          <w:shd w:val="clear" w:color="auto" w:fill="FFFFFF"/>
        </w:rPr>
      </w:pPr>
    </w:p>
    <w:p>
      <w:pPr>
        <w:tabs>
          <w:tab w:val="left" w:pos="4200"/>
          <w:tab w:val="left" w:pos="4620"/>
        </w:tabs>
        <w:spacing w:line="360" w:lineRule="auto"/>
        <w:ind w:firstLine="1694"/>
        <w:jc w:val="left"/>
        <w:rPr>
          <w:rFonts w:ascii="宋体" w:hAnsi="宋体" w:cs="宋体"/>
          <w:szCs w:val="21"/>
          <w:shd w:val="clear" w:color="auto" w:fill="FFFFFF"/>
        </w:rPr>
      </w:pPr>
      <w:r>
        <w:rPr>
          <w:rFonts w:hint="eastAsia" w:ascii="宋体" w:hAnsi="宋体"/>
          <w:kern w:val="1"/>
          <w:szCs w:val="21"/>
          <w:shd w:val="clear" w:color="auto" w:fill="FFFFFF"/>
        </w:rPr>
        <w:t>竞争性比选申请人</w:t>
      </w:r>
      <w:r>
        <w:rPr>
          <w:rFonts w:ascii="宋体" w:hAnsi="宋体" w:cs="PMingLiU-ExtB"/>
          <w:szCs w:val="21"/>
          <w:shd w:val="clear" w:color="auto" w:fill="FFFFFF"/>
        </w:rPr>
        <w:t>：</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 xml:space="preserve"> </w:t>
      </w:r>
      <w:r>
        <w:rPr>
          <w:rFonts w:ascii="宋体" w:hAnsi="宋体" w:cs="PMingLiU-ExtB"/>
          <w:szCs w:val="21"/>
          <w:shd w:val="clear" w:color="auto" w:fill="FFFFFF"/>
        </w:rPr>
        <w:t>（</w:t>
      </w:r>
      <w:r>
        <w:rPr>
          <w:rFonts w:ascii="宋体" w:hAnsi="宋体" w:cs="PMingLiU-ExtB"/>
          <w:spacing w:val="-1"/>
          <w:szCs w:val="21"/>
          <w:shd w:val="clear" w:color="auto" w:fill="FFFFFF"/>
        </w:rPr>
        <w:t>盖</w:t>
      </w:r>
      <w:r>
        <w:rPr>
          <w:rFonts w:ascii="宋体" w:hAnsi="宋体" w:cs="PMingLiU-ExtB"/>
          <w:szCs w:val="21"/>
          <w:shd w:val="clear" w:color="auto" w:fill="FFFFFF"/>
        </w:rPr>
        <w:t>单位公章）</w:t>
      </w:r>
      <w:r>
        <w:rPr>
          <w:rFonts w:ascii="宋体" w:hAnsi="宋体" w:cs="宋体"/>
          <w:szCs w:val="21"/>
          <w:shd w:val="clear" w:color="auto" w:fill="FFFFFF"/>
        </w:rPr>
        <w:t xml:space="preserve"> </w:t>
      </w:r>
    </w:p>
    <w:p>
      <w:pPr>
        <w:tabs>
          <w:tab w:val="left" w:pos="630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法定代表人：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宋体"/>
          <w:szCs w:val="21"/>
          <w:u w:val="single"/>
          <w:shd w:val="clear" w:color="auto" w:fill="FFFFFF"/>
        </w:rPr>
        <w:t xml:space="preserve">   </w:t>
      </w:r>
      <w:r>
        <w:rPr>
          <w:rFonts w:ascii="宋体" w:hAnsi="宋体" w:cs="PMingLiU-ExtB"/>
          <w:szCs w:val="21"/>
          <w:shd w:val="clear" w:color="auto" w:fill="FFFFFF"/>
        </w:rPr>
        <w:t>（签字）</w:t>
      </w:r>
    </w:p>
    <w:p>
      <w:pPr>
        <w:tabs>
          <w:tab w:val="left" w:pos="526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tabs>
          <w:tab w:val="left" w:pos="672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委托代理人：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（签</w:t>
      </w:r>
      <w:r>
        <w:rPr>
          <w:rFonts w:ascii="宋体" w:hAnsi="宋体" w:cs="PMingLiU-ExtB"/>
          <w:spacing w:val="-1"/>
          <w:szCs w:val="21"/>
          <w:shd w:val="clear" w:color="auto" w:fill="FFFFFF"/>
        </w:rPr>
        <w:t>字</w:t>
      </w:r>
      <w:r>
        <w:rPr>
          <w:rFonts w:ascii="宋体" w:hAnsi="宋体" w:cs="PMingLiU-ExtB"/>
          <w:szCs w:val="21"/>
          <w:shd w:val="clear" w:color="auto" w:fill="FFFFFF"/>
        </w:rPr>
        <w:t>）</w:t>
      </w:r>
    </w:p>
    <w:p>
      <w:pPr>
        <w:tabs>
          <w:tab w:val="left" w:pos="6825"/>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8"/>
          <w:szCs w:val="28"/>
          <w:shd w:val="clear" w:color="auto" w:fill="FFFFFF"/>
        </w:rPr>
      </w:pPr>
    </w:p>
    <w:p>
      <w:pPr>
        <w:tabs>
          <w:tab w:val="left" w:pos="4005"/>
          <w:tab w:val="left" w:pos="4100"/>
          <w:tab w:val="left" w:pos="5040"/>
        </w:tabs>
        <w:spacing w:line="360" w:lineRule="auto"/>
        <w:ind w:firstLine="3780"/>
        <w:jc w:val="right"/>
        <w:rPr>
          <w:rFonts w:ascii="宋体" w:hAnsi="宋体" w:cs="PMingLiU-ExtB"/>
          <w:sz w:val="24"/>
          <w:shd w:val="clear" w:color="auto" w:fill="FFFFFF"/>
        </w:rPr>
      </w:pP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年</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月</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日</w:t>
      </w:r>
    </w:p>
    <w:p>
      <w:pPr>
        <w:spacing w:line="360" w:lineRule="auto"/>
        <w:jc w:val="left"/>
        <w:rPr>
          <w:rFonts w:ascii="宋体" w:hAnsi="宋体" w:cs="宋体"/>
          <w:shd w:val="clear" w:color="auto" w:fill="FFFFFF"/>
        </w:rPr>
      </w:pPr>
    </w:p>
    <w:p>
      <w:pPr>
        <w:rPr>
          <w:rFonts w:ascii="宋体" w:hAnsi="宋体"/>
          <w:kern w:val="1"/>
          <w:shd w:val="clear" w:color="auto" w:fill="FFFFFF"/>
        </w:rPr>
      </w:pPr>
    </w:p>
    <w:p>
      <w:pPr>
        <w:spacing w:line="600" w:lineRule="exact"/>
        <w:rPr>
          <w:rFonts w:ascii="宋体" w:hAnsi="宋体"/>
          <w:kern w:val="1"/>
          <w:sz w:val="28"/>
          <w:szCs w:val="28"/>
          <w:shd w:val="clear" w:color="auto" w:fill="FFFFFF"/>
        </w:rPr>
      </w:pPr>
    </w:p>
    <w:p>
      <w:pPr>
        <w:spacing w:line="600" w:lineRule="exact"/>
        <w:jc w:val="center"/>
        <w:rPr>
          <w:rFonts w:ascii="宋体" w:hAnsi="宋体" w:cs="Arial"/>
          <w:b/>
          <w:kern w:val="1"/>
          <w:sz w:val="32"/>
          <w:szCs w:val="22"/>
          <w:shd w:val="clear" w:color="auto" w:fill="FFFFFF"/>
        </w:rPr>
      </w:pPr>
      <w:r>
        <w:rPr>
          <w:rFonts w:ascii="宋体" w:hAnsi="宋体"/>
          <w:kern w:val="1"/>
          <w:sz w:val="28"/>
          <w:szCs w:val="28"/>
          <w:shd w:val="clear" w:color="auto" w:fill="FFFFFF"/>
        </w:rPr>
        <w:br w:type="page"/>
      </w:r>
      <w:r>
        <w:rPr>
          <w:rFonts w:hint="eastAsia" w:ascii="宋体" w:hAnsi="宋体" w:cs="Arial"/>
          <w:b/>
          <w:kern w:val="1"/>
          <w:sz w:val="32"/>
          <w:szCs w:val="22"/>
          <w:shd w:val="clear" w:color="auto" w:fill="FFFFFF"/>
        </w:rPr>
        <w:t>三</w:t>
      </w:r>
      <w:r>
        <w:rPr>
          <w:rFonts w:ascii="宋体" w:hAnsi="宋体" w:cs="Arial"/>
          <w:b/>
          <w:kern w:val="1"/>
          <w:sz w:val="32"/>
          <w:szCs w:val="22"/>
          <w:shd w:val="clear" w:color="auto" w:fill="FFFFFF"/>
        </w:rPr>
        <w:t>、</w:t>
      </w:r>
      <w:r>
        <w:rPr>
          <w:rFonts w:hint="eastAsia" w:ascii="宋体" w:hAnsi="宋体" w:cs="Arial"/>
          <w:b/>
          <w:kern w:val="1"/>
          <w:sz w:val="32"/>
          <w:szCs w:val="22"/>
          <w:shd w:val="clear" w:color="auto" w:fill="FFFFFF"/>
        </w:rPr>
        <w:t>有效的</w:t>
      </w:r>
      <w:r>
        <w:rPr>
          <w:rFonts w:ascii="宋体" w:hAnsi="宋体" w:cs="Arial"/>
          <w:b/>
          <w:kern w:val="1"/>
          <w:sz w:val="32"/>
          <w:szCs w:val="22"/>
          <w:shd w:val="clear" w:color="auto" w:fill="FFFFFF"/>
        </w:rPr>
        <w:t>营业执照</w:t>
      </w: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spacing w:line="600" w:lineRule="exact"/>
        <w:jc w:val="center"/>
        <w:rPr>
          <w:rFonts w:ascii="宋体" w:hAnsi="宋体" w:cs="Arial"/>
          <w:b/>
          <w:kern w:val="1"/>
          <w:sz w:val="32"/>
          <w:szCs w:val="22"/>
          <w:shd w:val="clear" w:color="auto" w:fill="FFFFFF"/>
        </w:rPr>
        <w:sectPr>
          <w:pgSz w:w="11906" w:h="16838"/>
          <w:pgMar w:top="567" w:right="1797" w:bottom="1276" w:left="1797" w:header="851" w:footer="992" w:gutter="0"/>
          <w:pgBorders>
            <w:top w:val="none" w:sz="0" w:space="0"/>
            <w:left w:val="none" w:sz="0" w:space="0"/>
            <w:bottom w:val="none" w:sz="0" w:space="0"/>
            <w:right w:val="none" w:sz="0" w:space="0"/>
          </w:pgBorders>
          <w:cols w:space="0" w:num="1"/>
          <w:docGrid w:type="lines" w:linePitch="319" w:charSpace="0"/>
        </w:sectPr>
      </w:pPr>
      <w:r>
        <w:rPr>
          <w:rFonts w:ascii="宋体" w:hAnsi="宋体" w:cs="Arial"/>
          <w:b/>
          <w:kern w:val="1"/>
          <w:sz w:val="24"/>
          <w:shd w:val="clear" w:color="auto" w:fill="FFFFFF"/>
        </w:rPr>
        <w:br w:type="page"/>
      </w:r>
      <w:r>
        <w:rPr>
          <w:rFonts w:hint="eastAsia" w:ascii="宋体" w:hAnsi="宋体" w:cs="Arial"/>
          <w:b/>
          <w:kern w:val="1"/>
          <w:sz w:val="32"/>
          <w:szCs w:val="22"/>
          <w:shd w:val="clear" w:color="auto" w:fill="FFFFFF"/>
        </w:rPr>
        <w:t>四</w:t>
      </w:r>
      <w:r>
        <w:rPr>
          <w:rFonts w:ascii="宋体" w:hAnsi="宋体" w:cs="Arial"/>
          <w:b/>
          <w:kern w:val="1"/>
          <w:sz w:val="32"/>
          <w:szCs w:val="22"/>
          <w:shd w:val="clear" w:color="auto" w:fill="FFFFFF"/>
        </w:rPr>
        <w:t>、</w:t>
      </w:r>
      <w:r>
        <w:rPr>
          <w:rFonts w:hint="eastAsia" w:ascii="宋体" w:hAnsi="宋体" w:cs="Arial"/>
          <w:b/>
          <w:kern w:val="1"/>
          <w:sz w:val="32"/>
          <w:szCs w:val="22"/>
          <w:shd w:val="clear" w:color="auto" w:fill="FFFFFF"/>
        </w:rPr>
        <w:t>有效的资质证书</w:t>
      </w:r>
    </w:p>
    <w:p>
      <w:pPr>
        <w:spacing w:line="360" w:lineRule="auto"/>
        <w:jc w:val="center"/>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五、业绩证明</w:t>
      </w: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numPr>
          <w:ilvl w:val="0"/>
          <w:numId w:val="3"/>
        </w:numPr>
        <w:spacing w:line="360" w:lineRule="auto"/>
        <w:jc w:val="center"/>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技术部分</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3"/>
        <w:rPr>
          <w:szCs w:val="21"/>
        </w:rPr>
      </w:pPr>
    </w:p>
    <w:p>
      <w:pPr>
        <w:pStyle w:val="2"/>
      </w:pPr>
    </w:p>
    <w:sectPr>
      <w:pgSz w:w="11906" w:h="16838"/>
      <w:pgMar w:top="567" w:right="1797" w:bottom="1276" w:left="1797" w:header="851" w:footer="992" w:gutter="0"/>
      <w:pgBorders>
        <w:top w:val="none" w:sz="0" w:space="0"/>
        <w:left w:val="none" w:sz="0" w:space="0"/>
        <w:bottom w:val="none" w:sz="0" w:space="0"/>
        <w:right w:val="none" w:sz="0" w:space="0"/>
      </w:pgBorders>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PMingLiU-ExtB">
    <w:panose1 w:val="02020500000000000000"/>
    <w:charset w:val="88"/>
    <w:family w:val="roman"/>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15E08D"/>
    <w:multiLevelType w:val="singleLevel"/>
    <w:tmpl w:val="D915E08D"/>
    <w:lvl w:ilvl="0" w:tentative="0">
      <w:start w:val="6"/>
      <w:numFmt w:val="chineseCounting"/>
      <w:suff w:val="nothing"/>
      <w:lvlText w:val="%1、"/>
      <w:lvlJc w:val="left"/>
      <w:rPr>
        <w:rFonts w:hint="eastAsia"/>
      </w:rPr>
    </w:lvl>
  </w:abstractNum>
  <w:abstractNum w:abstractNumId="1">
    <w:nsid w:val="41DFB6AE"/>
    <w:multiLevelType w:val="singleLevel"/>
    <w:tmpl w:val="41DFB6AE"/>
    <w:lvl w:ilvl="0" w:tentative="0">
      <w:start w:val="3"/>
      <w:numFmt w:val="chineseCounting"/>
      <w:suff w:val="space"/>
      <w:lvlText w:val="第%1篇"/>
      <w:lvlJc w:val="left"/>
      <w:rPr>
        <w:rFonts w:hint="eastAsia"/>
      </w:rPr>
    </w:lvl>
  </w:abstractNum>
  <w:abstractNum w:abstractNumId="2">
    <w:nsid w:val="6D024768"/>
    <w:multiLevelType w:val="singleLevel"/>
    <w:tmpl w:val="6D024768"/>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cumentProtection w:enforcement="0"/>
  <w:defaultTabStop w:val="420"/>
  <w:drawingGridHorizontalSpacing w:val="210"/>
  <w:drawingGridVerticalSpacing w:val="159"/>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43B3"/>
    <w:rsid w:val="00172A27"/>
    <w:rsid w:val="001B2396"/>
    <w:rsid w:val="001D5FD4"/>
    <w:rsid w:val="002931B1"/>
    <w:rsid w:val="00332C43"/>
    <w:rsid w:val="00557AE5"/>
    <w:rsid w:val="005927C7"/>
    <w:rsid w:val="005C29A6"/>
    <w:rsid w:val="00652392"/>
    <w:rsid w:val="007042EE"/>
    <w:rsid w:val="00743D73"/>
    <w:rsid w:val="007E58D1"/>
    <w:rsid w:val="00814279"/>
    <w:rsid w:val="00A71BB5"/>
    <w:rsid w:val="00AF1E78"/>
    <w:rsid w:val="00BB6441"/>
    <w:rsid w:val="00C429F9"/>
    <w:rsid w:val="00C4334C"/>
    <w:rsid w:val="00C65E07"/>
    <w:rsid w:val="00C67970"/>
    <w:rsid w:val="00DA0B9B"/>
    <w:rsid w:val="00DC1B44"/>
    <w:rsid w:val="00E8470F"/>
    <w:rsid w:val="00E931DC"/>
    <w:rsid w:val="00EC1581"/>
    <w:rsid w:val="00F6750A"/>
    <w:rsid w:val="00F91911"/>
    <w:rsid w:val="06BF3D42"/>
    <w:rsid w:val="081663F3"/>
    <w:rsid w:val="08C50901"/>
    <w:rsid w:val="094D6E25"/>
    <w:rsid w:val="0B614F06"/>
    <w:rsid w:val="0D441CBC"/>
    <w:rsid w:val="11AA31D2"/>
    <w:rsid w:val="1AA64081"/>
    <w:rsid w:val="1B244771"/>
    <w:rsid w:val="1DCA6A8E"/>
    <w:rsid w:val="1F9A58B5"/>
    <w:rsid w:val="20825BBB"/>
    <w:rsid w:val="2159732D"/>
    <w:rsid w:val="223F6F38"/>
    <w:rsid w:val="2A810C74"/>
    <w:rsid w:val="2AE64AA9"/>
    <w:rsid w:val="2B976474"/>
    <w:rsid w:val="2BBC3AEB"/>
    <w:rsid w:val="2CCB30CC"/>
    <w:rsid w:val="32E47FB6"/>
    <w:rsid w:val="33381582"/>
    <w:rsid w:val="34151C11"/>
    <w:rsid w:val="35ED78DF"/>
    <w:rsid w:val="36081665"/>
    <w:rsid w:val="38116F35"/>
    <w:rsid w:val="3BC7568F"/>
    <w:rsid w:val="3CF22047"/>
    <w:rsid w:val="3D6B7051"/>
    <w:rsid w:val="400C7CB3"/>
    <w:rsid w:val="42C237FD"/>
    <w:rsid w:val="46D376D2"/>
    <w:rsid w:val="485C1F79"/>
    <w:rsid w:val="4AAD77F4"/>
    <w:rsid w:val="4E09180D"/>
    <w:rsid w:val="4E48232A"/>
    <w:rsid w:val="528B545C"/>
    <w:rsid w:val="538F655B"/>
    <w:rsid w:val="56A553BB"/>
    <w:rsid w:val="5AE30DDA"/>
    <w:rsid w:val="604A39F1"/>
    <w:rsid w:val="60C36EFA"/>
    <w:rsid w:val="63D46F31"/>
    <w:rsid w:val="66AD3DD8"/>
    <w:rsid w:val="694777B6"/>
    <w:rsid w:val="6D9B0244"/>
    <w:rsid w:val="70865EA2"/>
    <w:rsid w:val="72B24530"/>
    <w:rsid w:val="736D224A"/>
    <w:rsid w:val="742E786B"/>
    <w:rsid w:val="75D755D5"/>
    <w:rsid w:val="760F45B6"/>
    <w:rsid w:val="77B87477"/>
    <w:rsid w:val="79A32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6"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paragraph" w:styleId="4">
    <w:name w:val="heading 3"/>
    <w:basedOn w:val="1"/>
    <w:next w:val="1"/>
    <w:link w:val="22"/>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5">
    <w:name w:val="Document Map"/>
    <w:basedOn w:val="1"/>
    <w:link w:val="21"/>
    <w:qFormat/>
    <w:uiPriority w:val="0"/>
    <w:rPr>
      <w:rFonts w:ascii="宋体"/>
      <w:sz w:val="18"/>
      <w:szCs w:val="18"/>
    </w:rPr>
  </w:style>
  <w:style w:type="paragraph" w:styleId="6">
    <w:name w:val="annotation text"/>
    <w:basedOn w:val="1"/>
    <w:qFormat/>
    <w:uiPriority w:val="0"/>
    <w:pPr>
      <w:jc w:val="left"/>
    </w:pPr>
  </w:style>
  <w:style w:type="paragraph" w:styleId="7">
    <w:name w:val="Body Text"/>
    <w:basedOn w:val="1"/>
    <w:qFormat/>
    <w:uiPriority w:val="6"/>
    <w:pPr>
      <w:spacing w:after="120"/>
    </w:pPr>
    <w:rPr>
      <w:kern w:val="1"/>
    </w:rPr>
  </w:style>
  <w:style w:type="paragraph" w:styleId="8">
    <w:name w:val="Body Text Indent"/>
    <w:basedOn w:val="1"/>
    <w:qFormat/>
    <w:uiPriority w:val="6"/>
    <w:pPr>
      <w:spacing w:after="120"/>
      <w:ind w:left="420"/>
    </w:pPr>
    <w:rPr>
      <w:kern w:val="1"/>
    </w:rPr>
  </w:style>
  <w:style w:type="paragraph" w:styleId="9">
    <w:name w:val="Plain Text"/>
    <w:basedOn w:val="1"/>
    <w:unhideWhenUsed/>
    <w:qFormat/>
    <w:uiPriority w:val="99"/>
    <w:rPr>
      <w:rFonts w:ascii="宋体" w:hAnsi="Courier New"/>
      <w:szCs w:val="21"/>
    </w:rPr>
  </w:style>
  <w:style w:type="paragraph" w:styleId="10">
    <w:name w:val="Date"/>
    <w:basedOn w:val="1"/>
    <w:next w:val="1"/>
    <w:qFormat/>
    <w:uiPriority w:val="7"/>
    <w:pPr>
      <w:ind w:left="100"/>
    </w:pPr>
    <w:rPr>
      <w:kern w:val="1"/>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index 1"/>
    <w:basedOn w:val="1"/>
    <w:next w:val="1"/>
    <w:qFormat/>
    <w:uiPriority w:val="6"/>
    <w:pPr>
      <w:spacing w:line="360" w:lineRule="auto"/>
      <w:jc w:val="center"/>
    </w:pPr>
    <w:rPr>
      <w:rFonts w:ascii="宋体" w:hAnsi="宋体" w:cs="Arial"/>
      <w:b/>
      <w:kern w:val="1"/>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nhideWhenUsed/>
    <w:qFormat/>
    <w:uiPriority w:val="99"/>
    <w:rPr>
      <w:color w:val="0000FF"/>
      <w:u w:val="single"/>
    </w:rPr>
  </w:style>
  <w:style w:type="character" w:customStyle="1" w:styleId="20">
    <w:name w:val="HTML 预设格式 Char"/>
    <w:link w:val="14"/>
    <w:qFormat/>
    <w:uiPriority w:val="99"/>
    <w:rPr>
      <w:rFonts w:ascii="宋体" w:hAnsi="宋体" w:cs="宋体"/>
      <w:sz w:val="24"/>
      <w:szCs w:val="24"/>
    </w:rPr>
  </w:style>
  <w:style w:type="character" w:customStyle="1" w:styleId="21">
    <w:name w:val="文档结构图 Char"/>
    <w:link w:val="5"/>
    <w:qFormat/>
    <w:uiPriority w:val="0"/>
    <w:rPr>
      <w:rFonts w:ascii="宋体"/>
      <w:kern w:val="2"/>
      <w:sz w:val="18"/>
      <w:szCs w:val="18"/>
    </w:rPr>
  </w:style>
  <w:style w:type="character" w:customStyle="1" w:styleId="22">
    <w:name w:val="标题 3 Char"/>
    <w:link w:val="4"/>
    <w:qFormat/>
    <w:uiPriority w:val="0"/>
    <w:rPr>
      <w:rFonts w:ascii="仿宋_GB2312" w:eastAsia="仿宋_GB2312" w:cs="MingLiU"/>
      <w:b/>
      <w:kern w:val="2"/>
      <w:sz w:val="24"/>
      <w:szCs w:val="28"/>
    </w:rPr>
  </w:style>
  <w:style w:type="paragraph" w:customStyle="1" w:styleId="2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4">
    <w:name w:val="6'"/>
    <w:basedOn w:val="1"/>
    <w:qFormat/>
    <w:uiPriority w:val="0"/>
    <w:pPr>
      <w:spacing w:line="320" w:lineRule="exact"/>
      <w:jc w:val="center"/>
    </w:pPr>
    <w:rPr>
      <w:spacing w:val="20"/>
    </w:rPr>
  </w:style>
  <w:style w:type="paragraph" w:customStyle="1"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912</Words>
  <Characters>5202</Characters>
  <Lines>43</Lines>
  <Paragraphs>12</Paragraphs>
  <TotalTime>13</TotalTime>
  <ScaleCrop>false</ScaleCrop>
  <LinksUpToDate>false</LinksUpToDate>
  <CharactersWithSpaces>6102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2021-08-18T09:23:00Z</dcterms:created>
  <dc:creator>微软用户</dc:creator>
  <cp:lastModifiedBy>WPS_1606287783</cp:lastModifiedBy>
  <cp:lastPrinted>2021-08-13T00:28:00Z</cp:lastPrinted>
  <dcterms:modified xsi:type="dcterms:W3CDTF">2021-09-22T06:19:03Z</dcterms:modified>
  <dc:title>重庆市北碚交通建设发展有限公司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