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宋体" w:hAnsi="宋体" w:cs="宋体"/>
          <w:b/>
          <w:bCs/>
          <w:kern w:val="0"/>
          <w:sz w:val="44"/>
          <w:szCs w:val="44"/>
        </w:rPr>
      </w:pPr>
      <w:r>
        <w:rPr>
          <w:rFonts w:hint="eastAsia" w:ascii="宋体" w:hAnsi="宋体" w:cs="宋体"/>
          <w:b/>
          <w:bCs/>
          <w:kern w:val="0"/>
          <w:sz w:val="44"/>
          <w:szCs w:val="44"/>
        </w:rPr>
        <w:t>重庆万利万达高速公路有限公司</w:t>
      </w:r>
    </w:p>
    <w:p>
      <w:pPr>
        <w:spacing w:line="900" w:lineRule="exact"/>
        <w:jc w:val="center"/>
        <w:rPr>
          <w:rFonts w:ascii="宋体" w:hAnsi="宋体" w:cs="宋体"/>
          <w:b/>
          <w:bCs/>
          <w:kern w:val="0"/>
          <w:sz w:val="44"/>
          <w:szCs w:val="44"/>
        </w:rPr>
      </w:pPr>
      <w:r>
        <w:rPr>
          <w:rFonts w:hint="eastAsia" w:ascii="宋体" w:hAnsi="宋体" w:cs="宋体"/>
          <w:b/>
          <w:bCs/>
          <w:kern w:val="0"/>
          <w:sz w:val="44"/>
          <w:szCs w:val="44"/>
        </w:rPr>
        <w:t>高速公路运营企业二级安全生产标准化建设</w:t>
      </w:r>
    </w:p>
    <w:p>
      <w:pPr>
        <w:spacing w:line="900" w:lineRule="exact"/>
        <w:rPr>
          <w:rFonts w:ascii="宋体" w:hAnsi="宋体" w:cs="宋体"/>
          <w:b/>
          <w:bCs/>
          <w:kern w:val="0"/>
          <w:sz w:val="52"/>
          <w:szCs w:val="52"/>
        </w:rPr>
      </w:pPr>
    </w:p>
    <w:p>
      <w:pPr>
        <w:spacing w:line="900" w:lineRule="exact"/>
        <w:rPr>
          <w:rFonts w:ascii="宋体" w:hAnsi="宋体" w:cs="宋体"/>
          <w:b/>
          <w:bCs/>
          <w:kern w:val="0"/>
          <w:sz w:val="52"/>
          <w:szCs w:val="52"/>
        </w:rPr>
      </w:pPr>
    </w:p>
    <w:p>
      <w:pPr>
        <w:spacing w:line="960" w:lineRule="exact"/>
        <w:jc w:val="center"/>
        <w:rPr>
          <w:rFonts w:ascii="Times New Roman" w:hAnsi="Times New Roman" w:eastAsia="黑体"/>
          <w:sz w:val="72"/>
          <w:szCs w:val="72"/>
        </w:rPr>
      </w:pPr>
      <w:r>
        <w:rPr>
          <w:rFonts w:ascii="Times New Roman" w:hAnsi="Times New Roman" w:eastAsia="黑体"/>
          <w:sz w:val="72"/>
          <w:szCs w:val="72"/>
        </w:rPr>
        <w:t>竞</w:t>
      </w:r>
    </w:p>
    <w:p>
      <w:pPr>
        <w:spacing w:line="960" w:lineRule="exact"/>
        <w:jc w:val="center"/>
        <w:rPr>
          <w:rFonts w:ascii="Times New Roman" w:hAnsi="Times New Roman" w:eastAsia="黑体"/>
          <w:sz w:val="72"/>
          <w:szCs w:val="72"/>
        </w:rPr>
      </w:pPr>
      <w:r>
        <w:rPr>
          <w:rFonts w:ascii="Times New Roman" w:hAnsi="Times New Roman" w:eastAsia="黑体"/>
          <w:sz w:val="72"/>
          <w:szCs w:val="72"/>
        </w:rPr>
        <w:t>争</w:t>
      </w:r>
    </w:p>
    <w:p>
      <w:pPr>
        <w:spacing w:line="960" w:lineRule="exact"/>
        <w:jc w:val="center"/>
        <w:rPr>
          <w:rFonts w:ascii="Times New Roman" w:hAnsi="Times New Roman" w:eastAsia="黑体"/>
          <w:sz w:val="72"/>
          <w:szCs w:val="72"/>
        </w:rPr>
      </w:pPr>
      <w:r>
        <w:rPr>
          <w:rFonts w:ascii="Times New Roman" w:hAnsi="Times New Roman" w:eastAsia="黑体"/>
          <w:sz w:val="72"/>
          <w:szCs w:val="72"/>
        </w:rPr>
        <w:t>性</w:t>
      </w:r>
    </w:p>
    <w:p>
      <w:pPr>
        <w:spacing w:line="960" w:lineRule="exact"/>
        <w:jc w:val="center"/>
        <w:rPr>
          <w:rFonts w:ascii="Times New Roman" w:hAnsi="Times New Roman" w:eastAsia="黑体"/>
          <w:sz w:val="72"/>
          <w:szCs w:val="72"/>
        </w:rPr>
      </w:pPr>
      <w:r>
        <w:rPr>
          <w:rFonts w:ascii="Times New Roman" w:hAnsi="Times New Roman" w:eastAsia="黑体"/>
          <w:sz w:val="72"/>
          <w:szCs w:val="72"/>
        </w:rPr>
        <w:t>比</w:t>
      </w:r>
    </w:p>
    <w:p>
      <w:pPr>
        <w:spacing w:line="960" w:lineRule="exact"/>
        <w:jc w:val="center"/>
        <w:rPr>
          <w:rFonts w:ascii="Times New Roman" w:hAnsi="Times New Roman" w:eastAsia="黑体"/>
          <w:sz w:val="72"/>
          <w:szCs w:val="72"/>
        </w:rPr>
      </w:pPr>
      <w:r>
        <w:rPr>
          <w:rFonts w:ascii="Times New Roman" w:hAnsi="Times New Roman" w:eastAsia="黑体"/>
          <w:sz w:val="72"/>
          <w:szCs w:val="72"/>
        </w:rPr>
        <w:t>选</w:t>
      </w:r>
    </w:p>
    <w:p>
      <w:pPr>
        <w:spacing w:line="960" w:lineRule="exact"/>
        <w:jc w:val="center"/>
        <w:rPr>
          <w:rFonts w:ascii="Times New Roman" w:hAnsi="Times New Roman" w:eastAsia="黑体"/>
          <w:sz w:val="72"/>
          <w:szCs w:val="72"/>
        </w:rPr>
      </w:pPr>
      <w:r>
        <w:rPr>
          <w:rFonts w:ascii="Times New Roman" w:hAnsi="Times New Roman" w:eastAsia="黑体"/>
          <w:sz w:val="72"/>
          <w:szCs w:val="72"/>
        </w:rPr>
        <w:t>文</w:t>
      </w:r>
    </w:p>
    <w:p>
      <w:pPr>
        <w:pStyle w:val="2"/>
        <w:jc w:val="center"/>
        <w:rPr>
          <w:rFonts w:eastAsia="黑体"/>
        </w:rPr>
      </w:pPr>
      <w:r>
        <w:rPr>
          <w:rFonts w:hint="eastAsia" w:ascii="Times New Roman" w:hAnsi="Times New Roman" w:eastAsia="黑体"/>
          <w:sz w:val="72"/>
          <w:szCs w:val="72"/>
        </w:rPr>
        <w:t>件</w:t>
      </w:r>
    </w:p>
    <w:p>
      <w:pPr>
        <w:spacing w:line="900" w:lineRule="exact"/>
        <w:jc w:val="center"/>
        <w:rPr>
          <w:rFonts w:ascii="宋体" w:hAnsi="宋体" w:cs="宋体"/>
          <w:b/>
          <w:bCs/>
          <w:sz w:val="44"/>
          <w:szCs w:val="44"/>
        </w:rPr>
      </w:pPr>
      <w:r>
        <w:rPr>
          <w:rFonts w:hint="eastAsia" w:ascii="宋体" w:hAnsi="宋体" w:cs="宋体"/>
          <w:b/>
          <w:bCs/>
          <w:sz w:val="44"/>
          <w:szCs w:val="44"/>
        </w:rPr>
        <w:t>询价人：重庆万利万达高速公路有限公司</w:t>
      </w:r>
    </w:p>
    <w:p>
      <w:pPr>
        <w:spacing w:line="900" w:lineRule="exact"/>
        <w:jc w:val="center"/>
        <w:rPr>
          <w:rFonts w:ascii="宋体" w:hAnsi="宋体" w:cs="宋体"/>
          <w:sz w:val="24"/>
          <w:szCs w:val="24"/>
        </w:rPr>
      </w:pPr>
      <w:r>
        <w:rPr>
          <w:rFonts w:hint="eastAsia" w:ascii="宋体" w:hAnsi="宋体" w:cs="宋体"/>
          <w:b/>
          <w:bCs/>
          <w:sz w:val="44"/>
          <w:szCs w:val="44"/>
        </w:rPr>
        <w:t>202</w:t>
      </w:r>
      <w:r>
        <w:rPr>
          <w:rFonts w:ascii="宋体" w:hAnsi="宋体" w:cs="宋体"/>
          <w:b/>
          <w:bCs/>
          <w:sz w:val="44"/>
          <w:szCs w:val="44"/>
        </w:rPr>
        <w:t>2</w:t>
      </w:r>
      <w:r>
        <w:rPr>
          <w:rFonts w:hint="eastAsia" w:ascii="宋体" w:hAnsi="宋体" w:cs="宋体"/>
          <w:b/>
          <w:bCs/>
          <w:sz w:val="44"/>
          <w:szCs w:val="44"/>
        </w:rPr>
        <w:t>年</w:t>
      </w:r>
      <w:r>
        <w:rPr>
          <w:rFonts w:hint="eastAsia" w:ascii="宋体" w:hAnsi="宋体" w:cs="宋体"/>
          <w:b/>
          <w:bCs/>
          <w:sz w:val="44"/>
          <w:szCs w:val="44"/>
          <w:lang w:val="en-US" w:eastAsia="zh-CN"/>
        </w:rPr>
        <w:t>4</w:t>
      </w:r>
      <w:r>
        <w:rPr>
          <w:rFonts w:hint="eastAsia" w:ascii="宋体" w:hAnsi="宋体" w:cs="宋体"/>
          <w:b/>
          <w:bCs/>
          <w:sz w:val="44"/>
          <w:szCs w:val="44"/>
        </w:rPr>
        <w:t>月</w:t>
      </w:r>
    </w:p>
    <w:p>
      <w:pPr>
        <w:rPr>
          <w:rFonts w:ascii="宋体" w:hAnsi="宋体" w:cs="宋体"/>
          <w:sz w:val="24"/>
          <w:szCs w:val="24"/>
        </w:rPr>
        <w:sectPr>
          <w:footerReference r:id="rId3" w:type="default"/>
          <w:pgSz w:w="11907" w:h="16840"/>
          <w:pgMar w:top="1418" w:right="1418" w:bottom="1418" w:left="1418" w:header="851" w:footer="992" w:gutter="0"/>
          <w:pgNumType w:start="1"/>
          <w:cols w:space="720" w:num="1"/>
          <w:docGrid w:linePitch="380" w:charSpace="-5735"/>
        </w:sectPr>
      </w:pP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采购内容</w:t>
      </w:r>
    </w:p>
    <w:p>
      <w:pPr>
        <w:spacing w:line="500" w:lineRule="exact"/>
        <w:ind w:firstLine="480" w:firstLineChars="200"/>
        <w:rPr>
          <w:rFonts w:ascii="宋体" w:hAnsi="宋体" w:cs="宋体"/>
          <w:sz w:val="24"/>
          <w:szCs w:val="24"/>
        </w:rPr>
      </w:pPr>
      <w:r>
        <w:rPr>
          <w:rFonts w:hint="eastAsia" w:ascii="宋体" w:hAnsi="宋体" w:cs="宋体"/>
          <w:sz w:val="24"/>
          <w:szCs w:val="24"/>
        </w:rPr>
        <w:t>1、采购人：重庆万利万达高速公路有限公司</w:t>
      </w:r>
    </w:p>
    <w:p>
      <w:pPr>
        <w:spacing w:line="500" w:lineRule="exact"/>
        <w:ind w:firstLine="480" w:firstLineChars="200"/>
        <w:rPr>
          <w:rFonts w:ascii="宋体" w:hAnsi="宋体" w:cs="宋体"/>
          <w:sz w:val="24"/>
          <w:szCs w:val="24"/>
        </w:rPr>
      </w:pPr>
      <w:r>
        <w:rPr>
          <w:rFonts w:hint="eastAsia" w:ascii="宋体" w:hAnsi="宋体" w:cs="宋体"/>
          <w:sz w:val="24"/>
          <w:szCs w:val="24"/>
        </w:rPr>
        <w:t>2、项目名称：高速公路运营企业二级安全生产标准化建设和环保管理服务</w:t>
      </w:r>
    </w:p>
    <w:p>
      <w:pPr>
        <w:spacing w:line="500" w:lineRule="exact"/>
        <w:ind w:firstLine="480" w:firstLineChars="200"/>
        <w:rPr>
          <w:rFonts w:ascii="宋体" w:hAnsi="宋体" w:cs="宋体"/>
          <w:sz w:val="24"/>
          <w:szCs w:val="24"/>
        </w:rPr>
      </w:pPr>
      <w:r>
        <w:rPr>
          <w:rFonts w:hint="eastAsia" w:ascii="宋体" w:hAnsi="宋体" w:cs="宋体"/>
          <w:sz w:val="24"/>
          <w:szCs w:val="24"/>
        </w:rPr>
        <w:t>3、具体采购内容：</w:t>
      </w:r>
    </w:p>
    <w:p>
      <w:pPr>
        <w:spacing w:line="500" w:lineRule="exact"/>
        <w:ind w:firstLine="480" w:firstLineChars="200"/>
        <w:rPr>
          <w:rFonts w:ascii="宋体" w:hAnsi="宋体" w:cs="宋体"/>
          <w:sz w:val="24"/>
          <w:szCs w:val="24"/>
        </w:rPr>
      </w:pPr>
      <w:r>
        <w:rPr>
          <w:rFonts w:ascii="宋体" w:hAnsi="宋体" w:cs="宋体"/>
          <w:sz w:val="24"/>
          <w:szCs w:val="24"/>
        </w:rPr>
        <w:t>按照相关法律法规和标准规范要求</w:t>
      </w:r>
      <w:r>
        <w:rPr>
          <w:rFonts w:hint="eastAsia" w:ascii="宋体" w:hAnsi="宋体" w:cs="宋体"/>
          <w:sz w:val="24"/>
          <w:szCs w:val="24"/>
        </w:rPr>
        <w:t>，</w:t>
      </w:r>
      <w:r>
        <w:rPr>
          <w:rFonts w:ascii="宋体" w:hAnsi="宋体" w:cs="宋体"/>
          <w:sz w:val="24"/>
          <w:szCs w:val="24"/>
        </w:rPr>
        <w:t>为</w:t>
      </w:r>
      <w:r>
        <w:rPr>
          <w:rFonts w:hint="eastAsia" w:ascii="宋体" w:hAnsi="宋体" w:cs="宋体"/>
          <w:sz w:val="24"/>
          <w:szCs w:val="24"/>
        </w:rPr>
        <w:t>采购人提供高速公路运营企业二级安全生产标准化建设、达标评价咨询和环保管理咨询服务，协助采购人建立完善安全生产标准化管理体系文件（包括安全生产标准化管理手册、安全责任制、安全管理制度、应急预案和记录表格），结合实际协助采购人修改完善环境保护管理制度，指导采购人开展一次安全生产风险辨识、评估、管控工作，建立安全生产风险辨识与评价控制清单，并通过高速公路运营企业安全生产标准化二级达标，取得交通运输企业安全生产标准化评价二级达标证书。</w:t>
      </w:r>
    </w:p>
    <w:p>
      <w:pPr>
        <w:spacing w:line="500" w:lineRule="exact"/>
        <w:ind w:firstLine="480" w:firstLineChars="200"/>
        <w:rPr>
          <w:rFonts w:ascii="宋体" w:hAnsi="宋体" w:cs="宋体"/>
          <w:sz w:val="24"/>
          <w:szCs w:val="24"/>
        </w:rPr>
      </w:pPr>
      <w:r>
        <w:rPr>
          <w:rFonts w:hint="eastAsia" w:ascii="宋体" w:hAnsi="宋体" w:cs="宋体"/>
          <w:sz w:val="24"/>
          <w:szCs w:val="24"/>
        </w:rPr>
        <w:t>4、采购预算（报价上限）：150000元（大写：壹拾伍万元整） 。</w:t>
      </w:r>
    </w:p>
    <w:p>
      <w:pPr>
        <w:spacing w:line="50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、时限要求：</w:t>
      </w:r>
      <w:r>
        <w:rPr>
          <w:rFonts w:ascii="宋体" w:hAnsi="宋体" w:cs="宋体"/>
          <w:sz w:val="24"/>
          <w:szCs w:val="24"/>
        </w:rPr>
        <w:t>2022年</w:t>
      </w:r>
      <w:r>
        <w:rPr>
          <w:rFonts w:hint="eastAsia" w:ascii="宋体" w:hAnsi="宋体" w:cs="宋体"/>
          <w:sz w:val="24"/>
          <w:szCs w:val="24"/>
        </w:rPr>
        <w:t>1</w:t>
      </w:r>
      <w:r>
        <w:rPr>
          <w:rFonts w:ascii="宋体" w:hAnsi="宋体" w:cs="宋体"/>
          <w:sz w:val="24"/>
          <w:szCs w:val="24"/>
        </w:rPr>
        <w:t>2月</w:t>
      </w:r>
      <w:r>
        <w:rPr>
          <w:rFonts w:hint="eastAsia" w:ascii="宋体" w:hAnsi="宋体" w:cs="宋体"/>
          <w:sz w:val="24"/>
          <w:szCs w:val="24"/>
        </w:rPr>
        <w:t>3</w:t>
      </w:r>
      <w:r>
        <w:rPr>
          <w:rFonts w:ascii="宋体" w:hAnsi="宋体" w:cs="宋体"/>
          <w:sz w:val="24"/>
          <w:szCs w:val="24"/>
        </w:rPr>
        <w:t>1日前完成</w:t>
      </w:r>
      <w:r>
        <w:rPr>
          <w:rFonts w:hint="eastAsia" w:ascii="宋体" w:hAnsi="宋体" w:cs="宋体"/>
          <w:sz w:val="24"/>
          <w:szCs w:val="24"/>
        </w:rPr>
        <w:t>（具体以合同签订为准）。</w:t>
      </w:r>
    </w:p>
    <w:p>
      <w:pPr>
        <w:spacing w:line="500" w:lineRule="exact"/>
        <w:ind w:firstLine="480" w:firstLineChars="200"/>
        <w:rPr>
          <w:rFonts w:ascii="宋体" w:hAnsi="宋体" w:cs="宋体"/>
          <w:sz w:val="24"/>
          <w:szCs w:val="24"/>
        </w:rPr>
      </w:pPr>
      <w:r>
        <w:rPr>
          <w:rFonts w:hint="eastAsia" w:ascii="宋体" w:hAnsi="宋体" w:cs="宋体"/>
          <w:sz w:val="24"/>
          <w:szCs w:val="24"/>
        </w:rPr>
        <w:t>6、服务地点：重庆</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供应商资格要求</w:t>
      </w:r>
    </w:p>
    <w:p>
      <w:pPr>
        <w:spacing w:line="500" w:lineRule="exact"/>
        <w:ind w:firstLine="480" w:firstLineChars="200"/>
        <w:rPr>
          <w:rFonts w:ascii="宋体" w:hAnsi="宋体" w:cs="宋体"/>
          <w:sz w:val="24"/>
          <w:szCs w:val="24"/>
        </w:rPr>
      </w:pPr>
      <w:r>
        <w:rPr>
          <w:rFonts w:hint="eastAsia" w:ascii="宋体" w:hAnsi="宋体" w:cs="宋体"/>
          <w:sz w:val="24"/>
          <w:szCs w:val="24"/>
        </w:rPr>
        <w:t>1、具有有效的营业执照或者事业单位法人证书；</w:t>
      </w:r>
    </w:p>
    <w:p>
      <w:pPr>
        <w:spacing w:line="50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、具有收费公路运营企业二级及以上安全生产标准化建设评价机构资质。</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报价要求</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1、报价方式：总价。（在合同范围内，合同总价不随国家政策调整或法规、标准及市场等任何因素的变化而进行调整。）</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2、报价范围：供应商所填报价包括为实施和完成合同所需工作费用，以及合同明示或暗示的所有责任、义务和一般风险。</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3、报价原则：供应商按照本询价采购文件、国家有关标准规范结合本项目特点，根据自身的经营决策、企业实力和市场行情自主报价，执行总价包干使用。超过最高限价按废标处理。</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评审方式和标准</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1、评审方式</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综合评分法。满分100分，采购人对已入围评审的报名供应商的响应文件和报价进行评分，得分最高的供应商为成交供应商；未入围的报名供应商不参与评审。当供应商出现评分相同的情况时，选择报价较低的成为成交供应商。</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2、评审标准</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202"/>
        <w:gridCol w:w="851"/>
        <w:gridCol w:w="479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07" w:type="dxa"/>
            <w:vAlign w:val="center"/>
          </w:tcPr>
          <w:p>
            <w:pPr>
              <w:spacing w:line="440" w:lineRule="exact"/>
              <w:jc w:val="center"/>
              <w:rPr>
                <w:rFonts w:ascii="宋体" w:cs="宋体"/>
                <w:b/>
                <w:sz w:val="24"/>
                <w:szCs w:val="24"/>
              </w:rPr>
            </w:pPr>
            <w:r>
              <w:rPr>
                <w:rFonts w:hint="eastAsia" w:ascii="宋体" w:hAnsi="宋体" w:cs="宋体"/>
                <w:b/>
                <w:sz w:val="24"/>
                <w:szCs w:val="24"/>
              </w:rPr>
              <w:t>序号</w:t>
            </w:r>
          </w:p>
        </w:tc>
        <w:tc>
          <w:tcPr>
            <w:tcW w:w="1202" w:type="dxa"/>
            <w:vAlign w:val="center"/>
          </w:tcPr>
          <w:p>
            <w:pPr>
              <w:spacing w:line="440" w:lineRule="exact"/>
              <w:jc w:val="center"/>
              <w:rPr>
                <w:rFonts w:ascii="宋体" w:cs="宋体"/>
                <w:b/>
                <w:sz w:val="24"/>
                <w:szCs w:val="24"/>
              </w:rPr>
            </w:pPr>
            <w:r>
              <w:rPr>
                <w:rFonts w:hint="eastAsia" w:ascii="宋体" w:hAnsi="宋体" w:cs="宋体"/>
                <w:b/>
                <w:sz w:val="24"/>
                <w:szCs w:val="24"/>
              </w:rPr>
              <w:t>评分因素</w:t>
            </w:r>
          </w:p>
        </w:tc>
        <w:tc>
          <w:tcPr>
            <w:tcW w:w="851" w:type="dxa"/>
            <w:vAlign w:val="center"/>
          </w:tcPr>
          <w:p>
            <w:pPr>
              <w:spacing w:line="440" w:lineRule="exact"/>
              <w:jc w:val="center"/>
              <w:rPr>
                <w:rFonts w:ascii="宋体" w:cs="宋体"/>
                <w:b/>
                <w:sz w:val="24"/>
                <w:szCs w:val="24"/>
              </w:rPr>
            </w:pPr>
            <w:r>
              <w:rPr>
                <w:rFonts w:hint="eastAsia" w:ascii="宋体" w:hAnsi="宋体" w:cs="宋体"/>
                <w:b/>
                <w:sz w:val="24"/>
                <w:szCs w:val="24"/>
              </w:rPr>
              <w:t>分值</w:t>
            </w:r>
          </w:p>
        </w:tc>
        <w:tc>
          <w:tcPr>
            <w:tcW w:w="4796" w:type="dxa"/>
            <w:vAlign w:val="center"/>
          </w:tcPr>
          <w:p>
            <w:pPr>
              <w:spacing w:line="440" w:lineRule="exact"/>
              <w:jc w:val="center"/>
              <w:rPr>
                <w:rFonts w:ascii="宋体" w:cs="宋体"/>
                <w:b/>
                <w:sz w:val="24"/>
                <w:szCs w:val="24"/>
              </w:rPr>
            </w:pPr>
            <w:r>
              <w:rPr>
                <w:rFonts w:hint="eastAsia" w:ascii="宋体" w:hAnsi="宋体" w:cs="宋体"/>
                <w:b/>
                <w:sz w:val="24"/>
                <w:szCs w:val="24"/>
              </w:rPr>
              <w:t>评分标准</w:t>
            </w:r>
          </w:p>
        </w:tc>
        <w:tc>
          <w:tcPr>
            <w:tcW w:w="1724" w:type="dxa"/>
            <w:vAlign w:val="center"/>
          </w:tcPr>
          <w:p>
            <w:pPr>
              <w:pStyle w:val="17"/>
              <w:spacing w:before="0" w:after="0" w:line="440" w:lineRule="exact"/>
              <w:rPr>
                <w:rFonts w:ascii="宋体" w:hAnsi="宋体" w:eastAsia="宋体" w:cs="宋体"/>
                <w:szCs w:val="24"/>
              </w:rPr>
            </w:pPr>
            <w:r>
              <w:rPr>
                <w:rFonts w:hint="eastAsia" w:ascii="宋体" w:hAnsi="宋体" w:eastAsia="宋体" w:cs="宋体"/>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607" w:type="dxa"/>
            <w:vAlign w:val="center"/>
          </w:tcPr>
          <w:p>
            <w:pPr>
              <w:spacing w:line="360" w:lineRule="exact"/>
              <w:jc w:val="center"/>
              <w:rPr>
                <w:rFonts w:ascii="宋体" w:cs="方正仿宋_GBK"/>
                <w:color w:val="000000"/>
                <w:sz w:val="24"/>
                <w:szCs w:val="24"/>
              </w:rPr>
            </w:pPr>
            <w:r>
              <w:rPr>
                <w:rFonts w:ascii="宋体" w:hAnsi="宋体" w:cs="方正仿宋_GBK"/>
                <w:color w:val="000000"/>
                <w:sz w:val="24"/>
                <w:szCs w:val="24"/>
              </w:rPr>
              <w:t>1</w:t>
            </w:r>
          </w:p>
        </w:tc>
        <w:tc>
          <w:tcPr>
            <w:tcW w:w="1202" w:type="dxa"/>
            <w:vAlign w:val="center"/>
          </w:tcPr>
          <w:p>
            <w:pPr>
              <w:spacing w:line="360" w:lineRule="exact"/>
              <w:rPr>
                <w:rFonts w:ascii="宋体" w:cs="方正仿宋_GBK"/>
                <w:color w:val="000000"/>
                <w:sz w:val="24"/>
                <w:szCs w:val="24"/>
              </w:rPr>
            </w:pPr>
            <w:r>
              <w:rPr>
                <w:rFonts w:hint="eastAsia" w:ascii="宋体" w:hAnsi="宋体" w:cs="方正仿宋_GBK"/>
                <w:color w:val="000000"/>
                <w:sz w:val="24"/>
                <w:szCs w:val="24"/>
              </w:rPr>
              <w:t>投标报价</w:t>
            </w:r>
          </w:p>
        </w:tc>
        <w:tc>
          <w:tcPr>
            <w:tcW w:w="851" w:type="dxa"/>
            <w:vAlign w:val="center"/>
          </w:tcPr>
          <w:p>
            <w:pPr>
              <w:spacing w:line="360" w:lineRule="exact"/>
              <w:jc w:val="center"/>
              <w:rPr>
                <w:rFonts w:hint="default" w:ascii="宋体" w:eastAsia="宋体" w:cs="方正仿宋_GBK"/>
                <w:color w:val="000000"/>
                <w:sz w:val="24"/>
                <w:szCs w:val="24"/>
                <w:lang w:val="en-US" w:eastAsia="zh-CN"/>
              </w:rPr>
            </w:pPr>
            <w:r>
              <w:rPr>
                <w:rFonts w:hint="eastAsia" w:ascii="宋体" w:hAnsi="宋体" w:cs="方正仿宋_GBK"/>
                <w:color w:val="000000"/>
                <w:sz w:val="24"/>
                <w:szCs w:val="24"/>
                <w:lang w:val="en-US" w:eastAsia="zh-CN"/>
              </w:rPr>
              <w:t>50</w:t>
            </w:r>
          </w:p>
        </w:tc>
        <w:tc>
          <w:tcPr>
            <w:tcW w:w="4796" w:type="dxa"/>
            <w:vAlign w:val="center"/>
          </w:tcPr>
          <w:p>
            <w:pPr>
              <w:widowControl/>
              <w:spacing w:line="300" w:lineRule="exact"/>
              <w:outlineLvl w:val="2"/>
              <w:rPr>
                <w:rFonts w:ascii="宋体" w:cs="方正仿宋_GBK"/>
                <w:color w:val="000000"/>
                <w:sz w:val="24"/>
                <w:szCs w:val="24"/>
              </w:rPr>
            </w:pPr>
            <w:r>
              <w:rPr>
                <w:rFonts w:hint="eastAsia" w:ascii="宋体" w:hAnsi="宋体" w:cs="宋体"/>
                <w:color w:val="000000"/>
                <w:sz w:val="24"/>
                <w:szCs w:val="24"/>
              </w:rPr>
              <w:t>有效的投标报价中的最低价为评标基准价，按照下列公式计算每个投标人的投标价格得分。投标报价得分＝（评标基准价/投标报价）×价格权重×100。</w:t>
            </w:r>
          </w:p>
        </w:tc>
        <w:tc>
          <w:tcPr>
            <w:tcW w:w="1724" w:type="dxa"/>
            <w:vAlign w:val="center"/>
          </w:tcPr>
          <w:p>
            <w:pPr>
              <w:spacing w:line="360" w:lineRule="exact"/>
              <w:rPr>
                <w:rFonts w:ascii="宋体" w:cs="方正仿宋_GBK"/>
                <w:color w:val="000000"/>
                <w:sz w:val="24"/>
                <w:szCs w:val="24"/>
              </w:rPr>
            </w:pPr>
            <w:r>
              <w:rPr>
                <w:rFonts w:hint="eastAsia" w:ascii="宋体" w:hAnsi="宋体" w:cs="宋体"/>
                <w:color w:val="000000"/>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607" w:type="dxa"/>
            <w:vAlign w:val="center"/>
          </w:tcPr>
          <w:p>
            <w:pPr>
              <w:widowControl/>
              <w:spacing w:line="300" w:lineRule="exact"/>
              <w:jc w:val="center"/>
              <w:outlineLvl w:val="2"/>
              <w:rPr>
                <w:rFonts w:ascii="宋体" w:cs="宋体"/>
                <w:color w:val="000000"/>
                <w:sz w:val="24"/>
                <w:szCs w:val="24"/>
              </w:rPr>
            </w:pPr>
            <w:r>
              <w:rPr>
                <w:rFonts w:ascii="宋体" w:hAnsi="宋体" w:cs="宋体"/>
                <w:color w:val="000000"/>
                <w:sz w:val="24"/>
                <w:szCs w:val="24"/>
              </w:rPr>
              <w:t>2</w:t>
            </w:r>
          </w:p>
        </w:tc>
        <w:tc>
          <w:tcPr>
            <w:tcW w:w="1202" w:type="dxa"/>
            <w:vAlign w:val="center"/>
          </w:tcPr>
          <w:p>
            <w:pPr>
              <w:widowControl/>
              <w:spacing w:line="300" w:lineRule="exact"/>
              <w:outlineLvl w:val="2"/>
              <w:rPr>
                <w:rFonts w:ascii="宋体" w:cs="宋体"/>
                <w:color w:val="000000"/>
                <w:sz w:val="24"/>
                <w:szCs w:val="24"/>
              </w:rPr>
            </w:pPr>
            <w:r>
              <w:rPr>
                <w:rFonts w:hint="eastAsia" w:ascii="宋体" w:hAnsi="宋体" w:cs="宋体"/>
                <w:color w:val="000000"/>
                <w:sz w:val="24"/>
                <w:szCs w:val="24"/>
                <w:lang w:val="en-US" w:eastAsia="zh-CN"/>
              </w:rPr>
              <w:t>技术</w:t>
            </w:r>
            <w:r>
              <w:rPr>
                <w:rFonts w:hint="eastAsia" w:ascii="宋体" w:hAnsi="宋体" w:cs="宋体"/>
                <w:color w:val="000000"/>
                <w:sz w:val="24"/>
                <w:szCs w:val="24"/>
              </w:rPr>
              <w:t>部分</w:t>
            </w:r>
          </w:p>
        </w:tc>
        <w:tc>
          <w:tcPr>
            <w:tcW w:w="851" w:type="dxa"/>
            <w:vAlign w:val="center"/>
          </w:tcPr>
          <w:p>
            <w:pPr>
              <w:widowControl/>
              <w:spacing w:line="300" w:lineRule="exact"/>
              <w:jc w:val="center"/>
              <w:outlineLvl w:val="2"/>
              <w:rPr>
                <w:rFonts w:ascii="宋体" w:cs="宋体"/>
                <w:color w:val="000000"/>
                <w:sz w:val="24"/>
                <w:szCs w:val="24"/>
              </w:rPr>
            </w:pPr>
            <w:r>
              <w:rPr>
                <w:rFonts w:hint="eastAsia" w:ascii="宋体" w:hAnsi="宋体" w:cs="宋体"/>
                <w:color w:val="000000"/>
                <w:sz w:val="24"/>
                <w:szCs w:val="24"/>
                <w:lang w:val="en-US" w:eastAsia="zh-CN"/>
              </w:rPr>
              <w:t>2</w:t>
            </w:r>
            <w:r>
              <w:rPr>
                <w:rFonts w:ascii="宋体" w:hAnsi="宋体" w:cs="宋体"/>
                <w:color w:val="000000"/>
                <w:sz w:val="24"/>
                <w:szCs w:val="24"/>
              </w:rPr>
              <w:t>0</w:t>
            </w:r>
          </w:p>
        </w:tc>
        <w:tc>
          <w:tcPr>
            <w:tcW w:w="4796" w:type="dxa"/>
            <w:vAlign w:val="center"/>
          </w:tcPr>
          <w:p>
            <w:pPr>
              <w:widowControl/>
              <w:spacing w:line="300" w:lineRule="exact"/>
              <w:outlineLvl w:val="2"/>
              <w:rPr>
                <w:rFonts w:ascii="宋体" w:hAnsi="宋体" w:cs="宋体"/>
                <w:color w:val="000000"/>
                <w:sz w:val="24"/>
                <w:szCs w:val="24"/>
              </w:rPr>
            </w:pPr>
            <w:r>
              <w:rPr>
                <w:rFonts w:hint="eastAsia" w:ascii="宋体" w:hAnsi="宋体" w:cs="宋体"/>
                <w:color w:val="000000"/>
                <w:sz w:val="24"/>
                <w:szCs w:val="24"/>
              </w:rPr>
              <w:t>服务实施方案（满分为</w:t>
            </w:r>
            <w:r>
              <w:rPr>
                <w:rFonts w:hint="eastAsia" w:ascii="宋体" w:hAnsi="宋体" w:cs="宋体"/>
                <w:color w:val="000000"/>
                <w:sz w:val="24"/>
                <w:szCs w:val="24"/>
                <w:lang w:val="en-US" w:eastAsia="zh-CN"/>
              </w:rPr>
              <w:t>2</w:t>
            </w:r>
            <w:r>
              <w:rPr>
                <w:rFonts w:hint="eastAsia" w:ascii="宋体" w:hAnsi="宋体" w:cs="宋体"/>
                <w:color w:val="000000"/>
                <w:sz w:val="24"/>
                <w:szCs w:val="24"/>
              </w:rPr>
              <w:t>0分）</w:t>
            </w:r>
          </w:p>
          <w:p>
            <w:pPr>
              <w:widowControl/>
              <w:spacing w:line="300" w:lineRule="exact"/>
              <w:outlineLvl w:val="2"/>
              <w:rPr>
                <w:rFonts w:ascii="宋体" w:hAnsi="宋体" w:cs="宋体"/>
                <w:color w:val="000000"/>
                <w:sz w:val="24"/>
                <w:szCs w:val="24"/>
              </w:rPr>
            </w:pPr>
            <w:r>
              <w:rPr>
                <w:rFonts w:hint="eastAsia" w:ascii="宋体" w:hAnsi="宋体" w:cs="宋体"/>
                <w:color w:val="000000"/>
                <w:sz w:val="24"/>
                <w:szCs w:val="24"/>
              </w:rPr>
              <w:t>投标人提供涵盖“采购内容”的实施方案，根据采购人的需求从工作目标、工作流程、人力配置、进度安排等方面进行策划，优秀得</w:t>
            </w:r>
            <w:r>
              <w:rPr>
                <w:rFonts w:hint="eastAsia" w:ascii="宋体" w:hAnsi="宋体" w:cs="宋体"/>
                <w:color w:val="000000"/>
                <w:sz w:val="24"/>
                <w:szCs w:val="24"/>
                <w:lang w:val="en-US" w:eastAsia="zh-CN"/>
              </w:rPr>
              <w:t>16</w:t>
            </w:r>
            <w:r>
              <w:rPr>
                <w:rFonts w:hint="eastAsia" w:ascii="宋体" w:hAnsi="宋体" w:cs="宋体"/>
                <w:color w:val="000000"/>
                <w:sz w:val="24"/>
                <w:szCs w:val="24"/>
              </w:rPr>
              <w:t>-</w:t>
            </w:r>
            <w:r>
              <w:rPr>
                <w:rFonts w:hint="eastAsia" w:ascii="宋体" w:hAnsi="宋体" w:cs="宋体"/>
                <w:color w:val="000000"/>
                <w:sz w:val="24"/>
                <w:szCs w:val="24"/>
                <w:lang w:val="en-US" w:eastAsia="zh-CN"/>
              </w:rPr>
              <w:t>2</w:t>
            </w:r>
            <w:r>
              <w:rPr>
                <w:rFonts w:hint="eastAsia" w:ascii="宋体" w:hAnsi="宋体" w:cs="宋体"/>
                <w:color w:val="000000"/>
                <w:sz w:val="24"/>
                <w:szCs w:val="24"/>
              </w:rPr>
              <w:t>0分，中等得11-</w:t>
            </w:r>
            <w:r>
              <w:rPr>
                <w:rFonts w:hint="eastAsia" w:ascii="宋体" w:hAnsi="宋体" w:cs="宋体"/>
                <w:color w:val="000000"/>
                <w:sz w:val="24"/>
                <w:szCs w:val="24"/>
                <w:lang w:val="en-US" w:eastAsia="zh-CN"/>
              </w:rPr>
              <w:t>15</w:t>
            </w:r>
            <w:r>
              <w:rPr>
                <w:rFonts w:hint="eastAsia" w:ascii="宋体" w:hAnsi="宋体" w:cs="宋体"/>
                <w:color w:val="000000"/>
                <w:sz w:val="24"/>
                <w:szCs w:val="24"/>
              </w:rPr>
              <w:t>分，一般得1-10分，差或不可行得0分。</w:t>
            </w:r>
          </w:p>
        </w:tc>
        <w:tc>
          <w:tcPr>
            <w:tcW w:w="1724" w:type="dxa"/>
            <w:vAlign w:val="center"/>
          </w:tcPr>
          <w:p>
            <w:pPr>
              <w:widowControl/>
              <w:spacing w:line="300" w:lineRule="exact"/>
              <w:outlineLvl w:val="2"/>
              <w:rPr>
                <w:rFonts w:ascii="宋体" w:cs="宋体"/>
                <w:color w:val="000000"/>
                <w:sz w:val="24"/>
                <w:szCs w:val="24"/>
              </w:rPr>
            </w:pPr>
            <w:r>
              <w:rPr>
                <w:rFonts w:hint="eastAsia" w:ascii="宋体" w:hAnsi="宋体" w:cs="宋体"/>
                <w:color w:val="000000"/>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07" w:type="dxa"/>
            <w:vMerge w:val="restart"/>
            <w:vAlign w:val="center"/>
          </w:tcPr>
          <w:p>
            <w:pPr>
              <w:widowControl/>
              <w:spacing w:line="300" w:lineRule="exact"/>
              <w:jc w:val="center"/>
              <w:outlineLvl w:val="2"/>
              <w:rPr>
                <w:rFonts w:ascii="宋体" w:cs="宋体"/>
                <w:color w:val="000000"/>
                <w:sz w:val="24"/>
                <w:szCs w:val="24"/>
              </w:rPr>
            </w:pPr>
            <w:r>
              <w:rPr>
                <w:rFonts w:ascii="宋体" w:hAnsi="宋体" w:cs="宋体"/>
                <w:color w:val="000000"/>
                <w:sz w:val="24"/>
                <w:szCs w:val="24"/>
              </w:rPr>
              <w:t>3</w:t>
            </w:r>
          </w:p>
        </w:tc>
        <w:tc>
          <w:tcPr>
            <w:tcW w:w="1202" w:type="dxa"/>
            <w:vMerge w:val="restart"/>
            <w:vAlign w:val="center"/>
          </w:tcPr>
          <w:p>
            <w:pPr>
              <w:widowControl/>
              <w:spacing w:line="300" w:lineRule="exact"/>
              <w:outlineLvl w:val="2"/>
              <w:rPr>
                <w:rFonts w:ascii="宋体" w:cs="宋体"/>
                <w:color w:val="000000"/>
                <w:sz w:val="24"/>
                <w:szCs w:val="24"/>
              </w:rPr>
            </w:pPr>
            <w:r>
              <w:rPr>
                <w:rFonts w:hint="eastAsia" w:ascii="宋体" w:hAnsi="宋体" w:cs="宋体"/>
                <w:color w:val="000000"/>
                <w:sz w:val="24"/>
                <w:szCs w:val="24"/>
              </w:rPr>
              <w:t>商务部分</w:t>
            </w:r>
          </w:p>
        </w:tc>
        <w:tc>
          <w:tcPr>
            <w:tcW w:w="851" w:type="dxa"/>
            <w:vMerge w:val="restart"/>
            <w:vAlign w:val="center"/>
          </w:tcPr>
          <w:p>
            <w:pPr>
              <w:widowControl/>
              <w:spacing w:line="300" w:lineRule="exact"/>
              <w:jc w:val="center"/>
              <w:outlineLvl w:val="2"/>
              <w:rPr>
                <w:rFonts w:ascii="宋体" w:cs="宋体"/>
                <w:color w:val="000000"/>
                <w:sz w:val="24"/>
                <w:szCs w:val="24"/>
              </w:rPr>
            </w:pPr>
            <w:r>
              <w:rPr>
                <w:rFonts w:hint="eastAsia" w:ascii="宋体" w:hAnsi="宋体" w:cs="宋体"/>
                <w:color w:val="000000"/>
                <w:sz w:val="24"/>
                <w:szCs w:val="24"/>
                <w:lang w:val="en-US" w:eastAsia="zh-CN"/>
              </w:rPr>
              <w:t>3</w:t>
            </w:r>
            <w:r>
              <w:rPr>
                <w:rFonts w:ascii="宋体" w:cs="宋体"/>
                <w:color w:val="000000"/>
                <w:sz w:val="24"/>
                <w:szCs w:val="24"/>
              </w:rPr>
              <w:t>0</w:t>
            </w:r>
          </w:p>
        </w:tc>
        <w:tc>
          <w:tcPr>
            <w:tcW w:w="4796"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1、</w:t>
            </w:r>
            <w:r>
              <w:rPr>
                <w:rFonts w:ascii="宋体" w:cs="宋体"/>
                <w:color w:val="000000"/>
                <w:sz w:val="24"/>
                <w:szCs w:val="24"/>
              </w:rPr>
              <w:t>人员配置</w:t>
            </w:r>
            <w:r>
              <w:rPr>
                <w:rFonts w:hint="eastAsia" w:ascii="宋体" w:cs="宋体"/>
                <w:color w:val="000000"/>
                <w:sz w:val="24"/>
                <w:szCs w:val="24"/>
              </w:rPr>
              <w:t>（满分为</w:t>
            </w:r>
            <w:r>
              <w:rPr>
                <w:rFonts w:ascii="宋体" w:cs="宋体"/>
                <w:color w:val="000000"/>
                <w:sz w:val="24"/>
                <w:szCs w:val="24"/>
              </w:rPr>
              <w:t>15分</w:t>
            </w:r>
            <w:r>
              <w:rPr>
                <w:rFonts w:hint="eastAsia" w:ascii="宋体" w:cs="宋体"/>
                <w:color w:val="000000"/>
                <w:sz w:val="24"/>
                <w:szCs w:val="24"/>
              </w:rPr>
              <w:t>）</w:t>
            </w:r>
          </w:p>
          <w:p>
            <w:pPr>
              <w:widowControl/>
              <w:spacing w:line="300" w:lineRule="exact"/>
              <w:ind w:firstLine="480" w:firstLineChars="200"/>
              <w:outlineLvl w:val="2"/>
              <w:rPr>
                <w:rFonts w:ascii="宋体" w:cs="宋体"/>
                <w:color w:val="000000"/>
                <w:sz w:val="24"/>
                <w:szCs w:val="24"/>
              </w:rPr>
            </w:pPr>
            <w:r>
              <w:rPr>
                <w:rFonts w:ascii="宋体" w:cs="宋体"/>
                <w:color w:val="000000"/>
                <w:sz w:val="24"/>
                <w:szCs w:val="24"/>
              </w:rPr>
              <w:t>项目负责人</w:t>
            </w:r>
            <w:r>
              <w:rPr>
                <w:rFonts w:hint="eastAsia" w:ascii="宋体" w:cs="宋体"/>
                <w:color w:val="000000"/>
                <w:sz w:val="24"/>
                <w:szCs w:val="24"/>
              </w:rPr>
              <w:t>1人，项目组成员至少</w:t>
            </w:r>
            <w:r>
              <w:rPr>
                <w:rFonts w:ascii="宋体" w:cs="宋体"/>
                <w:color w:val="000000"/>
                <w:sz w:val="24"/>
                <w:szCs w:val="24"/>
              </w:rPr>
              <w:t>3</w:t>
            </w:r>
            <w:r>
              <w:rPr>
                <w:rFonts w:hint="eastAsia" w:ascii="宋体" w:cs="宋体"/>
                <w:color w:val="000000"/>
                <w:sz w:val="24"/>
                <w:szCs w:val="24"/>
              </w:rPr>
              <w:t>名，均需具有收费公路运营企业安全生产标准化评审员资质，其中：</w:t>
            </w:r>
          </w:p>
          <w:p>
            <w:pPr>
              <w:widowControl/>
              <w:spacing w:line="300" w:lineRule="exact"/>
              <w:outlineLvl w:val="2"/>
              <w:rPr>
                <w:rFonts w:ascii="宋体" w:cs="宋体"/>
                <w:color w:val="000000"/>
                <w:sz w:val="24"/>
                <w:szCs w:val="24"/>
              </w:rPr>
            </w:pPr>
            <w:r>
              <w:rPr>
                <w:rFonts w:hint="eastAsia" w:ascii="宋体" w:cs="宋体"/>
                <w:color w:val="000000"/>
                <w:sz w:val="24"/>
                <w:szCs w:val="24"/>
              </w:rPr>
              <w:t>（1）项目负责人同时具有注册安全工程师和高级工程师证书的，得</w:t>
            </w:r>
            <w:r>
              <w:rPr>
                <w:rFonts w:ascii="宋体" w:cs="宋体"/>
                <w:color w:val="000000"/>
                <w:sz w:val="24"/>
                <w:szCs w:val="24"/>
              </w:rPr>
              <w:t>6</w:t>
            </w:r>
            <w:r>
              <w:rPr>
                <w:rFonts w:hint="eastAsia" w:ascii="宋体" w:cs="宋体"/>
                <w:color w:val="000000"/>
                <w:sz w:val="24"/>
                <w:szCs w:val="24"/>
              </w:rPr>
              <w:t>分；</w:t>
            </w:r>
          </w:p>
          <w:p>
            <w:pPr>
              <w:widowControl/>
              <w:spacing w:line="300" w:lineRule="exact"/>
              <w:outlineLvl w:val="2"/>
              <w:rPr>
                <w:rFonts w:ascii="宋体" w:cs="宋体"/>
                <w:color w:val="000000"/>
                <w:sz w:val="24"/>
                <w:szCs w:val="24"/>
              </w:rPr>
            </w:pPr>
            <w:r>
              <w:rPr>
                <w:rFonts w:hint="eastAsia" w:ascii="宋体" w:cs="宋体"/>
                <w:color w:val="000000"/>
                <w:sz w:val="24"/>
                <w:szCs w:val="24"/>
              </w:rPr>
              <w:t>（2）项目组成员中，具有高级工程师或一级建造师或注册安全工程师的，每名得3分，最高得9分。</w:t>
            </w:r>
          </w:p>
          <w:p>
            <w:pPr>
              <w:widowControl/>
              <w:spacing w:line="300" w:lineRule="exact"/>
              <w:ind w:firstLine="480" w:firstLineChars="200"/>
              <w:outlineLvl w:val="2"/>
              <w:rPr>
                <w:rFonts w:ascii="宋体" w:cs="宋体"/>
                <w:color w:val="000000"/>
                <w:sz w:val="24"/>
                <w:szCs w:val="24"/>
              </w:rPr>
            </w:pPr>
            <w:r>
              <w:rPr>
                <w:rFonts w:hint="eastAsia" w:ascii="宋体" w:cs="宋体"/>
                <w:color w:val="000000"/>
                <w:sz w:val="24"/>
                <w:szCs w:val="24"/>
              </w:rPr>
              <w:t>同一人不同资格证书不重复计分，按对应的最高分值进行计分。</w:t>
            </w:r>
          </w:p>
        </w:tc>
        <w:tc>
          <w:tcPr>
            <w:tcW w:w="1724"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提供证书复印件和交通运输企业安全标准化建设信用信息管理系统截图，并加盖供应商公章。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07" w:type="dxa"/>
            <w:vMerge w:val="continue"/>
            <w:vAlign w:val="center"/>
          </w:tcPr>
          <w:p>
            <w:pPr>
              <w:widowControl/>
              <w:spacing w:line="300" w:lineRule="exact"/>
              <w:jc w:val="center"/>
              <w:outlineLvl w:val="2"/>
              <w:rPr>
                <w:rFonts w:ascii="宋体" w:hAnsi="宋体" w:cs="宋体"/>
                <w:color w:val="000000"/>
                <w:sz w:val="24"/>
                <w:szCs w:val="24"/>
              </w:rPr>
            </w:pPr>
          </w:p>
        </w:tc>
        <w:tc>
          <w:tcPr>
            <w:tcW w:w="1202" w:type="dxa"/>
            <w:vMerge w:val="continue"/>
            <w:vAlign w:val="center"/>
          </w:tcPr>
          <w:p>
            <w:pPr>
              <w:widowControl/>
              <w:spacing w:line="300" w:lineRule="exact"/>
              <w:outlineLvl w:val="2"/>
              <w:rPr>
                <w:rFonts w:ascii="宋体" w:hAnsi="宋体" w:cs="宋体"/>
                <w:color w:val="000000"/>
                <w:sz w:val="24"/>
                <w:szCs w:val="24"/>
              </w:rPr>
            </w:pPr>
          </w:p>
        </w:tc>
        <w:tc>
          <w:tcPr>
            <w:tcW w:w="851" w:type="dxa"/>
            <w:vMerge w:val="continue"/>
            <w:vAlign w:val="center"/>
          </w:tcPr>
          <w:p>
            <w:pPr>
              <w:widowControl/>
              <w:spacing w:line="300" w:lineRule="exact"/>
              <w:jc w:val="center"/>
              <w:outlineLvl w:val="2"/>
              <w:rPr>
                <w:rFonts w:ascii="宋体" w:hAnsi="宋体" w:cs="宋体"/>
                <w:color w:val="000000"/>
                <w:sz w:val="24"/>
                <w:szCs w:val="24"/>
              </w:rPr>
            </w:pPr>
          </w:p>
        </w:tc>
        <w:tc>
          <w:tcPr>
            <w:tcW w:w="4796"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2、</w:t>
            </w:r>
            <w:r>
              <w:rPr>
                <w:rFonts w:ascii="宋体" w:cs="宋体"/>
                <w:color w:val="000000"/>
                <w:sz w:val="24"/>
                <w:szCs w:val="24"/>
              </w:rPr>
              <w:t>业绩</w:t>
            </w:r>
            <w:r>
              <w:rPr>
                <w:rFonts w:hint="eastAsia" w:ascii="宋体" w:cs="宋体"/>
                <w:color w:val="000000"/>
                <w:sz w:val="24"/>
                <w:szCs w:val="24"/>
              </w:rPr>
              <w:t>（满分为</w:t>
            </w:r>
            <w:r>
              <w:rPr>
                <w:rFonts w:hint="eastAsia" w:ascii="宋体" w:cs="宋体"/>
                <w:color w:val="000000"/>
                <w:sz w:val="24"/>
                <w:szCs w:val="24"/>
                <w:lang w:val="en-US" w:eastAsia="zh-CN"/>
              </w:rPr>
              <w:t>1</w:t>
            </w:r>
            <w:r>
              <w:rPr>
                <w:rFonts w:ascii="宋体" w:cs="宋体"/>
                <w:color w:val="000000"/>
                <w:sz w:val="24"/>
                <w:szCs w:val="24"/>
              </w:rPr>
              <w:t>0分</w:t>
            </w:r>
            <w:r>
              <w:rPr>
                <w:rFonts w:hint="eastAsia" w:ascii="宋体" w:cs="宋体"/>
                <w:color w:val="000000"/>
                <w:sz w:val="24"/>
                <w:szCs w:val="24"/>
              </w:rPr>
              <w:t>）</w:t>
            </w:r>
          </w:p>
          <w:p>
            <w:pPr>
              <w:widowControl/>
              <w:spacing w:line="300" w:lineRule="exact"/>
              <w:ind w:firstLine="480" w:firstLineChars="200"/>
              <w:outlineLvl w:val="2"/>
              <w:rPr>
                <w:rFonts w:hint="eastAsia" w:ascii="宋体" w:cs="宋体"/>
                <w:color w:val="000000"/>
                <w:sz w:val="24"/>
                <w:szCs w:val="24"/>
              </w:rPr>
            </w:pPr>
            <w:r>
              <w:rPr>
                <w:rFonts w:hint="eastAsia" w:ascii="宋体" w:cs="宋体"/>
                <w:color w:val="000000"/>
                <w:sz w:val="24"/>
                <w:szCs w:val="24"/>
              </w:rPr>
              <w:t>投标人自201</w:t>
            </w:r>
            <w:r>
              <w:rPr>
                <w:rFonts w:ascii="宋体" w:cs="宋体"/>
                <w:color w:val="000000"/>
                <w:sz w:val="24"/>
                <w:szCs w:val="24"/>
              </w:rPr>
              <w:t>9</w:t>
            </w:r>
            <w:r>
              <w:rPr>
                <w:rFonts w:hint="eastAsia" w:ascii="宋体" w:cs="宋体"/>
                <w:color w:val="000000"/>
                <w:sz w:val="24"/>
                <w:szCs w:val="24"/>
              </w:rPr>
              <w:t>年1月1日（以合同签订日期为准）以来：</w:t>
            </w:r>
          </w:p>
          <w:p>
            <w:pPr>
              <w:pStyle w:val="2"/>
              <w:rPr>
                <w:rFonts w:ascii="宋体" w:cs="宋体"/>
                <w:color w:val="000000"/>
                <w:sz w:val="24"/>
                <w:szCs w:val="24"/>
              </w:rPr>
            </w:pPr>
            <w:r>
              <w:rPr>
                <w:rFonts w:hint="eastAsia" w:ascii="宋体" w:cs="宋体"/>
                <w:color w:val="000000"/>
                <w:sz w:val="24"/>
                <w:szCs w:val="24"/>
              </w:rPr>
              <w:t>（1）具有高速公路企业安全生产标准化</w:t>
            </w:r>
            <w:r>
              <w:rPr>
                <w:rFonts w:hint="eastAsia" w:ascii="宋体" w:cs="宋体"/>
                <w:color w:val="000000"/>
                <w:sz w:val="24"/>
                <w:szCs w:val="24"/>
                <w:lang w:val="en-US" w:eastAsia="zh-CN"/>
              </w:rPr>
              <w:t>或</w:t>
            </w:r>
            <w:r>
              <w:rPr>
                <w:rFonts w:hint="eastAsia" w:ascii="宋体" w:cs="宋体"/>
                <w:color w:val="000000"/>
                <w:sz w:val="24"/>
                <w:szCs w:val="24"/>
              </w:rPr>
              <w:t>安全技术服务</w:t>
            </w:r>
            <w:r>
              <w:rPr>
                <w:rFonts w:hint="eastAsia" w:ascii="宋体" w:cs="宋体"/>
                <w:color w:val="000000"/>
                <w:sz w:val="24"/>
                <w:szCs w:val="24"/>
                <w:lang w:eastAsia="zh-CN"/>
              </w:rPr>
              <w:t>（</w:t>
            </w:r>
            <w:r>
              <w:rPr>
                <w:rFonts w:hint="eastAsia" w:ascii="宋体" w:cs="宋体"/>
                <w:color w:val="000000"/>
                <w:sz w:val="24"/>
                <w:szCs w:val="24"/>
              </w:rPr>
              <w:t>如安全培训、安全风险评估、应急预案技术服务等</w:t>
            </w:r>
            <w:r>
              <w:rPr>
                <w:rFonts w:hint="eastAsia" w:ascii="宋体" w:cs="宋体"/>
                <w:color w:val="000000"/>
                <w:sz w:val="24"/>
                <w:szCs w:val="24"/>
                <w:lang w:eastAsia="zh-CN"/>
              </w:rPr>
              <w:t>）</w:t>
            </w:r>
            <w:r>
              <w:rPr>
                <w:rFonts w:hint="eastAsia" w:ascii="宋体" w:cs="宋体"/>
                <w:color w:val="000000"/>
                <w:sz w:val="24"/>
                <w:szCs w:val="24"/>
              </w:rPr>
              <w:t>业绩的，每个得</w:t>
            </w:r>
            <w:r>
              <w:rPr>
                <w:rFonts w:hint="eastAsia" w:ascii="宋体" w:cs="宋体"/>
                <w:color w:val="000000"/>
                <w:sz w:val="24"/>
                <w:szCs w:val="24"/>
                <w:lang w:val="en-US" w:eastAsia="zh-CN"/>
              </w:rPr>
              <w:t>2</w:t>
            </w:r>
            <w:r>
              <w:rPr>
                <w:rFonts w:hint="eastAsia" w:ascii="宋体" w:cs="宋体"/>
                <w:color w:val="000000"/>
                <w:sz w:val="24"/>
                <w:szCs w:val="24"/>
              </w:rPr>
              <w:t>分，最高得</w:t>
            </w:r>
            <w:r>
              <w:rPr>
                <w:rFonts w:hint="eastAsia" w:ascii="宋体" w:cs="宋体"/>
                <w:color w:val="000000"/>
                <w:sz w:val="24"/>
                <w:szCs w:val="24"/>
                <w:lang w:val="en-US" w:eastAsia="zh-CN"/>
              </w:rPr>
              <w:t>10</w:t>
            </w:r>
            <w:r>
              <w:rPr>
                <w:rFonts w:hint="eastAsia" w:ascii="宋体" w:cs="宋体"/>
                <w:color w:val="000000"/>
                <w:sz w:val="24"/>
                <w:szCs w:val="24"/>
              </w:rPr>
              <w:t>分；</w:t>
            </w:r>
          </w:p>
        </w:tc>
        <w:tc>
          <w:tcPr>
            <w:tcW w:w="1724"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提供合同复印件，并加盖供应商公章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07" w:type="dxa"/>
            <w:vMerge w:val="continue"/>
            <w:vAlign w:val="center"/>
          </w:tcPr>
          <w:p>
            <w:pPr>
              <w:widowControl/>
              <w:spacing w:line="300" w:lineRule="exact"/>
              <w:jc w:val="center"/>
              <w:outlineLvl w:val="2"/>
              <w:rPr>
                <w:rFonts w:ascii="宋体" w:hAnsi="宋体" w:cs="宋体"/>
                <w:color w:val="000000"/>
                <w:sz w:val="24"/>
                <w:szCs w:val="24"/>
              </w:rPr>
            </w:pPr>
          </w:p>
        </w:tc>
        <w:tc>
          <w:tcPr>
            <w:tcW w:w="1202" w:type="dxa"/>
            <w:vMerge w:val="continue"/>
            <w:vAlign w:val="center"/>
          </w:tcPr>
          <w:p>
            <w:pPr>
              <w:widowControl/>
              <w:spacing w:line="300" w:lineRule="exact"/>
              <w:outlineLvl w:val="2"/>
              <w:rPr>
                <w:rFonts w:ascii="宋体" w:hAnsi="宋体" w:cs="宋体"/>
                <w:color w:val="000000"/>
                <w:sz w:val="24"/>
                <w:szCs w:val="24"/>
              </w:rPr>
            </w:pPr>
          </w:p>
        </w:tc>
        <w:tc>
          <w:tcPr>
            <w:tcW w:w="851" w:type="dxa"/>
            <w:vMerge w:val="continue"/>
            <w:vAlign w:val="center"/>
          </w:tcPr>
          <w:p>
            <w:pPr>
              <w:widowControl/>
              <w:spacing w:line="300" w:lineRule="exact"/>
              <w:jc w:val="center"/>
              <w:outlineLvl w:val="2"/>
              <w:rPr>
                <w:rFonts w:ascii="宋体" w:hAnsi="宋体" w:cs="宋体"/>
                <w:color w:val="000000"/>
                <w:sz w:val="24"/>
                <w:szCs w:val="24"/>
              </w:rPr>
            </w:pPr>
          </w:p>
        </w:tc>
        <w:tc>
          <w:tcPr>
            <w:tcW w:w="4796" w:type="dxa"/>
            <w:vAlign w:val="center"/>
          </w:tcPr>
          <w:p>
            <w:pPr>
              <w:widowControl/>
              <w:spacing w:line="300" w:lineRule="exact"/>
              <w:outlineLvl w:val="2"/>
              <w:rPr>
                <w:rFonts w:ascii="宋体" w:cs="宋体"/>
                <w:color w:val="000000"/>
                <w:sz w:val="24"/>
                <w:szCs w:val="24"/>
              </w:rPr>
            </w:pPr>
            <w:r>
              <w:rPr>
                <w:rFonts w:ascii="宋体" w:cs="宋体"/>
                <w:color w:val="000000"/>
                <w:sz w:val="24"/>
                <w:szCs w:val="24"/>
              </w:rPr>
              <w:t>3</w:t>
            </w:r>
            <w:r>
              <w:rPr>
                <w:rFonts w:hint="eastAsia" w:ascii="宋体" w:cs="宋体"/>
                <w:color w:val="000000"/>
                <w:sz w:val="24"/>
                <w:szCs w:val="24"/>
              </w:rPr>
              <w:t>、</w:t>
            </w:r>
            <w:r>
              <w:rPr>
                <w:rFonts w:ascii="宋体" w:cs="宋体"/>
                <w:color w:val="000000"/>
                <w:sz w:val="24"/>
                <w:szCs w:val="24"/>
              </w:rPr>
              <w:t>本地化服务</w:t>
            </w:r>
            <w:r>
              <w:rPr>
                <w:rFonts w:hint="eastAsia" w:ascii="宋体" w:cs="宋体"/>
                <w:color w:val="000000"/>
                <w:sz w:val="24"/>
                <w:szCs w:val="24"/>
              </w:rPr>
              <w:t>（满分为</w:t>
            </w:r>
            <w:r>
              <w:rPr>
                <w:rFonts w:ascii="宋体" w:cs="宋体"/>
                <w:color w:val="000000"/>
                <w:sz w:val="24"/>
                <w:szCs w:val="24"/>
              </w:rPr>
              <w:t>5分</w:t>
            </w:r>
            <w:r>
              <w:rPr>
                <w:rFonts w:hint="eastAsia" w:ascii="宋体" w:cs="宋体"/>
                <w:color w:val="000000"/>
                <w:sz w:val="24"/>
                <w:szCs w:val="24"/>
              </w:rPr>
              <w:t>）</w:t>
            </w:r>
          </w:p>
          <w:p>
            <w:pPr>
              <w:widowControl/>
              <w:spacing w:line="300" w:lineRule="exact"/>
              <w:outlineLvl w:val="2"/>
              <w:rPr>
                <w:rFonts w:ascii="宋体" w:cs="宋体"/>
                <w:color w:val="000000"/>
                <w:sz w:val="24"/>
                <w:szCs w:val="24"/>
              </w:rPr>
            </w:pPr>
            <w:r>
              <w:rPr>
                <w:rFonts w:hint="eastAsia" w:ascii="宋体" w:cs="宋体"/>
                <w:color w:val="000000"/>
                <w:sz w:val="24"/>
                <w:szCs w:val="24"/>
              </w:rPr>
              <w:t>供应商在重庆本地有售后服务机构的，得5分。</w:t>
            </w:r>
          </w:p>
        </w:tc>
        <w:tc>
          <w:tcPr>
            <w:tcW w:w="1724" w:type="dxa"/>
            <w:vAlign w:val="center"/>
          </w:tcPr>
          <w:p>
            <w:pPr>
              <w:widowControl/>
              <w:spacing w:line="300" w:lineRule="exact"/>
              <w:outlineLvl w:val="2"/>
              <w:rPr>
                <w:rFonts w:ascii="宋体" w:cs="宋体"/>
                <w:color w:val="000000"/>
                <w:sz w:val="24"/>
                <w:szCs w:val="24"/>
              </w:rPr>
            </w:pPr>
            <w:r>
              <w:rPr>
                <w:rFonts w:hint="eastAsia" w:ascii="宋体" w:cs="宋体"/>
                <w:color w:val="000000"/>
                <w:sz w:val="24"/>
                <w:szCs w:val="24"/>
              </w:rPr>
              <w:t>提供供应商在渝设立售后服务机构的，须提供在渝工商注册证明复印件。</w:t>
            </w:r>
          </w:p>
        </w:tc>
      </w:tr>
    </w:tbl>
    <w:p>
      <w:pPr>
        <w:snapToGrid w:val="0"/>
        <w:spacing w:line="500" w:lineRule="exact"/>
        <w:ind w:firstLine="480" w:firstLineChars="200"/>
        <w:rPr>
          <w:rFonts w:ascii="宋体" w:hAnsi="宋体" w:cs="宋体"/>
          <w:sz w:val="24"/>
          <w:szCs w:val="24"/>
        </w:rPr>
      </w:pP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付款方式</w:t>
      </w:r>
    </w:p>
    <w:p>
      <w:pPr>
        <w:spacing w:line="500" w:lineRule="exact"/>
        <w:ind w:firstLine="480" w:firstLineChars="200"/>
        <w:rPr>
          <w:rFonts w:ascii="宋体" w:hAnsi="宋体" w:cs="宋体"/>
          <w:sz w:val="24"/>
          <w:szCs w:val="24"/>
        </w:rPr>
      </w:pPr>
      <w:r>
        <w:rPr>
          <w:rFonts w:hint="eastAsia" w:ascii="宋体" w:hAnsi="宋体" w:cs="宋体"/>
          <w:sz w:val="24"/>
          <w:szCs w:val="24"/>
        </w:rPr>
        <w:t>供应商完成合同全部内容</w:t>
      </w:r>
      <w:r>
        <w:rPr>
          <w:rFonts w:hint="eastAsia" w:ascii="宋体" w:cs="宋体"/>
          <w:sz w:val="24"/>
          <w:szCs w:val="24"/>
        </w:rPr>
        <w:t>，</w:t>
      </w:r>
      <w:r>
        <w:rPr>
          <w:rFonts w:ascii="宋体" w:cs="宋体"/>
          <w:sz w:val="24"/>
          <w:szCs w:val="24"/>
        </w:rPr>
        <w:t>并</w:t>
      </w:r>
      <w:r>
        <w:rPr>
          <w:rFonts w:hint="eastAsia" w:ascii="宋体" w:cs="宋体"/>
          <w:sz w:val="24"/>
          <w:szCs w:val="24"/>
        </w:rPr>
        <w:t>向</w:t>
      </w:r>
      <w:r>
        <w:rPr>
          <w:rFonts w:hint="eastAsia" w:ascii="宋体" w:hAnsi="宋体" w:cs="宋体"/>
          <w:sz w:val="24"/>
          <w:szCs w:val="24"/>
        </w:rPr>
        <w:t>采购人出具交通运输企业安全生产标准化评价二级达标证书后一个月内一次性支付。</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联系方式</w:t>
      </w:r>
    </w:p>
    <w:p>
      <w:pPr>
        <w:snapToGrid w:val="0"/>
        <w:spacing w:line="500" w:lineRule="exact"/>
        <w:rPr>
          <w:rFonts w:ascii="宋体" w:hAnsi="宋体" w:cs="宋体"/>
          <w:sz w:val="24"/>
          <w:szCs w:val="24"/>
        </w:rPr>
      </w:pPr>
      <w:r>
        <w:rPr>
          <w:rFonts w:hint="eastAsia" w:ascii="宋体" w:hAnsi="宋体" w:cs="宋体"/>
          <w:sz w:val="24"/>
          <w:szCs w:val="24"/>
        </w:rPr>
        <w:t xml:space="preserve">    采购人：重庆万利万达高速公路有限公司</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联系人：胡老师。</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电  话：023-88721806。</w:t>
      </w:r>
    </w:p>
    <w:p>
      <w:pPr>
        <w:snapToGrid w:val="0"/>
        <w:spacing w:line="5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址：重庆市渝北区银杉路66号高速集团10楼</w:t>
      </w:r>
      <w:r>
        <w:rPr>
          <w:rFonts w:hint="eastAsia" w:ascii="宋体" w:hAnsi="宋体" w:cs="宋体"/>
          <w:sz w:val="24"/>
          <w:szCs w:val="24"/>
          <w:lang w:val="en-US" w:eastAsia="zh-CN"/>
        </w:rPr>
        <w:t>1007办公室</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响应文件递交信息</w:t>
      </w:r>
    </w:p>
    <w:p>
      <w:pPr>
        <w:snapToGrid w:val="0"/>
        <w:spacing w:line="5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、递交时间：202</w:t>
      </w:r>
      <w:r>
        <w:rPr>
          <w:rFonts w:ascii="宋体" w:hAnsi="宋体" w:cs="宋体"/>
          <w:sz w:val="24"/>
          <w:szCs w:val="24"/>
        </w:rPr>
        <w:t>2</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日9:30前。</w:t>
      </w:r>
    </w:p>
    <w:p>
      <w:pPr>
        <w:snapToGrid w:val="0"/>
        <w:spacing w:line="50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、递交地点：重庆万利万达高速公路有限公司（重庆市渝北区银杉路66号高速集团10楼1007办公室）。</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3、递交方式：可以直接送达</w:t>
      </w:r>
      <w:r>
        <w:rPr>
          <w:rFonts w:hint="eastAsia" w:ascii="宋体" w:cs="宋体"/>
          <w:sz w:val="24"/>
          <w:szCs w:val="24"/>
        </w:rPr>
        <w:t>，</w:t>
      </w:r>
      <w:r>
        <w:rPr>
          <w:rFonts w:hint="eastAsia" w:ascii="宋体" w:hAnsi="宋体" w:cs="宋体"/>
          <w:sz w:val="24"/>
          <w:szCs w:val="24"/>
        </w:rPr>
        <w:t>也可以通过邮寄方式送达。</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评审信息</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评审时间：202</w:t>
      </w:r>
      <w:r>
        <w:rPr>
          <w:rFonts w:ascii="宋体" w:hAnsi="宋体" w:cs="宋体"/>
          <w:sz w:val="24"/>
          <w:szCs w:val="24"/>
        </w:rPr>
        <w:t>2</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月2</w:t>
      </w:r>
      <w:r>
        <w:rPr>
          <w:rFonts w:hint="eastAsia" w:ascii="宋体" w:hAnsi="宋体" w:cs="宋体"/>
          <w:sz w:val="24"/>
          <w:szCs w:val="24"/>
          <w:lang w:val="en-US" w:eastAsia="zh-CN"/>
        </w:rPr>
        <w:t>1</w:t>
      </w:r>
      <w:r>
        <w:rPr>
          <w:rFonts w:hint="eastAsia" w:ascii="宋体" w:hAnsi="宋体" w:cs="宋体"/>
          <w:sz w:val="24"/>
          <w:szCs w:val="24"/>
        </w:rPr>
        <w:t>日9:30。</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评审地点：同响应文件递交地点。</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供应商提交响应文件</w:t>
      </w:r>
    </w:p>
    <w:p>
      <w:pPr>
        <w:snapToGrid w:val="0"/>
        <w:spacing w:line="5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、供应商只能有一个有效报价；</w:t>
      </w:r>
    </w:p>
    <w:p>
      <w:pPr>
        <w:snapToGrid w:val="0"/>
        <w:spacing w:line="50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、供应商只能以自己单位名义提交响应文件；</w:t>
      </w:r>
    </w:p>
    <w:p>
      <w:pPr>
        <w:snapToGrid w:val="0"/>
        <w:spacing w:line="50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、供应商提交1份响应文件，响应文件须按照询价采购文件规定的格式、内容填写，响应文件所提供的资料须清晰可辨，规定签字、盖章的地方必须按其规定签字、盖章，未按要求制作响应文件的进行废标处理。</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采购中出现下列情形之一者，应予废标</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1、符合专业条件的供应商或者对询价文件作出实质响应的供货商不足二家的；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2、报价人的报价均超过了采购预算的；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3、因重大变故，采购任务取消的；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4、出现影响采购公正的违法、违规行为。</w:t>
      </w:r>
    </w:p>
    <w:p>
      <w:pPr>
        <w:pStyle w:val="4"/>
        <w:numPr>
          <w:ilvl w:val="0"/>
          <w:numId w:val="1"/>
        </w:numPr>
        <w:spacing w:before="0" w:after="0" w:line="500" w:lineRule="exact"/>
        <w:rPr>
          <w:rFonts w:ascii="宋体" w:hAnsi="宋体" w:cs="宋体"/>
          <w:sz w:val="24"/>
          <w:szCs w:val="24"/>
        </w:rPr>
      </w:pPr>
      <w:r>
        <w:rPr>
          <w:rFonts w:hint="eastAsia" w:ascii="宋体" w:hAnsi="宋体" w:cs="宋体"/>
          <w:sz w:val="24"/>
          <w:szCs w:val="24"/>
        </w:rPr>
        <w:t>其他</w:t>
      </w:r>
    </w:p>
    <w:p>
      <w:pPr>
        <w:spacing w:line="500" w:lineRule="exact"/>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500" w:lineRule="exact"/>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pPr>
      <w:bookmarkStart w:id="3" w:name="_GoBack"/>
    </w:p>
    <w:p>
      <w:pPr>
        <w:spacing w:line="500" w:lineRule="exact"/>
        <w:jc w:val="left"/>
        <w:rPr>
          <w:rFonts w:ascii="宋体" w:hAnsi="宋体" w:cs="宋体"/>
          <w:sz w:val="24"/>
          <w:szCs w:val="24"/>
        </w:rPr>
      </w:pPr>
    </w:p>
    <w:bookmarkEnd w:id="3"/>
    <w:p>
      <w:pPr>
        <w:spacing w:line="500" w:lineRule="exact"/>
        <w:jc w:val="left"/>
        <w:rPr>
          <w:rFonts w:ascii="宋体" w:hAnsi="宋体" w:cs="宋体"/>
          <w:sz w:val="24"/>
          <w:szCs w:val="24"/>
        </w:rPr>
      </w:pPr>
    </w:p>
    <w:p>
      <w:pPr>
        <w:spacing w:line="500" w:lineRule="exact"/>
        <w:jc w:val="left"/>
        <w:rPr>
          <w:rFonts w:ascii="宋体" w:hAnsi="宋体" w:cs="宋体"/>
          <w:sz w:val="24"/>
          <w:szCs w:val="24"/>
        </w:rPr>
      </w:pPr>
    </w:p>
    <w:p>
      <w:pPr>
        <w:spacing w:line="500" w:lineRule="exact"/>
        <w:jc w:val="left"/>
        <w:rPr>
          <w:rFonts w:ascii="宋体" w:hAnsi="宋体" w:cs="宋体"/>
          <w:sz w:val="24"/>
          <w:szCs w:val="24"/>
        </w:rPr>
        <w:sectPr>
          <w:pgSz w:w="11907" w:h="16840"/>
          <w:pgMar w:top="1418" w:right="1418" w:bottom="1418" w:left="1418" w:header="851" w:footer="992" w:gutter="0"/>
          <w:cols w:space="720" w:num="1"/>
          <w:docGrid w:linePitch="380" w:charSpace="-5735"/>
        </w:sectPr>
      </w:pPr>
    </w:p>
    <w:p/>
    <w:p/>
    <w:p/>
    <w:p/>
    <w:p/>
    <w:p>
      <w:pPr>
        <w:jc w:val="center"/>
        <w:rPr>
          <w:rFonts w:ascii="Times New Roman" w:hAnsi="Times New Roman"/>
          <w:b/>
          <w:bCs/>
          <w:sz w:val="32"/>
          <w:szCs w:val="32"/>
        </w:rPr>
      </w:pPr>
      <w:r>
        <w:rPr>
          <w:rFonts w:hint="eastAsia" w:ascii="Times New Roman" w:hAnsi="Times New Roman" w:cs="宋体"/>
          <w:b/>
          <w:bCs/>
          <w:sz w:val="32"/>
          <w:szCs w:val="32"/>
        </w:rPr>
        <w:t>响应文件格式</w:t>
      </w:r>
    </w:p>
    <w:p>
      <w:pPr>
        <w:jc w:val="center"/>
        <w:rPr>
          <w:rFonts w:ascii="Times New Roman" w:hAnsi="Times New Roman"/>
          <w:b/>
          <w:bCs/>
          <w:sz w:val="32"/>
          <w:szCs w:val="32"/>
        </w:rPr>
      </w:pPr>
    </w:p>
    <w:p>
      <w:pPr>
        <w:jc w:val="center"/>
        <w:rPr>
          <w:rFonts w:ascii="Times New Roman" w:hAnsi="Times New Roman"/>
          <w:b/>
          <w:bCs/>
          <w:sz w:val="32"/>
          <w:szCs w:val="32"/>
        </w:rPr>
      </w:pPr>
      <w:r>
        <w:rPr>
          <w:rFonts w:hint="eastAsia" w:ascii="Times New Roman" w:hAnsi="Times New Roman" w:cs="宋体"/>
          <w:b/>
          <w:bCs/>
          <w:sz w:val="32"/>
          <w:szCs w:val="32"/>
        </w:rPr>
        <w:t>（以下内容为示例）</w:t>
      </w:r>
    </w:p>
    <w:p>
      <w:pPr>
        <w:jc w:val="center"/>
        <w:rPr>
          <w:rFonts w:ascii="Times New Roman" w:hAnsi="Times New Roman"/>
          <w:b/>
          <w:bCs/>
          <w:sz w:val="24"/>
          <w:szCs w:val="24"/>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sectPr>
          <w:pgSz w:w="11906" w:h="16838"/>
          <w:pgMar w:top="1440" w:right="1800" w:bottom="1440" w:left="1380" w:header="851" w:footer="992" w:gutter="0"/>
          <w:cols w:space="720" w:num="1"/>
          <w:docGrid w:type="lines" w:linePitch="312" w:charSpace="0"/>
        </w:sectPr>
      </w:pPr>
    </w:p>
    <w:p>
      <w:pPr>
        <w:ind w:right="480" w:firstLine="2849" w:firstLineChars="946"/>
        <w:rPr>
          <w:rFonts w:ascii="Times New Roman" w:hAnsi="Times New Roman"/>
          <w:b/>
          <w:bCs/>
          <w:sz w:val="30"/>
          <w:szCs w:val="30"/>
        </w:rPr>
      </w:pPr>
    </w:p>
    <w:p>
      <w:pPr>
        <w:ind w:right="480" w:firstLine="2849" w:firstLineChars="946"/>
        <w:rPr>
          <w:rFonts w:ascii="Times New Roman" w:hAnsi="Times New Roman"/>
          <w:b/>
          <w:bCs/>
          <w:sz w:val="30"/>
          <w:szCs w:val="30"/>
        </w:rPr>
      </w:pPr>
    </w:p>
    <w:p>
      <w:pPr>
        <w:ind w:right="-313" w:rightChars="-149"/>
        <w:jc w:val="center"/>
        <w:rPr>
          <w:rFonts w:ascii="宋体" w:hAnsi="宋体" w:cs="宋体"/>
          <w:b/>
          <w:bCs/>
          <w:kern w:val="0"/>
          <w:sz w:val="44"/>
          <w:szCs w:val="44"/>
        </w:rPr>
      </w:pPr>
      <w:r>
        <w:rPr>
          <w:rFonts w:hint="eastAsia" w:ascii="宋体" w:hAnsi="宋体" w:cs="宋体"/>
          <w:b/>
          <w:bCs/>
          <w:kern w:val="0"/>
          <w:sz w:val="44"/>
          <w:szCs w:val="44"/>
        </w:rPr>
        <w:t>重庆万利万达高速公路有限公司</w:t>
      </w:r>
    </w:p>
    <w:p>
      <w:pPr>
        <w:ind w:right="-313" w:rightChars="-149"/>
        <w:jc w:val="center"/>
        <w:rPr>
          <w:rFonts w:ascii="宋体" w:hAnsi="Times New Roman" w:cs="宋体"/>
          <w:b/>
          <w:bCs/>
          <w:sz w:val="44"/>
          <w:szCs w:val="44"/>
        </w:rPr>
      </w:pPr>
      <w:r>
        <w:rPr>
          <w:rFonts w:hint="eastAsia" w:ascii="宋体" w:hAnsi="宋体" w:cs="宋体"/>
          <w:b/>
          <w:bCs/>
          <w:kern w:val="0"/>
          <w:sz w:val="44"/>
          <w:szCs w:val="44"/>
        </w:rPr>
        <w:t>高速公路运营企业二级安全生产标准化建设和环保管理服务</w:t>
      </w:r>
    </w:p>
    <w:p>
      <w:pPr>
        <w:ind w:right="-313" w:rightChars="-149"/>
        <w:jc w:val="center"/>
        <w:rPr>
          <w:rFonts w:ascii="宋体" w:hAnsi="Times New Roman" w:cs="宋体"/>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right="-313" w:rightChars="-149"/>
        <w:jc w:val="center"/>
        <w:rPr>
          <w:rFonts w:ascii="宋体" w:hAnsi="Times New Roman"/>
          <w:b/>
          <w:bCs/>
          <w:sz w:val="44"/>
          <w:szCs w:val="44"/>
        </w:rPr>
      </w:pPr>
    </w:p>
    <w:p>
      <w:pPr>
        <w:ind w:left="38" w:leftChars="-200" w:right="-313" w:rightChars="-149" w:hanging="458" w:hangingChars="95"/>
        <w:jc w:val="center"/>
        <w:rPr>
          <w:rFonts w:ascii="宋体" w:hAnsi="Times New Roman"/>
          <w:b/>
          <w:bCs/>
          <w:sz w:val="48"/>
          <w:szCs w:val="48"/>
        </w:rPr>
      </w:pPr>
      <w:r>
        <w:rPr>
          <w:rFonts w:hint="eastAsia" w:ascii="宋体" w:hAnsi="Times New Roman" w:cs="宋体"/>
          <w:b/>
          <w:bCs/>
          <w:sz w:val="48"/>
          <w:szCs w:val="48"/>
        </w:rPr>
        <w:t>响应文件</w:t>
      </w: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jc w:val="center"/>
        <w:rPr>
          <w:rFonts w:ascii="Times New Roman" w:hAnsi="Times New Roman"/>
          <w:sz w:val="32"/>
          <w:szCs w:val="32"/>
        </w:rPr>
      </w:pPr>
    </w:p>
    <w:p>
      <w:pPr>
        <w:rPr>
          <w:rFonts w:ascii="Times New Roman" w:hAnsi="Times New Roman"/>
          <w:sz w:val="32"/>
          <w:szCs w:val="32"/>
        </w:rPr>
      </w:pPr>
    </w:p>
    <w:p>
      <w:pPr>
        <w:ind w:firstLine="640" w:firstLineChars="200"/>
        <w:rPr>
          <w:rFonts w:ascii="Times New Roman" w:hAnsi="Times New Roman"/>
          <w:sz w:val="32"/>
          <w:szCs w:val="32"/>
          <w:u w:val="single"/>
        </w:rPr>
      </w:pPr>
      <w:r>
        <w:rPr>
          <w:rFonts w:hint="eastAsia" w:ascii="Times New Roman" w:hAnsi="Times New Roman" w:cs="宋体"/>
          <w:sz w:val="32"/>
          <w:szCs w:val="32"/>
        </w:rPr>
        <w:t>供应商名称（盖章）：</w:t>
      </w:r>
      <w:r>
        <w:rPr>
          <w:rFonts w:hint="eastAsia" w:ascii="Times New Roman" w:hAnsi="Times New Roman" w:cs="宋体"/>
          <w:sz w:val="32"/>
          <w:szCs w:val="32"/>
          <w:u w:val="single"/>
        </w:rPr>
        <w:t xml:space="preserve"> </w:t>
      </w:r>
      <w:r>
        <w:rPr>
          <w:rFonts w:ascii="Times New Roman" w:hAnsi="Times New Roman" w:cs="宋体"/>
          <w:sz w:val="32"/>
          <w:szCs w:val="32"/>
          <w:u w:val="single"/>
        </w:rPr>
        <w:t xml:space="preserve">                          </w:t>
      </w:r>
      <w:r>
        <w:rPr>
          <w:rFonts w:ascii="Times New Roman" w:hAnsi="Times New Roman"/>
          <w:sz w:val="32"/>
          <w:szCs w:val="32"/>
          <w:u w:val="single"/>
        </w:rPr>
        <w:t xml:space="preserve"> </w:t>
      </w:r>
    </w:p>
    <w:p>
      <w:pPr>
        <w:ind w:firstLine="640" w:firstLineChars="200"/>
        <w:rPr>
          <w:rFonts w:ascii="Times New Roman" w:hAnsi="Times New Roman" w:cs="宋体"/>
          <w:sz w:val="32"/>
          <w:szCs w:val="32"/>
        </w:rPr>
      </w:pPr>
      <w:r>
        <w:rPr>
          <w:rFonts w:ascii="Times New Roman" w:hAnsi="Times New Roman" w:cs="宋体"/>
          <w:sz w:val="32"/>
          <w:szCs w:val="32"/>
        </w:rPr>
        <w:t>日期</w:t>
      </w:r>
      <w:r>
        <w:rPr>
          <w:rFonts w:hint="eastAsia" w:ascii="Times New Roman" w:hAnsi="Times New Roman" w:cs="宋体"/>
          <w:sz w:val="32"/>
          <w:szCs w:val="32"/>
        </w:rPr>
        <w:t xml:space="preserve">： </w:t>
      </w:r>
      <w:r>
        <w:rPr>
          <w:rFonts w:ascii="Times New Roman" w:hAnsi="Times New Roman" w:cs="宋体"/>
          <w:sz w:val="32"/>
          <w:szCs w:val="32"/>
        </w:rPr>
        <w:t xml:space="preserve"> </w:t>
      </w:r>
      <w:r>
        <w:rPr>
          <w:rFonts w:hint="eastAsia" w:ascii="Times New Roman" w:hAnsi="Times New Roman" w:cs="宋体"/>
          <w:sz w:val="32"/>
          <w:szCs w:val="32"/>
        </w:rPr>
        <w:t xml:space="preserve"> </w:t>
      </w:r>
      <w:r>
        <w:rPr>
          <w:rFonts w:ascii="Times New Roman" w:hAnsi="Times New Roman" w:cs="宋体"/>
          <w:sz w:val="32"/>
          <w:szCs w:val="32"/>
        </w:rPr>
        <w:t xml:space="preserve">  年</w:t>
      </w:r>
      <w:r>
        <w:rPr>
          <w:rFonts w:hint="eastAsia" w:ascii="Times New Roman" w:hAnsi="Times New Roman" w:cs="宋体"/>
          <w:sz w:val="32"/>
          <w:szCs w:val="32"/>
        </w:rPr>
        <w:t xml:space="preserve"> </w:t>
      </w:r>
      <w:r>
        <w:rPr>
          <w:rFonts w:ascii="Times New Roman" w:hAnsi="Times New Roman" w:cs="宋体"/>
          <w:sz w:val="32"/>
          <w:szCs w:val="32"/>
        </w:rPr>
        <w:t xml:space="preserve">   月</w:t>
      </w:r>
      <w:r>
        <w:rPr>
          <w:rFonts w:hint="eastAsia" w:ascii="Times New Roman" w:hAnsi="Times New Roman" w:cs="宋体"/>
          <w:sz w:val="32"/>
          <w:szCs w:val="32"/>
        </w:rPr>
        <w:t xml:space="preserve"> </w:t>
      </w:r>
      <w:r>
        <w:rPr>
          <w:rFonts w:ascii="Times New Roman" w:hAnsi="Times New Roman" w:cs="宋体"/>
          <w:sz w:val="32"/>
          <w:szCs w:val="32"/>
        </w:rPr>
        <w:t xml:space="preserve">  日</w:t>
      </w:r>
    </w:p>
    <w:p>
      <w:pPr>
        <w:ind w:firstLine="640" w:firstLineChars="200"/>
        <w:rPr>
          <w:rFonts w:ascii="Times New Roman" w:hAnsi="Times New Roman" w:cs="宋体"/>
          <w:sz w:val="32"/>
          <w:szCs w:val="32"/>
        </w:rPr>
        <w:sectPr>
          <w:pgSz w:w="11906" w:h="16838"/>
          <w:pgMar w:top="1440" w:right="1800" w:bottom="1440" w:left="1380" w:header="851" w:footer="992" w:gutter="0"/>
          <w:cols w:space="720" w:num="1"/>
          <w:docGrid w:type="lines" w:linePitch="312" w:charSpace="0"/>
        </w:sectPr>
      </w:pPr>
    </w:p>
    <w:p>
      <w:pPr>
        <w:tabs>
          <w:tab w:val="left" w:pos="900"/>
          <w:tab w:val="left" w:pos="1080"/>
        </w:tabs>
        <w:spacing w:line="300" w:lineRule="auto"/>
        <w:jc w:val="center"/>
        <w:outlineLvl w:val="0"/>
        <w:rPr>
          <w:rFonts w:ascii="Arial" w:hAnsi="Arial"/>
          <w:b/>
          <w:bCs/>
          <w:sz w:val="28"/>
          <w:szCs w:val="28"/>
        </w:rPr>
      </w:pPr>
      <w:r>
        <w:rPr>
          <w:rFonts w:hint="eastAsia" w:ascii="Arial" w:hAnsi="Arial" w:cs="宋体"/>
          <w:b/>
          <w:bCs/>
          <w:sz w:val="28"/>
          <w:szCs w:val="28"/>
        </w:rPr>
        <w:t>目</w:t>
      </w:r>
      <w:r>
        <w:rPr>
          <w:rFonts w:ascii="Arial" w:hAnsi="Arial" w:cs="Arial"/>
          <w:b/>
          <w:bCs/>
          <w:sz w:val="28"/>
          <w:szCs w:val="28"/>
        </w:rPr>
        <w:t xml:space="preserve"> </w:t>
      </w:r>
      <w:r>
        <w:rPr>
          <w:rFonts w:hint="eastAsia" w:ascii="Arial" w:hAnsi="Arial" w:cs="宋体"/>
          <w:b/>
          <w:bCs/>
          <w:sz w:val="28"/>
          <w:szCs w:val="28"/>
        </w:rPr>
        <w:t>录</w:t>
      </w:r>
    </w:p>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一、报价函</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二、法定代表人身份证明及授权委托书</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三、营业执照有效复印件</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四、单位资质证明文件</w:t>
      </w:r>
    </w:p>
    <w:p>
      <w:pPr>
        <w:spacing w:line="400" w:lineRule="exact"/>
        <w:ind w:firstLine="482" w:firstLineChars="200"/>
        <w:rPr>
          <w:rFonts w:ascii="Times New Roman" w:hAnsi="Times New Roman"/>
          <w:b/>
          <w:bCs/>
          <w:sz w:val="24"/>
          <w:szCs w:val="24"/>
        </w:rPr>
      </w:pPr>
      <w:r>
        <w:rPr>
          <w:rFonts w:hint="eastAsia" w:ascii="Times New Roman" w:hAnsi="Times New Roman" w:cs="宋体"/>
          <w:b/>
          <w:bCs/>
          <w:sz w:val="24"/>
          <w:szCs w:val="24"/>
        </w:rPr>
        <w:t>五、其他相关资料</w:t>
      </w:r>
    </w:p>
    <w:p/>
    <w:p/>
    <w:p/>
    <w:p/>
    <w:p/>
    <w:p>
      <w:p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32"/>
          <w:szCs w:val="32"/>
        </w:rPr>
      </w:pPr>
      <w:bookmarkStart w:id="0" w:name="_Toc265510122"/>
      <w:r>
        <w:rPr>
          <w:rFonts w:hint="eastAsia" w:ascii="Times New Roman" w:hAnsi="Times New Roman" w:cs="宋体"/>
          <w:b/>
          <w:bCs/>
          <w:sz w:val="32"/>
          <w:szCs w:val="32"/>
        </w:rPr>
        <w:t>一、报价</w:t>
      </w:r>
      <w:bookmarkEnd w:id="0"/>
      <w:r>
        <w:rPr>
          <w:rFonts w:hint="eastAsia" w:ascii="Times New Roman" w:hAnsi="Times New Roman" w:cs="宋体"/>
          <w:b/>
          <w:bCs/>
          <w:sz w:val="32"/>
          <w:szCs w:val="32"/>
        </w:rPr>
        <w:t>函</w:t>
      </w:r>
    </w:p>
    <w:p>
      <w:pPr>
        <w:spacing w:line="440" w:lineRule="exact"/>
        <w:rPr>
          <w:rFonts w:ascii="Times New Roman" w:hAnsi="Times New Roman"/>
          <w:sz w:val="20"/>
        </w:rPr>
      </w:pPr>
    </w:p>
    <w:p>
      <w:pPr>
        <w:spacing w:line="440" w:lineRule="exact"/>
        <w:rPr>
          <w:rFonts w:ascii="Times New Roman" w:hAnsi="Times New Roman"/>
          <w:szCs w:val="21"/>
        </w:rPr>
      </w:pPr>
      <w:r>
        <w:rPr>
          <w:rFonts w:hint="eastAsia" w:ascii="宋体" w:hAnsi="宋体" w:cs="宋体"/>
          <w:b/>
          <w:bCs/>
          <w:szCs w:val="21"/>
          <w:u w:val="single"/>
        </w:rPr>
        <w:t>致：重庆万利万达高速公路有限公司</w:t>
      </w:r>
      <w:r>
        <w:rPr>
          <w:rFonts w:hint="eastAsia" w:ascii="Times New Roman" w:hAnsi="Times New Roman" w:cs="宋体"/>
          <w:szCs w:val="21"/>
        </w:rPr>
        <w:t>：</w:t>
      </w:r>
    </w:p>
    <w:p>
      <w:pPr>
        <w:pStyle w:val="16"/>
        <w:numPr>
          <w:ilvl w:val="0"/>
          <w:numId w:val="2"/>
        </w:numPr>
        <w:spacing w:line="440" w:lineRule="exact"/>
        <w:ind w:firstLineChars="0"/>
        <w:rPr>
          <w:rFonts w:ascii="Times New Roman" w:hAnsi="Times New Roman" w:eastAsia="宋体" w:cs="Times New Roman"/>
        </w:rPr>
      </w:pPr>
      <w:r>
        <w:rPr>
          <w:rFonts w:hint="eastAsia" w:ascii="Times New Roman" w:hAnsi="Times New Roman" w:eastAsia="宋体" w:cs="宋体"/>
        </w:rPr>
        <w:t>我方已仔细研究了</w:t>
      </w:r>
      <w:r>
        <w:rPr>
          <w:rFonts w:hint="eastAsia" w:ascii="宋体" w:hAnsi="宋体" w:eastAsia="宋体" w:cs="宋体"/>
          <w:b/>
          <w:bCs/>
          <w:u w:val="single"/>
        </w:rPr>
        <w:t>高速公路运营企业二级安全生产标准化建设和环保管理服务</w:t>
      </w:r>
      <w:r>
        <w:rPr>
          <w:rFonts w:hint="eastAsia" w:ascii="宋体" w:hAnsi="宋体" w:eastAsia="宋体" w:cs="宋体"/>
        </w:rPr>
        <w:t>询价采购文件</w:t>
      </w:r>
      <w:r>
        <w:rPr>
          <w:rFonts w:hint="eastAsia" w:ascii="Times New Roman" w:hAnsi="Times New Roman" w:eastAsia="宋体" w:cs="宋体"/>
        </w:rPr>
        <w:t>的全部内容，愿意以投标</w:t>
      </w:r>
      <w:r>
        <w:rPr>
          <w:rFonts w:ascii="Times New Roman" w:hAnsi="Times New Roman" w:eastAsia="宋体" w:cs="宋体"/>
        </w:rPr>
        <w:t>总报价</w:t>
      </w:r>
      <w:r>
        <w:rPr>
          <w:rFonts w:hint="eastAsia" w:ascii="Times New Roman" w:hAnsi="Times New Roman" w:eastAsia="宋体" w:cs="Times New Roman"/>
        </w:rPr>
        <w:t>人民币</w:t>
      </w:r>
      <w:r>
        <w:rPr>
          <w:rFonts w:hint="eastAsia" w:ascii="Times New Roman" w:hAnsi="Times New Roman" w:eastAsia="宋体" w:cs="Times New Roman"/>
          <w:u w:val="single"/>
        </w:rPr>
        <w:t xml:space="preserve">大写：     </w:t>
      </w:r>
      <w:r>
        <w:rPr>
          <w:rFonts w:hint="eastAsia" w:ascii="Times New Roman" w:hAnsi="Times New Roman" w:eastAsia="宋体" w:cs="Times New Roman"/>
        </w:rPr>
        <w:t>，人民币</w:t>
      </w:r>
      <w:r>
        <w:rPr>
          <w:rFonts w:hint="eastAsia" w:ascii="Times New Roman" w:hAnsi="Times New Roman" w:eastAsia="宋体" w:cs="Times New Roman"/>
          <w:u w:val="single"/>
        </w:rPr>
        <w:t xml:space="preserve">小写：    </w:t>
      </w:r>
      <w:r>
        <w:rPr>
          <w:rFonts w:hint="eastAsia" w:ascii="Times New Roman" w:hAnsi="Times New Roman" w:eastAsia="宋体" w:cs="Times New Roman"/>
        </w:rPr>
        <w:t>，</w:t>
      </w:r>
      <w:r>
        <w:rPr>
          <w:rFonts w:hint="eastAsia" w:ascii="Times New Roman" w:hAnsi="Times New Roman" w:eastAsia="宋体" w:cs="宋体"/>
        </w:rPr>
        <w:t>作为本项目</w:t>
      </w:r>
      <w:r>
        <w:rPr>
          <w:rFonts w:ascii="Times New Roman" w:hAnsi="Times New Roman" w:eastAsia="宋体" w:cs="Times New Roman"/>
          <w:u w:val="single"/>
        </w:rPr>
        <w:t xml:space="preserve">   </w:t>
      </w:r>
      <w:r>
        <w:rPr>
          <w:rFonts w:hint="eastAsia" w:ascii="Times New Roman" w:hAnsi="Times New Roman" w:eastAsia="宋体" w:cs="宋体"/>
          <w:u w:val="single"/>
        </w:rPr>
        <w:t>（项目名称）</w:t>
      </w:r>
      <w:r>
        <w:rPr>
          <w:rFonts w:ascii="Times New Roman" w:hAnsi="Times New Roman" w:eastAsia="宋体" w:cs="Times New Roman"/>
          <w:u w:val="single"/>
        </w:rPr>
        <w:t xml:space="preserve">      </w:t>
      </w:r>
      <w:r>
        <w:rPr>
          <w:rFonts w:hint="eastAsia" w:ascii="Times New Roman" w:hAnsi="Times New Roman" w:eastAsia="宋体" w:cs="宋体"/>
        </w:rPr>
        <w:t>的竞标价并按合同约定实施完成服务工作。</w:t>
      </w:r>
    </w:p>
    <w:p>
      <w:pPr>
        <w:spacing w:line="44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cs="宋体"/>
          <w:szCs w:val="21"/>
        </w:rPr>
        <w:t>、我方承诺在投标有效期内不修改、撤销响应文件。</w:t>
      </w:r>
    </w:p>
    <w:p>
      <w:pPr>
        <w:spacing w:line="440" w:lineRule="exact"/>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cs="宋体"/>
          <w:szCs w:val="21"/>
        </w:rPr>
        <w:t>、我方在此声明，所递交的响应文件及有关资料内容完整、真实和准确。</w:t>
      </w:r>
    </w:p>
    <w:p>
      <w:pPr>
        <w:spacing w:line="440" w:lineRule="exact"/>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cs="宋体"/>
          <w:szCs w:val="21"/>
        </w:rPr>
        <w:t>、我方承诺在收到成交通知信息后，在</w:t>
      </w:r>
      <w:r>
        <w:rPr>
          <w:rFonts w:ascii="Times New Roman" w:hAnsi="Times New Roman"/>
          <w:szCs w:val="21"/>
        </w:rPr>
        <w:t>5</w:t>
      </w:r>
      <w:r>
        <w:rPr>
          <w:rFonts w:hint="eastAsia" w:ascii="Times New Roman" w:hAnsi="Times New Roman" w:cs="宋体"/>
          <w:szCs w:val="21"/>
        </w:rPr>
        <w:t>个工作日内与采购人签订合同。</w:t>
      </w:r>
    </w:p>
    <w:p>
      <w:pPr>
        <w:spacing w:line="440" w:lineRule="exact"/>
        <w:ind w:firstLine="42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w:t>
      </w:r>
      <w:r>
        <w:rPr>
          <w:rFonts w:hint="eastAsia" w:ascii="Times New Roman" w:hAnsi="Times New Roman" w:cs="宋体"/>
          <w:szCs w:val="21"/>
        </w:rPr>
        <w:t>我方承诺在合同约定的期限内完成并移交全部合同事宜。且在合同协议书正式签署生效之前，本报价函连同你方的成交通知书将构成我们双方之间共同遵守的文件。对双方具有约束力。</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570" w:firstLineChars="1700"/>
        <w:rPr>
          <w:rFonts w:ascii="Times New Roman" w:hAnsi="Times New Roman"/>
          <w:szCs w:val="21"/>
        </w:rPr>
      </w:pPr>
      <w:r>
        <w:rPr>
          <w:rFonts w:hint="eastAsia" w:ascii="Times New Roman" w:hAnsi="Times New Roman" w:cs="宋体"/>
          <w:szCs w:val="21"/>
        </w:rPr>
        <w:t>供应商：</w:t>
      </w:r>
      <w:r>
        <w:rPr>
          <w:rFonts w:ascii="Times New Roman" w:hAnsi="Times New Roman"/>
          <w:szCs w:val="21"/>
          <w:u w:val="single"/>
        </w:rPr>
        <w:t xml:space="preserve">                    </w:t>
      </w:r>
      <w:r>
        <w:rPr>
          <w:rFonts w:hint="eastAsia" w:ascii="Times New Roman" w:hAnsi="Times New Roman" w:cs="宋体"/>
          <w:szCs w:val="21"/>
        </w:rPr>
        <w:t>（盖章）</w:t>
      </w:r>
    </w:p>
    <w:p>
      <w:pPr>
        <w:spacing w:line="440" w:lineRule="exact"/>
        <w:ind w:firstLine="3675" w:firstLineChars="1750"/>
        <w:rPr>
          <w:rFonts w:ascii="Times New Roman" w:hAnsi="Times New Roman"/>
          <w:szCs w:val="21"/>
        </w:rPr>
      </w:pPr>
      <w:r>
        <w:rPr>
          <w:rFonts w:hint="eastAsia" w:ascii="Times New Roman" w:hAnsi="Times New Roman" w:cs="宋体"/>
          <w:szCs w:val="21"/>
        </w:rPr>
        <w:t>法定代表人或其委托代理人：</w:t>
      </w:r>
      <w:r>
        <w:rPr>
          <w:rFonts w:ascii="Times New Roman" w:hAnsi="Times New Roman"/>
          <w:szCs w:val="21"/>
          <w:u w:val="single"/>
        </w:rPr>
        <w:t xml:space="preserve">          </w:t>
      </w:r>
      <w:r>
        <w:rPr>
          <w:rFonts w:hint="eastAsia" w:ascii="Times New Roman" w:hAnsi="Times New Roman" w:cs="宋体"/>
          <w:szCs w:val="21"/>
        </w:rPr>
        <w:t>（签字）</w:t>
      </w:r>
    </w:p>
    <w:p>
      <w:pPr>
        <w:spacing w:line="440" w:lineRule="exact"/>
        <w:ind w:firstLine="3675" w:firstLineChars="1750"/>
        <w:rPr>
          <w:rFonts w:ascii="Times New Roman" w:hAnsi="Times New Roman"/>
          <w:szCs w:val="21"/>
        </w:rPr>
      </w:pPr>
      <w:r>
        <w:rPr>
          <w:rFonts w:hint="eastAsia" w:ascii="Times New Roman" w:hAnsi="Times New Roman" w:cs="宋体"/>
          <w:szCs w:val="21"/>
        </w:rPr>
        <w:t>地址：</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网址：</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电话：</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传真：</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r>
        <w:rPr>
          <w:rFonts w:hint="eastAsia" w:ascii="Times New Roman" w:hAnsi="Times New Roman" w:cs="宋体"/>
          <w:szCs w:val="21"/>
        </w:rPr>
        <w:t>邮政编码：</w:t>
      </w:r>
      <w:r>
        <w:rPr>
          <w:rFonts w:ascii="Times New Roman" w:hAnsi="Times New Roman"/>
          <w:szCs w:val="21"/>
          <w:u w:val="single"/>
        </w:rPr>
        <w:t xml:space="preserve">                                 </w:t>
      </w:r>
    </w:p>
    <w:p>
      <w:pPr>
        <w:spacing w:line="440" w:lineRule="exact"/>
        <w:ind w:firstLine="3675" w:firstLineChars="1750"/>
        <w:rPr>
          <w:rFonts w:ascii="Times New Roman" w:hAnsi="Times New Roman"/>
          <w:szCs w:val="21"/>
        </w:rPr>
      </w:pPr>
    </w:p>
    <w:p>
      <w:pPr>
        <w:spacing w:line="400" w:lineRule="atLeast"/>
        <w:jc w:val="right"/>
        <w:rPr>
          <w:rFonts w:ascii="Times New Roman" w:hAnsi="Times New Roman"/>
          <w:szCs w:val="21"/>
        </w:rPr>
      </w:pPr>
      <w:r>
        <w:rPr>
          <w:rFonts w:ascii="Times New Roman" w:hAnsi="Times New Roman"/>
          <w:szCs w:val="21"/>
          <w:u w:val="single"/>
        </w:rPr>
        <w:t xml:space="preserve">        </w:t>
      </w:r>
      <w:r>
        <w:rPr>
          <w:rFonts w:hint="eastAsia" w:ascii="Times New Roman" w:hAnsi="Times New Roman" w:cs="宋体"/>
          <w:szCs w:val="21"/>
        </w:rPr>
        <w:t>年</w:t>
      </w:r>
      <w:r>
        <w:rPr>
          <w:rFonts w:ascii="Times New Roman" w:hAnsi="Times New Roman"/>
          <w:szCs w:val="21"/>
          <w:u w:val="single"/>
        </w:rPr>
        <w:t xml:space="preserve">        </w:t>
      </w:r>
      <w:r>
        <w:rPr>
          <w:rFonts w:hint="eastAsia" w:ascii="Times New Roman" w:hAnsi="Times New Roman" w:cs="宋体"/>
          <w:szCs w:val="21"/>
        </w:rPr>
        <w:t>月</w:t>
      </w:r>
      <w:r>
        <w:rPr>
          <w:rFonts w:ascii="Times New Roman" w:hAnsi="Times New Roman"/>
          <w:szCs w:val="21"/>
          <w:u w:val="single"/>
        </w:rPr>
        <w:t xml:space="preserve">        </w:t>
      </w:r>
      <w:r>
        <w:rPr>
          <w:rFonts w:hint="eastAsia" w:ascii="Times New Roman" w:hAnsi="Times New Roman" w:cs="宋体"/>
          <w:szCs w:val="21"/>
        </w:rPr>
        <w:t>日</w:t>
      </w:r>
    </w:p>
    <w:p>
      <w:pPr>
        <w:rPr>
          <w:szCs w:val="21"/>
        </w:rPr>
      </w:pPr>
    </w:p>
    <w:p>
      <w:pPr>
        <w:rPr>
          <w:szCs w:val="21"/>
        </w:rPr>
      </w:pPr>
    </w:p>
    <w:p>
      <w:pPr>
        <w:rPr>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二、法定代表人身份证明及授权委托书</w:t>
      </w:r>
    </w:p>
    <w:p>
      <w:pPr>
        <w:topLinePunct/>
        <w:spacing w:line="360" w:lineRule="auto"/>
        <w:ind w:firstLine="562" w:firstLineChars="200"/>
        <w:jc w:val="center"/>
        <w:outlineLvl w:val="2"/>
        <w:rPr>
          <w:rFonts w:ascii="Times New Roman" w:hAnsi="Times New Roman"/>
          <w:b/>
          <w:bCs/>
          <w:sz w:val="28"/>
          <w:szCs w:val="28"/>
        </w:rPr>
      </w:pPr>
      <w:bookmarkStart w:id="1" w:name="_Toc262547328"/>
      <w:r>
        <w:rPr>
          <w:rFonts w:hint="eastAsia" w:ascii="Times New Roman" w:hAnsi="Times New Roman" w:cs="宋体"/>
          <w:b/>
          <w:bCs/>
          <w:sz w:val="28"/>
          <w:szCs w:val="28"/>
        </w:rPr>
        <w:t>（一）法定代表人身份证明</w:t>
      </w:r>
      <w:bookmarkEnd w:id="1"/>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sz w:val="24"/>
          <w:szCs w:val="24"/>
        </w:rPr>
      </w:pPr>
    </w:p>
    <w:p>
      <w:pPr>
        <w:tabs>
          <w:tab w:val="left" w:pos="6300"/>
        </w:tabs>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pPr>
        <w:tabs>
          <w:tab w:val="left" w:pos="6300"/>
        </w:tabs>
        <w:snapToGrid w:val="0"/>
        <w:spacing w:line="440" w:lineRule="exact"/>
        <w:rPr>
          <w:rFonts w:ascii="宋体" w:hAnsi="宋体" w:cs="宋体"/>
          <w:szCs w:val="21"/>
        </w:rPr>
      </w:pPr>
    </w:p>
    <w:p>
      <w:pPr>
        <w:tabs>
          <w:tab w:val="left" w:pos="6300"/>
        </w:tabs>
        <w:snapToGrid w:val="0"/>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（法定代表人姓名）在 </w:t>
      </w:r>
      <w:r>
        <w:rPr>
          <w:rFonts w:hint="eastAsia" w:ascii="宋体" w:hAnsi="宋体" w:cs="宋体"/>
          <w:szCs w:val="21"/>
          <w:u w:val="single"/>
        </w:rPr>
        <w:t xml:space="preserve">         </w:t>
      </w:r>
      <w:r>
        <w:rPr>
          <w:rFonts w:hint="eastAsia" w:ascii="宋体" w:hAnsi="宋体" w:cs="宋体"/>
          <w:szCs w:val="21"/>
        </w:rPr>
        <w:t>（供应商名称）任</w:t>
      </w:r>
      <w:r>
        <w:rPr>
          <w:rFonts w:hint="eastAsia" w:ascii="宋体" w:hAnsi="宋体" w:cs="宋体"/>
          <w:szCs w:val="21"/>
          <w:u w:val="single"/>
        </w:rPr>
        <w:t xml:space="preserve">      </w:t>
      </w:r>
      <w:r>
        <w:rPr>
          <w:rFonts w:hint="eastAsia" w:ascii="宋体" w:hAnsi="宋体" w:cs="宋体"/>
          <w:szCs w:val="21"/>
        </w:rPr>
        <w:t>（职务名称）职务，是</w:t>
      </w:r>
      <w:r>
        <w:rPr>
          <w:rFonts w:hint="eastAsia" w:ascii="宋体" w:hAnsi="宋体" w:cs="宋体"/>
          <w:szCs w:val="21"/>
          <w:u w:val="single"/>
        </w:rPr>
        <w:t xml:space="preserve">         </w:t>
      </w:r>
      <w:r>
        <w:rPr>
          <w:rFonts w:hint="eastAsia" w:ascii="宋体" w:hAnsi="宋体" w:cs="宋体"/>
          <w:szCs w:val="21"/>
        </w:rPr>
        <w:t>（供应商名称）的法定代表人。</w:t>
      </w:r>
    </w:p>
    <w:p>
      <w:pPr>
        <w:tabs>
          <w:tab w:val="left" w:pos="6300"/>
        </w:tabs>
        <w:snapToGrid w:val="0"/>
        <w:spacing w:line="440" w:lineRule="exact"/>
        <w:rPr>
          <w:rFonts w:ascii="宋体" w:hAnsi="宋体" w:cs="宋体"/>
          <w:szCs w:val="21"/>
        </w:rPr>
      </w:pP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特此证明。</w:t>
      </w:r>
    </w:p>
    <w:p>
      <w:pPr>
        <w:tabs>
          <w:tab w:val="left" w:pos="6300"/>
        </w:tabs>
        <w:snapToGrid w:val="0"/>
        <w:spacing w:line="440" w:lineRule="exact"/>
        <w:rPr>
          <w:rFonts w:ascii="宋体" w:hAnsi="宋体" w:cs="宋体"/>
          <w:szCs w:val="21"/>
        </w:rPr>
      </w:pPr>
    </w:p>
    <w:p>
      <w:pPr>
        <w:tabs>
          <w:tab w:val="left" w:pos="6300"/>
        </w:tabs>
        <w:snapToGrid w:val="0"/>
        <w:spacing w:line="440" w:lineRule="exact"/>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法定代表人：</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（签字或盖章）</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rPr>
          <w:rFonts w:ascii="宋体" w:hAnsi="宋体" w:cs="宋体"/>
          <w:szCs w:val="21"/>
        </w:rPr>
      </w:pPr>
      <w:r>
        <w:rPr>
          <w:rFonts w:hint="eastAsia" w:ascii="宋体" w:hAnsi="宋体" w:cs="宋体"/>
          <w:szCs w:val="21"/>
        </w:rPr>
        <w:t>（附：法定代表人身份证正反面复印件）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（供应商公章）</w:t>
      </w: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年   月   日</w:t>
      </w:r>
    </w:p>
    <w:p>
      <w:pPr>
        <w:rPr>
          <w:rFonts w:ascii="宋体" w:hAnsi="宋体" w:cs="宋体"/>
          <w:b/>
          <w:bCs/>
          <w:szCs w:val="21"/>
        </w:rPr>
      </w:pPr>
    </w:p>
    <w:p>
      <w:pPr>
        <w:topLinePunct/>
        <w:spacing w:line="360" w:lineRule="auto"/>
        <w:ind w:firstLine="482" w:firstLineChars="200"/>
        <w:jc w:val="center"/>
        <w:outlineLvl w:val="2"/>
        <w:rPr>
          <w:rFonts w:ascii="Times New Roman" w:hAnsi="Times New Roman" w:cs="宋体"/>
          <w:b/>
          <w:bCs/>
          <w:sz w:val="28"/>
          <w:szCs w:val="28"/>
        </w:rPr>
      </w:pPr>
      <w:r>
        <w:rPr>
          <w:rFonts w:hint="eastAsia" w:ascii="宋体" w:hAnsi="宋体" w:cs="宋体"/>
          <w:b/>
          <w:bCs/>
          <w:sz w:val="24"/>
          <w:szCs w:val="24"/>
        </w:rPr>
        <w:br w:type="page"/>
      </w:r>
      <w:bookmarkStart w:id="2" w:name="_Toc262547329"/>
      <w:r>
        <w:rPr>
          <w:rFonts w:hint="eastAsia" w:ascii="Times New Roman" w:hAnsi="Times New Roman" w:cs="宋体"/>
          <w:b/>
          <w:bCs/>
          <w:sz w:val="28"/>
          <w:szCs w:val="28"/>
        </w:rPr>
        <w:t>（二）授权委托书</w:t>
      </w:r>
      <w:bookmarkEnd w:id="2"/>
      <w:r>
        <w:rPr>
          <w:rFonts w:ascii="Times New Roman" w:hAnsi="Times New Roman" w:cs="宋体"/>
          <w:b/>
          <w:bCs/>
          <w:sz w:val="28"/>
          <w:szCs w:val="28"/>
        </w:rPr>
        <w:t xml:space="preserve"> </w:t>
      </w:r>
    </w:p>
    <w:p>
      <w:pPr>
        <w:autoSpaceDE w:val="0"/>
        <w:autoSpaceDN w:val="0"/>
        <w:adjustRightInd w:val="0"/>
        <w:snapToGrid w:val="0"/>
        <w:spacing w:line="440" w:lineRule="exact"/>
        <w:jc w:val="left"/>
        <w:rPr>
          <w:rFonts w:ascii="宋体" w:hAnsi="宋体"/>
          <w:kern w:val="0"/>
          <w:szCs w:val="21"/>
        </w:rPr>
      </w:pPr>
    </w:p>
    <w:p>
      <w:pPr>
        <w:tabs>
          <w:tab w:val="left" w:pos="6300"/>
        </w:tabs>
        <w:snapToGrid w:val="0"/>
        <w:spacing w:line="440" w:lineRule="exact"/>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（采购人名称）：</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（法定代表人名称）是</w:t>
      </w:r>
      <w:r>
        <w:rPr>
          <w:rFonts w:hint="eastAsia" w:ascii="宋体" w:hAnsi="宋体" w:cs="宋体"/>
          <w:szCs w:val="21"/>
          <w:u w:val="single"/>
        </w:rPr>
        <w:t xml:space="preserve">                    </w:t>
      </w:r>
      <w:r>
        <w:rPr>
          <w:rFonts w:hint="eastAsia" w:ascii="宋体" w:hAnsi="宋体" w:cs="宋体"/>
          <w:szCs w:val="21"/>
        </w:rPr>
        <w:t>（供应商名称）的法定代表人，特授权</w:t>
      </w:r>
      <w:r>
        <w:rPr>
          <w:rFonts w:hint="eastAsia" w:ascii="宋体" w:hAnsi="宋体" w:cs="宋体"/>
          <w:szCs w:val="21"/>
          <w:u w:val="single"/>
        </w:rPr>
        <w:t xml:space="preserve">          </w:t>
      </w:r>
      <w:r>
        <w:rPr>
          <w:rFonts w:hint="eastAsia" w:ascii="宋体" w:hAnsi="宋体" w:cs="宋体"/>
          <w:szCs w:val="21"/>
        </w:rPr>
        <w:t>（被授权人姓名及身份证代码）代表我单位全权办理上述项目的询比、签约等具体工作，并签署全部有关文件、协议及合同。</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我单位对被授权人的签字负全部责任。</w:t>
      </w:r>
    </w:p>
    <w:p>
      <w:pPr>
        <w:tabs>
          <w:tab w:val="left" w:pos="6300"/>
        </w:tabs>
        <w:snapToGrid w:val="0"/>
        <w:spacing w:line="440" w:lineRule="exact"/>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被授权人：                               法定代表人：</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（签字或盖章）                             （签字或盖章）</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（附：被授权人身份证正反面复印件）</w:t>
      </w:r>
    </w:p>
    <w:p>
      <w:pPr>
        <w:tabs>
          <w:tab w:val="left" w:pos="6300"/>
        </w:tabs>
        <w:snapToGrid w:val="0"/>
        <w:spacing w:line="440" w:lineRule="exact"/>
        <w:ind w:firstLine="570"/>
        <w:rPr>
          <w:rFonts w:ascii="宋体" w:hAnsi="宋体" w:cs="宋体"/>
          <w:szCs w:val="21"/>
        </w:rPr>
      </w:pPr>
      <w:r>
        <w:rPr>
          <w:rFonts w:hint="eastAsia" w:ascii="宋体" w:hAnsi="宋体" w:cs="宋体"/>
          <w:szCs w:val="21"/>
        </w:rPr>
        <w:t xml:space="preserve">                                          </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（供应商公章）</w:t>
      </w:r>
    </w:p>
    <w:p>
      <w:pPr>
        <w:tabs>
          <w:tab w:val="left" w:pos="6300"/>
        </w:tabs>
        <w:snapToGrid w:val="0"/>
        <w:spacing w:line="440" w:lineRule="exact"/>
        <w:ind w:right="480" w:firstLine="570"/>
        <w:jc w:val="right"/>
        <w:rPr>
          <w:rFonts w:ascii="宋体" w:hAnsi="宋体" w:cs="宋体"/>
          <w:szCs w:val="21"/>
        </w:rPr>
      </w:pPr>
      <w:r>
        <w:rPr>
          <w:rFonts w:hint="eastAsia" w:ascii="宋体" w:hAnsi="宋体" w:cs="宋体"/>
          <w:szCs w:val="21"/>
        </w:rPr>
        <w:t>年   月   日</w:t>
      </w:r>
    </w:p>
    <w:p>
      <w:pPr>
        <w:autoSpaceDE w:val="0"/>
        <w:autoSpaceDN w:val="0"/>
        <w:adjustRightInd w:val="0"/>
        <w:snapToGrid w:val="0"/>
        <w:spacing w:line="440" w:lineRule="exact"/>
        <w:jc w:val="left"/>
        <w:rPr>
          <w:rFonts w:ascii="宋体" w:hAnsi="宋体"/>
          <w:kern w:val="0"/>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三、营业执照复印件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四、单位资质证明文件</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sectPr>
          <w:pgSz w:w="11906" w:h="16838"/>
          <w:pgMar w:top="1440" w:right="1800" w:bottom="1440" w:left="1380" w:header="851" w:footer="992" w:gutter="0"/>
          <w:cols w:space="720" w:num="1"/>
          <w:docGrid w:type="lines" w:linePitch="312" w:charSpace="0"/>
        </w:sectPr>
      </w:pPr>
    </w:p>
    <w:p>
      <w:pPr>
        <w:spacing w:line="440" w:lineRule="exact"/>
        <w:jc w:val="center"/>
        <w:outlineLvl w:val="1"/>
        <w:rPr>
          <w:rFonts w:ascii="Times New Roman" w:hAnsi="Times New Roman"/>
          <w:b/>
          <w:bCs/>
          <w:sz w:val="28"/>
          <w:szCs w:val="28"/>
        </w:rPr>
      </w:pPr>
      <w:r>
        <w:rPr>
          <w:rFonts w:hint="eastAsia" w:ascii="Times New Roman" w:hAnsi="Times New Roman" w:cs="宋体"/>
          <w:b/>
          <w:bCs/>
          <w:sz w:val="28"/>
          <w:szCs w:val="28"/>
        </w:rPr>
        <w:t>五、其他相关资料</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r>
        <w:rPr>
          <w:rFonts w:hint="eastAsia" w:ascii="宋体" w:hAnsi="宋体" w:cs="宋体"/>
          <w:szCs w:val="21"/>
        </w:rPr>
        <w:t>其他与项目有关的资料（自附）：供应商总体情况介绍、其他与本项目有关的资料等。</w:t>
      </w: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p>
      <w:pPr>
        <w:tabs>
          <w:tab w:val="left" w:pos="6300"/>
        </w:tabs>
        <w:snapToGrid w:val="0"/>
        <w:spacing w:line="440" w:lineRule="exact"/>
        <w:ind w:firstLine="570"/>
        <w:rPr>
          <w:rFonts w:ascii="宋体" w:hAns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2370813-8452-4AD8-9194-88867437A8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Garamond">
    <w:altName w:val="RomanS"/>
    <w:panose1 w:val="02020404030301010803"/>
    <w:charset w:val="00"/>
    <w:family w:val="roman"/>
    <w:pitch w:val="default"/>
    <w:sig w:usb0="00000000" w:usb1="00000000" w:usb2="00000000" w:usb3="00000000" w:csb0="0000009F" w:csb1="00000000"/>
  </w:font>
  <w:font w:name="RomanS">
    <w:panose1 w:val="02000400000000000000"/>
    <w:charset w:val="00"/>
    <w:family w:val="auto"/>
    <w:pitch w:val="default"/>
    <w:sig w:usb0="00000207" w:usb1="00000000" w:usb2="00000000" w:usb3="00000000" w:csb0="0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embedRegular r:id="rId2" w:fontKey="{590678D8-7A69-4092-915B-A13D391DE0F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00000001" w:usb1="080E0000" w:usb2="00000000" w:usb3="00000000" w:csb0="00040000" w:csb1="00000000"/>
    <w:embedRegular r:id="rId3" w:fontKey="{398ADE5C-34CD-44A4-B6C4-C5AE246DEF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338968768"/>
    </w:sdtPr>
    <w:sdtEndPr>
      <w:rPr>
        <w:rFonts w:asciiTheme="minorEastAsia" w:hAnsiTheme="minorEastAsia" w:eastAsiaTheme="minorEastAsia"/>
        <w:sz w:val="21"/>
        <w:szCs w:val="21"/>
      </w:rPr>
    </w:sdtEndPr>
    <w:sdtContent>
      <w:p>
        <w:pPr>
          <w:pStyle w:val="6"/>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4</w:t>
        </w:r>
        <w:r>
          <w:rPr>
            <w:rFonts w:asciiTheme="minorEastAsia" w:hAnsiTheme="minorEastAsia" w:eastAsiaTheme="minorEastAsia"/>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0E58"/>
    <w:multiLevelType w:val="singleLevel"/>
    <w:tmpl w:val="1B3F0E58"/>
    <w:lvl w:ilvl="0" w:tentative="0">
      <w:start w:val="1"/>
      <w:numFmt w:val="chineseCounting"/>
      <w:suff w:val="nothing"/>
      <w:lvlText w:val="%1、"/>
      <w:lvlJc w:val="left"/>
      <w:rPr>
        <w:rFonts w:hint="eastAsia" w:cs="Times New Roman"/>
      </w:rPr>
    </w:lvl>
  </w:abstractNum>
  <w:abstractNum w:abstractNumId="1">
    <w:nsid w:val="21F84E1C"/>
    <w:multiLevelType w:val="multilevel"/>
    <w:tmpl w:val="21F84E1C"/>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CD6EFC"/>
    <w:rsid w:val="00042CF0"/>
    <w:rsid w:val="000439A8"/>
    <w:rsid w:val="000A7F0C"/>
    <w:rsid w:val="001908C0"/>
    <w:rsid w:val="001E188A"/>
    <w:rsid w:val="002462BE"/>
    <w:rsid w:val="00264208"/>
    <w:rsid w:val="002D7F00"/>
    <w:rsid w:val="002E0FA7"/>
    <w:rsid w:val="003A41E1"/>
    <w:rsid w:val="003A7EEB"/>
    <w:rsid w:val="003D1393"/>
    <w:rsid w:val="003D7B0F"/>
    <w:rsid w:val="003F4689"/>
    <w:rsid w:val="005B0FC2"/>
    <w:rsid w:val="00681C75"/>
    <w:rsid w:val="006D3136"/>
    <w:rsid w:val="006E3935"/>
    <w:rsid w:val="007064E2"/>
    <w:rsid w:val="00761E58"/>
    <w:rsid w:val="007F6BBC"/>
    <w:rsid w:val="0080174A"/>
    <w:rsid w:val="008603E1"/>
    <w:rsid w:val="00A53707"/>
    <w:rsid w:val="00B74AE6"/>
    <w:rsid w:val="00BB6421"/>
    <w:rsid w:val="00C80CEF"/>
    <w:rsid w:val="00C921BC"/>
    <w:rsid w:val="00CE6975"/>
    <w:rsid w:val="00D73B7D"/>
    <w:rsid w:val="00E220B4"/>
    <w:rsid w:val="00E919CA"/>
    <w:rsid w:val="00F15F32"/>
    <w:rsid w:val="00FA4B95"/>
    <w:rsid w:val="00FE3E16"/>
    <w:rsid w:val="00FF4635"/>
    <w:rsid w:val="010F18C2"/>
    <w:rsid w:val="02934C05"/>
    <w:rsid w:val="040D25E1"/>
    <w:rsid w:val="07B56C8B"/>
    <w:rsid w:val="090963BD"/>
    <w:rsid w:val="0AF46448"/>
    <w:rsid w:val="0B441D61"/>
    <w:rsid w:val="0BAF086B"/>
    <w:rsid w:val="0C921A1F"/>
    <w:rsid w:val="0CA12D02"/>
    <w:rsid w:val="0EA268D2"/>
    <w:rsid w:val="0EFD3AF2"/>
    <w:rsid w:val="10A634D4"/>
    <w:rsid w:val="1223455C"/>
    <w:rsid w:val="14B51122"/>
    <w:rsid w:val="19D6634A"/>
    <w:rsid w:val="1B384EBF"/>
    <w:rsid w:val="1B667A8E"/>
    <w:rsid w:val="1E8E70C3"/>
    <w:rsid w:val="23603707"/>
    <w:rsid w:val="25AA48B5"/>
    <w:rsid w:val="26F358AC"/>
    <w:rsid w:val="2C6E0EBF"/>
    <w:rsid w:val="2D630E22"/>
    <w:rsid w:val="2D6C502D"/>
    <w:rsid w:val="2D6F4A82"/>
    <w:rsid w:val="2E245B1A"/>
    <w:rsid w:val="33DF3597"/>
    <w:rsid w:val="36446701"/>
    <w:rsid w:val="3672397A"/>
    <w:rsid w:val="372B26D9"/>
    <w:rsid w:val="38DD6809"/>
    <w:rsid w:val="3B8C6C5B"/>
    <w:rsid w:val="3CC65979"/>
    <w:rsid w:val="3E2F23B7"/>
    <w:rsid w:val="3F1101D7"/>
    <w:rsid w:val="40C87BA5"/>
    <w:rsid w:val="420C2DF8"/>
    <w:rsid w:val="444E72D0"/>
    <w:rsid w:val="44CD6EFC"/>
    <w:rsid w:val="46C30F43"/>
    <w:rsid w:val="47322C84"/>
    <w:rsid w:val="4C4B4B4E"/>
    <w:rsid w:val="4F141080"/>
    <w:rsid w:val="4F7060C8"/>
    <w:rsid w:val="50841E6A"/>
    <w:rsid w:val="521E330B"/>
    <w:rsid w:val="526705F7"/>
    <w:rsid w:val="52B6201C"/>
    <w:rsid w:val="52CC7C47"/>
    <w:rsid w:val="54CD0797"/>
    <w:rsid w:val="57061C76"/>
    <w:rsid w:val="5A1420A7"/>
    <w:rsid w:val="5C7470CC"/>
    <w:rsid w:val="5D0F2AD0"/>
    <w:rsid w:val="5D8243E0"/>
    <w:rsid w:val="5DBE7A7C"/>
    <w:rsid w:val="5E165637"/>
    <w:rsid w:val="5E555B53"/>
    <w:rsid w:val="632636D3"/>
    <w:rsid w:val="668B2C66"/>
    <w:rsid w:val="68F97DF9"/>
    <w:rsid w:val="69E25FD4"/>
    <w:rsid w:val="6A5C0775"/>
    <w:rsid w:val="6A6B4FD7"/>
    <w:rsid w:val="6DD51060"/>
    <w:rsid w:val="6DE44C44"/>
    <w:rsid w:val="702C45CF"/>
    <w:rsid w:val="721C1A8F"/>
    <w:rsid w:val="740D7B10"/>
    <w:rsid w:val="76BD60D4"/>
    <w:rsid w:val="76EC58AB"/>
    <w:rsid w:val="78603DE1"/>
    <w:rsid w:val="7A0C4F11"/>
    <w:rsid w:val="7D6D7ADD"/>
    <w:rsid w:val="7EFC1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宋体" w:cs="Times New Roman"/>
      <w:kern w:val="2"/>
      <w:sz w:val="21"/>
      <w:lang w:val="en-US" w:eastAsia="zh-CN" w:bidi="ar-SA"/>
    </w:rPr>
  </w:style>
  <w:style w:type="paragraph" w:styleId="3">
    <w:name w:val="heading 1"/>
    <w:basedOn w:val="1"/>
    <w:next w:val="1"/>
    <w:qFormat/>
    <w:uiPriority w:val="99"/>
    <w:pPr>
      <w:keepNext/>
      <w:snapToGrid w:val="0"/>
      <w:spacing w:line="360" w:lineRule="atLeast"/>
      <w:outlineLvl w:val="0"/>
    </w:pPr>
    <w:rPr>
      <w:rFonts w:ascii="宋体"/>
    </w:rPr>
  </w:style>
  <w:style w:type="paragraph" w:styleId="4">
    <w:name w:val="heading 3"/>
    <w:basedOn w:val="1"/>
    <w:next w:val="1"/>
    <w:qFormat/>
    <w:uiPriority w:val="99"/>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heme="minorHAnsi" w:hAnsiTheme="minorHAnsi" w:eastAsiaTheme="minorEastAsia"/>
      <w:szCs w:val="22"/>
    </w:rPr>
  </w:style>
  <w:style w:type="paragraph" w:styleId="5">
    <w:name w:val="Plain Text"/>
    <w:basedOn w:val="1"/>
    <w:unhideWhenUsed/>
    <w:qFormat/>
    <w:uiPriority w:val="0"/>
    <w:rPr>
      <w:rFonts w:ascii="宋体" w:hAnsi="Courier New" w:cs="Courier New"/>
      <w:szCs w:val="21"/>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99"/>
    <w:pPr>
      <w:spacing w:line="180" w:lineRule="auto"/>
      <w:jc w:val="center"/>
    </w:pPr>
    <w:rPr>
      <w:sz w:val="30"/>
    </w:rPr>
  </w:style>
  <w:style w:type="character" w:styleId="11">
    <w:name w:val="FollowedHyperlink"/>
    <w:basedOn w:val="10"/>
    <w:semiHidden/>
    <w:unhideWhenUsed/>
    <w:qFormat/>
    <w:uiPriority w:val="0"/>
    <w:rPr>
      <w:rFonts w:ascii="Arial" w:hAnsi="Arial" w:cs="Arial"/>
      <w:color w:val="666666"/>
      <w:sz w:val="18"/>
      <w:szCs w:val="18"/>
      <w:u w:val="none"/>
    </w:rPr>
  </w:style>
  <w:style w:type="character" w:styleId="12">
    <w:name w:val="Hyperlink"/>
    <w:basedOn w:val="10"/>
    <w:semiHidden/>
    <w:unhideWhenUsed/>
    <w:qFormat/>
    <w:uiPriority w:val="0"/>
    <w:rPr>
      <w:color w:val="000000"/>
      <w:u w:val="none"/>
    </w:rPr>
  </w:style>
  <w:style w:type="paragraph" w:customStyle="1" w:styleId="13">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14">
    <w:name w:val="页脚 Char"/>
    <w:link w:val="6"/>
    <w:qFormat/>
    <w:locked/>
    <w:uiPriority w:val="99"/>
    <w:rPr>
      <w:rFonts w:ascii="Garamond" w:hAnsi="Garamond"/>
      <w:kern w:val="2"/>
      <w:sz w:val="18"/>
    </w:rPr>
  </w:style>
  <w:style w:type="character" w:customStyle="1" w:styleId="15">
    <w:name w:val="页眉 Char"/>
    <w:link w:val="7"/>
    <w:qFormat/>
    <w:locked/>
    <w:uiPriority w:val="99"/>
    <w:rPr>
      <w:rFonts w:ascii="Garamond" w:hAnsi="Garamond"/>
      <w:kern w:val="2"/>
      <w:sz w:val="18"/>
    </w:rPr>
  </w:style>
  <w:style w:type="paragraph" w:styleId="16">
    <w:name w:val="List Paragraph"/>
    <w:basedOn w:val="1"/>
    <w:qFormat/>
    <w:uiPriority w:val="99"/>
    <w:pPr>
      <w:ind w:firstLine="420" w:firstLineChars="200"/>
    </w:pPr>
    <w:rPr>
      <w:rFonts w:ascii="等线" w:hAnsi="等线" w:eastAsia="等线" w:cs="等线"/>
      <w:szCs w:val="21"/>
    </w:rPr>
  </w:style>
  <w:style w:type="paragraph" w:customStyle="1" w:styleId="17">
    <w:name w:val="图例"/>
    <w:basedOn w:val="1"/>
    <w:qFormat/>
    <w:uiPriority w:val="99"/>
    <w:pPr>
      <w:spacing w:before="120" w:after="120" w:line="360" w:lineRule="auto"/>
      <w:jc w:val="center"/>
    </w:pPr>
    <w:rPr>
      <w:rFonts w:ascii="Times New Roman" w:hAnsi="Times New Roman"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2850</Words>
  <Characters>2923</Characters>
  <Lines>27</Lines>
  <Paragraphs>7</Paragraphs>
  <TotalTime>2</TotalTime>
  <ScaleCrop>false</ScaleCrop>
  <LinksUpToDate>false</LinksUpToDate>
  <CharactersWithSpaces>3570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2020-10-31T12:29:00Z</dcterms:created>
  <dc:creator>Administrator</dc:creator>
  <cp:lastModifiedBy>古古</cp:lastModifiedBy>
  <cp:lastPrinted>2022-04-14T06:06:52Z</cp:lastPrinted>
  <dcterms:modified xsi:type="dcterms:W3CDTF">2022-04-14T06:41:08Z</dcterms:modified>
  <dc:title>引入第三方机构开展交通行业安全隐患排查及综合应急预案修编项目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E1E952C5943745C7909B4BB52807C473</vt:lpwstr>
  </property>
</Properties>
</file>