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spacing w:line="400" w:lineRule="exact"/>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开发类报表工具和BI平台采购项目</w:t>
      </w:r>
      <w:r>
        <w:rPr>
          <w:rFonts w:hint="eastAsia" w:ascii="宋体" w:hAnsi="宋体" w:cs="宋体"/>
          <w:b/>
          <w:sz w:val="32"/>
          <w:szCs w:val="32"/>
        </w:rPr>
        <w:t xml:space="preserve"> </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2022</w:t>
      </w:r>
      <w:r>
        <w:rPr>
          <w:rFonts w:hint="eastAsia" w:ascii="宋体" w:hAnsi="宋体" w:cs="宋体"/>
          <w:b/>
          <w:sz w:val="28"/>
          <w:szCs w:val="28"/>
        </w:rPr>
        <w:t>年</w:t>
      </w:r>
      <w:r>
        <w:rPr>
          <w:rFonts w:hint="eastAsia" w:ascii="宋体" w:hAnsi="宋体" w:cs="宋体"/>
          <w:b/>
          <w:sz w:val="28"/>
          <w:szCs w:val="28"/>
          <w:u w:val="single"/>
        </w:rPr>
        <w:t>7</w:t>
      </w:r>
      <w:r>
        <w:rPr>
          <w:rFonts w:hint="eastAsia" w:ascii="宋体" w:hAnsi="宋体" w:cs="宋体"/>
          <w:b/>
          <w:sz w:val="28"/>
          <w:szCs w:val="28"/>
        </w:rPr>
        <w:t>月</w:t>
      </w:r>
    </w:p>
    <w:p>
      <w:pPr>
        <w:pStyle w:val="28"/>
        <w:jc w:val="center"/>
        <w:rPr>
          <w:rFonts w:ascii="宋体" w:hAnsi="宋体" w:cs="宋体"/>
          <w:szCs w:val="21"/>
        </w:rPr>
      </w:pPr>
      <w:r>
        <w:br w:type="page"/>
      </w:r>
      <w:bookmarkStart w:id="0" w:name="_Toc507428442"/>
      <w:bookmarkStart w:id="1" w:name="_Toc507319889"/>
      <w:bookmarkStart w:id="2" w:name="_Toc247085669"/>
      <w:bookmarkStart w:id="3" w:name="_Toc296602400"/>
      <w:bookmarkStart w:id="4" w:name="_Toc246996898"/>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评标办法（综合评估法）</w:t>
      </w:r>
      <w:r>
        <w:tab/>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w:t>
      </w:r>
      <w:r>
        <w:tab/>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8"/>
        <w:tabs>
          <w:tab w:val="right" w:leader="dot" w:pos="9638"/>
        </w:tabs>
      </w:pPr>
      <w:r>
        <w:fldChar w:fldCharType="begin"/>
      </w:r>
      <w:r>
        <w:instrText xml:space="preserve"> HYPERLINK \l "_Toc12089" </w:instrText>
      </w:r>
      <w:r>
        <w:fldChar w:fldCharType="separate"/>
      </w:r>
      <w:r>
        <w:rPr>
          <w:rFonts w:hint="eastAsia" w:ascii="宋体" w:hAnsi="宋体" w:cs="宋体"/>
        </w:rPr>
        <w:t>第八章  合同范本</w:t>
      </w:r>
      <w:r>
        <w:tab/>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4"/>
        <w:spacing w:before="0" w:after="0" w:line="360" w:lineRule="auto"/>
        <w:jc w:val="center"/>
        <w:rPr>
          <w:rFonts w:ascii="宋体" w:hAnsi="宋体" w:cs="宋体"/>
        </w:rPr>
      </w:pPr>
      <w:bookmarkStart w:id="5" w:name="_Toc179632527"/>
      <w:bookmarkStart w:id="6" w:name="_Toc144974479"/>
      <w:bookmarkStart w:id="7" w:name="_Toc247096243"/>
      <w:bookmarkStart w:id="8" w:name="_Toc246996900"/>
      <w:bookmarkStart w:id="9" w:name="_Toc246996157"/>
      <w:bookmarkStart w:id="10" w:name="_Toc2000404"/>
      <w:bookmarkStart w:id="11" w:name="_Toc247085671"/>
      <w:bookmarkStart w:id="12" w:name="_Toc152042287"/>
      <w:bookmarkStart w:id="13" w:name="_Toc507319890"/>
      <w:bookmarkStart w:id="14" w:name="_Toc152045511"/>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2"/>
      <w:bookmarkStart w:id="17" w:name="OLE_LINK3"/>
    </w:p>
    <w:p>
      <w:pPr>
        <w:pStyle w:val="3"/>
        <w:spacing w:before="0" w:after="0" w:line="360" w:lineRule="auto"/>
        <w:rPr>
          <w:rFonts w:ascii="宋体" w:hAnsi="宋体" w:eastAsia="宋体" w:cs="宋体"/>
        </w:rPr>
      </w:pPr>
      <w:bookmarkStart w:id="18" w:name="_Toc6549"/>
      <w:bookmarkStart w:id="19" w:name="_Toc507319891"/>
      <w:bookmarkStart w:id="20" w:name="_Toc247085672"/>
      <w:bookmarkStart w:id="21" w:name="_Toc24874"/>
      <w:bookmarkStart w:id="22" w:name="_Toc246996158"/>
      <w:bookmarkStart w:id="23" w:name="_Toc246996901"/>
      <w:bookmarkStart w:id="24" w:name="_Toc144974480"/>
      <w:bookmarkStart w:id="25" w:name="_Toc10076"/>
      <w:bookmarkStart w:id="26" w:name="_Toc152042288"/>
      <w:bookmarkStart w:id="27" w:name="_Toc11329213"/>
      <w:bookmarkStart w:id="28" w:name="_Toc152045512"/>
      <w:bookmarkStart w:id="29" w:name="_Toc179632528"/>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eastAsia="zh-CN"/>
        </w:rPr>
        <w:t>开发类报表工具和BI平台采购项目</w:t>
      </w:r>
      <w:r>
        <w:rPr>
          <w:rFonts w:hint="eastAsia" w:ascii="宋体" w:hAnsi="宋体" w:cs="宋体"/>
          <w:szCs w:val="21"/>
          <w:u w:val="single"/>
        </w:rPr>
        <w:t xml:space="preserve"> </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3"/>
        <w:spacing w:before="120" w:after="0" w:line="360" w:lineRule="auto"/>
        <w:rPr>
          <w:rFonts w:ascii="宋体" w:hAnsi="宋体" w:eastAsia="宋体" w:cs="宋体"/>
        </w:rPr>
      </w:pPr>
      <w:bookmarkStart w:id="30" w:name="_Toc179632529"/>
      <w:bookmarkStart w:id="31" w:name="_Toc247085673"/>
      <w:bookmarkStart w:id="32" w:name="_Toc144974481"/>
      <w:bookmarkStart w:id="33" w:name="_Toc11329214"/>
      <w:bookmarkStart w:id="34" w:name="_Toc21343"/>
      <w:bookmarkStart w:id="35" w:name="_Toc246996902"/>
      <w:bookmarkStart w:id="36" w:name="_Toc10952"/>
      <w:bookmarkStart w:id="37" w:name="_Toc507319892"/>
      <w:bookmarkStart w:id="38" w:name="_Toc18109"/>
      <w:bookmarkStart w:id="39" w:name="_Toc152042289"/>
      <w:bookmarkStart w:id="40" w:name="_Toc152045513"/>
      <w:bookmarkStart w:id="41" w:name="_Toc24699615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rPr>
        <w:t>重庆首讯科技股份有限公司本部</w:t>
      </w:r>
      <w:r>
        <w:rPr>
          <w:rFonts w:hint="eastAsia" w:ascii="宋体" w:hAnsi="宋体" w:cs="宋体"/>
        </w:rPr>
        <w:t>。</w:t>
      </w:r>
    </w:p>
    <w:p>
      <w:pPr>
        <w:pStyle w:val="12"/>
        <w:adjustRightInd w:val="0"/>
        <w:spacing w:line="400" w:lineRule="exact"/>
        <w:rPr>
          <w:rFonts w:ascii="宋体" w:hAnsi="宋体" w:cs="宋体"/>
        </w:rPr>
      </w:pPr>
      <w:r>
        <w:rPr>
          <w:rFonts w:hint="eastAsia" w:ascii="宋体" w:hAnsi="宋体" w:cs="宋体"/>
          <w:szCs w:val="21"/>
        </w:rPr>
        <w:t>2.2 项目概况：解决目前集团公司对于数据的分析方式及展示形式单一的问题。项目建成后将数据可视化展示平台，从不同维度进行数据图表的展示，同时通过权限设置，系统可为各级领导提供针对性的数据图表供其辅助决策，通过报表与BI产品，设计并完成业务系统内部的报表与BI产品，为公司提供宏观、数字化的图表展示。具体见技术标准和工作要求。</w:t>
      </w:r>
    </w:p>
    <w:p>
      <w:pPr>
        <w:pStyle w:val="12"/>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szCs w:val="21"/>
          <w:u w:val="single"/>
        </w:rPr>
        <w:t>报表</w:t>
      </w:r>
      <w:r>
        <w:rPr>
          <w:rFonts w:hint="eastAsia" w:ascii="宋体" w:hAnsi="宋体" w:cs="宋体"/>
          <w:szCs w:val="21"/>
          <w:u w:val="single"/>
          <w:lang w:eastAsia="zh-CN"/>
        </w:rPr>
        <w:t>工具</w:t>
      </w:r>
      <w:r>
        <w:rPr>
          <w:rFonts w:hint="eastAsia" w:ascii="宋体" w:hAnsi="宋体" w:cs="宋体"/>
          <w:szCs w:val="21"/>
          <w:u w:val="single"/>
        </w:rPr>
        <w:t>与BI产品</w:t>
      </w:r>
      <w:r>
        <w:rPr>
          <w:rFonts w:hint="eastAsia" w:ascii="宋体" w:hAnsi="宋体" w:cs="宋体"/>
          <w:szCs w:val="21"/>
        </w:rPr>
        <w:t xml:space="preserve"> </w:t>
      </w:r>
    </w:p>
    <w:p>
      <w:pPr>
        <w:spacing w:line="400" w:lineRule="exact"/>
        <w:ind w:firstLine="420" w:firstLineChars="200"/>
        <w:rPr>
          <w:rFonts w:ascii="宋体" w:hAnsi="宋体" w:cs="宋体"/>
        </w:rPr>
      </w:pPr>
      <w:r>
        <w:rPr>
          <w:rFonts w:hint="eastAsia" w:ascii="宋体" w:hAnsi="宋体" w:cs="宋体"/>
        </w:rPr>
        <w:t>2.4 工期要求：合同期限：合同签订后1个月内完成产品部署。</w:t>
      </w:r>
    </w:p>
    <w:p>
      <w:pPr>
        <w:pStyle w:val="3"/>
        <w:spacing w:before="120" w:after="0" w:line="360" w:lineRule="auto"/>
        <w:rPr>
          <w:rFonts w:ascii="宋体" w:hAnsi="宋体" w:eastAsia="宋体" w:cs="宋体"/>
        </w:rPr>
      </w:pPr>
      <w:bookmarkStart w:id="43" w:name="_Toc152045514"/>
      <w:bookmarkStart w:id="44" w:name="_Toc247085674"/>
      <w:bookmarkStart w:id="45" w:name="_Toc7065"/>
      <w:bookmarkStart w:id="46" w:name="_Toc11329215"/>
      <w:bookmarkStart w:id="47" w:name="_Toc30356"/>
      <w:bookmarkStart w:id="48" w:name="_Toc179632530"/>
      <w:bookmarkStart w:id="49" w:name="_Toc507319893"/>
      <w:bookmarkStart w:id="50" w:name="_Toc10171"/>
      <w:bookmarkStart w:id="51" w:name="_Toc152042290"/>
      <w:bookmarkStart w:id="52" w:name="_Toc246996160"/>
      <w:bookmarkStart w:id="53" w:name="_Toc246996903"/>
      <w:bookmarkStart w:id="54" w:name="_Toc144974482"/>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246996904"/>
      <w:bookmarkStart w:id="56" w:name="_Toc152045515"/>
      <w:bookmarkStart w:id="57" w:name="_Toc246996161"/>
      <w:bookmarkStart w:id="58" w:name="_Toc179632531"/>
      <w:bookmarkStart w:id="59" w:name="_Toc152042291"/>
      <w:bookmarkStart w:id="60" w:name="_Toc144974483"/>
      <w:bookmarkStart w:id="61" w:name="_Toc247085675"/>
      <w:r>
        <w:rPr>
          <w:rFonts w:hint="eastAsia" w:ascii="宋体" w:hAnsi="宋体" w:cs="宋体"/>
          <w:szCs w:val="21"/>
          <w:shd w:val="clear" w:color="auto" w:fill="FFFFFF"/>
        </w:rPr>
        <w:t>3.1 资质要求：</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（1）报价人具有独立法人资格，</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（2）具有有效的营业执照，且经营范围包含但不限于软件开发范围；</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（3）报价人需为</w:t>
      </w:r>
      <w:r>
        <w:rPr>
          <w:rFonts w:hint="eastAsia" w:ascii="宋体" w:hAnsi="宋体" w:cs="宋体"/>
          <w:szCs w:val="21"/>
          <w:shd w:val="clear" w:color="auto" w:fill="FFFFFF"/>
          <w:lang w:val="en-US" w:eastAsia="zh-CN"/>
        </w:rPr>
        <w:t>厂家</w:t>
      </w:r>
      <w:r>
        <w:rPr>
          <w:rFonts w:hint="eastAsia" w:ascii="宋体" w:hAnsi="宋体" w:cs="宋体"/>
          <w:szCs w:val="21"/>
          <w:shd w:val="clear" w:color="auto" w:fill="FFFFFF"/>
        </w:rPr>
        <w:t>或者为</w:t>
      </w:r>
      <w:r>
        <w:rPr>
          <w:rFonts w:hint="eastAsia" w:ascii="宋体" w:hAnsi="宋体" w:cs="宋体"/>
          <w:szCs w:val="21"/>
          <w:shd w:val="clear" w:color="auto" w:fill="FFFFFF"/>
          <w:lang w:val="en-US" w:eastAsia="zh-CN"/>
        </w:rPr>
        <w:t>厂家</w:t>
      </w:r>
      <w:r>
        <w:rPr>
          <w:rFonts w:hint="eastAsia" w:ascii="宋体" w:hAnsi="宋体" w:cs="宋体"/>
          <w:szCs w:val="21"/>
          <w:shd w:val="clear" w:color="auto" w:fill="FFFFFF"/>
        </w:rPr>
        <w:t>代理商</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具有BI类产品著作权，如果是代理，需原厂提供授权函和软著。</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3.2 业绩要求：近三年（2019年1月1日起至投标截止日）至少承担一项</w:t>
      </w:r>
      <w:r>
        <w:rPr>
          <w:rFonts w:hint="eastAsia" w:ascii="宋体" w:hAnsi="宋体" w:cs="宋体"/>
          <w:szCs w:val="21"/>
          <w:shd w:val="clear" w:color="auto" w:fill="FFFFFF"/>
          <w:lang w:val="en-US" w:eastAsia="zh-CN"/>
        </w:rPr>
        <w:t>27</w:t>
      </w:r>
      <w:r>
        <w:rPr>
          <w:rFonts w:hint="eastAsia" w:ascii="宋体" w:hAnsi="宋体" w:cs="宋体"/>
          <w:szCs w:val="21"/>
          <w:shd w:val="clear" w:color="auto" w:fill="FFFFFF"/>
        </w:rPr>
        <w:t>万及以上</w:t>
      </w:r>
      <w:r>
        <w:rPr>
          <w:rFonts w:hint="eastAsia" w:ascii="宋体" w:hAnsi="宋体" w:cs="宋体"/>
          <w:szCs w:val="21"/>
        </w:rPr>
        <w:t>报表与BI产品</w:t>
      </w:r>
      <w:r>
        <w:rPr>
          <w:rFonts w:hint="eastAsia" w:ascii="宋体" w:hAnsi="宋体" w:cs="宋体"/>
          <w:szCs w:val="21"/>
          <w:lang w:val="en-US" w:eastAsia="zh-CN"/>
        </w:rPr>
        <w:t>类</w:t>
      </w:r>
      <w:r>
        <w:rPr>
          <w:rFonts w:hint="eastAsia" w:ascii="宋体" w:hAnsi="宋体" w:cs="宋体"/>
          <w:szCs w:val="21"/>
          <w:shd w:val="clear" w:color="auto" w:fill="FFFFFF"/>
        </w:rPr>
        <w:t>销售项目（提供合同扫描件）。</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3.3 信誉要求：报价人在国家企业信用信息公示系统（http://www.gsxt.gov.cn/）中未被列入严重违法失信企业名单（黑名单）信息；在“信用中国”网站（http://www.creditchina.gov.cn/）中未被列入失信惩戒执行人名单。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3.4 报价人须提供采购人要求的所有资质求、业绩要求、信誉要求的复印件并加盖单位鲜公章。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3.5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3.6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3"/>
        <w:spacing w:before="120" w:after="0" w:line="400" w:lineRule="exact"/>
        <w:rPr>
          <w:rFonts w:ascii="宋体" w:hAnsi="宋体" w:eastAsia="宋体" w:cs="宋体"/>
        </w:rPr>
      </w:pPr>
      <w:bookmarkStart w:id="62" w:name="_Toc11329216"/>
      <w:bookmarkStart w:id="63" w:name="_Toc507319894"/>
      <w:bookmarkStart w:id="64" w:name="_Toc25619"/>
      <w:bookmarkStart w:id="65" w:name="_Toc14361"/>
      <w:bookmarkStart w:id="66" w:name="_Toc12460"/>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11329217"/>
      <w:bookmarkStart w:id="68" w:name="_Toc246996905"/>
      <w:bookmarkStart w:id="69" w:name="_Toc152042292"/>
      <w:bookmarkStart w:id="70" w:name="_Toc179632532"/>
      <w:bookmarkStart w:id="71" w:name="_Toc507319895"/>
      <w:bookmarkStart w:id="72" w:name="_Toc246996162"/>
      <w:bookmarkStart w:id="73" w:name="_Toc152045516"/>
      <w:bookmarkStart w:id="74" w:name="_Toc247085676"/>
      <w:bookmarkStart w:id="75" w:name="_Toc144974484"/>
      <w:r>
        <w:rPr>
          <w:rFonts w:hint="eastAsia" w:ascii="宋体" w:hAnsi="宋体"/>
          <w:szCs w:val="21"/>
        </w:rPr>
        <w:t>凡愿意参加的潜在报价人，在</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7</w:t>
      </w:r>
      <w:r>
        <w:rPr>
          <w:rFonts w:hint="eastAsia" w:ascii="宋体" w:hAnsi="宋体"/>
          <w:szCs w:val="21"/>
          <w:highlight w:val="none"/>
        </w:rPr>
        <w:t>月</w:t>
      </w:r>
      <w:r>
        <w:rPr>
          <w:rFonts w:hint="eastAsia" w:ascii="宋体" w:hAnsi="宋体"/>
          <w:szCs w:val="21"/>
          <w:highlight w:val="none"/>
          <w:u w:val="single"/>
          <w:lang w:val="en-US" w:eastAsia="zh-CN"/>
        </w:rPr>
        <w:t>21</w:t>
      </w:r>
      <w:r>
        <w:rPr>
          <w:rFonts w:hint="eastAsia" w:ascii="宋体" w:hAnsi="宋体"/>
          <w:szCs w:val="21"/>
          <w:highlight w:val="none"/>
        </w:rPr>
        <w:t>日</w:t>
      </w:r>
      <w:r>
        <w:rPr>
          <w:rFonts w:hint="eastAsia" w:ascii="宋体" w:hAnsi="宋体"/>
          <w:szCs w:val="21"/>
          <w:highlight w:val="none"/>
          <w:u w:val="single"/>
        </w:rPr>
        <w:t>14:00</w:t>
      </w:r>
      <w:r>
        <w:rPr>
          <w:rFonts w:hint="eastAsia" w:ascii="宋体" w:hAnsi="宋体"/>
          <w:szCs w:val="21"/>
          <w:highlight w:val="none"/>
        </w:rPr>
        <w:t>前在重</w:t>
      </w:r>
      <w:r>
        <w:rPr>
          <w:rFonts w:hint="eastAsia" w:ascii="宋体" w:hAnsi="宋体"/>
          <w:szCs w:val="21"/>
        </w:rPr>
        <w:t>庆高速集团官网上获取比选文件。各报价人应随时关注网上发布的竞争性比选文件答疑、补遗、澄清等文件内容，不管报价人是否下载，均视为已知晓竞争性比选文件的全部内容和有关事宜。</w:t>
      </w:r>
    </w:p>
    <w:p>
      <w:pPr>
        <w:pStyle w:val="3"/>
        <w:spacing w:before="120" w:after="0" w:line="400" w:lineRule="exact"/>
        <w:rPr>
          <w:rFonts w:ascii="宋体" w:hAnsi="宋体" w:eastAsia="宋体" w:cs="宋体"/>
        </w:rPr>
      </w:pPr>
      <w:bookmarkStart w:id="76" w:name="_Toc16686"/>
      <w:bookmarkStart w:id="77" w:name="_Toc9131"/>
      <w:bookmarkStart w:id="78" w:name="_Toc31493"/>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360" w:lineRule="auto"/>
        <w:ind w:firstLine="420" w:firstLineChars="200"/>
        <w:rPr>
          <w:rFonts w:ascii="宋体" w:hAnsi="宋体" w:cs="宋体"/>
          <w:szCs w:val="21"/>
          <w:highlight w:val="none"/>
        </w:rPr>
      </w:pPr>
      <w:r>
        <w:rPr>
          <w:rFonts w:hint="eastAsia" w:ascii="宋体" w:hAnsi="宋体" w:cs="宋体"/>
          <w:szCs w:val="21"/>
        </w:rPr>
        <w:t>5.1报价截止时间和开标时间：</w:t>
      </w:r>
      <w:r>
        <w:rPr>
          <w:rFonts w:hint="eastAsia" w:ascii="宋体" w:hAnsi="宋体"/>
          <w:szCs w:val="21"/>
          <w:highlight w:val="none"/>
          <w:u w:val="single"/>
        </w:rPr>
        <w:t>2022</w:t>
      </w:r>
      <w:r>
        <w:rPr>
          <w:rFonts w:hint="eastAsia" w:ascii="宋体" w:hAnsi="宋体"/>
          <w:szCs w:val="21"/>
          <w:highlight w:val="none"/>
        </w:rPr>
        <w:t>年</w:t>
      </w:r>
      <w:r>
        <w:rPr>
          <w:rFonts w:hint="eastAsia" w:ascii="宋体" w:hAnsi="宋体"/>
          <w:szCs w:val="21"/>
          <w:highlight w:val="none"/>
          <w:u w:val="single"/>
        </w:rPr>
        <w:t>7</w:t>
      </w:r>
      <w:r>
        <w:rPr>
          <w:rFonts w:hint="eastAsia" w:ascii="宋体" w:hAnsi="宋体"/>
          <w:szCs w:val="21"/>
          <w:highlight w:val="none"/>
        </w:rPr>
        <w:t>月</w:t>
      </w:r>
      <w:r>
        <w:rPr>
          <w:rFonts w:hint="eastAsia" w:ascii="宋体" w:hAnsi="宋体"/>
          <w:szCs w:val="21"/>
          <w:highlight w:val="none"/>
          <w:u w:val="single"/>
          <w:lang w:val="en-US" w:eastAsia="zh-CN"/>
        </w:rPr>
        <w:t>21</w:t>
      </w:r>
      <w:r>
        <w:rPr>
          <w:rFonts w:hint="eastAsia" w:ascii="宋体" w:hAnsi="宋体"/>
          <w:szCs w:val="21"/>
          <w:highlight w:val="none"/>
        </w:rPr>
        <w:t>日下午</w:t>
      </w:r>
      <w:r>
        <w:rPr>
          <w:rFonts w:hint="eastAsia" w:ascii="宋体" w:hAnsi="宋体" w:cs="宋体"/>
          <w:szCs w:val="21"/>
          <w:highlight w:val="none"/>
          <w:u w:val="single"/>
        </w:rPr>
        <w:t xml:space="preserve"> 14 </w:t>
      </w:r>
      <w:r>
        <w:rPr>
          <w:rFonts w:hint="eastAsia" w:ascii="宋体" w:hAnsi="宋体" w:cs="宋体"/>
          <w:szCs w:val="21"/>
          <w:highlight w:val="none"/>
        </w:rPr>
        <w:t>时</w:t>
      </w:r>
      <w:r>
        <w:rPr>
          <w:rFonts w:hint="eastAsia" w:ascii="宋体" w:hAnsi="宋体" w:cs="宋体"/>
          <w:szCs w:val="21"/>
          <w:highlight w:val="none"/>
          <w:u w:val="single"/>
        </w:rPr>
        <w:t xml:space="preserve"> 00 </w:t>
      </w:r>
      <w:r>
        <w:rPr>
          <w:rFonts w:hint="eastAsia" w:ascii="宋体" w:hAnsi="宋体" w:cs="宋体"/>
          <w:szCs w:val="21"/>
          <w:highlight w:val="none"/>
        </w:rPr>
        <w:t>分（北京时间）。</w:t>
      </w:r>
    </w:p>
    <w:p>
      <w:pPr>
        <w:tabs>
          <w:tab w:val="left" w:pos="360"/>
        </w:tabs>
        <w:spacing w:line="360" w:lineRule="auto"/>
        <w:ind w:firstLine="420" w:firstLineChars="200"/>
        <w:rPr>
          <w:rFonts w:ascii="宋体" w:hAnsi="宋体" w:cs="宋体"/>
          <w:szCs w:val="21"/>
        </w:rPr>
      </w:pPr>
      <w:r>
        <w:rPr>
          <w:rFonts w:hint="eastAsia" w:ascii="宋体" w:hAnsi="宋体" w:cs="宋体"/>
          <w:szCs w:val="21"/>
          <w:highlight w:val="none"/>
        </w:rPr>
        <w:t>5.2报价的递交：报价文件于</w:t>
      </w:r>
      <w:r>
        <w:rPr>
          <w:rFonts w:hint="eastAsia" w:ascii="宋体" w:hAnsi="宋体" w:cs="宋体"/>
          <w:szCs w:val="21"/>
          <w:highlight w:val="none"/>
          <w:u w:val="single"/>
        </w:rPr>
        <w:t>2022</w:t>
      </w:r>
      <w:r>
        <w:rPr>
          <w:rFonts w:hint="eastAsia" w:ascii="宋体" w:hAnsi="宋体" w:cs="宋体"/>
          <w:szCs w:val="21"/>
          <w:highlight w:val="none"/>
        </w:rPr>
        <w:t>年</w:t>
      </w:r>
      <w:r>
        <w:rPr>
          <w:rFonts w:hint="eastAsia" w:ascii="宋体" w:hAnsi="宋体" w:cs="宋体"/>
          <w:szCs w:val="21"/>
          <w:highlight w:val="none"/>
          <w:u w:val="single"/>
        </w:rPr>
        <w:t>7</w:t>
      </w:r>
      <w:r>
        <w:rPr>
          <w:rFonts w:hint="eastAsia" w:ascii="宋体" w:hAnsi="宋体" w:cs="宋体"/>
          <w:szCs w:val="21"/>
          <w:highlight w:val="none"/>
        </w:rPr>
        <w:t>月</w:t>
      </w:r>
      <w:r>
        <w:rPr>
          <w:rFonts w:hint="eastAsia" w:ascii="宋体" w:hAnsi="宋体" w:cs="宋体"/>
          <w:szCs w:val="21"/>
          <w:highlight w:val="none"/>
          <w:u w:val="single"/>
          <w:lang w:val="en-US" w:eastAsia="zh-CN"/>
        </w:rPr>
        <w:t>21</w:t>
      </w:r>
      <w:r>
        <w:rPr>
          <w:rFonts w:hint="eastAsia" w:ascii="宋体" w:hAnsi="宋体" w:cs="宋体"/>
          <w:szCs w:val="21"/>
          <w:highlight w:val="none"/>
        </w:rPr>
        <w:t>日</w:t>
      </w:r>
      <w:r>
        <w:rPr>
          <w:rFonts w:hint="eastAsia" w:ascii="宋体" w:hAnsi="宋体" w:cs="宋体"/>
          <w:szCs w:val="21"/>
          <w:highlight w:val="none"/>
          <w:u w:val="single"/>
        </w:rPr>
        <w:t>14：00</w:t>
      </w:r>
      <w:r>
        <w:rPr>
          <w:rFonts w:hint="eastAsia" w:ascii="宋体" w:hAnsi="宋体" w:cs="宋体"/>
          <w:szCs w:val="21"/>
          <w:highlight w:val="none"/>
        </w:rPr>
        <w:t>提交至重</w:t>
      </w:r>
      <w:r>
        <w:rPr>
          <w:rFonts w:hint="eastAsia" w:ascii="宋体" w:hAnsi="宋体" w:cs="宋体"/>
          <w:szCs w:val="21"/>
        </w:rPr>
        <w:t>庆市南岸区四公里内环入口200米处重庆首讯科技大楼</w:t>
      </w:r>
      <w:r>
        <w:rPr>
          <w:rFonts w:hint="eastAsia" w:ascii="宋体" w:hAnsi="宋体"/>
          <w:szCs w:val="21"/>
        </w:rPr>
        <w:t>。</w:t>
      </w:r>
    </w:p>
    <w:p>
      <w:pPr>
        <w:tabs>
          <w:tab w:val="left" w:pos="360"/>
        </w:tabs>
        <w:spacing w:line="360" w:lineRule="auto"/>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pStyle w:val="16"/>
        <w:spacing w:line="360" w:lineRule="auto"/>
        <w:ind w:firstLine="408"/>
        <w:rPr>
          <w:rFonts w:ascii="宋体" w:hAnsi="宋体" w:cs="宋体"/>
          <w:kern w:val="2"/>
          <w:sz w:val="21"/>
          <w:szCs w:val="21"/>
        </w:rPr>
      </w:pPr>
      <w:r>
        <w:rPr>
          <w:rFonts w:hint="eastAsia" w:ascii="宋体" w:hAnsi="宋体" w:cs="宋体"/>
          <w:kern w:val="2"/>
          <w:sz w:val="21"/>
          <w:szCs w:val="21"/>
        </w:rPr>
        <w:t>5.4竞争性比选响应文件提交正本1份，副本1份，副本可为正本的复印件，竞争性比选响应文件需装订成册；报价人应提供竞争性比选响应文件电子文件1份（U盘1份，电子文件内容须包括竞争性比选响应文件全部内容）。当电子文件与纸质版竞争性比选响应文件不一致时，以纸质版竞争性比选响应文件为准，当正本与副本不一致时，以正本为准。</w:t>
      </w:r>
    </w:p>
    <w:p>
      <w:pPr>
        <w:spacing w:line="360" w:lineRule="auto"/>
        <w:ind w:firstLine="408"/>
        <w:rPr>
          <w:rFonts w:ascii="宋体" w:hAnsi="宋体" w:cs="宋体"/>
          <w:szCs w:val="21"/>
        </w:rPr>
      </w:pPr>
      <w:r>
        <w:rPr>
          <w:rFonts w:hint="eastAsia" w:ascii="宋体" w:hAnsi="宋体" w:cs="宋体"/>
          <w:szCs w:val="21"/>
        </w:rPr>
        <w:t>5.5本次竞争性比选响应文件的组成：竞争性比选响应声明书、法定代表人身份证明和法定代表人授权委托书、报价一览表、资格要求材料、承诺书、报价人认为需要提供的其他相关文件（注：以上所有文件均须加盖报价人的公章）。</w:t>
      </w:r>
    </w:p>
    <w:p>
      <w:pPr>
        <w:pStyle w:val="16"/>
        <w:spacing w:line="360" w:lineRule="auto"/>
        <w:ind w:firstLine="408"/>
        <w:rPr>
          <w:rFonts w:ascii="宋体" w:hAnsi="宋体" w:cs="宋体"/>
          <w:kern w:val="2"/>
          <w:sz w:val="21"/>
          <w:szCs w:val="21"/>
        </w:rPr>
      </w:pPr>
      <w:r>
        <w:rPr>
          <w:rFonts w:hint="eastAsia" w:ascii="宋体" w:hAnsi="宋体" w:cs="宋体"/>
          <w:kern w:val="2"/>
          <w:sz w:val="21"/>
          <w:szCs w:val="21"/>
        </w:rPr>
        <w:t>5.6密封要求：竞争性比选响应文件密封到一个封袋中，在封套上写明：</w:t>
      </w:r>
      <w:r>
        <w:rPr>
          <w:rFonts w:hint="eastAsia" w:ascii="宋体" w:hAnsi="宋体" w:cs="宋体"/>
          <w:kern w:val="2"/>
          <w:sz w:val="21"/>
          <w:szCs w:val="21"/>
          <w:lang w:eastAsia="zh-CN"/>
        </w:rPr>
        <w:t>开发类报表工具和BI平台采购项目</w:t>
      </w:r>
      <w:r>
        <w:rPr>
          <w:rFonts w:hint="eastAsia" w:ascii="宋体" w:hAnsi="宋体" w:cs="宋体"/>
          <w:kern w:val="2"/>
          <w:sz w:val="21"/>
          <w:szCs w:val="21"/>
        </w:rPr>
        <w:t>竞争性比选响应文件，在</w:t>
      </w:r>
      <w:r>
        <w:rPr>
          <w:rFonts w:hint="eastAsia" w:ascii="宋体" w:hAnsi="宋体" w:cs="宋体"/>
          <w:kern w:val="2"/>
          <w:sz w:val="21"/>
          <w:szCs w:val="21"/>
          <w:highlight w:val="none"/>
          <w:u w:val="single"/>
        </w:rPr>
        <w:t>2022</w:t>
      </w:r>
      <w:r>
        <w:rPr>
          <w:rFonts w:hint="eastAsia" w:ascii="宋体" w:hAnsi="宋体" w:cs="宋体"/>
          <w:kern w:val="2"/>
          <w:sz w:val="21"/>
          <w:szCs w:val="21"/>
          <w:highlight w:val="none"/>
        </w:rPr>
        <w:t>年</w:t>
      </w:r>
      <w:r>
        <w:rPr>
          <w:rFonts w:hint="eastAsia" w:ascii="宋体" w:hAnsi="宋体" w:cs="宋体"/>
          <w:kern w:val="2"/>
          <w:sz w:val="21"/>
          <w:szCs w:val="21"/>
          <w:highlight w:val="none"/>
          <w:u w:val="single"/>
        </w:rPr>
        <w:t>7</w:t>
      </w:r>
      <w:r>
        <w:rPr>
          <w:rFonts w:hint="eastAsia" w:ascii="宋体" w:hAnsi="宋体" w:cs="宋体"/>
          <w:kern w:val="2"/>
          <w:sz w:val="21"/>
          <w:szCs w:val="21"/>
          <w:highlight w:val="none"/>
        </w:rPr>
        <w:t>月</w:t>
      </w:r>
      <w:r>
        <w:rPr>
          <w:rFonts w:hint="eastAsia" w:ascii="宋体" w:hAnsi="宋体" w:cs="宋体"/>
          <w:kern w:val="2"/>
          <w:sz w:val="21"/>
          <w:szCs w:val="21"/>
          <w:highlight w:val="none"/>
          <w:u w:val="single"/>
          <w:lang w:val="en-US" w:eastAsia="zh-CN"/>
        </w:rPr>
        <w:t>21</w:t>
      </w:r>
      <w:r>
        <w:rPr>
          <w:rFonts w:hint="eastAsia" w:ascii="宋体" w:hAnsi="宋体" w:cs="宋体"/>
          <w:kern w:val="2"/>
          <w:sz w:val="21"/>
          <w:szCs w:val="21"/>
          <w:highlight w:val="none"/>
        </w:rPr>
        <w:t>日</w:t>
      </w:r>
      <w:r>
        <w:rPr>
          <w:rFonts w:hint="eastAsia" w:ascii="宋体" w:hAnsi="宋体" w:cs="宋体"/>
          <w:kern w:val="2"/>
          <w:sz w:val="21"/>
          <w:szCs w:val="21"/>
          <w:highlight w:val="none"/>
          <w:u w:val="single"/>
        </w:rPr>
        <w:t>14：00</w:t>
      </w:r>
      <w:r>
        <w:rPr>
          <w:rFonts w:hint="eastAsia" w:ascii="宋体" w:hAnsi="宋体" w:cs="宋体"/>
          <w:kern w:val="2"/>
          <w:sz w:val="21"/>
          <w:szCs w:val="21"/>
          <w:highlight w:val="none"/>
        </w:rPr>
        <w:t>时</w:t>
      </w:r>
      <w:r>
        <w:rPr>
          <w:rFonts w:hint="eastAsia" w:ascii="宋体" w:hAnsi="宋体" w:cs="宋体"/>
          <w:kern w:val="2"/>
          <w:sz w:val="21"/>
          <w:szCs w:val="21"/>
        </w:rPr>
        <w:t>前不得开启</w:t>
      </w:r>
    </w:p>
    <w:p>
      <w:pPr>
        <w:pStyle w:val="3"/>
        <w:spacing w:before="120" w:after="0" w:line="400" w:lineRule="exact"/>
        <w:rPr>
          <w:rFonts w:ascii="宋体" w:hAnsi="宋体" w:eastAsia="宋体" w:cs="宋体"/>
        </w:rPr>
      </w:pPr>
      <w:bookmarkStart w:id="79" w:name="_Toc11329219"/>
      <w:bookmarkStart w:id="80" w:name="_Toc247085678"/>
      <w:bookmarkStart w:id="81" w:name="_Toc144974485"/>
      <w:bookmarkStart w:id="82" w:name="_Toc179632534"/>
      <w:bookmarkStart w:id="83" w:name="_Toc21615"/>
      <w:bookmarkStart w:id="84" w:name="_Toc246996164"/>
      <w:bookmarkStart w:id="85" w:name="_Toc507319897"/>
      <w:bookmarkStart w:id="86" w:name="_Toc152045517"/>
      <w:bookmarkStart w:id="87" w:name="_Toc393"/>
      <w:bookmarkStart w:id="88" w:name="_Toc152042293"/>
      <w:bookmarkStart w:id="89" w:name="_Toc18402"/>
      <w:bookmarkStart w:id="90" w:name="_Toc246996907"/>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地址：重庆市南岸区四公里内环入口高速集团首讯科技大楼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商务联系人：邵老师  电 话：13527396256</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pPr>
            <w:r>
              <w:rPr>
                <w:rFonts w:hint="eastAsia"/>
              </w:rPr>
              <w:t xml:space="preserve">技术联系人：黎老师  </w:t>
            </w:r>
            <w:r>
              <w:rPr>
                <w:rFonts w:hint="eastAsia" w:ascii="宋体" w:hAnsi="宋体" w:cs="宋体"/>
                <w:szCs w:val="21"/>
              </w:rPr>
              <w:t>电 话：18323165845</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bookmarkEnd w:id="16"/>
    <w:bookmarkEnd w:id="17"/>
    <w:p>
      <w:pPr>
        <w:pStyle w:val="4"/>
        <w:spacing w:before="0" w:after="0" w:line="360" w:lineRule="auto"/>
        <w:jc w:val="both"/>
        <w:rPr>
          <w:rFonts w:hint="eastAsia" w:ascii="宋体" w:hAnsi="宋体" w:cs="宋体"/>
        </w:rPr>
      </w:pPr>
      <w:bookmarkStart w:id="91" w:name="_Toc2000405"/>
      <w:bookmarkStart w:id="92" w:name="_Toc246996173"/>
      <w:bookmarkStart w:id="93" w:name="_Toc152045527"/>
      <w:bookmarkStart w:id="94" w:name="_Toc246996916"/>
      <w:bookmarkStart w:id="95" w:name="_Toc144974495"/>
      <w:bookmarkStart w:id="96" w:name="_Toc152042303"/>
      <w:bookmarkStart w:id="97" w:name="_Toc21719"/>
      <w:bookmarkStart w:id="98" w:name="_Toc507319898"/>
      <w:bookmarkStart w:id="99" w:name="_Toc179632544"/>
      <w:bookmarkStart w:id="100" w:name="_Toc247085687"/>
    </w:p>
    <w:p>
      <w:pPr>
        <w:rPr>
          <w:rFonts w:hint="eastAsia" w:ascii="宋体" w:hAnsi="宋体" w:cs="宋体"/>
        </w:rPr>
      </w:pPr>
    </w:p>
    <w:p>
      <w:pPr>
        <w:pStyle w:val="4"/>
        <w:spacing w:before="0" w:after="0" w:line="360" w:lineRule="auto"/>
        <w:jc w:val="center"/>
        <w:rPr>
          <w:rFonts w:hint="eastAsia" w:ascii="宋体" w:hAnsi="宋体" w:cs="宋体"/>
        </w:rPr>
      </w:pPr>
    </w:p>
    <w:p>
      <w:pPr>
        <w:rPr>
          <w:rFonts w:hint="eastAsia"/>
        </w:rPr>
      </w:pPr>
    </w:p>
    <w:p>
      <w:pPr>
        <w:pStyle w:val="4"/>
        <w:spacing w:before="0" w:after="0" w:line="360" w:lineRule="auto"/>
        <w:jc w:val="center"/>
        <w:rPr>
          <w:rFonts w:ascii="宋体" w:hAnsi="宋体" w:cs="宋体"/>
        </w:rPr>
      </w:pP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pPr>
            <w:r>
              <w:rPr>
                <w:rFonts w:hint="eastAsia"/>
              </w:rPr>
              <w:t>采购人：重庆首讯科技股份有限公司</w:t>
            </w:r>
          </w:p>
          <w:p>
            <w:pPr>
              <w:spacing w:line="400" w:lineRule="exact"/>
              <w:ind w:firstLine="420" w:firstLineChars="200"/>
            </w:pPr>
            <w:r>
              <w:rPr>
                <w:rFonts w:hint="eastAsia"/>
              </w:rPr>
              <w:t>地  址：重庆市南岸区四公里内环入口高速集团首讯科技大楼</w:t>
            </w:r>
          </w:p>
          <w:p>
            <w:pPr>
              <w:spacing w:line="400" w:lineRule="exact"/>
              <w:ind w:firstLine="420" w:firstLineChars="200"/>
            </w:pPr>
            <w:r>
              <w:rPr>
                <w:rFonts w:hint="eastAsia"/>
              </w:rPr>
              <w:t>商务联系人：邵老师</w:t>
            </w:r>
          </w:p>
          <w:p>
            <w:pPr>
              <w:spacing w:line="400" w:lineRule="exact"/>
              <w:ind w:firstLine="420" w:firstLineChars="200"/>
            </w:pPr>
            <w:r>
              <w:rPr>
                <w:rFonts w:hint="eastAsia"/>
              </w:rPr>
              <w:t>电  话：13527396256</w:t>
            </w:r>
          </w:p>
          <w:p>
            <w:pPr>
              <w:spacing w:line="400" w:lineRule="exact"/>
              <w:ind w:firstLine="420" w:firstLineChars="200"/>
            </w:pPr>
            <w:r>
              <w:rPr>
                <w:rFonts w:hint="eastAsia"/>
              </w:rPr>
              <w:t xml:space="preserve">技术联系人：黎老师  </w:t>
            </w:r>
          </w:p>
          <w:p>
            <w:pPr>
              <w:spacing w:line="400" w:lineRule="exact"/>
              <w:ind w:firstLine="420" w:firstLineChars="200"/>
            </w:pPr>
            <w:r>
              <w:rPr>
                <w:rFonts w:hint="eastAsia"/>
              </w:rPr>
              <w:t>电 话：18323165845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lang w:eastAsia="zh-CN"/>
              </w:rPr>
              <w:t>开发类报表工具和BI平台采购项目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由业主验收签字确认。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（1）资质条件：见比选公告3.1</w:t>
            </w:r>
          </w:p>
          <w:p>
            <w:pPr>
              <w:spacing w:line="400" w:lineRule="exact"/>
              <w:ind w:firstLine="420" w:firstLineChars="200"/>
              <w:rPr>
                <w:rFonts w:ascii="宋体" w:hAnsi="宋体" w:cs="宋体"/>
                <w:szCs w:val="21"/>
              </w:rPr>
            </w:pPr>
            <w:r>
              <w:rPr>
                <w:rFonts w:hint="eastAsia" w:ascii="宋体" w:hAnsi="宋体" w:cs="宋体"/>
                <w:szCs w:val="21"/>
              </w:rPr>
              <w:t>（2）业绩要求：见比选公告3.2</w:t>
            </w:r>
          </w:p>
          <w:p>
            <w:pPr>
              <w:spacing w:line="400" w:lineRule="exact"/>
              <w:ind w:firstLine="420" w:firstLineChars="200"/>
              <w:rPr>
                <w:rFonts w:ascii="宋体" w:hAnsi="宋体" w:cs="宋体"/>
                <w:szCs w:val="21"/>
              </w:rPr>
            </w:pPr>
            <w:r>
              <w:rPr>
                <w:rFonts w:hint="eastAsia" w:ascii="宋体" w:hAnsi="宋体" w:cs="宋体"/>
                <w:szCs w:val="21"/>
              </w:rPr>
              <w:t>（3）信誉要求：见比选公告3.3</w:t>
            </w:r>
          </w:p>
          <w:p>
            <w:pPr>
              <w:spacing w:line="400" w:lineRule="exact"/>
              <w:ind w:firstLine="420" w:firstLineChars="200"/>
              <w:rPr>
                <w:rFonts w:ascii="宋体" w:hAnsi="宋体" w:cs="宋体"/>
                <w:szCs w:val="21"/>
              </w:rPr>
            </w:pPr>
            <w:r>
              <w:rPr>
                <w:rFonts w:hint="eastAsia" w:ascii="宋体" w:hAnsi="宋体" w:cs="宋体"/>
                <w:szCs w:val="21"/>
              </w:rPr>
              <w:t>（4）项目主要人员要求：见附录1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（5）其他要求：见附录2、见附录3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8"/>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工程量清单的填写方式及其他说明</w:t>
            </w:r>
          </w:p>
        </w:tc>
        <w:tc>
          <w:tcPr>
            <w:tcW w:w="7104" w:type="dxa"/>
            <w:tcBorders>
              <w:bottom w:val="single" w:color="auto" w:sz="4" w:space="0"/>
            </w:tcBorders>
          </w:tcPr>
          <w:p>
            <w:pPr>
              <w:spacing w:line="360" w:lineRule="auto"/>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360" w:lineRule="auto"/>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360" w:lineRule="auto"/>
              <w:ind w:firstLine="422" w:firstLineChars="200"/>
              <w:rPr>
                <w:rFonts w:ascii="宋体" w:hAnsi="宋体" w:cs="宋体"/>
                <w:b/>
                <w:bCs/>
                <w:szCs w:val="21"/>
              </w:rPr>
            </w:pPr>
            <w:r>
              <w:rPr>
                <w:rFonts w:hint="eastAsia" w:ascii="宋体" w:hAnsi="宋体" w:cs="宋体"/>
                <w:b/>
                <w:bCs/>
                <w:szCs w:val="21"/>
              </w:rPr>
              <w:t>本项目工程量清单及说明随比选文件一并发布，详见附件。</w:t>
            </w:r>
          </w:p>
          <w:p>
            <w:pPr>
              <w:spacing w:line="360" w:lineRule="auto"/>
              <w:ind w:firstLine="420" w:firstLineChars="200"/>
              <w:jc w:val="left"/>
              <w:rPr>
                <w:rFonts w:ascii="宋体" w:hAnsi="宋体" w:cs="宋体"/>
                <w:b/>
                <w:bCs/>
                <w:szCs w:val="21"/>
              </w:rPr>
            </w:pPr>
            <w:r>
              <w:rPr>
                <w:rFonts w:hint="eastAsia" w:ascii="宋体" w:hAnsi="宋体" w:cs="宋体"/>
              </w:rPr>
              <w:t>本项目报价人报价包含安装、材料（含辅材）、机械、运输、卸货、税金、安全措施费、交通组织费、车辆使用费、生产类耗材等费用。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360" w:lineRule="auto"/>
              <w:ind w:firstLine="422" w:firstLineChars="200"/>
              <w:rPr>
                <w:rFonts w:ascii="宋体" w:hAnsi="宋体"/>
                <w:b/>
                <w:bCs/>
                <w:szCs w:val="21"/>
              </w:rPr>
            </w:pPr>
            <w:r>
              <w:rPr>
                <w:rFonts w:hint="eastAsia" w:ascii="宋体" w:hAnsi="宋体"/>
                <w:b/>
                <w:bCs/>
                <w:szCs w:val="21"/>
              </w:rPr>
              <w:t>项目总限价为</w:t>
            </w:r>
            <w:r>
              <w:rPr>
                <w:rFonts w:hint="eastAsia" w:ascii="宋体" w:hAnsi="宋体"/>
                <w:b/>
                <w:bCs/>
                <w:szCs w:val="21"/>
                <w:u w:val="single"/>
              </w:rPr>
              <w:t>393333</w:t>
            </w:r>
            <w:r>
              <w:rPr>
                <w:rFonts w:hint="eastAsia" w:ascii="宋体" w:hAnsi="宋体"/>
                <w:b/>
                <w:bCs/>
                <w:szCs w:val="21"/>
              </w:rPr>
              <w:t>元。</w:t>
            </w:r>
          </w:p>
          <w:p>
            <w:pPr>
              <w:spacing w:line="360" w:lineRule="auto"/>
              <w:ind w:firstLine="422" w:firstLineChars="200"/>
              <w:rPr>
                <w:rFonts w:ascii="宋体" w:hAnsi="宋体" w:cs="宋体"/>
                <w:b/>
                <w:bCs/>
                <w:kern w:val="0"/>
                <w:szCs w:val="21"/>
              </w:rPr>
            </w:pPr>
            <w:r>
              <w:rPr>
                <w:rFonts w:hint="eastAsia" w:ascii="宋体" w:hAnsi="宋体" w:cs="宋体"/>
                <w:b/>
                <w:szCs w:val="21"/>
              </w:rPr>
              <w:t>报价人报价不得高于采购人发布的最高限价及分项限价，否则其竞争性比选响应文件视为重大偏差，竞争性比选响应文件将按否决报价处理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360" w:lineRule="auto"/>
              <w:ind w:firstLine="420" w:firstLineChars="200"/>
              <w:rPr>
                <w:rFonts w:ascii="宋体" w:hAnsi="宋体" w:cs="宋体"/>
                <w:szCs w:val="21"/>
              </w:rPr>
            </w:pPr>
            <w:r>
              <w:rPr>
                <w:rFonts w:hint="eastAsia" w:ascii="宋体" w:hAnsi="宋体" w:cs="宋体"/>
                <w:szCs w:val="21"/>
              </w:rPr>
              <w:t>合同签订完成，乙方协助甲方完成产品部署，并测试可以正常运营后，签署部署完成确认书，乙方开具合同全额发票，甲方收到发票后7个工作日支付合同全额货款。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spacing w:line="360" w:lineRule="auto"/>
              <w:ind w:left="420" w:hanging="420" w:hangingChars="200"/>
              <w:rPr>
                <w:rFonts w:ascii="宋体" w:hAnsi="宋体" w:cs="宋体"/>
                <w:szCs w:val="21"/>
              </w:rPr>
            </w:pPr>
            <w:r>
              <w:rPr>
                <w:rFonts w:hint="eastAsia" w:ascii="宋体" w:hAnsi="宋体" w:cs="宋体"/>
                <w:szCs w:val="21"/>
              </w:rPr>
              <w:t>1. 乙方在本项目工作开展期间，随意更换项目经理，甲方按5万元</w:t>
            </w:r>
            <w:r>
              <w:rPr>
                <w:rFonts w:ascii="宋体" w:hAnsi="宋体" w:cs="宋体"/>
                <w:szCs w:val="21"/>
              </w:rPr>
              <w:t>/</w:t>
            </w:r>
            <w:r>
              <w:rPr>
                <w:rFonts w:hint="eastAsia" w:ascii="宋体" w:hAnsi="宋体" w:cs="宋体"/>
                <w:szCs w:val="21"/>
              </w:rPr>
              <w:t>人进行违约处理。新更换的人员不低于比选文件人员资质要求。</w:t>
            </w:r>
          </w:p>
          <w:p>
            <w:pPr>
              <w:spacing w:line="360" w:lineRule="auto"/>
              <w:ind w:left="420" w:hanging="420" w:hangingChars="200"/>
              <w:rPr>
                <w:rFonts w:ascii="宋体" w:hAnsi="宋体" w:cs="宋体"/>
                <w:szCs w:val="21"/>
              </w:rPr>
            </w:pPr>
            <w:r>
              <w:rPr>
                <w:rFonts w:hint="eastAsia" w:ascii="宋体" w:hAnsi="宋体" w:cs="宋体"/>
                <w:szCs w:val="21"/>
              </w:rPr>
              <w:t>2.若履约保证金累计处罚到总金额的</w:t>
            </w:r>
            <w:r>
              <w:rPr>
                <w:rFonts w:ascii="宋体" w:hAnsi="宋体" w:cs="宋体"/>
                <w:szCs w:val="21"/>
              </w:rPr>
              <w:t>50%</w:t>
            </w:r>
            <w:r>
              <w:rPr>
                <w:rFonts w:hint="eastAsia" w:ascii="宋体" w:hAnsi="宋体" w:cs="宋体"/>
                <w:szCs w:val="21"/>
              </w:rPr>
              <w:t>，则报价人应在</w:t>
            </w:r>
            <w:r>
              <w:rPr>
                <w:rFonts w:ascii="宋体" w:hAnsi="宋体" w:cs="宋体"/>
                <w:szCs w:val="21"/>
              </w:rPr>
              <w:t>10</w:t>
            </w:r>
            <w:r>
              <w:rPr>
                <w:rFonts w:hint="eastAsia" w:ascii="宋体" w:hAnsi="宋体" w:cs="宋体"/>
                <w:szCs w:val="21"/>
              </w:rPr>
              <w:t>个工作日内补交到</w:t>
            </w:r>
            <w:r>
              <w:rPr>
                <w:rFonts w:ascii="宋体" w:hAnsi="宋体" w:cs="宋体"/>
                <w:szCs w:val="21"/>
              </w:rPr>
              <w:t>100%</w:t>
            </w:r>
            <w:r>
              <w:rPr>
                <w:rFonts w:hint="eastAsia" w:ascii="宋体" w:hAnsi="宋体" w:cs="宋体"/>
                <w:szCs w:val="21"/>
              </w:rPr>
              <w:t>，如不能按时补交，则采购人有权终止合同。中标人擅自离场或单方面终止合同，中标人应赔付采购人合同金额的</w:t>
            </w:r>
            <w:r>
              <w:rPr>
                <w:rFonts w:ascii="宋体" w:hAnsi="宋体" w:cs="宋体"/>
                <w:szCs w:val="21"/>
              </w:rPr>
              <w:t>20%</w:t>
            </w:r>
            <w:r>
              <w:rPr>
                <w:rFonts w:hint="eastAsia" w:ascii="宋体" w:hAnsi="宋体" w:cs="宋体"/>
                <w:szCs w:val="21"/>
              </w:rPr>
              <w:t>。</w:t>
            </w:r>
          </w:p>
          <w:p>
            <w:pPr>
              <w:spacing w:line="360" w:lineRule="auto"/>
              <w:ind w:left="420" w:hanging="420" w:hangingChars="200"/>
              <w:rPr>
                <w:rFonts w:ascii="宋体" w:hAnsi="宋体" w:cs="宋体"/>
                <w:szCs w:val="21"/>
                <w:lang w:val="zh-CN"/>
              </w:rPr>
            </w:pPr>
            <w:r>
              <w:rPr>
                <w:rFonts w:hint="eastAsia" w:ascii="宋体" w:hAnsi="宋体" w:cs="宋体"/>
                <w:szCs w:val="21"/>
              </w:rPr>
              <w:t>3.合同履行期内，由于不可抗力（火灾、洪灾、地震、电信局电信信号中断等）及非甲乙双方所能控制的其他原因致使合同不能履行，可免于承担违约责任，但双方均有责任采取积极措施尽量减少损失。</w:t>
            </w:r>
            <w:r>
              <w:rPr>
                <w:rFonts w:hint="eastAsia" w:ascii="宋体" w:hAnsi="宋体" w:cs="宋体"/>
                <w:szCs w:val="21"/>
                <w:lang w:val="zh-CN"/>
              </w:rPr>
              <w:t>并且一旦该等原因被消除，则双方应继续履行原受消除原因影响的条款。</w:t>
            </w:r>
          </w:p>
          <w:p>
            <w:pPr>
              <w:spacing w:line="360" w:lineRule="auto"/>
              <w:ind w:left="210" w:hanging="210" w:hangingChars="100"/>
              <w:rPr>
                <w:rFonts w:ascii="宋体" w:hAnsi="宋体" w:cs="宋体"/>
                <w:szCs w:val="21"/>
              </w:rPr>
            </w:pPr>
            <w:r>
              <w:rPr>
                <w:rFonts w:hint="eastAsia" w:ascii="宋体" w:hAnsi="宋体" w:cs="宋体"/>
                <w:szCs w:val="21"/>
              </w:rPr>
              <w:t>4.乙方保证所出售的产品无任何权利纠纷，因乙方提供的软件存在侵犯第三人权利等瑕疵的，乙方应承担由此而产生的一切责任，造成甲方经济损失的，乙方还应承担赔偿责任。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snapToGrid w:val="0"/>
              <w:spacing w:line="360" w:lineRule="auto"/>
              <w:ind w:firstLine="420" w:firstLineChars="200"/>
              <w:rPr>
                <w:rFonts w:ascii="宋体" w:hAnsi="宋体" w:cs="宋体"/>
              </w:rPr>
            </w:pPr>
            <w:r>
              <w:rPr>
                <w:rFonts w:hint="eastAsia" w:ascii="宋体" w:hAnsi="宋体" w:cs="宋体"/>
              </w:rPr>
              <w:t>一、投标保证金</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b/>
                <w:bCs/>
                <w:color w:val="auto"/>
                <w:kern w:val="2"/>
                <w:sz w:val="21"/>
                <w:szCs w:val="21"/>
                <w:u w:val="single"/>
              </w:rPr>
              <w:t>7000</w:t>
            </w:r>
            <w:r>
              <w:rPr>
                <w:rFonts w:hint="eastAsia" w:hAnsi="宋体"/>
                <w:color w:val="auto"/>
                <w:kern w:val="2"/>
                <w:sz w:val="21"/>
                <w:szCs w:val="21"/>
              </w:rPr>
              <w:t>元</w:t>
            </w:r>
            <w:r>
              <w:rPr>
                <w:rFonts w:hAnsi="宋体"/>
                <w:color w:val="auto"/>
                <w:kern w:val="2"/>
                <w:sz w:val="21"/>
                <w:szCs w:val="21"/>
              </w:rPr>
              <w:t>，由</w:t>
            </w:r>
            <w:r>
              <w:rPr>
                <w:rFonts w:hint="eastAsia" w:hAnsi="宋体"/>
                <w:color w:val="auto"/>
                <w:kern w:val="2"/>
                <w:sz w:val="21"/>
                <w:szCs w:val="21"/>
              </w:rPr>
              <w:t>报价人</w:t>
            </w:r>
            <w:r>
              <w:rPr>
                <w:rFonts w:hAnsi="宋体"/>
                <w:color w:val="auto"/>
                <w:kern w:val="2"/>
                <w:sz w:val="21"/>
                <w:szCs w:val="21"/>
              </w:rPr>
              <w:t>从公司基本账户将投标保证金汇至以下指定账户</w:t>
            </w:r>
            <w:r>
              <w:rPr>
                <w:rFonts w:hint="eastAsia" w:hAnsi="宋体"/>
                <w:color w:val="auto"/>
                <w:kern w:val="2"/>
                <w:sz w:val="21"/>
                <w:szCs w:val="21"/>
              </w:rPr>
              <w:t>。</w:t>
            </w:r>
          </w:p>
          <w:p>
            <w:pPr>
              <w:pStyle w:val="148"/>
              <w:spacing w:line="360" w:lineRule="auto"/>
              <w:ind w:firstLine="420" w:firstLineChars="200"/>
              <w:rPr>
                <w:rFonts w:hAnsi="宋体"/>
                <w:color w:val="auto"/>
                <w:kern w:val="2"/>
                <w:sz w:val="21"/>
                <w:szCs w:val="21"/>
              </w:rPr>
            </w:pPr>
            <w:r>
              <w:rPr>
                <w:rFonts w:hAnsi="宋体"/>
                <w:color w:val="auto"/>
                <w:kern w:val="2"/>
                <w:sz w:val="21"/>
                <w:szCs w:val="21"/>
              </w:rPr>
              <w:t>若竞争性比选响应文件内无投标保证金缴纳凭证，</w:t>
            </w:r>
            <w:r>
              <w:rPr>
                <w:rFonts w:hint="eastAsia" w:hAnsi="宋体"/>
                <w:color w:val="auto"/>
                <w:kern w:val="2"/>
                <w:sz w:val="21"/>
                <w:szCs w:val="21"/>
              </w:rPr>
              <w:t>采购人</w:t>
            </w:r>
            <w:r>
              <w:rPr>
                <w:rFonts w:hAnsi="宋体"/>
                <w:color w:val="auto"/>
                <w:kern w:val="2"/>
                <w:sz w:val="21"/>
                <w:szCs w:val="21"/>
              </w:rPr>
              <w:t>有权作废标处理，若投标保证金存在虚假不实情况，</w:t>
            </w:r>
            <w:r>
              <w:rPr>
                <w:rFonts w:hint="eastAsia" w:hAnsi="宋体"/>
                <w:color w:val="auto"/>
                <w:kern w:val="2"/>
                <w:sz w:val="21"/>
                <w:szCs w:val="21"/>
              </w:rPr>
              <w:t>采购人</w:t>
            </w:r>
            <w:r>
              <w:rPr>
                <w:rFonts w:hAnsi="宋体"/>
                <w:color w:val="auto"/>
                <w:kern w:val="2"/>
                <w:sz w:val="21"/>
                <w:szCs w:val="21"/>
              </w:rPr>
              <w:t>有权作废标处理。</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8"/>
              <w:spacing w:line="360" w:lineRule="auto"/>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8"/>
              <w:spacing w:line="360" w:lineRule="auto"/>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8"/>
              <w:spacing w:line="360" w:lineRule="auto"/>
              <w:ind w:firstLine="420" w:firstLineChars="200"/>
              <w:rPr>
                <w:rFonts w:hAnsi="宋体"/>
                <w:color w:val="auto"/>
                <w:kern w:val="2"/>
                <w:sz w:val="21"/>
                <w:szCs w:val="21"/>
              </w:rPr>
            </w:pPr>
            <w:r>
              <w:rPr>
                <w:rFonts w:hAnsi="宋体"/>
                <w:color w:val="auto"/>
                <w:kern w:val="2"/>
                <w:sz w:val="21"/>
                <w:szCs w:val="21"/>
              </w:rPr>
              <w:t>中标人的投标保证金，自合同签订后15个工作日内无息退还至中标人基本账户。</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二、履约保证金或银行保函担保</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1、</w:t>
            </w:r>
            <w:r>
              <w:rPr>
                <w:rFonts w:hAnsi="宋体"/>
                <w:color w:val="auto"/>
                <w:kern w:val="2"/>
                <w:sz w:val="21"/>
                <w:szCs w:val="21"/>
              </w:rPr>
              <w:t>履约担保作为本</w:t>
            </w:r>
            <w:r>
              <w:rPr>
                <w:rFonts w:hint="eastAsia" w:hAnsi="宋体"/>
                <w:color w:val="auto"/>
                <w:kern w:val="2"/>
                <w:sz w:val="21"/>
                <w:szCs w:val="21"/>
              </w:rPr>
              <w:t>项目</w:t>
            </w:r>
            <w:r>
              <w:rPr>
                <w:rFonts w:hAnsi="宋体"/>
                <w:color w:val="auto"/>
                <w:kern w:val="2"/>
                <w:sz w:val="21"/>
                <w:szCs w:val="21"/>
              </w:rPr>
              <w:t>合同附件</w:t>
            </w:r>
            <w:r>
              <w:rPr>
                <w:rFonts w:hint="eastAsia" w:hAnsi="宋体"/>
                <w:color w:val="auto"/>
                <w:kern w:val="2"/>
                <w:sz w:val="21"/>
                <w:szCs w:val="21"/>
              </w:rPr>
              <w:t>。</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2、金额： 中标人合同金额的10%。</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3、有效期：自双方签订的合同文件生效之日起，至合同约定的工程验收完成止。</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4、履约保证金的提交及退还：在甲方发出中标通知书后5个工作日内，中标人向采购人提供履约保证金</w:t>
            </w:r>
            <w:r>
              <w:rPr>
                <w:rFonts w:hAnsi="宋体"/>
                <w:color w:val="auto"/>
                <w:kern w:val="2"/>
                <w:sz w:val="21"/>
                <w:szCs w:val="21"/>
              </w:rPr>
              <w:t>缴纳凭证</w:t>
            </w:r>
            <w:r>
              <w:rPr>
                <w:rFonts w:hint="eastAsia" w:hAnsi="宋体"/>
                <w:color w:val="auto"/>
                <w:kern w:val="2"/>
                <w:sz w:val="21"/>
                <w:szCs w:val="21"/>
              </w:rPr>
              <w:t>或银行保函。履约保证金或银行保函在完成合同约定的全部工作内容后28天后无息退还剩余部分或自动失效。</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5、如果中标人出具的履约保函有效期早于合同约定的履约担保有效期，中标人应在保函到期1个月之前延长保函的有效期，否则采购人有权停止支付合同价格。</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三、保证金缴纳方式及要求：报价人从企业的基本账户（开户行）在采购人规定时间内，向采购人通过电汇方式直接划付至采购人指定的保证金账户，否则，保证金无效。报价人自行考虑汇入时间风险，如同城汇入、异地汇入、跨行汇入的时间要求。</w:t>
            </w:r>
            <w:r>
              <w:rPr>
                <w:rFonts w:hAnsi="宋体"/>
                <w:color w:val="auto"/>
                <w:kern w:val="2"/>
                <w:sz w:val="21"/>
                <w:szCs w:val="21"/>
              </w:rPr>
              <w:t>转款备注：</w:t>
            </w:r>
            <w:r>
              <w:rPr>
                <w:rFonts w:hint="eastAsia" w:hAnsi="宋体"/>
                <w:color w:val="auto"/>
                <w:kern w:val="2"/>
                <w:sz w:val="21"/>
                <w:szCs w:val="21"/>
                <w:lang w:eastAsia="zh-CN"/>
              </w:rPr>
              <w:t>开发类报表工具和BI平台采购项目</w:t>
            </w:r>
            <w:r>
              <w:rPr>
                <w:rFonts w:hint="eastAsia" w:hAnsi="宋体"/>
                <w:color w:val="auto"/>
                <w:kern w:val="2"/>
                <w:sz w:val="21"/>
                <w:szCs w:val="21"/>
              </w:rPr>
              <w:t>项目XX（投标或者履约）保证金</w:t>
            </w:r>
            <w:r>
              <w:rPr>
                <w:rFonts w:hAnsi="宋体"/>
                <w:color w:val="auto"/>
                <w:kern w:val="2"/>
                <w:sz w:val="21"/>
                <w:szCs w:val="21"/>
              </w:rPr>
              <w:t>。</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四、采购人指定的开户银行及账号如下：</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账户名称：重庆首讯科技股份有限公司</w:t>
            </w:r>
          </w:p>
          <w:p>
            <w:pPr>
              <w:pStyle w:val="148"/>
              <w:spacing w:line="360" w:lineRule="auto"/>
              <w:ind w:firstLine="420" w:firstLineChars="200"/>
              <w:rPr>
                <w:rFonts w:hAnsi="宋体"/>
                <w:color w:val="auto"/>
                <w:kern w:val="2"/>
                <w:sz w:val="21"/>
                <w:szCs w:val="21"/>
              </w:rPr>
            </w:pPr>
            <w:r>
              <w:rPr>
                <w:rFonts w:hint="eastAsia" w:hAnsi="宋体"/>
                <w:color w:val="auto"/>
                <w:kern w:val="2"/>
                <w:sz w:val="21"/>
                <w:szCs w:val="21"/>
              </w:rPr>
              <w:t>开户银行：兴业银行重庆分行营业部</w:t>
            </w:r>
          </w:p>
          <w:p>
            <w:pPr>
              <w:pStyle w:val="148"/>
              <w:spacing w:line="360" w:lineRule="auto"/>
              <w:ind w:firstLine="420" w:firstLineChars="200"/>
              <w:rPr>
                <w:rFonts w:hAnsi="宋体"/>
                <w:color w:val="auto"/>
                <w:kern w:val="2"/>
                <w:sz w:val="21"/>
              </w:rPr>
            </w:pPr>
            <w:r>
              <w:rPr>
                <w:rFonts w:hint="eastAsia" w:hAnsi="宋体"/>
                <w:color w:val="auto"/>
                <w:kern w:val="2"/>
                <w:sz w:val="21"/>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8"/>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地    址：重庆市南岸区四公里内环入口高速集团首讯科技大楼</w:t>
            </w:r>
          </w:p>
          <w:p>
            <w:pPr>
              <w:pStyle w:val="148"/>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8"/>
              <w:spacing w:line="400" w:lineRule="exact"/>
              <w:ind w:firstLine="482" w:firstLineChars="200"/>
              <w:jc w:val="center"/>
              <w:rPr>
                <w:rFonts w:hAnsi="宋体"/>
                <w:color w:val="auto"/>
                <w:kern w:val="2"/>
                <w:sz w:val="21"/>
                <w:szCs w:val="21"/>
              </w:rPr>
            </w:pPr>
            <w:r>
              <w:rPr>
                <w:rFonts w:hAnsi="宋体"/>
                <w:b/>
                <w:bCs/>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8"/>
              <w:spacing w:line="400" w:lineRule="exact"/>
              <w:ind w:firstLine="420" w:firstLineChars="200"/>
              <w:rPr>
                <w:rFonts w:hAnsi="宋体"/>
                <w:b/>
                <w:bCs/>
                <w:color w:val="auto"/>
                <w:szCs w:val="21"/>
              </w:rPr>
            </w:pPr>
            <w:r>
              <w:rPr>
                <w:rFonts w:hint="eastAsia" w:hAnsi="宋体"/>
                <w:color w:val="auto"/>
                <w:sz w:val="21"/>
                <w:szCs w:val="21"/>
              </w:rPr>
              <w:t>截止竞争性比选响应文件递交时间，递交竞争性比选响应文件不足3家的不得开启竞争性比选文件。重新招标后报价人仍少于3个，按法定程序开标和评标，确定中标人。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22.2</w:t>
            </w:r>
          </w:p>
        </w:tc>
        <w:tc>
          <w:tcPr>
            <w:tcW w:w="9210" w:type="dxa"/>
            <w:gridSpan w:val="2"/>
            <w:vAlign w:val="center"/>
          </w:tcPr>
          <w:p>
            <w:pPr>
              <w:pStyle w:val="148"/>
              <w:spacing w:line="400" w:lineRule="exact"/>
              <w:ind w:firstLine="420" w:firstLineChars="200"/>
              <w:rPr>
                <w:rFonts w:hAnsi="宋体"/>
                <w:color w:val="auto"/>
                <w:sz w:val="21"/>
                <w:szCs w:val="21"/>
              </w:rPr>
            </w:pPr>
            <w:r>
              <w:rPr>
                <w:rFonts w:hint="eastAsia" w:hAnsi="宋体"/>
                <w:color w:val="auto"/>
                <w:sz w:val="21"/>
                <w:szCs w:val="21"/>
              </w:rPr>
              <w:t>其他要求见第七章</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3"/>
        <w:jc w:val="center"/>
        <w:rPr>
          <w:rFonts w:ascii="宋体" w:hAnsi="宋体" w:eastAsia="宋体" w:cs="宋体"/>
          <w:bCs w:val="0"/>
          <w:sz w:val="28"/>
          <w:szCs w:val="28"/>
        </w:rPr>
      </w:pPr>
      <w:bookmarkStart w:id="103" w:name="_Toc11329222"/>
      <w:bookmarkStart w:id="104" w:name="_Toc17532"/>
      <w:bookmarkStart w:id="105" w:name="_Toc30198"/>
      <w:bookmarkStart w:id="106" w:name="_Toc11284"/>
      <w:r>
        <w:rPr>
          <w:rFonts w:hint="eastAsia" w:ascii="宋体" w:hAnsi="宋体" w:eastAsia="宋体" w:cs="宋体"/>
          <w:sz w:val="28"/>
          <w:szCs w:val="28"/>
        </w:rPr>
        <w:t xml:space="preserve">附录1  </w:t>
      </w:r>
      <w:bookmarkEnd w:id="103"/>
      <w:bookmarkEnd w:id="104"/>
      <w:bookmarkEnd w:id="105"/>
      <w:bookmarkEnd w:id="106"/>
      <w:bookmarkStart w:id="107" w:name="_Toc25591"/>
      <w:bookmarkStart w:id="108" w:name="_Toc11329226"/>
      <w:bookmarkStart w:id="109" w:name="_Toc27096"/>
      <w:bookmarkStart w:id="110" w:name="_Toc12773"/>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rPr>
          <w:rFonts w:ascii="宋体" w:hAnsi="宋体" w:cs="宋体"/>
          <w:b/>
          <w:szCs w:val="21"/>
        </w:rPr>
      </w:pPr>
      <w:r>
        <w:rPr>
          <w:rFonts w:hint="eastAsia" w:ascii="宋体" w:hAnsi="宋体" w:cs="宋体"/>
          <w:b/>
          <w:szCs w:val="21"/>
        </w:rPr>
        <w:t>主要管理人员最低要求</w:t>
      </w:r>
    </w:p>
    <w:tbl>
      <w:tblPr>
        <w:tblStyle w:val="42"/>
        <w:tblW w:w="9628" w:type="dxa"/>
        <w:tblInd w:w="114" w:type="dxa"/>
        <w:tblLayout w:type="fixed"/>
        <w:tblCellMar>
          <w:top w:w="0" w:type="dxa"/>
          <w:left w:w="108" w:type="dxa"/>
          <w:bottom w:w="0" w:type="dxa"/>
          <w:right w:w="108" w:type="dxa"/>
        </w:tblCellMar>
      </w:tblPr>
      <w:tblGrid>
        <w:gridCol w:w="688"/>
        <w:gridCol w:w="1991"/>
        <w:gridCol w:w="2022"/>
        <w:gridCol w:w="2693"/>
        <w:gridCol w:w="2234"/>
      </w:tblGrid>
      <w:tr>
        <w:tblPrEx>
          <w:tblCellMar>
            <w:top w:w="0" w:type="dxa"/>
            <w:left w:w="108" w:type="dxa"/>
            <w:bottom w:w="0" w:type="dxa"/>
            <w:right w:w="108" w:type="dxa"/>
          </w:tblCellMar>
        </w:tblPrEx>
        <w:trPr>
          <w:trHeight w:val="360"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序号</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人员配置</w:t>
            </w:r>
          </w:p>
        </w:tc>
        <w:tc>
          <w:tcPr>
            <w:tcW w:w="2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职称或职业资格</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社保</w:t>
            </w:r>
          </w:p>
        </w:tc>
        <w:tc>
          <w:tcPr>
            <w:tcW w:w="22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安全资质</w:t>
            </w:r>
          </w:p>
        </w:tc>
      </w:tr>
      <w:tr>
        <w:tblPrEx>
          <w:tblCellMar>
            <w:top w:w="0" w:type="dxa"/>
            <w:left w:w="108" w:type="dxa"/>
            <w:bottom w:w="0" w:type="dxa"/>
            <w:right w:w="108" w:type="dxa"/>
          </w:tblCellMar>
        </w:tblPrEx>
        <w:trPr>
          <w:trHeight w:val="285" w:hRule="atLeast"/>
        </w:trPr>
        <w:tc>
          <w:tcPr>
            <w:tcW w:w="6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1</w:t>
            </w:r>
          </w:p>
        </w:tc>
        <w:tc>
          <w:tcPr>
            <w:tcW w:w="19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项目经理1名</w:t>
            </w:r>
          </w:p>
        </w:tc>
        <w:tc>
          <w:tcPr>
            <w:tcW w:w="202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ascii="宋体" w:hAnsi="宋体" w:cs="宋体"/>
                <w:szCs w:val="21"/>
              </w:rPr>
              <w:t>PMP证书</w:t>
            </w:r>
          </w:p>
        </w:tc>
        <w:tc>
          <w:tcPr>
            <w:tcW w:w="269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Cs w:val="21"/>
              </w:rPr>
            </w:pPr>
            <w:r>
              <w:rPr>
                <w:rFonts w:hint="eastAsia" w:ascii="宋体" w:hAnsi="宋体" w:cs="宋体"/>
                <w:kern w:val="0"/>
                <w:szCs w:val="21"/>
                <w:lang w:bidi="ar"/>
              </w:rPr>
              <w:t>近三个月及以上社保证明</w:t>
            </w:r>
          </w:p>
        </w:tc>
        <w:tc>
          <w:tcPr>
            <w:tcW w:w="223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Cs w:val="21"/>
              </w:rPr>
            </w:pPr>
            <w:r>
              <w:rPr>
                <w:rFonts w:ascii="宋体" w:hAnsi="宋体" w:cs="宋体"/>
                <w:szCs w:val="21"/>
              </w:rPr>
              <w:t>无</w:t>
            </w:r>
          </w:p>
        </w:tc>
      </w:tr>
    </w:tbl>
    <w:p>
      <w:pPr>
        <w:spacing w:line="400" w:lineRule="exact"/>
        <w:jc w:val="left"/>
        <w:rPr>
          <w:rFonts w:ascii="宋体" w:hAnsi="宋体" w:cs="宋体"/>
          <w:szCs w:val="21"/>
        </w:rPr>
      </w:pPr>
      <w:bookmarkStart w:id="111" w:name="_Toc387234996"/>
      <w:bookmarkStart w:id="112" w:name="_Toc388534043"/>
      <w:r>
        <w:rPr>
          <w:rFonts w:hint="eastAsia" w:ascii="宋体" w:hAnsi="宋体" w:cs="宋体"/>
          <w:szCs w:val="21"/>
        </w:rPr>
        <w:t xml:space="preserve">   </w:t>
      </w:r>
      <w:r>
        <w:rPr>
          <w:rFonts w:hint="eastAsia" w:hAnsi="宋体"/>
          <w:szCs w:val="21"/>
        </w:rPr>
        <w:t>注：需提供项目主要管理人员名单（表格形式），以上人员相关资质证件、身份证复印件及由社保局出具的报价人为以上人员缴纳近三个月的社保保险证明（带有社保部门公章或社保部门的有效电子印章），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3"/>
        <w:jc w:val="center"/>
        <w:rPr>
          <w:rFonts w:ascii="宋体" w:hAnsi="宋体" w:eastAsia="宋体" w:cs="宋体"/>
          <w:bCs w:val="0"/>
          <w:sz w:val="28"/>
          <w:szCs w:val="28"/>
        </w:rPr>
      </w:pPr>
      <w:bookmarkStart w:id="113" w:name="_Toc21487"/>
      <w:bookmarkStart w:id="114" w:name="_Toc8293"/>
      <w:bookmarkStart w:id="115" w:name="_Toc27148"/>
      <w:bookmarkStart w:id="116" w:name="_Toc11329227"/>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23696"/>
            <w:bookmarkStart w:id="118" w:name="_Toc507319900"/>
            <w:bookmarkStart w:id="119" w:name="_Toc413241584"/>
            <w:r>
              <w:rPr>
                <w:rFonts w:hint="eastAsia" w:ascii="宋体" w:hAnsi="宋体" w:cs="宋体"/>
                <w:szCs w:val="21"/>
              </w:rPr>
              <w:t>维护人员最低要求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pStyle w:val="148"/>
              <w:adjustRightInd/>
              <w:spacing w:line="360" w:lineRule="auto"/>
              <w:ind w:left="436" w:leftChars="203" w:hanging="10"/>
              <w:jc w:val="both"/>
              <w:rPr>
                <w:rFonts w:hAnsi="宋体"/>
                <w:color w:val="auto"/>
                <w:kern w:val="2"/>
                <w:sz w:val="21"/>
              </w:rPr>
            </w:pPr>
            <w:r>
              <w:rPr>
                <w:rFonts w:hint="eastAsia" w:hAnsi="宋体"/>
                <w:color w:val="auto"/>
                <w:kern w:val="2"/>
                <w:sz w:val="21"/>
              </w:rPr>
              <w:t>无</w:t>
            </w:r>
          </w:p>
        </w:tc>
      </w:tr>
    </w:tbl>
    <w:p>
      <w:pPr>
        <w:pStyle w:val="148"/>
        <w:adjustRightInd/>
        <w:spacing w:line="360" w:lineRule="auto"/>
        <w:jc w:val="both"/>
        <w:rPr>
          <w:rFonts w:hAnsi="宋体"/>
          <w:color w:val="auto"/>
          <w:sz w:val="28"/>
          <w:szCs w:val="28"/>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重复任职。以上人员若无单独说明</w:t>
      </w:r>
      <w:r>
        <w:rPr>
          <w:rFonts w:hint="eastAsia" w:hAnsi="宋体"/>
          <w:color w:val="auto"/>
          <w:kern w:val="2"/>
          <w:sz w:val="21"/>
        </w:rPr>
        <w:t>（报价人自行承诺）</w:t>
      </w:r>
      <w:r>
        <w:rPr>
          <w:rFonts w:hint="eastAsia" w:ascii="Times New Roman" w:hAnsi="宋体" w:cs="Times New Roman"/>
          <w:color w:val="auto"/>
          <w:sz w:val="21"/>
          <w:szCs w:val="21"/>
        </w:rPr>
        <w:t>外，均需在投标时提供相关资质证件、项目经历证明、身份证复印件及由社保局出具的报价人为以上人员缴纳近三个月的社保保险证明（带有社保部门公章或社保部门的有效电子印章），并加盖单位鲜公章。</w:t>
      </w:r>
      <w:bookmarkEnd w:id="117"/>
      <w:bookmarkEnd w:id="118"/>
      <w:bookmarkEnd w:id="119"/>
      <w:bookmarkStart w:id="120" w:name="_Toc4169"/>
      <w:bookmarkStart w:id="121" w:name="_Toc17384"/>
      <w:bookmarkStart w:id="122" w:name="_Toc6096"/>
    </w:p>
    <w:p>
      <w:pPr>
        <w:pStyle w:val="3"/>
        <w:rPr>
          <w:rFonts w:ascii="宋体" w:hAnsi="宋体" w:eastAsia="宋体" w:cs="宋体"/>
          <w:bCs w:val="0"/>
          <w:sz w:val="28"/>
          <w:szCs w:val="28"/>
        </w:rPr>
      </w:pPr>
    </w:p>
    <w:p>
      <w:pPr>
        <w:rPr>
          <w:rFonts w:ascii="宋体" w:hAnsi="宋体" w:cs="宋体"/>
          <w:sz w:val="28"/>
          <w:szCs w:val="28"/>
        </w:rPr>
      </w:pPr>
    </w:p>
    <w:p>
      <w:pPr>
        <w:pStyle w:val="28"/>
      </w:pPr>
    </w:p>
    <w:p>
      <w:pPr>
        <w:pStyle w:val="3"/>
        <w:rPr>
          <w:rFonts w:hAnsi="宋体"/>
          <w:b w:val="0"/>
          <w:sz w:val="28"/>
          <w:szCs w:val="28"/>
        </w:rPr>
      </w:pPr>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spacing w:line="360" w:lineRule="auto"/>
              <w:ind w:firstLine="420" w:firstLineChars="200"/>
            </w:pPr>
            <w:r>
              <w:rPr>
                <w:rFonts w:hint="eastAsia" w:ascii="宋体" w:hAnsi="宋体" w:cs="宋体"/>
              </w:rPr>
              <w:t>无</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无需提供有关证明资料，并加盖单位鲜公章。但需中标人在办理开工时提供以上相关资料。</w:t>
      </w:r>
    </w:p>
    <w:p>
      <w:pPr>
        <w:spacing w:line="400" w:lineRule="exact"/>
        <w:ind w:firstLine="420"/>
        <w:rPr>
          <w:rFonts w:ascii="宋体" w:hAnsi="宋体" w:cs="宋体"/>
          <w:kern w:val="0"/>
          <w:szCs w:val="21"/>
        </w:rPr>
      </w:pPr>
    </w:p>
    <w:p>
      <w:pPr>
        <w:pStyle w:val="148"/>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bookmarkEnd w:id="111"/>
    <w:bookmarkEnd w:id="112"/>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pStyle w:val="4"/>
        <w:spacing w:before="0" w:after="0" w:line="360" w:lineRule="auto"/>
        <w:jc w:val="center"/>
        <w:rPr>
          <w:rFonts w:ascii="宋体" w:hAnsi="宋体" w:cs="宋体"/>
        </w:rPr>
      </w:pPr>
      <w:bookmarkStart w:id="123" w:name="_Toc152045587"/>
      <w:bookmarkStart w:id="124" w:name="_Toc246996973"/>
      <w:bookmarkStart w:id="125" w:name="_Toc246996230"/>
      <w:bookmarkStart w:id="126" w:name="_Toc2000406"/>
      <w:bookmarkStart w:id="127" w:name="_Toc247085745"/>
      <w:bookmarkStart w:id="128" w:name="_Toc179632605"/>
      <w:bookmarkStart w:id="129" w:name="_Toc507319957"/>
      <w:bookmarkStart w:id="130" w:name="_Toc7682"/>
      <w:bookmarkStart w:id="131" w:name="_Toc144974554"/>
      <w:bookmarkStart w:id="132" w:name="_Toc152042364"/>
      <w:r>
        <w:rPr>
          <w:rFonts w:hint="eastAsia" w:ascii="宋体" w:hAnsi="宋体" w:cs="宋体"/>
        </w:rPr>
        <w:t>第三章 评标办法（综合评估法）</w:t>
      </w:r>
      <w:bookmarkEnd w:id="123"/>
      <w:bookmarkEnd w:id="124"/>
      <w:bookmarkEnd w:id="125"/>
      <w:bookmarkEnd w:id="126"/>
      <w:bookmarkEnd w:id="127"/>
      <w:bookmarkEnd w:id="128"/>
      <w:bookmarkEnd w:id="129"/>
      <w:bookmarkEnd w:id="130"/>
      <w:bookmarkEnd w:id="131"/>
      <w:bookmarkEnd w:id="132"/>
    </w:p>
    <w:p/>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377"/>
        <w:gridCol w:w="715"/>
        <w:gridCol w:w="404"/>
        <w:gridCol w:w="493"/>
        <w:gridCol w:w="1084"/>
        <w:gridCol w:w="4379"/>
        <w:gridCol w:w="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条款号</w:t>
            </w:r>
          </w:p>
        </w:tc>
        <w:tc>
          <w:tcPr>
            <w:tcW w:w="1496" w:type="dxa"/>
            <w:gridSpan w:val="3"/>
            <w:vAlign w:val="center"/>
          </w:tcPr>
          <w:p>
            <w:pPr>
              <w:snapToGrid w:val="0"/>
              <w:spacing w:line="400" w:lineRule="exact"/>
              <w:jc w:val="center"/>
              <w:rPr>
                <w:rFonts w:ascii="宋体" w:hAnsi="宋体" w:cs="宋体"/>
                <w:b/>
                <w:kern w:val="0"/>
              </w:rPr>
            </w:pPr>
            <w:r>
              <w:rPr>
                <w:rFonts w:hint="eastAsia" w:ascii="宋体" w:hAnsi="宋体" w:cs="宋体"/>
                <w:b/>
                <w:kern w:val="0"/>
              </w:rPr>
              <w:t>条款名称</w:t>
            </w:r>
          </w:p>
        </w:tc>
        <w:tc>
          <w:tcPr>
            <w:tcW w:w="6004" w:type="dxa"/>
            <w:gridSpan w:val="4"/>
            <w:vAlign w:val="center"/>
          </w:tcPr>
          <w:p>
            <w:pPr>
              <w:snapToGrid w:val="0"/>
              <w:spacing w:line="400" w:lineRule="exact"/>
              <w:jc w:val="center"/>
              <w:rPr>
                <w:rFonts w:ascii="宋体" w:hAnsi="宋体" w:cs="宋体"/>
                <w:b/>
                <w:kern w:val="0"/>
              </w:rPr>
            </w:pPr>
            <w:r>
              <w:rPr>
                <w:rFonts w:hint="eastAsia" w:ascii="宋体" w:hAnsi="宋体" w:cs="宋体"/>
                <w:b/>
                <w:kern w:val="0"/>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1</w:t>
            </w:r>
          </w:p>
        </w:tc>
        <w:tc>
          <w:tcPr>
            <w:tcW w:w="7500" w:type="dxa"/>
            <w:gridSpan w:val="7"/>
            <w:vAlign w:val="center"/>
          </w:tcPr>
          <w:p>
            <w:pPr>
              <w:snapToGrid w:val="0"/>
              <w:spacing w:line="400" w:lineRule="exact"/>
              <w:jc w:val="center"/>
              <w:rPr>
                <w:rFonts w:ascii="宋体" w:hAnsi="宋体" w:cs="宋体"/>
                <w:b/>
                <w:kern w:val="0"/>
              </w:rPr>
            </w:pPr>
            <w:r>
              <w:rPr>
                <w:rFonts w:hint="eastAsia" w:ascii="宋体" w:hAnsi="宋体" w:cs="宋体"/>
                <w:b/>
                <w:kern w:val="0"/>
              </w:rPr>
              <w:t>如出现得分(精确到小数点后两位)相等时，按以下原则确定第一中标候选人：</w:t>
            </w:r>
          </w:p>
          <w:p>
            <w:pPr>
              <w:snapToGrid w:val="0"/>
              <w:spacing w:line="400" w:lineRule="exact"/>
              <w:rPr>
                <w:rFonts w:ascii="宋体" w:hAnsi="宋体" w:cs="宋体"/>
                <w:b/>
                <w:kern w:val="0"/>
              </w:rPr>
            </w:pPr>
            <w:r>
              <w:rPr>
                <w:rFonts w:hint="eastAsia" w:ascii="宋体" w:hAnsi="宋体" w:cs="宋体"/>
                <w:b/>
                <w:kern w:val="0"/>
              </w:rPr>
              <w:t>（1）以评标价低的报价人优先；</w:t>
            </w:r>
          </w:p>
          <w:p>
            <w:pPr>
              <w:snapToGrid w:val="0"/>
              <w:spacing w:line="400" w:lineRule="exact"/>
              <w:rPr>
                <w:rFonts w:ascii="宋体" w:hAnsi="宋体" w:cs="宋体"/>
                <w:b/>
                <w:kern w:val="0"/>
              </w:rPr>
            </w:pPr>
            <w:r>
              <w:rPr>
                <w:rFonts w:hint="eastAsia" w:ascii="宋体" w:hAnsi="宋体" w:cs="宋体"/>
                <w:b/>
                <w:kern w:val="0"/>
              </w:rPr>
              <w:t>（2）如评标价也相同时，以技术得分较高的报价人优先；</w:t>
            </w:r>
          </w:p>
          <w:p>
            <w:pPr>
              <w:snapToGrid w:val="0"/>
              <w:spacing w:line="400" w:lineRule="exact"/>
              <w:rPr>
                <w:rFonts w:ascii="宋体" w:hAnsi="宋体" w:cs="宋体"/>
                <w:b/>
                <w:kern w:val="0"/>
              </w:rPr>
            </w:pPr>
            <w:r>
              <w:rPr>
                <w:rFonts w:hint="eastAsia" w:ascii="宋体" w:hAnsi="宋体" w:cs="宋体"/>
                <w:b/>
                <w:kern w:val="0"/>
              </w:rPr>
              <w:t>（3）如技术得分也相同时，以商务得分高的优先；</w:t>
            </w:r>
          </w:p>
          <w:p>
            <w:pPr>
              <w:snapToGrid w:val="0"/>
              <w:spacing w:line="400" w:lineRule="exact"/>
            </w:pPr>
            <w:r>
              <w:rPr>
                <w:rFonts w:hint="eastAsia" w:ascii="宋体" w:hAnsi="宋体" w:cs="宋体"/>
                <w:b/>
                <w:kern w:val="0"/>
              </w:rPr>
              <w:t xml:space="preserve">（4）如商务得分也相同时，由评标委员会投票决定。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022" w:type="dxa"/>
            <w:vAlign w:val="center"/>
          </w:tcPr>
          <w:p>
            <w:pPr>
              <w:snapToGrid w:val="0"/>
              <w:spacing w:line="400" w:lineRule="exact"/>
              <w:jc w:val="center"/>
              <w:rPr>
                <w:rFonts w:ascii="宋体" w:hAnsi="宋体" w:cs="宋体"/>
                <w:b/>
                <w:kern w:val="0"/>
              </w:rPr>
            </w:pPr>
            <w:r>
              <w:rPr>
                <w:rFonts w:hint="eastAsia" w:ascii="宋体" w:hAnsi="宋体" w:cs="宋体"/>
                <w:b/>
                <w:kern w:val="0"/>
              </w:rPr>
              <w:t>条款号</w:t>
            </w:r>
          </w:p>
        </w:tc>
        <w:tc>
          <w:tcPr>
            <w:tcW w:w="1989" w:type="dxa"/>
            <w:gridSpan w:val="4"/>
            <w:vAlign w:val="center"/>
          </w:tcPr>
          <w:p>
            <w:pPr>
              <w:snapToGrid w:val="0"/>
              <w:spacing w:line="400" w:lineRule="exact"/>
              <w:jc w:val="center"/>
              <w:rPr>
                <w:rFonts w:ascii="宋体" w:hAnsi="宋体" w:cs="宋体"/>
                <w:b/>
                <w:kern w:val="0"/>
              </w:rPr>
            </w:pPr>
            <w:r>
              <w:rPr>
                <w:rFonts w:hint="eastAsia" w:ascii="宋体" w:hAnsi="宋体" w:cs="宋体"/>
                <w:b/>
                <w:kern w:val="0"/>
              </w:rPr>
              <w:t>评审因素</w:t>
            </w:r>
          </w:p>
        </w:tc>
        <w:tc>
          <w:tcPr>
            <w:tcW w:w="5511" w:type="dxa"/>
            <w:gridSpan w:val="3"/>
            <w:vAlign w:val="center"/>
          </w:tcPr>
          <w:p>
            <w:pPr>
              <w:snapToGrid w:val="0"/>
              <w:spacing w:line="400" w:lineRule="exact"/>
              <w:jc w:val="center"/>
              <w:rPr>
                <w:rFonts w:ascii="宋体" w:hAnsi="宋体" w:cs="宋体"/>
                <w:b/>
                <w:kern w:val="0"/>
              </w:rP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565"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2.1.1</w:t>
            </w:r>
          </w:p>
        </w:tc>
        <w:tc>
          <w:tcPr>
            <w:tcW w:w="377" w:type="dxa"/>
            <w:vMerge w:val="restart"/>
            <w:textDirection w:val="tbRlV"/>
            <w:vAlign w:val="center"/>
          </w:tcPr>
          <w:p>
            <w:pPr>
              <w:snapToGrid w:val="0"/>
              <w:spacing w:line="400" w:lineRule="exact"/>
              <w:jc w:val="center"/>
              <w:rPr>
                <w:rFonts w:asciiTheme="minorEastAsia" w:hAnsiTheme="minorEastAsia" w:eastAsiaTheme="minorEastAsia" w:cstheme="minorEastAsia"/>
                <w:kern w:val="0"/>
                <w:szCs w:val="21"/>
              </w:rPr>
            </w:pPr>
            <w:bookmarkStart w:id="133" w:name="OLE_LINK5"/>
            <w:r>
              <w:rPr>
                <w:rFonts w:hint="eastAsia" w:asciiTheme="minorEastAsia" w:hAnsiTheme="minorEastAsia" w:eastAsiaTheme="minorEastAsia" w:cstheme="minorEastAsia"/>
                <w:kern w:val="0"/>
                <w:szCs w:val="21"/>
              </w:rPr>
              <w:t>资格评审</w:t>
            </w:r>
            <w:bookmarkEnd w:id="133"/>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134" w:name="OLE_LINK7"/>
            <w:r>
              <w:rPr>
                <w:rFonts w:hint="eastAsia" w:asciiTheme="minorEastAsia" w:hAnsiTheme="minorEastAsia" w:eastAsiaTheme="minorEastAsia" w:cstheme="minorEastAsia"/>
                <w:kern w:val="0"/>
                <w:szCs w:val="21"/>
              </w:rPr>
              <w:t>报价人名称</w:t>
            </w:r>
            <w:bookmarkEnd w:id="134"/>
          </w:p>
        </w:tc>
        <w:tc>
          <w:tcPr>
            <w:tcW w:w="5463"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70"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135" w:name="OLE_LINK8"/>
            <w:r>
              <w:rPr>
                <w:rFonts w:hint="eastAsia" w:asciiTheme="minorEastAsia" w:hAnsiTheme="minorEastAsia" w:eastAsiaTheme="minorEastAsia" w:cstheme="minorEastAsia"/>
                <w:kern w:val="0"/>
                <w:szCs w:val="21"/>
              </w:rPr>
              <w:t>报价文件签字盖章</w:t>
            </w:r>
            <w:bookmarkEnd w:id="135"/>
          </w:p>
        </w:tc>
        <w:tc>
          <w:tcPr>
            <w:tcW w:w="5463"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有法定代表人或其委托代理人签字（或盖章）、加盖单位公章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700"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136" w:name="OLE_LINK10"/>
            <w:r>
              <w:rPr>
                <w:rFonts w:hint="eastAsia" w:asciiTheme="minorEastAsia" w:hAnsiTheme="minorEastAsia" w:eastAsiaTheme="minorEastAsia" w:cstheme="minorEastAsia"/>
                <w:kern w:val="0"/>
                <w:szCs w:val="21"/>
              </w:rPr>
              <w:t>报价唯一</w:t>
            </w:r>
            <w:bookmarkEnd w:id="136"/>
          </w:p>
        </w:tc>
        <w:tc>
          <w:tcPr>
            <w:tcW w:w="5463"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只能有一个有效报价，在竞争性比选文件没有规定的情况下，不得提交选择性报价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685"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137" w:name="OLE_LINK11"/>
            <w:r>
              <w:rPr>
                <w:rFonts w:hint="eastAsia" w:asciiTheme="minorEastAsia" w:hAnsiTheme="minorEastAsia" w:eastAsiaTheme="minorEastAsia" w:cstheme="minorEastAsia"/>
                <w:kern w:val="0"/>
                <w:szCs w:val="21"/>
              </w:rPr>
              <w:t>投标文件的签署</w:t>
            </w:r>
            <w:bookmarkEnd w:id="137"/>
          </w:p>
        </w:tc>
        <w:tc>
          <w:tcPr>
            <w:tcW w:w="5463"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投标文件上法定代表人或其授权代理人的签字（或盖章）齐全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903" w:hRule="atLeast"/>
        </w:trPr>
        <w:tc>
          <w:tcPr>
            <w:tcW w:w="1022" w:type="dxa"/>
            <w:vMerge w:val="continue"/>
          </w:tcPr>
          <w:p>
            <w:pPr>
              <w:snapToGrid w:val="0"/>
              <w:spacing w:line="400" w:lineRule="exact"/>
              <w:rPr>
                <w:rFonts w:asciiTheme="minorEastAsia" w:hAnsiTheme="minorEastAsia" w:eastAsiaTheme="minorEastAsia" w:cstheme="minorEastAsia"/>
                <w:szCs w:val="21"/>
              </w:rPr>
            </w:pPr>
          </w:p>
        </w:tc>
        <w:tc>
          <w:tcPr>
            <w:tcW w:w="377" w:type="dxa"/>
            <w:vMerge w:val="continue"/>
          </w:tcPr>
          <w:p>
            <w:pPr>
              <w:snapToGrid w:val="0"/>
              <w:spacing w:line="400" w:lineRule="exact"/>
              <w:rPr>
                <w:rFonts w:asciiTheme="minorEastAsia" w:hAnsiTheme="minorEastAsia" w:eastAsiaTheme="minorEastAsia" w:cstheme="minorEastAsia"/>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138" w:name="OLE_LINK12"/>
            <w:r>
              <w:rPr>
                <w:rFonts w:hint="eastAsia" w:asciiTheme="minorEastAsia" w:hAnsiTheme="minorEastAsia" w:eastAsiaTheme="minorEastAsia" w:cstheme="minorEastAsia"/>
                <w:kern w:val="0"/>
                <w:szCs w:val="21"/>
              </w:rPr>
              <w:t>委托代理人</w:t>
            </w:r>
            <w:bookmarkEnd w:id="138"/>
          </w:p>
        </w:tc>
        <w:tc>
          <w:tcPr>
            <w:tcW w:w="5463"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报价人法定代表人的委托代理人有法定代表人签署的授权委托书，且其授权委托书符合竞争性比选文件规定的格式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85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2.1.2</w:t>
            </w: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139" w:name="OLE_LINK6"/>
            <w:r>
              <w:rPr>
                <w:rFonts w:hint="eastAsia" w:asciiTheme="minorEastAsia" w:hAnsiTheme="minorEastAsia" w:eastAsiaTheme="minorEastAsia" w:cstheme="minorEastAsia"/>
                <w:kern w:val="0"/>
                <w:szCs w:val="21"/>
              </w:rPr>
              <w:t>营业执照</w:t>
            </w:r>
            <w:bookmarkEnd w:id="139"/>
          </w:p>
        </w:tc>
        <w:tc>
          <w:tcPr>
            <w:tcW w:w="5463"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具有有效的营业执照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623"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377" w:type="dxa"/>
            <w:vMerge w:val="continue"/>
            <w:textDirection w:val="tbRlV"/>
            <w:vAlign w:val="center"/>
          </w:tcPr>
          <w:p>
            <w:pPr>
              <w:snapToGrid w:val="0"/>
              <w:spacing w:line="400" w:lineRule="exact"/>
              <w:jc w:val="center"/>
              <w:rPr>
                <w:rFonts w:asciiTheme="minorEastAsia" w:hAnsiTheme="minorEastAsia" w:eastAsiaTheme="minorEastAsia" w:cstheme="minorEastAsia"/>
                <w:kern w:val="0"/>
                <w:szCs w:val="21"/>
              </w:rPr>
            </w:pPr>
          </w:p>
        </w:tc>
        <w:tc>
          <w:tcPr>
            <w:tcW w:w="1612" w:type="dxa"/>
            <w:gridSpan w:val="3"/>
            <w:vAlign w:val="center"/>
          </w:tcPr>
          <w:p>
            <w:pPr>
              <w:snapToGrid w:val="0"/>
              <w:spacing w:line="400" w:lineRule="exact"/>
              <w:jc w:val="center"/>
              <w:rPr>
                <w:rFonts w:asciiTheme="minorEastAsia" w:hAnsiTheme="minorEastAsia" w:eastAsiaTheme="minorEastAsia" w:cstheme="minorEastAsia"/>
                <w:kern w:val="0"/>
                <w:szCs w:val="21"/>
              </w:rPr>
            </w:pPr>
            <w:bookmarkStart w:id="140" w:name="OLE_LINK13"/>
            <w:r>
              <w:rPr>
                <w:rFonts w:hint="eastAsia" w:asciiTheme="minorEastAsia" w:hAnsiTheme="minorEastAsia" w:eastAsiaTheme="minorEastAsia" w:cstheme="minorEastAsia"/>
                <w:kern w:val="0"/>
                <w:szCs w:val="21"/>
              </w:rPr>
              <w:t>资质要求</w:t>
            </w:r>
            <w:bookmarkEnd w:id="140"/>
          </w:p>
        </w:tc>
        <w:tc>
          <w:tcPr>
            <w:tcW w:w="5463"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w:t>
            </w:r>
            <w:bookmarkStart w:id="141" w:name="OLE_LINK9"/>
            <w:r>
              <w:rPr>
                <w:rFonts w:hint="eastAsia" w:asciiTheme="minorEastAsia" w:hAnsiTheme="minorEastAsia" w:eastAsiaTheme="minorEastAsia" w:cstheme="minorEastAsia"/>
                <w:szCs w:val="21"/>
              </w:rPr>
              <w:t>第二章“报价人须知”规定</w:t>
            </w:r>
            <w:bookmarkEnd w:id="1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258" w:hRule="atLeast"/>
        </w:trPr>
        <w:tc>
          <w:tcPr>
            <w:tcW w:w="1022" w:type="dxa"/>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2.2.1</w:t>
            </w:r>
          </w:p>
        </w:tc>
        <w:tc>
          <w:tcPr>
            <w:tcW w:w="1989" w:type="dxa"/>
            <w:gridSpan w:val="4"/>
            <w:vAlign w:val="center"/>
          </w:tcPr>
          <w:p>
            <w:pPr>
              <w:tabs>
                <w:tab w:val="left" w:pos="1875"/>
              </w:tabs>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分值构成 (总分1OO分)</w:t>
            </w:r>
          </w:p>
        </w:tc>
        <w:tc>
          <w:tcPr>
            <w:tcW w:w="5463" w:type="dxa"/>
            <w:gridSpan w:val="2"/>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A：投标报价50分；</w:t>
            </w:r>
          </w:p>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B：商务部分20分；</w:t>
            </w:r>
          </w:p>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C：技术部分30分。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13" w:hRule="atLeast"/>
        </w:trPr>
        <w:tc>
          <w:tcPr>
            <w:tcW w:w="1022" w:type="dxa"/>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2.2.2</w:t>
            </w:r>
          </w:p>
        </w:tc>
        <w:tc>
          <w:tcPr>
            <w:tcW w:w="1989" w:type="dxa"/>
            <w:gridSpan w:val="4"/>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报价（50分）</w:t>
            </w:r>
          </w:p>
        </w:tc>
        <w:tc>
          <w:tcPr>
            <w:tcW w:w="5463" w:type="dxa"/>
            <w:gridSpan w:val="2"/>
          </w:tcPr>
          <w:p>
            <w:pPr>
              <w:wordWrap w:val="0"/>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1.满足竞争性比选文件要求，有效的投标报价的平均值为评标基准价。</w:t>
            </w:r>
          </w:p>
          <w:p>
            <w:pPr>
              <w:wordWrap w:val="0"/>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2.偏差率=100%×（报价人报价－评标基准价）/评标基准价。</w:t>
            </w:r>
          </w:p>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3.经评审的有效投标报价与评标基准价相比，等于基准价的得50分，每增加1%扣1分，每减少1%扣0.5分，扣完为止，不足1%的等比例折算。</w:t>
            </w:r>
          </w:p>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4.保留2位小数。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1350" w:hRule="atLeast"/>
        </w:trPr>
        <w:tc>
          <w:tcPr>
            <w:tcW w:w="1022" w:type="dxa"/>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2.2.3</w:t>
            </w:r>
          </w:p>
        </w:tc>
        <w:tc>
          <w:tcPr>
            <w:tcW w:w="1092" w:type="dxa"/>
            <w:gridSpan w:val="2"/>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商务部分评分标准（20分）</w:t>
            </w:r>
          </w:p>
        </w:tc>
        <w:tc>
          <w:tcPr>
            <w:tcW w:w="897" w:type="dxa"/>
            <w:gridSpan w:val="2"/>
            <w:vAlign w:val="center"/>
          </w:tcPr>
          <w:p>
            <w:pPr>
              <w:snapToGrid w:val="0"/>
              <w:spacing w:line="400" w:lineRule="exact"/>
              <w:jc w:val="center"/>
              <w:rPr>
                <w:rFonts w:asciiTheme="minorEastAsia" w:hAnsiTheme="minorEastAsia" w:eastAsiaTheme="minorEastAsia" w:cstheme="minorEastAsia"/>
                <w:szCs w:val="21"/>
                <w:shd w:val="clear" w:color="FFFFFF" w:fill="auto"/>
              </w:rPr>
            </w:pPr>
            <w:r>
              <w:rPr>
                <w:rFonts w:hint="eastAsia" w:asciiTheme="minorEastAsia" w:hAnsiTheme="minorEastAsia" w:eastAsiaTheme="minorEastAsia" w:cstheme="minorEastAsia"/>
                <w:szCs w:val="21"/>
                <w:shd w:val="clear" w:color="FFFFFF" w:fill="auto"/>
              </w:rPr>
              <w:t>资质要求（20分）</w:t>
            </w:r>
          </w:p>
        </w:tc>
        <w:tc>
          <w:tcPr>
            <w:tcW w:w="5463" w:type="dxa"/>
            <w:gridSpan w:val="2"/>
            <w:vAlign w:val="center"/>
          </w:tcPr>
          <w:p>
            <w:pPr>
              <w:pStyle w:val="41"/>
              <w:spacing w:line="400" w:lineRule="exact"/>
              <w:ind w:left="420" w:hanging="420" w:hanging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t>、投标人获得CMMI认证</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获得5级得5分，4级得3分，3级得1分；未提供不得分。</w:t>
            </w:r>
          </w:p>
          <w:p>
            <w:pPr>
              <w:pStyle w:val="41"/>
              <w:spacing w:line="400" w:lineRule="exact"/>
              <w:ind w:left="420" w:hanging="420" w:hanging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rPr>
              <w:t>、软件产品需具备产品软件著作权</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得5分，未提供不得分。</w:t>
            </w:r>
          </w:p>
          <w:p>
            <w:pPr>
              <w:pStyle w:val="41"/>
              <w:spacing w:line="400" w:lineRule="exact"/>
              <w:ind w:left="420" w:hanging="420" w:hangingChars="200"/>
              <w:rPr>
                <w:rFonts w:hint="eastAsia"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、软件产品获得发明专利，每提供一个得2分，最多</w:t>
            </w:r>
            <w:r>
              <w:rPr>
                <w:rFonts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rPr>
              <w:t>分。</w:t>
            </w:r>
            <w:bookmarkStart w:id="284" w:name="_GoBack"/>
            <w:bookmarkEnd w:id="284"/>
          </w:p>
          <w:p>
            <w:pPr>
              <w:pStyle w:val="41"/>
              <w:spacing w:line="400" w:lineRule="exact"/>
              <w:ind w:left="420" w:hanging="420" w:hanging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4、软件产品入选过《Gartner企业报表全球市场指南》，得3分</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未入选不得分</w:t>
            </w:r>
            <w:r>
              <w:rPr>
                <w:rFonts w:hint="eastAsia" w:asciiTheme="minorEastAsia" w:hAnsiTheme="minorEastAsia" w:eastAsiaTheme="minorEastAsia" w:cstheme="minorEastAsia"/>
                <w:sz w:val="21"/>
                <w:szCs w:val="21"/>
              </w:rPr>
              <w:t>。</w:t>
            </w:r>
          </w:p>
          <w:p>
            <w:pPr>
              <w:pStyle w:val="41"/>
              <w:spacing w:line="400" w:lineRule="exact"/>
              <w:ind w:left="420" w:hanging="420" w:hanging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5、提供本次投标产品销售或报表服务近三年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2019年1月1日起至投标截止日期</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业绩，每</w:t>
            </w:r>
            <w:r>
              <w:rPr>
                <w:rFonts w:hint="eastAsia" w:asciiTheme="minorEastAsia" w:hAnsiTheme="minorEastAsia" w:eastAsiaTheme="minorEastAsia" w:cstheme="minorEastAsia"/>
                <w:sz w:val="21"/>
                <w:szCs w:val="21"/>
                <w:lang w:val="en-US" w:eastAsia="zh-CN"/>
              </w:rPr>
              <w:t>多</w:t>
            </w:r>
            <w:r>
              <w:rPr>
                <w:rFonts w:hint="eastAsia" w:asciiTheme="minorEastAsia" w:hAnsiTheme="minorEastAsia" w:eastAsiaTheme="minorEastAsia" w:cstheme="minorEastAsia"/>
                <w:sz w:val="21"/>
                <w:szCs w:val="21"/>
              </w:rPr>
              <w:t>提供一个</w:t>
            </w:r>
            <w:r>
              <w:rPr>
                <w:rFonts w:hint="eastAsia" w:asciiTheme="minorEastAsia" w:hAnsiTheme="minorEastAsia" w:eastAsiaTheme="minorEastAsia" w:cstheme="minorEastAsia"/>
                <w:sz w:val="21"/>
                <w:szCs w:val="21"/>
                <w:lang w:val="en-US" w:eastAsia="zh-CN"/>
              </w:rPr>
              <w:t>27万以上</w:t>
            </w:r>
            <w:r>
              <w:rPr>
                <w:rFonts w:hint="eastAsia" w:asciiTheme="minorEastAsia" w:hAnsiTheme="minorEastAsia" w:eastAsiaTheme="minorEastAsia" w:cstheme="minorEastAsia"/>
                <w:sz w:val="21"/>
                <w:szCs w:val="21"/>
              </w:rPr>
              <w:t>业绩得1</w:t>
            </w:r>
            <w:r>
              <w:rPr>
                <w:rFonts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rPr>
              <w:t>，最多</w:t>
            </w:r>
            <w:r>
              <w:rPr>
                <w:rFonts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rPr>
              <w:t>分</w:t>
            </w:r>
            <w:r>
              <w:rPr>
                <w:rFonts w:hint="eastAsia" w:asciiTheme="minorEastAsia" w:hAnsiTheme="minorEastAsia" w:eastAsiaTheme="minorEastAsia" w:cstheme="minorEastAsia"/>
                <w:sz w:val="21"/>
                <w:szCs w:val="21"/>
                <w:lang w:eastAsia="zh-CN"/>
              </w:rPr>
              <w:t>。</w:t>
            </w:r>
          </w:p>
          <w:p>
            <w:pPr>
              <w:pStyle w:val="41"/>
              <w:spacing w:line="400" w:lineRule="exact"/>
              <w:ind w:firstLine="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备注：提供有效期内的资质认证证书或证明文件复印件加盖投标人公章，如出现无证明资料或专家无法凭所提供资料判断是否得分的情况，一律作不得分处理。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90" w:hRule="atLeast"/>
        </w:trPr>
        <w:tc>
          <w:tcPr>
            <w:tcW w:w="1022" w:type="dxa"/>
            <w:vMerge w:val="restart"/>
            <w:vAlign w:val="center"/>
          </w:tcPr>
          <w:p>
            <w:pPr>
              <w:snapToGrid w:val="0"/>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2.2.4</w:t>
            </w:r>
          </w:p>
        </w:tc>
        <w:tc>
          <w:tcPr>
            <w:tcW w:w="1092" w:type="dxa"/>
            <w:gridSpan w:val="2"/>
            <w:vMerge w:val="restart"/>
            <w:vAlign w:val="center"/>
          </w:tcPr>
          <w:p>
            <w:pPr>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技术部分评分标准（30分）</w:t>
            </w:r>
          </w:p>
        </w:tc>
        <w:tc>
          <w:tcPr>
            <w:tcW w:w="897" w:type="dxa"/>
            <w:gridSpan w:val="2"/>
            <w:vAlign w:val="center"/>
          </w:tcPr>
          <w:p>
            <w:pPr>
              <w:widowControl/>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产品功能（15分</w:t>
            </w:r>
            <w:r>
              <w:rPr>
                <w:rFonts w:asciiTheme="minorEastAsia" w:hAnsiTheme="minorEastAsia" w:eastAsiaTheme="minorEastAsia" w:cstheme="minorEastAsia"/>
                <w:szCs w:val="21"/>
              </w:rPr>
              <w:t>）</w:t>
            </w:r>
          </w:p>
        </w:tc>
        <w:tc>
          <w:tcPr>
            <w:tcW w:w="5463" w:type="dxa"/>
            <w:gridSpan w:val="2"/>
            <w:vAlign w:val="center"/>
          </w:tcPr>
          <w:p>
            <w:pPr>
              <w:spacing w:before="156" w:line="4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按照第七章技术标准和工作要求</w:t>
            </w:r>
            <w:r>
              <w:rPr>
                <w:rFonts w:hint="eastAsia" w:asciiTheme="minorEastAsia" w:hAnsiTheme="minorEastAsia" w:eastAsiaTheme="minorEastAsia" w:cstheme="minorEastAsia"/>
                <w:szCs w:val="21"/>
                <w:lang w:eastAsia="zh-CN"/>
              </w:rPr>
              <w:t>（1.1平台软件功能要求）</w:t>
            </w:r>
            <w:r>
              <w:rPr>
                <w:rFonts w:hint="eastAsia" w:asciiTheme="minorEastAsia" w:hAnsiTheme="minorEastAsia" w:eastAsiaTheme="minorEastAsia" w:cstheme="minorEastAsia"/>
                <w:szCs w:val="21"/>
              </w:rPr>
              <w:t>进行评分，每一项要求不满足即扣0.5</w:t>
            </w:r>
            <w:r>
              <w:rPr>
                <w:rFonts w:hint="eastAsia" w:asciiTheme="minorEastAsia" w:hAnsiTheme="minorEastAsia" w:eastAsiaTheme="minorEastAsia" w:cstheme="minorEastAsia"/>
                <w:szCs w:val="21"/>
                <w:lang w:val="en-US" w:eastAsia="zh-CN"/>
              </w:rPr>
              <w:t>分</w:t>
            </w:r>
            <w:r>
              <w:rPr>
                <w:rFonts w:hint="eastAsia" w:asciiTheme="minorEastAsia" w:hAnsiTheme="minorEastAsia" w:eastAsiaTheme="minorEastAsia" w:cstheme="minorEastAsia"/>
                <w:szCs w:val="21"/>
              </w:rPr>
              <w:t>，技术要求满足度总分15分，扣完为止。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622"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1092" w:type="dxa"/>
            <w:gridSpan w:val="2"/>
            <w:vMerge w:val="continue"/>
            <w:vAlign w:val="center"/>
          </w:tcPr>
          <w:p>
            <w:pPr>
              <w:snapToGrid w:val="0"/>
              <w:spacing w:line="400" w:lineRule="exact"/>
              <w:jc w:val="center"/>
              <w:rPr>
                <w:rFonts w:asciiTheme="minorEastAsia" w:hAnsiTheme="minorEastAsia" w:eastAsiaTheme="minorEastAsia" w:cstheme="minorEastAsia"/>
                <w:szCs w:val="21"/>
              </w:rPr>
            </w:pPr>
          </w:p>
        </w:tc>
        <w:tc>
          <w:tcPr>
            <w:tcW w:w="897" w:type="dxa"/>
            <w:gridSpan w:val="2"/>
            <w:vAlign w:val="center"/>
          </w:tcPr>
          <w:p>
            <w:pPr>
              <w:widowControl/>
              <w:spacing w:before="156" w:line="400" w:lineRule="exact"/>
              <w:jc w:val="center"/>
              <w:rPr>
                <w:rFonts w:asciiTheme="minorEastAsia" w:hAnsiTheme="minorEastAsia" w:eastAsiaTheme="minorEastAsia" w:cstheme="minorEastAsia"/>
                <w:szCs w:val="21"/>
              </w:rPr>
            </w:pPr>
            <w:bookmarkStart w:id="142" w:name="OLE_LINK19"/>
            <w:r>
              <w:rPr>
                <w:rFonts w:hint="eastAsia" w:asciiTheme="minorEastAsia" w:hAnsiTheme="minorEastAsia" w:eastAsiaTheme="minorEastAsia" w:cstheme="minorEastAsia"/>
                <w:szCs w:val="21"/>
              </w:rPr>
              <w:t>解决方案(10分）</w:t>
            </w:r>
            <w:bookmarkEnd w:id="142"/>
          </w:p>
        </w:tc>
        <w:tc>
          <w:tcPr>
            <w:tcW w:w="5463" w:type="dxa"/>
            <w:gridSpan w:val="2"/>
            <w:vAlign w:val="center"/>
          </w:tcPr>
          <w:p>
            <w:pPr>
              <w:spacing w:before="156"/>
              <w:jc w:val="left"/>
            </w:pPr>
            <w:r>
              <w:rPr>
                <w:rFonts w:hint="eastAsia"/>
              </w:rPr>
              <w:t>根据投标人对项目的业务目标理解程度，阐述具体的项目设计方案框架和服务流程体系，根据需求理解进行综合评分。</w:t>
            </w:r>
          </w:p>
          <w:p>
            <w:pPr>
              <w:spacing w:before="156"/>
              <w:jc w:val="left"/>
            </w:pPr>
            <w:r>
              <w:rPr>
                <w:rFonts w:hint="eastAsia"/>
              </w:rPr>
              <w:t>（1）投标方案内容全面，对项目目标和建设内容把握准确，项目重点难点分析到位，对于业务创新及功能扩展具有深刻认识的，得7-10分；</w:t>
            </w:r>
          </w:p>
          <w:p>
            <w:pPr>
              <w:spacing w:before="156"/>
              <w:jc w:val="left"/>
            </w:pPr>
            <w:r>
              <w:rPr>
                <w:rFonts w:hint="eastAsia"/>
              </w:rPr>
              <w:t>（2）对项目需求的理解及分析基本全面，项目目标和建设内容把握准确，对项目重点难点分析无偏差，对业务创新及功能扩展具有一定认识的，得4-6分；</w:t>
            </w:r>
          </w:p>
          <w:p>
            <w:pPr>
              <w:spacing w:before="156"/>
              <w:jc w:val="left"/>
            </w:pPr>
            <w:r>
              <w:rPr>
                <w:rFonts w:hint="eastAsia"/>
              </w:rPr>
              <w:t>（3）对项目需求的理解及分析较为简单，或对项目的理解及分析存在偏差的，得0-3分。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622" w:hRule="atLeast"/>
        </w:trPr>
        <w:tc>
          <w:tcPr>
            <w:tcW w:w="1022" w:type="dxa"/>
            <w:vMerge w:val="continue"/>
            <w:vAlign w:val="center"/>
          </w:tcPr>
          <w:p>
            <w:pPr>
              <w:snapToGrid w:val="0"/>
              <w:spacing w:line="400" w:lineRule="exact"/>
              <w:jc w:val="center"/>
              <w:rPr>
                <w:rFonts w:asciiTheme="minorEastAsia" w:hAnsiTheme="minorEastAsia" w:eastAsiaTheme="minorEastAsia" w:cstheme="minorEastAsia"/>
                <w:kern w:val="0"/>
                <w:szCs w:val="21"/>
              </w:rPr>
            </w:pPr>
          </w:p>
        </w:tc>
        <w:tc>
          <w:tcPr>
            <w:tcW w:w="1092" w:type="dxa"/>
            <w:gridSpan w:val="2"/>
            <w:vMerge w:val="continue"/>
            <w:vAlign w:val="center"/>
          </w:tcPr>
          <w:p>
            <w:pPr>
              <w:snapToGrid w:val="0"/>
              <w:spacing w:line="400" w:lineRule="exact"/>
              <w:jc w:val="center"/>
              <w:rPr>
                <w:rFonts w:asciiTheme="minorEastAsia" w:hAnsiTheme="minorEastAsia" w:eastAsiaTheme="minorEastAsia" w:cstheme="minorEastAsia"/>
                <w:szCs w:val="21"/>
              </w:rPr>
            </w:pPr>
          </w:p>
        </w:tc>
        <w:tc>
          <w:tcPr>
            <w:tcW w:w="897" w:type="dxa"/>
            <w:gridSpan w:val="2"/>
            <w:vAlign w:val="center"/>
          </w:tcPr>
          <w:p>
            <w:pPr>
              <w:widowControl/>
              <w:spacing w:before="156"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培训方案（5分）</w:t>
            </w:r>
          </w:p>
        </w:tc>
        <w:tc>
          <w:tcPr>
            <w:tcW w:w="5463" w:type="dxa"/>
            <w:gridSpan w:val="2"/>
            <w:vAlign w:val="center"/>
          </w:tcPr>
          <w:p>
            <w:pPr>
              <w:spacing w:before="156"/>
              <w:jc w:val="left"/>
              <w:rPr>
                <w:rFonts w:hint="eastAsia"/>
              </w:rPr>
            </w:pPr>
            <w:r>
              <w:rPr>
                <w:rFonts w:hint="eastAsia"/>
              </w:rPr>
              <w:t>提供培训方案，得</w:t>
            </w:r>
            <w:r>
              <w:rPr>
                <w:rFonts w:hint="eastAsia"/>
                <w:lang w:val="en-US" w:eastAsia="zh-CN"/>
              </w:rPr>
              <w:t>2</w:t>
            </w:r>
            <w:r>
              <w:rPr>
                <w:rFonts w:hint="eastAsia"/>
              </w:rPr>
              <w:t>分</w:t>
            </w:r>
            <w:r>
              <w:rPr>
                <w:rFonts w:hint="eastAsia"/>
                <w:lang w:eastAsia="zh-CN"/>
              </w:rPr>
              <w:t>，</w:t>
            </w:r>
            <w:r>
              <w:rPr>
                <w:rFonts w:hint="eastAsia"/>
                <w:lang w:val="en-US" w:eastAsia="zh-CN"/>
              </w:rPr>
              <w:t>未提供不得分</w:t>
            </w:r>
            <w:r>
              <w:rPr>
                <w:rFonts w:hint="eastAsia"/>
              </w:rPr>
              <w:t>。</w:t>
            </w:r>
          </w:p>
          <w:p>
            <w:pPr>
              <w:spacing w:before="156"/>
              <w:jc w:val="left"/>
            </w:pPr>
            <w:r>
              <w:rPr>
                <w:rFonts w:hint="default"/>
              </w:rPr>
              <w:t>1</w:t>
            </w:r>
            <w:r>
              <w:rPr>
                <w:rFonts w:hint="eastAsia"/>
              </w:rPr>
              <w:t>、方案完整清晰，培训内容功能全覆盖，培训方式科学合理，具有可操作性</w:t>
            </w:r>
            <w:r>
              <w:rPr>
                <w:rFonts w:hint="eastAsia"/>
                <w:lang w:val="en-US" w:eastAsia="zh-CN"/>
              </w:rPr>
              <w:t>加3</w:t>
            </w:r>
            <w:r>
              <w:rPr>
                <w:rFonts w:hint="eastAsia"/>
              </w:rPr>
              <w:t>分；</w:t>
            </w:r>
          </w:p>
          <w:p>
            <w:pPr>
              <w:spacing w:before="0"/>
              <w:jc w:val="both"/>
              <w:rPr>
                <w:rFonts w:hint="eastAsia"/>
              </w:rPr>
            </w:pPr>
            <w:r>
              <w:rPr>
                <w:rFonts w:hint="default"/>
              </w:rPr>
              <w:t>2</w:t>
            </w:r>
            <w:r>
              <w:rPr>
                <w:rFonts w:hint="eastAsia"/>
              </w:rPr>
              <w:t>、方案较为合理，培训内容涵盖主要功能，培训方式较为合理，具有可操作性，</w:t>
            </w:r>
            <w:r>
              <w:rPr>
                <w:rFonts w:hint="eastAsia"/>
                <w:lang w:val="en-US" w:eastAsia="zh-CN"/>
              </w:rPr>
              <w:t>加2</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trHeight w:val="331" w:hRule="atLeast"/>
        </w:trPr>
        <w:tc>
          <w:tcPr>
            <w:tcW w:w="1022" w:type="dxa"/>
            <w:tcBorders>
              <w:bottom w:val="single" w:color="auto" w:sz="4" w:space="0"/>
            </w:tcBorders>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c>
          <w:tcPr>
            <w:tcW w:w="7452" w:type="dxa"/>
            <w:gridSpan w:val="6"/>
            <w:vAlign w:val="center"/>
          </w:tcPr>
          <w:p>
            <w:pPr>
              <w:spacing w:line="400" w:lineRule="exact"/>
              <w:jc w:val="center"/>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b/>
                <w:kern w:val="0"/>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8" w:type="dxa"/>
          <w:cantSplit/>
          <w:trHeight w:val="1859" w:hRule="atLeast"/>
        </w:trPr>
        <w:tc>
          <w:tcPr>
            <w:tcW w:w="1022" w:type="dxa"/>
            <w:vAlign w:val="center"/>
          </w:tcPr>
          <w:p>
            <w:pPr>
              <w:spacing w:line="4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3.1</w:t>
            </w:r>
          </w:p>
        </w:tc>
        <w:tc>
          <w:tcPr>
            <w:tcW w:w="1496" w:type="dxa"/>
            <w:gridSpan w:val="3"/>
            <w:textDirection w:val="tbRlV"/>
            <w:vAlign w:val="center"/>
          </w:tcPr>
          <w:p>
            <w:pPr>
              <w:spacing w:line="400" w:lineRule="exact"/>
              <w:ind w:left="113" w:right="113"/>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评标程序</w:t>
            </w:r>
          </w:p>
        </w:tc>
        <w:tc>
          <w:tcPr>
            <w:tcW w:w="5956" w:type="dxa"/>
            <w:gridSpan w:val="3"/>
          </w:tcPr>
          <w:p>
            <w:pPr>
              <w:wordWrap w:val="0"/>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1.初步评审前，按规定对投标报价有算术性错误的进行算术性错误修正，并对所有报价人递交的竞争性比选响应文件进行初步评审（形式、资格、响应评审）。</w:t>
            </w:r>
          </w:p>
          <w:p>
            <w:pPr>
              <w:wordWrap w:val="0"/>
              <w:adjustRightInd w:val="0"/>
              <w:snapToGrid w:val="0"/>
              <w:spacing w:line="40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2.初步评审合格的才进行详细评审。</w:t>
            </w:r>
          </w:p>
          <w:p>
            <w:pPr>
              <w:wordWrap w:val="0"/>
              <w:adjustRightInd w:val="0"/>
              <w:snapToGrid w:val="0"/>
              <w:spacing w:line="400" w:lineRule="exact"/>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szCs w:val="21"/>
              </w:rPr>
              <w:t>3.根据综合得分由高至低进行排序，推荐2家合格的中标候选人。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2518" w:type="dxa"/>
            <w:gridSpan w:val="4"/>
            <w:vAlign w:val="center"/>
          </w:tcPr>
          <w:p>
            <w:pPr>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3.2.3</w:t>
            </w:r>
          </w:p>
        </w:tc>
        <w:tc>
          <w:tcPr>
            <w:tcW w:w="1577" w:type="dxa"/>
            <w:gridSpan w:val="2"/>
            <w:vAlign w:val="center"/>
          </w:tcPr>
          <w:p>
            <w:pPr>
              <w:adjustRightInd w:val="0"/>
              <w:snapToGrid w:val="0"/>
              <w:spacing w:line="40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报价人得分</w:t>
            </w:r>
          </w:p>
        </w:tc>
        <w:tc>
          <w:tcPr>
            <w:tcW w:w="4427" w:type="dxa"/>
            <w:gridSpan w:val="2"/>
            <w:vAlign w:val="center"/>
          </w:tcPr>
          <w:p>
            <w:pPr>
              <w:pStyle w:val="167"/>
              <w:ind w:firstLine="0" w:firstLineChars="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报价人得分=A+B+C，对通过初步评审的报价人按照投标总得分（商务+技术+报价）得分由从高到低的先后顺序推荐2名中标候选人。保留2位小数。</w:t>
            </w:r>
          </w:p>
        </w:tc>
      </w:tr>
    </w:tbl>
    <w:p>
      <w:pPr>
        <w:rPr>
          <w:rFonts w:ascii="宋体" w:hAnsi="宋体" w:cs="宋体"/>
        </w:rPr>
      </w:pP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综合评估法，是指投标文件满足竞争性比选文件全部实质性要求且按照评审因素的量化指标评审得分最高的报价人为中标候选人的评标方法。报价人总得分为价格、商务、技术等评定因素分别按照相应权重值计算分项得分后相加，满分为100分。</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（一）符合性审查</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评标委员会应当对符合资格的报价人的投标文件进行符合性审查，以确定其是否满足竞争性比选文件的实质性要求。</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澄清有关问题。对投标文件中含义不明确、同类问题表述不一致或者有明显文字和计算错误的内容，评标委员会可以书面形式（应当由评标委员会成员签字）要求报价人作出必要澄清、说明或者纠正。报价人的澄清、说明或者补正应当采用书面形式，由其法定代表人授权代表签字，其澄清的内容不得超出投标文件的范围或者改变投标文件的实质性内容。</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（三）比较与评价。按竞争性比选文件中规定的评标方法和标准，对资格审查和符合性审查合格的投标文件进行商务和技术评估。</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复核后，评标委员会汇总每个报价人每项评分因素的得分。</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（四）推荐中标候选人名单。</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按评审后得分由高到低的排列顺序推荐综合得分排名前2名的报价人为本项目中标候选人。</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六、无效投标条款</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报价人或其投标文件出现下列情况之一者，应为无效投标：</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（一）投标文件未按竞争性比选文件要求签署、盖章的；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（二）不具备竞争性比选文件中规定的资格要求的；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（三）报价超过竞争性比选文件中规定的预算金额或者最高限价的；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（四）投标文件含有采购人不能接受的附加条件的；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（五）报价人串通投标的；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（六）报价人组成联合体投标的；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（七）法律、法规和竞争性比选文件规定的其他无效情形。</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七、废标条款</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评标委员会评审时出现以下情况之一的，应予废标：</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（一）符合专业条件的报价人或者对竞争性比选文件作实质响应的报价人不足三家的；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（二）</w:t>
      </w:r>
      <w:r>
        <w:rPr>
          <w:rFonts w:hint="eastAsia" w:ascii="宋体" w:hAnsi="宋体" w:cs="宋体"/>
          <w:caps/>
          <w:szCs w:val="21"/>
        </w:rPr>
        <w:t>报价人的报价均超过了采购预算，采购人不能支付的；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（三）出现影响采购公正的违法、违规行为的；</w:t>
      </w:r>
    </w:p>
    <w:p>
      <w:pPr>
        <w:wordWrap w:val="0"/>
        <w:adjustRightInd w:val="0"/>
        <w:snapToGrid w:val="0"/>
        <w:spacing w:line="4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（四）因重大变故，采购任务取消的。</w:t>
      </w:r>
    </w:p>
    <w:p>
      <w:pPr>
        <w:jc w:val="center"/>
        <w:rPr>
          <w:rFonts w:ascii="宋体" w:hAnsi="宋体" w:cs="宋体"/>
          <w:b/>
          <w:bCs/>
          <w:kern w:val="44"/>
          <w:sz w:val="44"/>
          <w:szCs w:val="44"/>
        </w:rPr>
      </w:pPr>
      <w:r>
        <w:rPr>
          <w:rFonts w:hint="eastAsia"/>
        </w:rPr>
        <w:br w:type="page"/>
      </w:r>
      <w:bookmarkStart w:id="143" w:name="_Toc13787"/>
      <w:r>
        <w:rPr>
          <w:rFonts w:hint="eastAsia" w:ascii="宋体" w:hAnsi="宋体" w:cs="宋体"/>
          <w:b/>
          <w:bCs/>
          <w:kern w:val="44"/>
          <w:sz w:val="44"/>
          <w:szCs w:val="44"/>
        </w:rPr>
        <w:t>第四章 报价说明</w:t>
      </w:r>
      <w:bookmarkEnd w:id="143"/>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6、工程量清单中所列工程数量是估算的数量，仅作为报价的共同基础，不能作为最终结算与支付的依据。实际支付应按实际完成的工程量*工程量清单的单价来计算支付金额。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pPr>
        <w:pStyle w:val="28"/>
        <w:spacing w:line="380" w:lineRule="exact"/>
        <w:ind w:firstLine="420" w:firstLineChars="200"/>
      </w:pPr>
      <w:r>
        <w:rPr>
          <w:rFonts w:hint="eastAsia" w:ascii="宋体" w:hAnsi="宋体" w:cs="宋体"/>
          <w:b w:val="0"/>
          <w:bCs w:val="0"/>
          <w:sz w:val="21"/>
          <w:szCs w:val="21"/>
        </w:rPr>
        <w:t>18、报价人提供的材料设备需在报价清单中明确品牌及型号。</w:t>
      </w:r>
      <w:r>
        <w:t xml:space="preserve"> </w:t>
      </w:r>
    </w:p>
    <w:p>
      <w:pPr>
        <w:pStyle w:val="28"/>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44" w:name="_Toc152042575"/>
      <w:bookmarkStart w:id="145" w:name="_Toc247085872"/>
      <w:bookmarkStart w:id="146" w:name="_Toc152045786"/>
      <w:bookmarkStart w:id="147" w:name="_Toc246996354"/>
      <w:bookmarkStart w:id="148" w:name="_Toc144974855"/>
      <w:bookmarkStart w:id="149" w:name="_Toc246997097"/>
      <w:bookmarkStart w:id="150" w:name="_Toc179632806"/>
    </w:p>
    <w:p>
      <w:pPr>
        <w:pStyle w:val="4"/>
        <w:spacing w:before="0" w:after="0" w:line="360" w:lineRule="auto"/>
        <w:jc w:val="center"/>
        <w:rPr>
          <w:rFonts w:ascii="宋体" w:hAnsi="宋体" w:cs="宋体"/>
        </w:rPr>
      </w:pPr>
      <w:bookmarkStart w:id="151" w:name="_Toc179632789"/>
      <w:bookmarkStart w:id="152" w:name="_Toc514858705"/>
      <w:bookmarkStart w:id="153" w:name="_Toc152042554"/>
      <w:bookmarkStart w:id="154" w:name="_Toc246996340"/>
      <w:bookmarkStart w:id="155" w:name="_Toc24503"/>
      <w:bookmarkStart w:id="156" w:name="_Toc2000409"/>
      <w:bookmarkStart w:id="157" w:name="_Toc247085855"/>
      <w:bookmarkStart w:id="158" w:name="_Toc144974834"/>
      <w:bookmarkStart w:id="159" w:name="_Toc152045772"/>
      <w:bookmarkStart w:id="160" w:name="_Toc246997083"/>
      <w:r>
        <w:rPr>
          <w:rFonts w:hint="eastAsia" w:ascii="宋体" w:hAnsi="宋体" w:cs="宋体"/>
        </w:rPr>
        <w:t>第五章  工程量清单</w:t>
      </w:r>
      <w:bookmarkEnd w:id="151"/>
      <w:bookmarkEnd w:id="152"/>
      <w:bookmarkEnd w:id="153"/>
      <w:bookmarkEnd w:id="154"/>
      <w:bookmarkEnd w:id="155"/>
      <w:bookmarkEnd w:id="156"/>
      <w:bookmarkEnd w:id="157"/>
      <w:bookmarkEnd w:id="158"/>
      <w:bookmarkEnd w:id="159"/>
      <w:bookmarkEnd w:id="160"/>
    </w:p>
    <w:p>
      <w:pPr>
        <w:ind w:firstLine="420"/>
        <w:jc w:val="left"/>
        <w:rPr>
          <w:rFonts w:ascii="宋体" w:hAnsi="宋体" w:cs="宋体"/>
          <w:b/>
        </w:rPr>
      </w:pPr>
      <w:bookmarkStart w:id="161" w:name="_Toc152045782"/>
      <w:bookmarkStart w:id="162" w:name="_Toc152042571"/>
      <w:bookmarkStart w:id="163" w:name="_Toc144974851"/>
      <w:bookmarkStart w:id="164" w:name="_Toc247096438"/>
      <w:bookmarkStart w:id="165" w:name="_Toc246996350"/>
      <w:bookmarkStart w:id="166" w:name="_Toc247085866"/>
      <w:bookmarkStart w:id="167" w:name="_Toc246997093"/>
      <w:bookmarkStart w:id="168" w:name="_Toc179632800"/>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left"/>
        <w:rPr>
          <w:rFonts w:ascii="宋体" w:hAnsi="宋体" w:cs="宋体"/>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4"/>
        <w:spacing w:before="0" w:after="0" w:line="360" w:lineRule="auto"/>
        <w:jc w:val="center"/>
        <w:rPr>
          <w:rFonts w:ascii="宋体" w:hAnsi="宋体" w:cs="宋体"/>
        </w:rPr>
      </w:pPr>
      <w:bookmarkStart w:id="169" w:name="_Toc2000410"/>
      <w:bookmarkStart w:id="170" w:name="_Toc503951042"/>
      <w:bookmarkStart w:id="171" w:name="_Toc513633963"/>
      <w:bookmarkStart w:id="172" w:name="_Toc12440"/>
      <w:bookmarkStart w:id="173" w:name="_Toc514858706"/>
      <w:bookmarkStart w:id="174" w:name="_Toc447827048"/>
      <w:r>
        <w:rPr>
          <w:rFonts w:hint="eastAsia" w:ascii="宋体" w:hAnsi="宋体" w:cs="宋体"/>
        </w:rPr>
        <w:t>第六章  图  纸</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75" w:name="_Toc152045785"/>
      <w:bookmarkStart w:id="176" w:name="_Toc152042574"/>
      <w:bookmarkStart w:id="177" w:name="_Toc144974854"/>
    </w:p>
    <w:p>
      <w:pPr>
        <w:pStyle w:val="4"/>
        <w:spacing w:before="0" w:after="0" w:line="360" w:lineRule="auto"/>
        <w:jc w:val="center"/>
        <w:rPr>
          <w:rFonts w:ascii="宋体" w:hAnsi="宋体" w:cs="宋体"/>
          <w:sz w:val="24"/>
          <w:szCs w:val="24"/>
        </w:rPr>
      </w:pPr>
      <w:bookmarkStart w:id="178" w:name="_Toc246996353"/>
      <w:bookmarkStart w:id="179" w:name="_Toc247085870"/>
      <w:bookmarkStart w:id="180" w:name="_Toc10887"/>
      <w:bookmarkStart w:id="181" w:name="_Toc2000411"/>
      <w:bookmarkStart w:id="182" w:name="_Toc513633964"/>
      <w:bookmarkStart w:id="183" w:name="_Toc514858707"/>
      <w:bookmarkStart w:id="184" w:name="_Toc179632804"/>
      <w:bookmarkStart w:id="185" w:name="_Toc447827049"/>
      <w:bookmarkStart w:id="186" w:name="_Toc246997096"/>
      <w:bookmarkStart w:id="187" w:name="_Toc503951043"/>
      <w:r>
        <w:rPr>
          <w:rFonts w:hint="eastAsia" w:ascii="宋体" w:hAnsi="宋体" w:cs="宋体"/>
        </w:rPr>
        <w:t>第七章  技术标准和工作要求</w:t>
      </w:r>
      <w:bookmarkEnd w:id="144"/>
      <w:bookmarkEnd w:id="145"/>
      <w:bookmarkEnd w:id="146"/>
      <w:bookmarkEnd w:id="147"/>
      <w:bookmarkEnd w:id="148"/>
      <w:bookmarkEnd w:id="149"/>
      <w:bookmarkEnd w:id="150"/>
      <w:bookmarkEnd w:id="175"/>
      <w:bookmarkEnd w:id="176"/>
      <w:bookmarkEnd w:id="177"/>
      <w:bookmarkEnd w:id="178"/>
      <w:bookmarkEnd w:id="179"/>
      <w:bookmarkEnd w:id="180"/>
      <w:bookmarkEnd w:id="181"/>
      <w:bookmarkEnd w:id="182"/>
      <w:bookmarkEnd w:id="183"/>
      <w:bookmarkEnd w:id="184"/>
      <w:bookmarkEnd w:id="185"/>
      <w:bookmarkEnd w:id="186"/>
      <w:bookmarkEnd w:id="187"/>
      <w:bookmarkStart w:id="188" w:name="_Toc514858708"/>
      <w:bookmarkStart w:id="189" w:name="_Toc514430114"/>
      <w:bookmarkStart w:id="190" w:name="_Toc2000412"/>
      <w:bookmarkStart w:id="191" w:name="_Toc12089"/>
      <w:bookmarkStart w:id="192" w:name="_Toc507320039"/>
      <w:bookmarkStart w:id="193" w:name="_Toc152045787"/>
      <w:bookmarkStart w:id="194" w:name="_Toc247085873"/>
      <w:bookmarkStart w:id="195" w:name="_Toc152042576"/>
      <w:bookmarkStart w:id="196" w:name="_Toc246997098"/>
      <w:bookmarkStart w:id="197" w:name="_Toc179632807"/>
      <w:bookmarkStart w:id="198" w:name="_Toc144974856"/>
      <w:bookmarkStart w:id="199" w:name="_Toc246996355"/>
    </w:p>
    <w:p>
      <w:pPr>
        <w:spacing w:line="600" w:lineRule="exact"/>
        <w:rPr>
          <w:rFonts w:ascii="方正仿宋_GBK" w:hAnsi="方正仿宋_GBK" w:eastAsia="方正仿宋_GBK" w:cs="方正仿宋_GBK"/>
          <w:b/>
          <w:color w:val="000000"/>
          <w:sz w:val="32"/>
          <w:szCs w:val="32"/>
          <w:lang w:eastAsia="zh-Hans"/>
        </w:rPr>
      </w:pPr>
      <w:r>
        <w:rPr>
          <w:rFonts w:hint="eastAsia" w:ascii="方正仿宋_GBK" w:hAnsi="方正仿宋_GBK" w:eastAsia="方正仿宋_GBK" w:cs="方正仿宋_GBK"/>
          <w:b/>
          <w:color w:val="000000"/>
          <w:sz w:val="32"/>
          <w:szCs w:val="32"/>
        </w:rPr>
        <w:t>1.1</w:t>
      </w:r>
      <w:r>
        <w:rPr>
          <w:rFonts w:hint="eastAsia" w:ascii="方正仿宋_GBK" w:hAnsi="方正仿宋_GBK" w:eastAsia="方正仿宋_GBK" w:cs="方正仿宋_GBK"/>
          <w:b/>
          <w:color w:val="000000"/>
          <w:sz w:val="32"/>
          <w:szCs w:val="32"/>
          <w:lang w:eastAsia="zh-Hans"/>
        </w:rPr>
        <w:t>平台软件功能要求</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1.1.1</w:t>
      </w:r>
      <w:r>
        <w:rPr>
          <w:rFonts w:ascii="方正仿宋_GBK" w:hAnsi="方正仿宋_GBK" w:eastAsia="方正仿宋_GBK" w:cs="方正仿宋_GBK"/>
        </w:rPr>
        <w:t>数据源</w:t>
      </w:r>
      <w:r>
        <w:rPr>
          <w:rFonts w:hint="eastAsia" w:ascii="方正仿宋_GBK" w:hAnsi="方正仿宋_GBK" w:eastAsia="方正仿宋_GBK" w:cs="方正仿宋_GBK"/>
        </w:rPr>
        <w:t>支持</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1）支持JDBC、ODBC、JNDI等数据连接方式。</w:t>
      </w:r>
      <w:r>
        <w:rPr>
          <w:rFonts w:hint="eastAsia" w:ascii="方正仿宋_GBK" w:hAnsi="方正仿宋_GBK" w:eastAsia="方正仿宋_GBK" w:cs="方正仿宋_GBK"/>
          <w:sz w:val="32"/>
          <w:szCs w:val="32"/>
        </w:rPr>
        <w:t>支持导入外部数据库</w:t>
      </w:r>
      <w:r>
        <w:rPr>
          <w:rFonts w:ascii="方正仿宋_GBK" w:hAnsi="方正仿宋_GBK" w:eastAsia="方正仿宋_GBK" w:cs="方正仿宋_GBK"/>
          <w:sz w:val="32"/>
          <w:szCs w:val="32"/>
        </w:rPr>
        <w:t>jar驱动进行其他种类的数据库连接</w:t>
      </w:r>
      <w:r>
        <w:rPr>
          <w:rFonts w:hint="eastAsia" w:ascii="方正仿宋_GBK" w:hAnsi="方正仿宋_GBK" w:eastAsia="方正仿宋_GBK" w:cs="方正仿宋_GBK"/>
          <w:sz w:val="32"/>
          <w:szCs w:val="32"/>
        </w:rPr>
        <w:t>。</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2）支持从excel、TXT、xml等文件中取数进行报表分析。</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3）支持实时对接Hadoop hive、Vertical、Kylin、Greenplum、HBase、Hana、Impala、Teradata等大数据平台，支持Keyboards认证方式，平台支持无需数据二次建模，让用户直接进行实时数据分析。</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4）支持SAP Hana，SAP BW，Essbase，Sass等多维数据源，支持Mongo dB等NoSQL数据库。</w:t>
      </w:r>
    </w:p>
    <w:p>
      <w:pPr>
        <w:spacing w:line="360" w:lineRule="auto"/>
        <w:ind w:firstLine="640" w:firstLineChars="200"/>
        <w:rPr>
          <w:rFonts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lang w:eastAsia="zh-Hans"/>
        </w:rPr>
        <w:t>5</w:t>
      </w:r>
      <w:r>
        <w:rPr>
          <w:rFonts w:hint="eastAsia" w:ascii="方正仿宋_GBK" w:hAnsi="方正仿宋_GBK" w:eastAsia="方正仿宋_GBK" w:cs="方正仿宋_GBK"/>
          <w:sz w:val="32"/>
          <w:szCs w:val="32"/>
          <w:lang w:eastAsia="zh-Hans"/>
        </w:rPr>
        <w:t>）支持华为</w:t>
      </w:r>
      <w:r>
        <w:rPr>
          <w:rFonts w:ascii="方正仿宋_GBK" w:hAnsi="方正仿宋_GBK" w:eastAsia="方正仿宋_GBK" w:cs="方正仿宋_GBK"/>
          <w:sz w:val="32"/>
          <w:szCs w:val="32"/>
          <w:lang w:eastAsia="zh-Hans"/>
        </w:rPr>
        <w:t>GaussDB、人大金仓、星环、达梦等国产数据库和数据平台。（提供相互认证证书）</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1.1.2</w:t>
      </w:r>
      <w:r>
        <w:rPr>
          <w:rFonts w:ascii="方正仿宋_GBK" w:hAnsi="方正仿宋_GBK" w:eastAsia="方正仿宋_GBK" w:cs="方正仿宋_GBK"/>
        </w:rPr>
        <w:t>设计器</w:t>
      </w:r>
      <w:r>
        <w:rPr>
          <w:rFonts w:hint="eastAsia" w:ascii="方正仿宋_GBK" w:hAnsi="方正仿宋_GBK" w:eastAsia="方正仿宋_GBK" w:cs="方正仿宋_GBK"/>
        </w:rPr>
        <w:t>功能</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1）采用类excel设计器，无需借助第三方插件或环境即可运行，支持无限行无限列扩展，支持直接打开excel文件，能够兼容Excel的公式。</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2）支持远程设计报表模板功能，用户通过远程设计模板，在本地设计远程发布模板，并直接对服务器端报表文件编辑更改。</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3）报表开发平台支持配置多个运行环境，如测试环境和正式环境之间可方便的进行切换。</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4）支持模板版本管理，支持对任意模板文件保存任意多个历史版本，并支持对从任意历史版本还原。</w:t>
      </w:r>
    </w:p>
    <w:p>
      <w:pPr>
        <w:spacing w:line="360" w:lineRule="auto"/>
        <w:ind w:firstLine="640" w:firstLineChars="200"/>
        <w:rPr>
          <w:rFonts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lang w:eastAsia="zh-Hans"/>
        </w:rPr>
        <w:t>5</w:t>
      </w:r>
      <w:r>
        <w:rPr>
          <w:rFonts w:hint="eastAsia" w:ascii="方正仿宋_GBK" w:hAnsi="方正仿宋_GBK" w:eastAsia="方正仿宋_GBK" w:cs="方正仿宋_GBK"/>
          <w:sz w:val="32"/>
          <w:szCs w:val="32"/>
          <w:lang w:eastAsia="zh-Hans"/>
        </w:rPr>
        <w:t>）支持国际化，涵盖简体中文、繁体中文、英文、日文、韩文等语言。</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1.1.3</w:t>
      </w:r>
      <w:r>
        <w:rPr>
          <w:rFonts w:ascii="方正仿宋_GBK" w:hAnsi="方正仿宋_GBK" w:eastAsia="方正仿宋_GBK" w:cs="方正仿宋_GBK"/>
        </w:rPr>
        <w:t>报表设计</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1）设计方式简单，通过连接数据库后直接对字段进行拖拉拽等操作以后就可以实现报表页面设计</w:t>
      </w: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rPr>
        <w:t>支持明细报表、交叉报表、分组报表等主流报表样式</w:t>
      </w:r>
      <w:r>
        <w:rPr>
          <w:rFonts w:hint="eastAsia" w:ascii="方正仿宋_GBK" w:hAnsi="方正仿宋_GBK" w:eastAsia="方正仿宋_GBK" w:cs="方正仿宋_GBK"/>
          <w:sz w:val="32"/>
          <w:szCs w:val="32"/>
          <w:lang w:eastAsia="zh-Hans"/>
        </w:rPr>
        <w:t>。</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2）支持主子报表，包括单表式主子表和嵌入式主子表。</w:t>
      </w:r>
    </w:p>
    <w:p>
      <w:pPr>
        <w:spacing w:line="360" w:lineRule="auto"/>
        <w:ind w:firstLine="640" w:firstLineChars="200"/>
        <w:rPr>
          <w:rFonts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lang w:eastAsia="zh-Hans"/>
        </w:rPr>
        <w:t>3</w:t>
      </w:r>
      <w:r>
        <w:rPr>
          <w:rFonts w:hint="eastAsia" w:ascii="方正仿宋_GBK" w:hAnsi="方正仿宋_GBK" w:eastAsia="方正仿宋_GBK" w:cs="方正仿宋_GBK"/>
          <w:sz w:val="32"/>
          <w:szCs w:val="32"/>
          <w:lang w:eastAsia="zh-Hans"/>
        </w:rPr>
        <w:t>）系统支持数学函数、三角函数、财务函数等多种函数公式应用，支持公式不少于</w:t>
      </w:r>
      <w:r>
        <w:rPr>
          <w:rFonts w:ascii="方正仿宋_GBK" w:hAnsi="方正仿宋_GBK" w:eastAsia="方正仿宋_GBK" w:cs="方正仿宋_GBK"/>
          <w:sz w:val="32"/>
          <w:szCs w:val="32"/>
          <w:lang w:eastAsia="zh-Hans"/>
        </w:rPr>
        <w:t>100</w:t>
      </w:r>
      <w:r>
        <w:rPr>
          <w:rFonts w:hint="eastAsia" w:ascii="方正仿宋_GBK" w:hAnsi="方正仿宋_GBK" w:eastAsia="方正仿宋_GBK" w:cs="方正仿宋_GBK"/>
          <w:sz w:val="32"/>
          <w:szCs w:val="32"/>
          <w:lang w:eastAsia="zh-Hans"/>
        </w:rPr>
        <w:t>个，同时支持自定义扩展。</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4）支持异构数据源，单张报表的数据可以来自不同的数据集或数据库。</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5）支持通过条件属性动态控制单元格的字体、背景、前景、缩进、形态、控件、超链、新值、宽高等，满足各种使用场景。</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6）支持多种控件样式，可以通过下拉框，文本框，按钮，下拉复选框，日期控件，数字控件，下拉树，密码控件，按钮组控件，复选按钮控件等来进行数据传递和数据获取。</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7）支持报表超链接，可自由设置超链内容，包括文件、</w:t>
      </w:r>
      <w:r>
        <w:rPr>
          <w:rFonts w:hint="eastAsia" w:ascii="方正仿宋_GBK" w:hAnsi="方正仿宋_GBK" w:eastAsia="方正仿宋_GBK" w:cs="方正仿宋_GBK"/>
          <w:sz w:val="32"/>
          <w:szCs w:val="32"/>
          <w:lang w:eastAsia="zh-Hans"/>
        </w:rPr>
        <w:t>跳转页面</w:t>
      </w:r>
      <w:r>
        <w:rPr>
          <w:rFonts w:ascii="方正仿宋_GBK" w:hAnsi="方正仿宋_GBK" w:eastAsia="方正仿宋_GBK" w:cs="方正仿宋_GBK"/>
          <w:sz w:val="32"/>
          <w:szCs w:val="32"/>
        </w:rPr>
        <w:t>、web链接、JavaScript等，超链可以多种方式打开，譬如新窗口、对话框等。</w:t>
      </w:r>
    </w:p>
    <w:p>
      <w:pPr>
        <w:spacing w:line="360" w:lineRule="auto"/>
        <w:ind w:firstLine="640" w:firstLineChars="200"/>
        <w:rPr>
          <w:rFonts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lang w:eastAsia="zh-Hans"/>
        </w:rPr>
        <w:t>8</w:t>
      </w:r>
      <w:r>
        <w:rPr>
          <w:rFonts w:hint="eastAsia" w:ascii="方正仿宋_GBK" w:hAnsi="方正仿宋_GBK" w:eastAsia="方正仿宋_GBK" w:cs="方正仿宋_GBK"/>
          <w:sz w:val="32"/>
          <w:szCs w:val="32"/>
          <w:lang w:eastAsia="zh-Hans"/>
        </w:rPr>
        <w:t>）支持将数据集和报表的数据发布成数据</w:t>
      </w:r>
      <w:r>
        <w:rPr>
          <w:rFonts w:ascii="方正仿宋_GBK" w:hAnsi="方正仿宋_GBK" w:eastAsia="方正仿宋_GBK" w:cs="方正仿宋_GBK"/>
          <w:sz w:val="32"/>
          <w:szCs w:val="32"/>
          <w:lang w:eastAsia="zh-Hans"/>
        </w:rPr>
        <w:t>api，供其他系统调用。</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9）提供</w:t>
      </w:r>
      <w:r>
        <w:rPr>
          <w:rFonts w:ascii="方正仿宋_GBK" w:hAnsi="方正仿宋_GBK" w:eastAsia="方正仿宋_GBK" w:cs="方正仿宋_GBK"/>
          <w:sz w:val="32"/>
          <w:szCs w:val="32"/>
          <w:lang w:eastAsia="zh-Hans"/>
        </w:rPr>
        <w:t>dashboard</w:t>
      </w:r>
      <w:r>
        <w:rPr>
          <w:rFonts w:ascii="方正仿宋_GBK" w:hAnsi="方正仿宋_GBK" w:eastAsia="方正仿宋_GBK" w:cs="方正仿宋_GBK"/>
          <w:sz w:val="32"/>
          <w:szCs w:val="32"/>
        </w:rPr>
        <w:t>设计功能，采用组件化操作理念，支持绝对布局、自适应布局、tab布局等多种布局方式，支持轮播显示，支持组件的共享、复用、叠加、动态隐藏等，通过组件与布局的合理搭配，可以轻松实现多维度分析驾驶舱；同时，决策报表还支持自适应展现，在PC、平板、手机、大屏等多种终端设备上自适应展现。</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1.1.4</w:t>
      </w:r>
      <w:r>
        <w:rPr>
          <w:rFonts w:ascii="方正仿宋_GBK" w:hAnsi="方正仿宋_GBK" w:eastAsia="方正仿宋_GBK" w:cs="方正仿宋_GBK"/>
        </w:rPr>
        <w:t>参数查询</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1）提供可视化参数面板，参数面板可灵活定义大小、显示位置（靠左、靠右、居中）、面板背景、是否隐藏等，支持采用拖拽式操作在参数面板上进行控件位置的布局。</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2）支持通过参数对报表进行数据过滤，参数支持下拉框、文本框、按钮、日期、下拉树等多种控件类型</w:t>
      </w:r>
      <w:r>
        <w:rPr>
          <w:rFonts w:hint="eastAsia" w:ascii="方正仿宋_GBK" w:hAnsi="方正仿宋_GBK" w:eastAsia="方正仿宋_GBK" w:cs="方正仿宋_GBK"/>
          <w:sz w:val="32"/>
          <w:szCs w:val="32"/>
          <w:lang w:eastAsia="zh-Hans"/>
        </w:rPr>
        <w:t>，同时支持控件类型的自定义开发。</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3）支持参数联动，后一个参数值根据前一个参数值的改变而改变。</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4）支持参数组合，根据用户使用习惯，推荐常用的参数组合，快速实现数据查询。</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1.1.5</w:t>
      </w:r>
      <w:r>
        <w:rPr>
          <w:rFonts w:ascii="方正仿宋_GBK" w:hAnsi="方正仿宋_GBK" w:eastAsia="方正仿宋_GBK" w:cs="方正仿宋_GBK"/>
        </w:rPr>
        <w:t>图表展示</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提供基于最新HTML5技术自主研发的动态图表，具有极其流畅的动画效果和高度自定义的展现设计，包括但不限于柱形图、折线图、玫瑰饼图、面积图、散点图、力学气泡图、雷达图、股价图、仪表盘、全距图、甘特图、圆环图、地图、词云图、流向图、框架图、漏斗图、矩形树图等，图形支持二维和三维展示。提供具备3D动画及自动播放效果的大屏可视化图表</w:t>
      </w:r>
      <w:r>
        <w:rPr>
          <w:rFonts w:hint="eastAsia" w:ascii="方正仿宋_GBK" w:hAnsi="方正仿宋_GBK" w:eastAsia="方正仿宋_GBK" w:cs="方正仿宋_GBK"/>
          <w:sz w:val="32"/>
          <w:szCs w:val="32"/>
          <w:lang w:eastAsia="zh-Hans"/>
        </w:rPr>
        <w:t>。</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lang w:eastAsia="zh-Hans"/>
        </w:rPr>
        <w:t>2</w:t>
      </w: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rPr>
        <w:t>支持地图，包括图片地图、热力地图、GIS地图、流向地图、组合地图等，支持将热力地图与点地图（散点，气泡，自定义图标）组合，支持自定义GIS地图背景，支持自定义wms服务实现离线地图；内置地图精确到县级市。</w:t>
      </w:r>
    </w:p>
    <w:p>
      <w:pPr>
        <w:spacing w:line="360" w:lineRule="auto"/>
        <w:ind w:firstLine="640" w:firstLineChars="200"/>
        <w:rPr>
          <w:rFonts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lang w:eastAsia="zh-Hans"/>
        </w:rPr>
        <w:t>3</w:t>
      </w:r>
      <w:r>
        <w:rPr>
          <w:rFonts w:hint="eastAsia" w:ascii="方正仿宋_GBK" w:hAnsi="方正仿宋_GBK" w:eastAsia="方正仿宋_GBK" w:cs="方正仿宋_GBK"/>
          <w:sz w:val="32"/>
          <w:szCs w:val="32"/>
          <w:lang w:eastAsia="zh-Hans"/>
        </w:rPr>
        <w:t>）支持自定义地图，允许用户上传图片到系统中，通过描边、画点的简单操作即可生成地图，并且能与数据库数据进行交互。</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4）支持</w:t>
      </w:r>
      <w:r>
        <w:rPr>
          <w:rFonts w:hint="eastAsia" w:ascii="方正仿宋_GBK" w:hAnsi="方正仿宋_GBK" w:eastAsia="方正仿宋_GBK" w:cs="方正仿宋_GBK"/>
          <w:sz w:val="32"/>
          <w:szCs w:val="32"/>
          <w:lang w:eastAsia="zh-Hans"/>
        </w:rPr>
        <w:t>低代码方式集成</w:t>
      </w:r>
      <w:r>
        <w:rPr>
          <w:rFonts w:ascii="方正仿宋_GBK" w:hAnsi="方正仿宋_GBK" w:eastAsia="方正仿宋_GBK" w:cs="方正仿宋_GBK"/>
          <w:sz w:val="32"/>
          <w:szCs w:val="32"/>
        </w:rPr>
        <w:t>第三方图表库，如echarts等</w:t>
      </w:r>
      <w:r>
        <w:rPr>
          <w:rFonts w:hint="eastAsia" w:ascii="方正仿宋_GBK" w:hAnsi="方正仿宋_GBK" w:eastAsia="方正仿宋_GBK" w:cs="方正仿宋_GBK"/>
          <w:sz w:val="32"/>
          <w:szCs w:val="32"/>
          <w:lang w:eastAsia="zh-Hans"/>
        </w:rPr>
        <w:t>，同时集成的图表与标准图表进行参数传递，实现联动钻取等交互效果。</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5）提供灵活的图表属性设置，支持</w:t>
      </w:r>
      <w:r>
        <w:rPr>
          <w:rFonts w:hint="eastAsia" w:ascii="方正仿宋_GBK" w:hAnsi="方正仿宋_GBK" w:eastAsia="方正仿宋_GBK" w:cs="方正仿宋_GBK"/>
          <w:sz w:val="32"/>
          <w:szCs w:val="32"/>
          <w:lang w:eastAsia="zh-Hans"/>
        </w:rPr>
        <w:t>动态标题、静态</w:t>
      </w:r>
      <w:r>
        <w:rPr>
          <w:rFonts w:ascii="方正仿宋_GBK" w:hAnsi="方正仿宋_GBK" w:eastAsia="方正仿宋_GBK" w:cs="方正仿宋_GBK"/>
          <w:sz w:val="32"/>
          <w:szCs w:val="32"/>
        </w:rPr>
        <w:t>标题、图例、坐标轴、标签、背景、数据点提示、警戒线、趋势线等众多自定义属性设置。</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）提供丰富的图表动态交互操作，比如缩放控件、工具栏排序、全屏、鼠标提示、扇叶分离、系列隐藏、警戒提示等</w:t>
      </w:r>
      <w:r>
        <w:rPr>
          <w:rFonts w:hint="eastAsia" w:ascii="方正仿宋_GBK" w:hAnsi="方正仿宋_GBK" w:eastAsia="方正仿宋_GBK" w:cs="方正仿宋_GBK"/>
          <w:sz w:val="32"/>
          <w:szCs w:val="32"/>
          <w:lang w:eastAsia="zh-Hans"/>
        </w:rPr>
        <w:t>，同时支持</w:t>
      </w:r>
      <w:r>
        <w:rPr>
          <w:rFonts w:ascii="方正仿宋_GBK" w:hAnsi="方正仿宋_GBK" w:eastAsia="方正仿宋_GBK" w:cs="方正仿宋_GBK"/>
          <w:sz w:val="32"/>
          <w:szCs w:val="32"/>
        </w:rPr>
        <w:t>自动轮播、闪烁动画、监控刷新、数据点自动提示等</w:t>
      </w:r>
      <w:r>
        <w:rPr>
          <w:rFonts w:hint="eastAsia" w:ascii="方正仿宋_GBK" w:hAnsi="方正仿宋_GBK" w:eastAsia="方正仿宋_GBK" w:cs="方正仿宋_GBK"/>
          <w:sz w:val="32"/>
          <w:szCs w:val="32"/>
          <w:lang w:eastAsia="zh-Hans"/>
        </w:rPr>
        <w:t>动态特效。</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（7）提供</w:t>
      </w:r>
      <w:r>
        <w:rPr>
          <w:rFonts w:ascii="方正仿宋_GBK" w:hAnsi="方正仿宋_GBK" w:eastAsia="方正仿宋_GBK" w:cs="方正仿宋_GBK"/>
          <w:sz w:val="32"/>
          <w:szCs w:val="32"/>
        </w:rPr>
        <w:t>组件库，用户可通过拖拉组件实现快速开发，同时也支持用户在设计开发过程中创建组件。</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1.1.6</w:t>
      </w:r>
      <w:r>
        <w:rPr>
          <w:rFonts w:ascii="方正仿宋_GBK" w:hAnsi="方正仿宋_GBK" w:eastAsia="方正仿宋_GBK" w:cs="方正仿宋_GBK"/>
        </w:rPr>
        <w:t>权限管理</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1）权限分配包括根据部门职位分配权限、根据角色分配权限以及根据用户分配权限，用户可以访问而且只能访问自己被授权的资源。</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2）支持权限复用，帮助管理员克隆某个部门/职位/角色/用户的权限，能极大的提升权限分配效率。</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3）支持权限细粒度配置功能，可精确控制不同人访问同一张报表查看的内容不一样、控制工具栏对指定用户是否可见可用（比如打印导出）等等，权限粒度可以细化到单元格。</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1.1.7</w:t>
      </w:r>
      <w:r>
        <w:rPr>
          <w:rFonts w:ascii="方正仿宋_GBK" w:hAnsi="方正仿宋_GBK" w:eastAsia="方正仿宋_GBK" w:cs="方正仿宋_GBK"/>
        </w:rPr>
        <w:t>打印导出</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1）支持零客户端打印与本地软件打印，本地软件打印支持保存用户打印习惯。支持不预览直接打印，支持批量打印，一次性可打印多张报表</w:t>
      </w:r>
      <w:r>
        <w:rPr>
          <w:rFonts w:hint="eastAsia" w:ascii="方正仿宋_GBK" w:hAnsi="方正仿宋_GBK" w:eastAsia="方正仿宋_GBK" w:cs="方正仿宋_GBK"/>
          <w:sz w:val="32"/>
          <w:szCs w:val="32"/>
          <w:lang w:eastAsia="zh-Hans"/>
        </w:rPr>
        <w:t>。</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2）支持静默打印、打印偏移、打印方向、缩放打印等设置。</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3）支持用户导出文件时重命名，支持加密导出，支持隐藏行列的导出控制。</w:t>
      </w:r>
    </w:p>
    <w:p>
      <w:pPr>
        <w:spacing w:line="360" w:lineRule="auto"/>
        <w:ind w:firstLine="640" w:firstLineChars="200"/>
        <w:rPr>
          <w:rFonts w:ascii="方正仿宋_GBK" w:hAnsi="方正仿宋_GBK" w:eastAsia="方正仿宋_GBK" w:cs="方正仿宋_GBK"/>
          <w:sz w:val="32"/>
          <w:szCs w:val="32"/>
          <w:lang w:eastAsia="zh-Hans"/>
        </w:rPr>
      </w:pPr>
      <w:r>
        <w:rPr>
          <w:rFonts w:hint="eastAsia" w:ascii="方正仿宋_GBK" w:hAnsi="方正仿宋_GBK" w:eastAsia="方正仿宋_GBK" w:cs="方正仿宋_GBK"/>
          <w:sz w:val="32"/>
          <w:szCs w:val="32"/>
          <w:lang w:eastAsia="zh-Hans"/>
        </w:rPr>
        <w:t>（</w:t>
      </w:r>
      <w:r>
        <w:rPr>
          <w:rFonts w:ascii="方正仿宋_GBK" w:hAnsi="方正仿宋_GBK" w:eastAsia="方正仿宋_GBK" w:cs="方正仿宋_GBK"/>
          <w:sz w:val="32"/>
          <w:szCs w:val="32"/>
          <w:lang w:eastAsia="zh-Hans"/>
        </w:rPr>
        <w:t>4</w:t>
      </w:r>
      <w:r>
        <w:rPr>
          <w:rFonts w:hint="eastAsia" w:ascii="方正仿宋_GBK" w:hAnsi="方正仿宋_GBK" w:eastAsia="方正仿宋_GBK" w:cs="方正仿宋_GBK"/>
          <w:sz w:val="32"/>
          <w:szCs w:val="32"/>
          <w:lang w:eastAsia="zh-Hans"/>
        </w:rPr>
        <w:t>）支持百万级大数据量流式导出，多用户同时导出大数据量时候，不影响系统正常运行。</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1.1.8</w:t>
      </w:r>
      <w:r>
        <w:rPr>
          <w:rFonts w:ascii="方正仿宋_GBK" w:hAnsi="方正仿宋_GBK" w:eastAsia="方正仿宋_GBK" w:cs="方正仿宋_GBK"/>
        </w:rPr>
        <w:t>平台管理</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1）提供完善的企业级报表管理功能，开发完的报表可直接发布到系统中进行展示，支持页面管理、用户管理、权限管理、日志监控、系统外观管理、定时任务管理、备份还原管理、插件管理等功能。</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提供用户管理功能，支持手动添加、导入用户或者同步用户数据集的方法批量添加用户及其角色。支持用户列表按用户名/姓名等进行升序、降序展现。支持按部门职位、角色等对用户进行分类管理。提供内置认证、LDAP认证、HTTP认证三种用户身份验证方式，几乎可以做到与任意的系统平台完美的结合在一起。</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支持多级权限体系，面向集团管控需求，可以实现不同分子公司/部门共用系统，各个分子公司/部门有其自己的管理员，并给其下属员工分配权限，即超级管理员控制所有权限，下级管理员只能管理自己职责范围内的用户和报表模板。</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提供包括登录设置、密码设置、打印设置、邮件服务器、缓存、数据连接等功能。其中登录设置，支持单一登录、登录地提示、登录验证及自定义密码策略功能，支持强制定期修改密码，支持登录异常锁定，保障账户安全。</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支持智能运维，包括内存管理、备份还原、智能检测、系统监控等，支持实时监测系统的内存使用情况并对宕机风险进行预警，支持手动或自动备份系统，支持智能检测系统运行状况，支持对系统用户的访问情况进行监控，保障系统安全及稳定性</w:t>
      </w:r>
      <w:r>
        <w:rPr>
          <w:rFonts w:hint="eastAsia" w:ascii="方正仿宋_GBK" w:hAnsi="方正仿宋_GBK" w:eastAsia="方正仿宋_GBK" w:cs="方正仿宋_GBK"/>
          <w:sz w:val="32"/>
          <w:szCs w:val="32"/>
        </w:rPr>
        <w:t>。</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平台内置消息中心，支持系统消息提醒、上报消息以及模板消息。系统消息是指平台内部的消息通知，可用于定时调度失败提醒、定时调度任务通知、内存阀值通知等；上报消息是多级上报任务中的提醒消息，当指定的流转操作完成后，对特定的用户进行系统消息提醒；模板消息是由模板事件触发而来的，比如填报成功后，将事先编辑好的消息发送给特定用户。新收到的消息，系统会在右上角和右下角进行通知。</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7）提供文件上传校验、Security Headers及访问控制、SQL注入等一系列安全防护功能。能降低上传恶意文件、跨站脚本等多种攻击方式的威胁，缓解cc攻击和爬虫爬取，提高应用的安全性。</w:t>
      </w:r>
      <w:r>
        <w:rPr>
          <w:rFonts w:hint="eastAsia" w:ascii="方正仿宋_GBK" w:hAnsi="方正仿宋_GBK" w:eastAsia="方正仿宋_GBK" w:cs="方正仿宋_GBK"/>
          <w:sz w:val="32"/>
          <w:szCs w:val="32"/>
          <w:lang w:eastAsia="zh-Hans"/>
        </w:rPr>
        <w:t>支持</w:t>
      </w:r>
      <w:r>
        <w:rPr>
          <w:rFonts w:hint="eastAsia" w:ascii="方正仿宋_GBK" w:hAnsi="方正仿宋_GBK" w:eastAsia="方正仿宋_GBK" w:cs="方正仿宋_GBK"/>
          <w:sz w:val="32"/>
          <w:szCs w:val="32"/>
        </w:rPr>
        <w:t>信息传输加密算法支持国密</w:t>
      </w:r>
      <w:r>
        <w:rPr>
          <w:rFonts w:hint="eastAsia" w:ascii="方正仿宋_GBK" w:hAnsi="方正仿宋_GBK" w:eastAsia="方正仿宋_GBK" w:cs="方正仿宋_GBK"/>
          <w:sz w:val="32"/>
          <w:szCs w:val="32"/>
          <w:lang w:eastAsia="zh-Hans"/>
        </w:rPr>
        <w:t>。</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8）可自定义平台的登录界面样式、背景、logo、首页等等，提供多种主题切换，并支持自定义主题。</w:t>
      </w:r>
    </w:p>
    <w:p>
      <w:pPr>
        <w:pStyle w:val="2"/>
        <w:numPr>
          <w:ilvl w:val="255"/>
          <w:numId w:val="0"/>
        </w:numPr>
        <w:tabs>
          <w:tab w:val="left" w:pos="851"/>
        </w:tabs>
        <w:spacing w:line="360" w:lineRule="auto"/>
        <w:ind w:firstLine="643" w:firstLineChars="200"/>
        <w:rPr>
          <w:rFonts w:ascii="方正仿宋_GBK" w:hAnsi="方正仿宋_GBK" w:eastAsia="方正仿宋_GBK" w:cs="方正仿宋_GBK"/>
        </w:rPr>
      </w:pPr>
      <w:r>
        <w:rPr>
          <w:rFonts w:hint="eastAsia" w:ascii="方正仿宋_GBK" w:hAnsi="方正仿宋_GBK" w:eastAsia="方正仿宋_GBK" w:cs="方正仿宋_GBK"/>
        </w:rPr>
        <w:t>1.</w:t>
      </w:r>
      <w:r>
        <w:rPr>
          <w:rFonts w:ascii="方正仿宋_GBK" w:hAnsi="方正仿宋_GBK" w:eastAsia="方正仿宋_GBK" w:cs="方正仿宋_GBK"/>
        </w:rPr>
        <w:t>1</w:t>
      </w:r>
      <w:r>
        <w:rPr>
          <w:rFonts w:hint="eastAsia" w:ascii="方正仿宋_GBK" w:hAnsi="方正仿宋_GBK" w:eastAsia="方正仿宋_GBK" w:cs="方正仿宋_GBK"/>
        </w:rPr>
        <w:t>.9移动端</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1）支持报表在安卓、IOS系统的手机、平板、智能终端上进行展示，可自适应匹配各种大小屏幕。</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2）支持调用硬件设备底层的扫码、定位、拍照、文件上传等功能。</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3）提供原生开发的APP，核心框架采用ReactNative技术，按照MVC思想设计实现，视图和模型分离，保持视图的可扩展性、模型的可复用性。使整个系统拥有良好的稳定性、扩展性。</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4）提供HTML5渲染方式，可通过手机浏览器直接访问报表，也可通过无代码方式快速集成到微信、钉钉、welink、飞书、金蝶云之家APP等，能根据移动设备特性自动转换报表风格。</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5）支持移动设备的常见交互体验，比如缩放、横屏、手势</w:t>
      </w:r>
      <w:r>
        <w:rPr>
          <w:rFonts w:hint="eastAsia" w:ascii="方正仿宋_GBK" w:hAnsi="方正仿宋_GBK" w:eastAsia="方正仿宋_GBK" w:cs="方正仿宋_GBK"/>
          <w:sz w:val="32"/>
          <w:szCs w:val="32"/>
          <w:lang w:eastAsia="zh-Hans"/>
        </w:rPr>
        <w:t>、锚点、侧边导航</w:t>
      </w:r>
      <w:r>
        <w:rPr>
          <w:rFonts w:hint="eastAsia" w:ascii="方正仿宋_GBK" w:hAnsi="方正仿宋_GBK" w:eastAsia="方正仿宋_GBK" w:cs="方正仿宋_GBK"/>
          <w:sz w:val="32"/>
          <w:szCs w:val="32"/>
        </w:rPr>
        <w:t>等操作，兼容</w:t>
      </w:r>
      <w:r>
        <w:rPr>
          <w:rFonts w:ascii="方正仿宋_GBK" w:hAnsi="方正仿宋_GBK" w:eastAsia="方正仿宋_GBK" w:cs="方正仿宋_GBK"/>
          <w:sz w:val="32"/>
          <w:szCs w:val="32"/>
        </w:rPr>
        <w:t>PC端的交互体验，包括数据钻取、图表联动等。</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6）提供可靠的安全保障，比如手势密码、设备硬件地址校验、VPN等。</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7）支持消息推送至移动端APP、微信、钉钉、welink、飞书、金蝶云之家APP等。推送的消息可以设置定时频率、触发条件等，比如某个指标是否在规定范围内，如果超过了阀值，就推送到相关负责人手机APP或微信中进行提醒。</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 xml:space="preserve">8）移动端APP需支持手写签名，并支持将生成的 PNG </w:t>
      </w:r>
      <w:r>
        <w:rPr>
          <w:rFonts w:hint="eastAsia" w:ascii="方正仿宋_GBK" w:hAnsi="方正仿宋_GBK" w:eastAsia="方正仿宋_GBK" w:cs="方正仿宋_GBK"/>
          <w:sz w:val="32"/>
          <w:szCs w:val="32"/>
        </w:rPr>
        <w:t>格式签名图片提交至数据库。</w:t>
      </w:r>
    </w:p>
    <w:p>
      <w:pPr>
        <w:pStyle w:val="2"/>
        <w:numPr>
          <w:ilvl w:val="1"/>
          <w:numId w:val="0"/>
        </w:numPr>
        <w:tabs>
          <w:tab w:val="left" w:pos="851"/>
        </w:tabs>
        <w:rPr>
          <w:rFonts w:ascii="方正仿宋_GBK" w:hAnsi="方正仿宋_GBK" w:eastAsia="方正仿宋_GBK" w:cs="方正仿宋_GBK"/>
        </w:rPr>
      </w:pPr>
      <w:r>
        <w:rPr>
          <w:rFonts w:hint="eastAsia" w:ascii="方正仿宋_GBK" w:hAnsi="方正仿宋_GBK" w:eastAsia="方正仿宋_GBK" w:cs="方正仿宋_GBK"/>
        </w:rPr>
        <w:t>1.1.10BI功能要求</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（1）支持连接数据库进行实时数据展示；支持抽取数据；支持建立自助数据集，并对数据做血缘分析；</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支持管理员/普通用户对基础表数据进行可视化数据二次处理操作，包括字段类型转换、累计值计算/所有值计算、过滤、自定义分组、分组汇总、排名/排序、上下合并、左右合并、行列转换、自循环列等数据处理操作</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（3）支持钻取、联动、指标跳转、指标切片等OLAP分析；支持设置钻取目录，实现预览分析时对数据进行维度转换操作，满足用户从不同的视角进行数据分析查看的分析需求</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（4）支持用户在进行数据可视化分析时，可自由进行鼠标点击拖拽式操作完成界面布局，同时页面缩放可自动实现组件宽高适应调整，不同分辨率以及缩放都可以获得更好的适应显示。</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（5）支持 web 组件，可进行网页 url 嵌入分析；支持图片组件，可嵌入图片进行分析展现；支持富文本组件，可输入文字和动态字段进行复合信息展现，支持word 级别的字体大小、颜色、对齐等属性调节。</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（6）支持查询按钮，可实现点击查询按钮之后方进行数据查询，重置按钮实现点击重置按钮清空所有过滤条件。</w:t>
      </w:r>
    </w:p>
    <w:p>
      <w:pPr>
        <w:tabs>
          <w:tab w:val="left" w:pos="851"/>
        </w:tabs>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（7）支持快速对图表进行颜色、大小、单位、宽度、圆角、标签、提示、细粒度等设置，同时支持数据字段和对应属性进行绑定设置，支持快速对组件进行标题、标题栏、图例、轴线、网格线、背景等设置。</w:t>
      </w:r>
    </w:p>
    <w:p>
      <w:pPr>
        <w:tabs>
          <w:tab w:val="left" w:pos="851"/>
        </w:tabs>
        <w:spacing w:line="360" w:lineRule="auto"/>
        <w:ind w:firstLine="640" w:firstLineChars="200"/>
        <w:rPr>
          <w:rFonts w:ascii="宋体" w:hAnsi="宋体"/>
          <w:sz w:val="24"/>
          <w:szCs w:val="28"/>
        </w:rPr>
      </w:pPr>
      <w:r>
        <w:rPr>
          <w:rFonts w:hint="eastAsia" w:ascii="方正仿宋_GBK" w:hAnsi="方正仿宋_GBK" w:eastAsia="方正仿宋_GBK" w:cs="方正仿宋_GBK"/>
          <w:sz w:val="32"/>
          <w:szCs w:val="32"/>
        </w:rPr>
        <w:t>（8）支持用户给已经完成的模板创建任何人都可以访问公开链接，便于即时进行公开分享。支持对设置公共链接验证码，提高安全性。</w:t>
      </w:r>
      <w:bookmarkStart w:id="200" w:name="_Toc68880706"/>
    </w:p>
    <w:p>
      <w:pPr>
        <w:spacing w:line="600" w:lineRule="exact"/>
        <w:outlineLvl w:val="1"/>
        <w:rPr>
          <w:rFonts w:ascii="方正仿宋_GBK" w:hAnsi="方正仿宋_GBK" w:eastAsia="方正仿宋_GBK" w:cs="方正仿宋_GBK"/>
          <w:b/>
          <w:sz w:val="32"/>
          <w:szCs w:val="32"/>
        </w:rPr>
      </w:pPr>
      <w:bookmarkStart w:id="201" w:name="_Toc26969"/>
      <w:bookmarkStart w:id="202" w:name="_Toc70047585_WPSOffice_Level2"/>
      <w:r>
        <w:rPr>
          <w:rFonts w:hint="eastAsia" w:ascii="方正仿宋_GBK" w:hAnsi="方正仿宋_GBK" w:eastAsia="方正仿宋_GBK" w:cs="方正仿宋_GBK"/>
          <w:b/>
          <w:sz w:val="32"/>
          <w:szCs w:val="32"/>
        </w:rPr>
        <w:t>2 项目进度要求</w:t>
      </w:r>
      <w:bookmarkEnd w:id="200"/>
      <w:bookmarkEnd w:id="201"/>
      <w:bookmarkEnd w:id="202"/>
    </w:p>
    <w:p>
      <w:pPr>
        <w:spacing w:line="60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2.1 建设周期</w:t>
      </w:r>
    </w:p>
    <w:p>
      <w:pPr>
        <w:spacing w:line="600" w:lineRule="exact"/>
        <w:ind w:left="63" w:leftChars="30" w:firstLine="576" w:firstLineChars="18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本项目建设周期合计为1个月，自合同签订之日起1个月内完成项目交付，试运行15</w:t>
      </w:r>
      <w:r>
        <w:rPr>
          <w:rFonts w:hint="eastAsia" w:ascii="方正仿宋_GBK" w:hAnsi="方正仿宋_GBK" w:eastAsia="方正仿宋_GBK" w:cs="方正仿宋_GBK"/>
          <w:bCs/>
          <w:sz w:val="32"/>
          <w:szCs w:val="32"/>
          <w:lang w:eastAsia="zh-Hans"/>
        </w:rPr>
        <w:t>个工作</w:t>
      </w:r>
      <w:r>
        <w:rPr>
          <w:rFonts w:hint="eastAsia" w:ascii="方正仿宋_GBK" w:hAnsi="方正仿宋_GBK" w:eastAsia="方正仿宋_GBK" w:cs="方正仿宋_GBK"/>
          <w:bCs/>
          <w:sz w:val="32"/>
          <w:szCs w:val="32"/>
        </w:rPr>
        <w:t>日后完成项目验收工作。供应商按此时间要求制定相关工作计划。</w:t>
      </w:r>
    </w:p>
    <w:p>
      <w:pPr>
        <w:spacing w:line="600" w:lineRule="exact"/>
        <w:outlineLvl w:val="1"/>
        <w:rPr>
          <w:rFonts w:ascii="方正仿宋_GBK" w:hAnsi="方正仿宋_GBK" w:eastAsia="方正仿宋_GBK" w:cs="方正仿宋_GBK"/>
          <w:b/>
          <w:color w:val="000000"/>
          <w:sz w:val="32"/>
          <w:szCs w:val="32"/>
        </w:rPr>
      </w:pPr>
      <w:bookmarkStart w:id="203" w:name="_Toc468722539_WPSOffice_Level2"/>
      <w:bookmarkStart w:id="204" w:name="_Toc21843"/>
      <w:r>
        <w:rPr>
          <w:rFonts w:hint="eastAsia" w:ascii="方正仿宋_GBK" w:hAnsi="方正仿宋_GBK" w:eastAsia="方正仿宋_GBK" w:cs="方正仿宋_GBK"/>
          <w:b/>
          <w:color w:val="000000"/>
          <w:sz w:val="32"/>
          <w:szCs w:val="32"/>
        </w:rPr>
        <w:t xml:space="preserve">3 </w:t>
      </w:r>
      <w:bookmarkEnd w:id="203"/>
      <w:bookmarkEnd w:id="204"/>
      <w:bookmarkStart w:id="205" w:name="_Toc849695777_WPSOffice_Level2"/>
      <w:bookmarkStart w:id="206" w:name="_Toc13848"/>
      <w:r>
        <w:rPr>
          <w:rFonts w:hint="eastAsia" w:ascii="方正仿宋_GBK" w:hAnsi="方正仿宋_GBK" w:eastAsia="方正仿宋_GBK" w:cs="方正仿宋_GBK"/>
          <w:b/>
          <w:color w:val="000000"/>
          <w:sz w:val="32"/>
          <w:szCs w:val="32"/>
        </w:rPr>
        <w:t xml:space="preserve"> 知识产权</w:t>
      </w:r>
    </w:p>
    <w:p>
      <w:pPr>
        <w:spacing w:line="600" w:lineRule="exact"/>
        <w:ind w:left="63" w:leftChars="30" w:firstLine="576" w:firstLineChars="18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招标人在中华人民共和国境内使用成交供应商提供的货物及服务时免受第三方提出的侵犯其专利权或其它知识产权的起诉。如果第三方提出侵权指控，成交供应商应承担由此而引起的一切法律责任和费用。</w:t>
      </w:r>
    </w:p>
    <w:p>
      <w:pPr>
        <w:spacing w:line="600" w:lineRule="exact"/>
        <w:ind w:left="63" w:leftChars="30" w:firstLine="576" w:firstLineChars="18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基于项目管理系统招标人进行的二次开发与改造产物，知识产权归属为招标人所有。如因成交供应商侵犯他人的知识产权等，成交供应商应承担由此产生的所有经济、行政责任，与招标人无关；给招标人造成的损失，成交供应商承担全部赔偿责任。</w:t>
      </w:r>
    </w:p>
    <w:p>
      <w:pPr>
        <w:spacing w:line="600" w:lineRule="exact"/>
        <w:outlineLvl w:val="1"/>
        <w:rPr>
          <w:rFonts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4 项目产品交付要求</w:t>
      </w:r>
      <w:bookmarkEnd w:id="205"/>
      <w:bookmarkEnd w:id="206"/>
    </w:p>
    <w:p>
      <w:pPr>
        <w:spacing w:line="600" w:lineRule="exact"/>
        <w:ind w:left="63" w:leftChars="30" w:firstLine="576" w:firstLineChars="18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bCs/>
          <w:color w:val="000000"/>
          <w:sz w:val="32"/>
          <w:szCs w:val="32"/>
        </w:rPr>
        <w:t>4.1 按招标人要求，成交供应商在接到成交通知后3个工作日内需在项目交付地点安装投标版本测试产品，由招标人进行产品功能验证，如有虚假应答取消成交资格。</w:t>
      </w:r>
      <w:bookmarkStart w:id="207" w:name="_Toc68880707"/>
    </w:p>
    <w:p>
      <w:pPr>
        <w:spacing w:line="600" w:lineRule="exact"/>
        <w:outlineLvl w:val="1"/>
        <w:rPr>
          <w:rFonts w:ascii="方正仿宋_GBK" w:hAnsi="方正仿宋_GBK" w:eastAsia="方正仿宋_GBK" w:cs="方正仿宋_GBK"/>
          <w:b/>
          <w:color w:val="000000"/>
          <w:sz w:val="32"/>
          <w:szCs w:val="32"/>
        </w:rPr>
      </w:pPr>
      <w:bookmarkStart w:id="208" w:name="_Toc70671489_WPSOffice_Level2"/>
      <w:bookmarkStart w:id="209" w:name="_Toc25439"/>
      <w:r>
        <w:rPr>
          <w:rFonts w:hint="eastAsia" w:ascii="方正仿宋_GBK" w:hAnsi="方正仿宋_GBK" w:eastAsia="方正仿宋_GBK" w:cs="方正仿宋_GBK"/>
          <w:b/>
          <w:color w:val="000000"/>
          <w:sz w:val="32"/>
          <w:szCs w:val="32"/>
        </w:rPr>
        <w:t>5 培训要求</w:t>
      </w:r>
      <w:bookmarkEnd w:id="207"/>
      <w:bookmarkEnd w:id="208"/>
      <w:bookmarkEnd w:id="209"/>
    </w:p>
    <w:p>
      <w:pPr>
        <w:pStyle w:val="168"/>
        <w:numPr>
          <w:ilvl w:val="255"/>
          <w:numId w:val="0"/>
        </w:numPr>
        <w:spacing w:line="600" w:lineRule="exact"/>
        <w:ind w:firstLine="640" w:firstLineChars="200"/>
        <w:rPr>
          <w:rFonts w:ascii="方正仿宋_GBK" w:hAnsi="方正仿宋_GBK" w:eastAsia="方正仿宋_GBK" w:cs="方正仿宋_GBK"/>
          <w:bCs/>
          <w:color w:val="000000"/>
          <w:sz w:val="32"/>
          <w:szCs w:val="32"/>
        </w:rPr>
      </w:pPr>
      <w:r>
        <w:rPr>
          <w:rFonts w:hint="eastAsia" w:ascii="方正仿宋_GBK" w:hAnsi="方正仿宋_GBK" w:eastAsia="方正仿宋_GBK" w:cs="方正仿宋_GBK"/>
          <w:sz w:val="32"/>
          <w:szCs w:val="32"/>
        </w:rPr>
        <w:t>（1）投标方负责对招标方业务和技术人员进行有关培训。</w:t>
      </w:r>
      <w:r>
        <w:rPr>
          <w:rFonts w:ascii="方正仿宋_GBK" w:hAnsi="方正仿宋_GBK" w:eastAsia="方正仿宋_GBK" w:cs="方正仿宋_GBK"/>
          <w:sz w:val="32"/>
          <w:szCs w:val="32"/>
        </w:rPr>
        <w:t xml:space="preserve"> </w:t>
      </w:r>
    </w:p>
    <w:p>
      <w:pPr>
        <w:spacing w:line="600" w:lineRule="exact"/>
        <w:ind w:left="63" w:leftChars="30" w:firstLine="576" w:firstLineChars="180"/>
        <w:rPr>
          <w:rFonts w:ascii="方正仿宋_GBK" w:hAnsi="方正仿宋_GBK" w:eastAsia="方正仿宋_GBK" w:cs="方正仿宋_GBK"/>
          <w:bCs/>
          <w:color w:val="000000"/>
          <w:sz w:val="32"/>
          <w:szCs w:val="32"/>
        </w:rPr>
      </w:pPr>
    </w:p>
    <w:p>
      <w:pPr>
        <w:tabs>
          <w:tab w:val="left" w:pos="851"/>
        </w:tabs>
        <w:spacing w:line="600" w:lineRule="exact"/>
        <w:ind w:left="63" w:leftChars="30" w:firstLine="378" w:firstLineChars="180"/>
      </w:pPr>
    </w:p>
    <w:p>
      <w:pPr>
        <w:spacing w:line="600" w:lineRule="exact"/>
        <w:rPr>
          <w:rFonts w:ascii="方正仿宋_GBK" w:hAnsi="方正仿宋_GBK" w:eastAsia="方正仿宋_GBK" w:cs="方正仿宋_GBK"/>
          <w:b/>
          <w:bCs/>
          <w:sz w:val="32"/>
          <w:szCs w:val="32"/>
        </w:rPr>
      </w:pPr>
    </w:p>
    <w:p>
      <w:pPr>
        <w:pStyle w:val="4"/>
        <w:spacing w:before="0" w:after="0" w:line="360" w:lineRule="auto"/>
        <w:jc w:val="center"/>
        <w:rPr>
          <w:rFonts w:ascii="宋体" w:hAnsi="宋体" w:cs="宋体"/>
        </w:rPr>
      </w:pPr>
    </w:p>
    <w:p>
      <w:pPr>
        <w:rPr>
          <w:rFonts w:ascii="宋体" w:hAnsi="宋体" w:cs="宋体"/>
        </w:rPr>
      </w:pPr>
    </w:p>
    <w:p>
      <w:pPr>
        <w:pStyle w:val="28"/>
        <w:rPr>
          <w:rFonts w:ascii="宋体" w:hAnsi="宋体" w:cs="宋体"/>
        </w:rPr>
      </w:pPr>
    </w:p>
    <w:p>
      <w:pPr>
        <w:rPr>
          <w:rFonts w:ascii="宋体" w:hAnsi="宋体" w:cs="宋体"/>
        </w:rPr>
      </w:pPr>
    </w:p>
    <w:p>
      <w:pPr>
        <w:pStyle w:val="28"/>
        <w:rPr>
          <w:rFonts w:ascii="宋体" w:hAnsi="宋体" w:cs="宋体"/>
        </w:rPr>
      </w:pPr>
    </w:p>
    <w:p>
      <w:pPr>
        <w:rPr>
          <w:rFonts w:ascii="宋体" w:hAnsi="宋体" w:cs="宋体"/>
        </w:rPr>
      </w:pPr>
    </w:p>
    <w:p>
      <w:pPr>
        <w:pStyle w:val="28"/>
        <w:rPr>
          <w:rFonts w:ascii="宋体" w:hAnsi="宋体" w:cs="宋体"/>
        </w:rPr>
      </w:pPr>
    </w:p>
    <w:p>
      <w:pPr>
        <w:rPr>
          <w:rFonts w:ascii="宋体" w:hAnsi="宋体" w:cs="宋体"/>
        </w:rPr>
      </w:pPr>
    </w:p>
    <w:p>
      <w:pPr>
        <w:pStyle w:val="28"/>
        <w:rPr>
          <w:rFonts w:ascii="宋体" w:hAnsi="宋体" w:cs="宋体"/>
        </w:rPr>
      </w:pPr>
    </w:p>
    <w:p>
      <w:pPr>
        <w:rPr>
          <w:rFonts w:ascii="宋体" w:hAnsi="宋体" w:cs="宋体"/>
        </w:rPr>
      </w:pPr>
    </w:p>
    <w:p>
      <w:pPr>
        <w:pStyle w:val="28"/>
        <w:rPr>
          <w:rFonts w:ascii="宋体" w:hAnsi="宋体" w:cs="宋体"/>
        </w:rPr>
      </w:pPr>
    </w:p>
    <w:p>
      <w:pPr>
        <w:rPr>
          <w:rFonts w:ascii="宋体" w:hAnsi="宋体" w:cs="宋体"/>
        </w:rPr>
      </w:pPr>
    </w:p>
    <w:p>
      <w:pPr>
        <w:pStyle w:val="28"/>
        <w:rPr>
          <w:rFonts w:ascii="宋体" w:hAnsi="宋体" w:cs="宋体"/>
        </w:rPr>
      </w:pPr>
    </w:p>
    <w:p>
      <w:pPr>
        <w:rPr>
          <w:rFonts w:ascii="宋体" w:hAnsi="宋体" w:cs="宋体"/>
        </w:rPr>
      </w:pPr>
    </w:p>
    <w:p>
      <w:pPr>
        <w:pStyle w:val="28"/>
        <w:rPr>
          <w:rFonts w:ascii="宋体" w:hAnsi="宋体" w:cs="宋体"/>
        </w:rPr>
      </w:pPr>
    </w:p>
    <w:p/>
    <w:p>
      <w:pPr>
        <w:pStyle w:val="4"/>
        <w:spacing w:before="0" w:after="0" w:line="360" w:lineRule="auto"/>
        <w:jc w:val="center"/>
        <w:rPr>
          <w:rFonts w:ascii="宋体" w:hAnsi="宋体" w:cs="宋体"/>
        </w:rPr>
      </w:pPr>
      <w:r>
        <w:rPr>
          <w:rFonts w:hint="eastAsia" w:ascii="宋体" w:hAnsi="宋体" w:cs="宋体"/>
        </w:rPr>
        <w:t xml:space="preserve">第八章  </w:t>
      </w:r>
      <w:bookmarkEnd w:id="188"/>
      <w:bookmarkEnd w:id="189"/>
      <w:bookmarkEnd w:id="190"/>
      <w:bookmarkEnd w:id="191"/>
      <w:r>
        <w:rPr>
          <w:rFonts w:hint="eastAsia" w:ascii="宋体" w:hAnsi="宋体" w:cs="宋体"/>
        </w:rPr>
        <w:t>合同范本</w:t>
      </w:r>
    </w:p>
    <w:p>
      <w:pPr>
        <w:spacing w:line="360" w:lineRule="auto"/>
        <w:ind w:firstLine="482" w:firstLineChars="200"/>
        <w:jc w:val="center"/>
        <w:rPr>
          <w:rFonts w:ascii="宋体" w:hAnsi="宋体" w:cs="宋体"/>
          <w:szCs w:val="21"/>
        </w:rPr>
      </w:pPr>
      <w:r>
        <w:rPr>
          <w:rFonts w:hint="eastAsia" w:ascii="宋体" w:hAnsi="宋体" w:cs="宋体"/>
          <w:b/>
          <w:kern w:val="0"/>
          <w:sz w:val="24"/>
        </w:rPr>
        <w:t>详见竞争性比选文件附件。</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210" w:name="_Toc513633965"/>
    </w:p>
    <w:p>
      <w:pPr>
        <w:rPr>
          <w:rFonts w:ascii="宋体" w:hAnsi="宋体" w:cs="宋体"/>
        </w:rPr>
      </w:pPr>
    </w:p>
    <w:p>
      <w:pPr>
        <w:pStyle w:val="4"/>
        <w:spacing w:before="0" w:after="0" w:line="360" w:lineRule="auto"/>
        <w:jc w:val="center"/>
        <w:rPr>
          <w:rFonts w:ascii="宋体" w:hAnsi="宋体" w:cs="宋体"/>
        </w:rPr>
      </w:pPr>
      <w:bookmarkStart w:id="211" w:name="_Toc24853"/>
      <w:bookmarkStart w:id="212" w:name="_Toc514858709"/>
      <w:bookmarkStart w:id="213" w:name="_Toc2000413"/>
      <w:r>
        <w:rPr>
          <w:rFonts w:hint="eastAsia" w:ascii="宋体" w:hAnsi="宋体" w:cs="宋体"/>
        </w:rPr>
        <w:t>第九章  竞争性比选响应文件格式</w:t>
      </w:r>
      <w:bookmarkEnd w:id="210"/>
      <w:bookmarkEnd w:id="211"/>
      <w:bookmarkEnd w:id="212"/>
      <w:bookmarkEnd w:id="213"/>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14" w:name="_Toc503971829"/>
      <w:bookmarkStart w:id="215" w:name="_Toc513646738"/>
      <w:bookmarkStart w:id="216" w:name="_Toc503951046"/>
      <w:bookmarkStart w:id="217" w:name="_Toc514858710"/>
      <w:bookmarkStart w:id="218" w:name="_Toc513633967"/>
      <w:r>
        <w:rPr>
          <w:rFonts w:hint="eastAsia" w:ascii="宋体" w:hAnsi="宋体" w:cs="宋体"/>
          <w:u w:val="single"/>
        </w:rPr>
        <w:t xml:space="preserve">                           </w:t>
      </w:r>
      <w:r>
        <w:rPr>
          <w:rFonts w:hint="eastAsia" w:ascii="宋体" w:hAnsi="宋体" w:cs="宋体"/>
          <w:sz w:val="52"/>
          <w:szCs w:val="52"/>
          <w:u w:val="single"/>
        </w:rPr>
        <w:t>（项目名称）</w:t>
      </w:r>
      <w:bookmarkEnd w:id="214"/>
      <w:bookmarkEnd w:id="215"/>
      <w:bookmarkEnd w:id="216"/>
      <w:bookmarkEnd w:id="217"/>
      <w:bookmarkEnd w:id="218"/>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3"/>
        <w:jc w:val="center"/>
        <w:rPr>
          <w:rFonts w:ascii="宋体" w:hAnsi="宋体" w:eastAsia="宋体" w:cs="宋体"/>
        </w:rPr>
      </w:pPr>
      <w:bookmarkStart w:id="219" w:name="_Toc11329273"/>
      <w:bookmarkStart w:id="220" w:name="_Toc1368"/>
      <w:bookmarkStart w:id="221" w:name="_Toc5459"/>
      <w:bookmarkStart w:id="222" w:name="_Toc28780"/>
      <w:r>
        <w:rPr>
          <w:rFonts w:hint="eastAsia" w:ascii="宋体" w:hAnsi="宋体" w:eastAsia="宋体" w:cs="宋体"/>
        </w:rPr>
        <w:t>目    录</w:t>
      </w:r>
      <w:bookmarkEnd w:id="192"/>
      <w:bookmarkEnd w:id="193"/>
      <w:bookmarkEnd w:id="194"/>
      <w:bookmarkEnd w:id="195"/>
      <w:bookmarkEnd w:id="196"/>
      <w:bookmarkEnd w:id="197"/>
      <w:bookmarkEnd w:id="198"/>
      <w:bookmarkEnd w:id="199"/>
      <w:bookmarkEnd w:id="219"/>
      <w:bookmarkEnd w:id="220"/>
      <w:bookmarkEnd w:id="221"/>
      <w:bookmarkEnd w:id="222"/>
    </w:p>
    <w:p>
      <w:pPr>
        <w:numPr>
          <w:ilvl w:val="0"/>
          <w:numId w:val="2"/>
        </w:numPr>
        <w:spacing w:line="400" w:lineRule="exact"/>
        <w:rPr>
          <w:rFonts w:ascii="宋体" w:hAnsi="宋体" w:cs="宋体"/>
        </w:rPr>
      </w:pPr>
      <w:r>
        <w:rPr>
          <w:rFonts w:hint="eastAsia" w:ascii="宋体" w:hAnsi="宋体" w:cs="宋体"/>
        </w:rPr>
        <w:t>竞争性响应声明书</w:t>
      </w:r>
    </w:p>
    <w:p>
      <w:pPr>
        <w:numPr>
          <w:ilvl w:val="0"/>
          <w:numId w:val="2"/>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spacing w:line="400" w:lineRule="exact"/>
        <w:rPr>
          <w:rFonts w:ascii="宋体" w:hAnsi="宋体" w:cs="宋体"/>
        </w:rPr>
      </w:pPr>
      <w:r>
        <w:rPr>
          <w:rFonts w:hint="eastAsia" w:ascii="宋体" w:hAnsi="宋体" w:cs="宋体"/>
        </w:rPr>
        <w:t>七、投标保证金转账凭证</w:t>
      </w:r>
    </w:p>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3"/>
        <w:spacing w:before="0" w:after="0" w:line="360" w:lineRule="auto"/>
        <w:jc w:val="center"/>
        <w:rPr>
          <w:rFonts w:ascii="宋体" w:hAnsi="宋体" w:eastAsia="宋体" w:cs="宋体"/>
          <w:sz w:val="28"/>
        </w:rPr>
      </w:pPr>
      <w:bookmarkStart w:id="223" w:name="_Toc8870"/>
      <w:bookmarkStart w:id="224" w:name="_Toc11329274"/>
      <w:bookmarkStart w:id="225" w:name="_Toc25874"/>
      <w:bookmarkStart w:id="226" w:name="_Toc29547"/>
      <w:bookmarkStart w:id="227" w:name="_Toc15863"/>
      <w:bookmarkStart w:id="228" w:name="_Toc447827053"/>
      <w:bookmarkStart w:id="229" w:name="_Toc513633969"/>
      <w:bookmarkStart w:id="230" w:name="_Toc503951048"/>
      <w:r>
        <w:rPr>
          <w:rFonts w:hint="eastAsia" w:ascii="宋体" w:hAnsi="宋体" w:eastAsia="宋体" w:cs="宋体"/>
          <w:sz w:val="28"/>
        </w:rPr>
        <w:t>一、</w:t>
      </w:r>
      <w:bookmarkEnd w:id="223"/>
      <w:bookmarkEnd w:id="224"/>
      <w:r>
        <w:rPr>
          <w:rFonts w:hint="eastAsia" w:ascii="宋体" w:hAnsi="宋体" w:eastAsia="宋体" w:cs="宋体"/>
          <w:sz w:val="28"/>
        </w:rPr>
        <w:t>竞争比选响应声明书</w:t>
      </w:r>
      <w:bookmarkEnd w:id="225"/>
      <w:bookmarkEnd w:id="226"/>
      <w:bookmarkEnd w:id="227"/>
    </w:p>
    <w:p>
      <w:pPr>
        <w:tabs>
          <w:tab w:val="left" w:pos="900"/>
        </w:tabs>
        <w:spacing w:line="300" w:lineRule="auto"/>
        <w:rPr>
          <w:rFonts w:ascii="Arial" w:hAnsi="Arial" w:cs="Arial"/>
          <w:sz w:val="24"/>
        </w:rPr>
      </w:pPr>
      <w:r>
        <w:rPr>
          <w:rFonts w:ascii="Arial" w:hAnsi="Arial" w:cs="Arial"/>
          <w:sz w:val="24"/>
        </w:rPr>
        <w:t xml:space="preserve"> </w:t>
      </w:r>
      <w:r>
        <w:rPr>
          <w:rFonts w:hint="eastAsia" w:ascii="Arial" w:hAnsi="Arial" w:cs="Arial"/>
          <w:b/>
          <w:sz w:val="24"/>
        </w:rPr>
        <w:t>致：</w:t>
      </w:r>
      <w:r>
        <w:rPr>
          <w:rFonts w:hint="eastAsia" w:ascii="Arial" w:hAnsi="Arial" w:cs="Arial"/>
          <w:b/>
          <w:bCs/>
          <w:sz w:val="24"/>
          <w:u w:val="single"/>
        </w:rPr>
        <w:t>重庆首讯科技股份有限公司</w:t>
      </w:r>
    </w:p>
    <w:p>
      <w:pPr>
        <w:spacing w:line="700" w:lineRule="atLeast"/>
        <w:ind w:firstLine="480" w:firstLineChars="200"/>
        <w:rPr>
          <w:rFonts w:ascii="Arial" w:hAnsi="Arial" w:cs="Arial"/>
          <w:sz w:val="24"/>
        </w:rPr>
      </w:pPr>
      <w:r>
        <w:rPr>
          <w:rFonts w:hint="eastAsia" w:ascii="Arial" w:hAnsi="Arial" w:cs="Arial"/>
          <w:sz w:val="24"/>
        </w:rPr>
        <w:t>根据贵方为</w:t>
      </w:r>
      <w:r>
        <w:rPr>
          <w:rFonts w:hint="eastAsia" w:ascii="Arial" w:hAnsi="Arial" w:cs="Arial"/>
          <w:sz w:val="24"/>
          <w:u w:val="single"/>
          <w:lang w:eastAsia="zh-CN"/>
        </w:rPr>
        <w:t>开发类报表工具和BI平台采购项目</w:t>
      </w:r>
      <w:r>
        <w:rPr>
          <w:rFonts w:hint="eastAsia" w:ascii="Arial" w:hAnsi="Arial" w:cs="Arial"/>
          <w:sz w:val="24"/>
        </w:rPr>
        <w:t>竞争比选项目及服务的竞争比选邀请，签字代表</w:t>
      </w:r>
      <w:r>
        <w:rPr>
          <w:rFonts w:ascii="Arial" w:hAnsi="Arial" w:cs="Arial"/>
          <w:sz w:val="24"/>
          <w:u w:val="single"/>
        </w:rPr>
        <w:t xml:space="preserve">          </w:t>
      </w:r>
      <w:r>
        <w:rPr>
          <w:rFonts w:hint="eastAsia" w:ascii="Arial" w:hAnsi="Arial" w:cs="Arial"/>
          <w:sz w:val="24"/>
          <w:u w:val="single"/>
        </w:rPr>
        <w:t>（全名、职务）</w:t>
      </w:r>
      <w:r>
        <w:rPr>
          <w:rFonts w:hint="eastAsia" w:ascii="Arial" w:hAnsi="Arial" w:cs="Arial"/>
          <w:sz w:val="24"/>
        </w:rPr>
        <w:t>经正式授权并代表竞争比选响应单位</w:t>
      </w:r>
      <w:r>
        <w:rPr>
          <w:rFonts w:ascii="Arial" w:hAnsi="Arial" w:cs="Arial"/>
          <w:sz w:val="24"/>
          <w:u w:val="single"/>
        </w:rPr>
        <w:t xml:space="preserve"> </w:t>
      </w:r>
      <w:r>
        <w:rPr>
          <w:rFonts w:hint="eastAsia" w:ascii="Arial" w:hAnsi="Arial" w:cs="Arial"/>
          <w:sz w:val="24"/>
          <w:u w:val="single"/>
        </w:rPr>
        <w:t>（竞争比选响应单位名称）</w:t>
      </w:r>
      <w:r>
        <w:rPr>
          <w:rFonts w:ascii="Arial" w:hAnsi="Arial" w:cs="Arial"/>
          <w:sz w:val="24"/>
          <w:u w:val="single"/>
        </w:rPr>
        <w:t xml:space="preserve"> </w:t>
      </w:r>
      <w:r>
        <w:rPr>
          <w:rFonts w:hint="eastAsia" w:ascii="Arial" w:hAnsi="Arial" w:cs="Arial"/>
          <w:sz w:val="24"/>
        </w:rPr>
        <w:t>提交报价文件。</w:t>
      </w:r>
    </w:p>
    <w:p>
      <w:pPr>
        <w:spacing w:line="700" w:lineRule="atLeast"/>
        <w:ind w:firstLine="480" w:firstLineChars="200"/>
        <w:rPr>
          <w:rFonts w:ascii="Arial" w:hAnsi="Arial" w:cs="Arial"/>
          <w:sz w:val="24"/>
          <w:u w:val="single"/>
        </w:rPr>
      </w:pPr>
      <w:r>
        <w:rPr>
          <w:rFonts w:hint="eastAsia" w:ascii="Arial" w:hAnsi="Arial" w:cs="Arial"/>
          <w:sz w:val="24"/>
          <w:u w:val="single"/>
        </w:rPr>
        <w:t>我方愿以：人民币：              元（大写              元）的报价总价按照竞争比选文件的要求，承担本次竞争比选文件要求的安装工程。</w:t>
      </w:r>
    </w:p>
    <w:p>
      <w:pPr>
        <w:tabs>
          <w:tab w:val="left" w:pos="540"/>
          <w:tab w:val="left" w:pos="900"/>
        </w:tabs>
        <w:spacing w:line="300" w:lineRule="auto"/>
        <w:rPr>
          <w:rFonts w:ascii="Arial" w:hAnsi="Arial" w:cs="Arial"/>
          <w:sz w:val="24"/>
        </w:rPr>
      </w:pPr>
      <w:r>
        <w:rPr>
          <w:rFonts w:ascii="Arial" w:hAnsi="Arial" w:cs="Arial"/>
          <w:sz w:val="24"/>
        </w:rPr>
        <w:t xml:space="preserve">    </w:t>
      </w:r>
    </w:p>
    <w:p>
      <w:pPr>
        <w:tabs>
          <w:tab w:val="left" w:pos="540"/>
          <w:tab w:val="left" w:pos="900"/>
        </w:tabs>
        <w:spacing w:line="300" w:lineRule="auto"/>
        <w:rPr>
          <w:rFonts w:ascii="Arial" w:hAnsi="Arial" w:cs="Arial"/>
          <w:sz w:val="24"/>
        </w:rPr>
      </w:pPr>
      <w:r>
        <w:rPr>
          <w:rFonts w:hint="eastAsia" w:ascii="Arial" w:hAnsi="Arial" w:cs="Arial"/>
          <w:sz w:val="24"/>
        </w:rPr>
        <w:t>据此函，签字代表宣布同意如下：</w:t>
      </w:r>
    </w:p>
    <w:p>
      <w:pPr>
        <w:tabs>
          <w:tab w:val="left" w:pos="540"/>
          <w:tab w:val="left" w:pos="900"/>
        </w:tabs>
        <w:spacing w:line="300" w:lineRule="auto"/>
        <w:rPr>
          <w:rFonts w:ascii="Arial" w:hAnsi="Arial" w:cs="Arial"/>
          <w:sz w:val="24"/>
        </w:rPr>
      </w:pPr>
      <w:r>
        <w:rPr>
          <w:rFonts w:ascii="Arial" w:hAnsi="Arial" w:cs="Arial"/>
          <w:sz w:val="24"/>
        </w:rPr>
        <w:t>1</w:t>
      </w:r>
      <w:r>
        <w:rPr>
          <w:rFonts w:hint="eastAsia" w:ascii="Arial" w:hAnsi="Arial" w:cs="Arial"/>
          <w:sz w:val="24"/>
        </w:rPr>
        <w:t>、竞争比选响应单位将按竞争比选文件规定履行合同责任和义务。</w:t>
      </w:r>
    </w:p>
    <w:p>
      <w:pPr>
        <w:tabs>
          <w:tab w:val="left" w:pos="900"/>
        </w:tabs>
        <w:spacing w:line="300" w:lineRule="auto"/>
        <w:rPr>
          <w:rFonts w:ascii="Arial" w:hAnsi="Arial" w:cs="Arial"/>
          <w:b/>
          <w:sz w:val="24"/>
        </w:rPr>
      </w:pPr>
      <w:r>
        <w:rPr>
          <w:rFonts w:ascii="Arial" w:hAnsi="Arial" w:cs="Arial"/>
          <w:sz w:val="24"/>
        </w:rPr>
        <w:t>2</w:t>
      </w:r>
      <w:r>
        <w:rPr>
          <w:rFonts w:hint="eastAsia" w:ascii="Arial" w:hAnsi="Arial" w:cs="Arial"/>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sz w:val="24"/>
        </w:rPr>
      </w:pPr>
      <w:r>
        <w:rPr>
          <w:rFonts w:hint="eastAsia" w:ascii="Arial" w:hAnsi="Arial" w:cs="Arial"/>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sz w:val="24"/>
        </w:rPr>
      </w:pPr>
      <w:r>
        <w:rPr>
          <w:rFonts w:hint="eastAsia" w:ascii="Arial" w:hAnsi="Arial" w:cs="Arial"/>
          <w:sz w:val="24"/>
        </w:rPr>
        <w:t>4、与本竞争比选响应有关的一切正式往来通讯请寄：</w:t>
      </w:r>
    </w:p>
    <w:p>
      <w:pPr>
        <w:tabs>
          <w:tab w:val="left" w:pos="900"/>
        </w:tabs>
        <w:spacing w:line="300" w:lineRule="auto"/>
        <w:rPr>
          <w:rFonts w:ascii="Arial" w:hAnsi="Arial" w:cs="Arial"/>
          <w:b/>
          <w:sz w:val="24"/>
        </w:rPr>
      </w:pPr>
      <w:r>
        <w:rPr>
          <w:rFonts w:hint="eastAsia" w:ascii="Arial" w:hAnsi="Arial" w:cs="Arial"/>
          <w:sz w:val="24"/>
        </w:rPr>
        <w:t>地址：</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邮编：</w:t>
      </w:r>
      <w:r>
        <w:rPr>
          <w:rFonts w:ascii="Arial" w:hAnsi="Arial" w:cs="Arial"/>
          <w:sz w:val="24"/>
          <w:u w:val="single"/>
        </w:rPr>
        <w:t xml:space="preserve">            </w:t>
      </w:r>
      <w:r>
        <w:rPr>
          <w:rFonts w:ascii="Arial" w:hAnsi="Arial" w:cs="Arial"/>
          <w:b/>
          <w:sz w:val="24"/>
        </w:rPr>
        <w:t xml:space="preserve">  </w:t>
      </w:r>
    </w:p>
    <w:p>
      <w:pPr>
        <w:tabs>
          <w:tab w:val="left" w:pos="900"/>
        </w:tabs>
        <w:spacing w:line="300" w:lineRule="auto"/>
        <w:rPr>
          <w:rFonts w:ascii="Arial" w:hAnsi="Arial" w:cs="Arial"/>
          <w:sz w:val="24"/>
          <w:u w:val="single"/>
        </w:rPr>
      </w:pPr>
      <w:r>
        <w:rPr>
          <w:rFonts w:hint="eastAsia" w:ascii="Arial" w:hAnsi="Arial" w:cs="Arial"/>
          <w:sz w:val="24"/>
        </w:rPr>
        <w:t>电话：</w:t>
      </w:r>
      <w:r>
        <w:rPr>
          <w:rFonts w:ascii="Arial" w:hAnsi="Arial" w:cs="Arial"/>
          <w:sz w:val="24"/>
          <w:u w:val="single"/>
        </w:rPr>
        <w:t xml:space="preserve">                   </w:t>
      </w:r>
      <w:r>
        <w:rPr>
          <w:rFonts w:ascii="Arial" w:hAnsi="Arial" w:cs="Arial"/>
          <w:sz w:val="24"/>
        </w:rPr>
        <w:t xml:space="preserve">         </w:t>
      </w:r>
      <w:r>
        <w:rPr>
          <w:rFonts w:hint="eastAsia" w:ascii="Arial" w:hAnsi="Arial" w:cs="Arial"/>
          <w:sz w:val="24"/>
        </w:rPr>
        <w:t>传真：</w:t>
      </w:r>
      <w:r>
        <w:rPr>
          <w:rFonts w:ascii="Arial" w:hAnsi="Arial" w:cs="Arial"/>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竞争比选响应单位名称（加盖公章）：</w:t>
      </w:r>
      <w:r>
        <w:rPr>
          <w:rFonts w:ascii="Arial" w:hAnsi="Arial" w:cs="Arial"/>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日期：</w:t>
      </w:r>
      <w:r>
        <w:rPr>
          <w:rFonts w:hint="eastAsia" w:ascii="Arial" w:hAnsi="Arial" w:cs="Arial"/>
          <w:sz w:val="24"/>
          <w:u w:val="single"/>
        </w:rPr>
        <w:t xml:space="preserve">     </w:t>
      </w:r>
      <w:r>
        <w:rPr>
          <w:rFonts w:hint="eastAsia" w:ascii="Arial" w:hAnsi="Arial" w:cs="Arial"/>
          <w:sz w:val="24"/>
        </w:rPr>
        <w:t>年</w:t>
      </w:r>
      <w:r>
        <w:rPr>
          <w:rFonts w:ascii="Arial" w:hAnsi="Arial" w:cs="Arial"/>
          <w:sz w:val="24"/>
          <w:u w:val="single"/>
        </w:rPr>
        <w:t xml:space="preserve">      </w:t>
      </w:r>
      <w:r>
        <w:rPr>
          <w:rFonts w:hint="eastAsia" w:ascii="Arial" w:hAnsi="Arial" w:cs="Arial"/>
          <w:sz w:val="24"/>
        </w:rPr>
        <w:t>月</w:t>
      </w:r>
      <w:r>
        <w:rPr>
          <w:rFonts w:ascii="Arial" w:hAnsi="Arial" w:cs="Arial"/>
          <w:sz w:val="24"/>
          <w:u w:val="single"/>
        </w:rPr>
        <w:t xml:space="preserve">    </w:t>
      </w:r>
      <w:r>
        <w:rPr>
          <w:rFonts w:hint="eastAsia" w:ascii="Arial" w:hAnsi="Arial" w:cs="Arial"/>
          <w:sz w:val="24"/>
          <w:u w:val="single"/>
        </w:rPr>
        <w:t xml:space="preserve">  </w:t>
      </w:r>
      <w:r>
        <w:rPr>
          <w:rFonts w:hint="eastAsia" w:ascii="Arial" w:hAnsi="Arial" w:cs="Arial"/>
          <w:sz w:val="24"/>
        </w:rPr>
        <w:t>日</w:t>
      </w:r>
      <w:r>
        <w:rPr>
          <w:rFonts w:ascii="Arial" w:hAnsi="Arial" w:cs="Arial"/>
          <w:sz w:val="24"/>
        </w:rPr>
        <w:t xml:space="preserve"> </w:t>
      </w:r>
    </w:p>
    <w:p>
      <w:pPr>
        <w:outlineLvl w:val="0"/>
        <w:rPr>
          <w:b/>
          <w:sz w:val="24"/>
        </w:rPr>
      </w:pPr>
    </w:p>
    <w:p>
      <w:pPr>
        <w:outlineLvl w:val="0"/>
        <w:rPr>
          <w:b/>
          <w:sz w:val="24"/>
        </w:rPr>
      </w:pPr>
    </w:p>
    <w:p>
      <w:pPr>
        <w:pStyle w:val="3"/>
        <w:jc w:val="center"/>
        <w:rPr>
          <w:rFonts w:ascii="宋体" w:hAnsi="宋体" w:eastAsia="宋体" w:cs="宋体"/>
          <w:sz w:val="28"/>
          <w:szCs w:val="28"/>
        </w:rPr>
      </w:pPr>
      <w:bookmarkStart w:id="231" w:name="_Toc27815"/>
      <w:bookmarkStart w:id="232" w:name="_Toc491883232"/>
      <w:r>
        <w:rPr>
          <w:rFonts w:hint="eastAsia" w:ascii="宋体" w:hAnsi="宋体" w:eastAsia="宋体" w:cs="宋体"/>
          <w:sz w:val="28"/>
          <w:szCs w:val="28"/>
        </w:rPr>
        <w:t>二、法定代表人身份证明或法定代表人授权委托书</w:t>
      </w:r>
      <w:bookmarkEnd w:id="231"/>
    </w:p>
    <w:p>
      <w:pPr>
        <w:pStyle w:val="3"/>
        <w:jc w:val="center"/>
        <w:rPr>
          <w:rFonts w:ascii="宋体" w:hAnsi="宋体" w:eastAsia="宋体" w:cs="宋体"/>
          <w:sz w:val="24"/>
          <w:szCs w:val="24"/>
        </w:rPr>
      </w:pPr>
      <w:bookmarkStart w:id="233" w:name="_Toc14141"/>
      <w:r>
        <w:rPr>
          <w:rFonts w:hint="eastAsia" w:ascii="宋体" w:hAnsi="宋体" w:eastAsia="宋体" w:cs="宋体"/>
          <w:sz w:val="24"/>
          <w:szCs w:val="24"/>
        </w:rPr>
        <w:t>（一）法定代表人身份证明</w:t>
      </w:r>
      <w:bookmarkEnd w:id="232"/>
      <w:bookmarkEnd w:id="233"/>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34" w:name="_Toc352691662"/>
      <w:bookmarkStart w:id="235" w:name="_Toc27897"/>
      <w:bookmarkStart w:id="236" w:name="_Toc369531698"/>
      <w:r>
        <w:rPr>
          <w:rFonts w:ascii="宋体" w:hAnsi="宋体"/>
          <w:u w:val="single"/>
        </w:rPr>
        <w:t xml:space="preserve">        </w:t>
      </w:r>
      <w:r>
        <w:rPr>
          <w:rFonts w:ascii="宋体" w:hAnsi="宋体"/>
        </w:rPr>
        <w:t>年</w:t>
      </w:r>
      <w:bookmarkEnd w:id="234"/>
      <w:bookmarkEnd w:id="235"/>
      <w:bookmarkEnd w:id="236"/>
      <w:r>
        <w:rPr>
          <w:rFonts w:ascii="宋体" w:hAnsi="宋体"/>
        </w:rPr>
        <w:t>龄</w:t>
      </w:r>
      <w:bookmarkStart w:id="237" w:name="_Toc361508754"/>
      <w:bookmarkStart w:id="238" w:name="_Toc247527829"/>
      <w:bookmarkStart w:id="239" w:name="_Toc152045789"/>
      <w:bookmarkStart w:id="240" w:name="_Toc15573"/>
      <w:bookmarkStart w:id="241" w:name="_Toc152042578"/>
      <w:bookmarkStart w:id="242" w:name="_Toc144974858"/>
      <w:bookmarkStart w:id="243" w:name="_Toc300835211"/>
      <w:bookmarkStart w:id="244" w:name="_Toc384308377"/>
      <w:bookmarkStart w:id="245" w:name="_Toc369531699"/>
      <w:bookmarkStart w:id="246" w:name="_Toc352691663"/>
      <w:bookmarkStart w:id="247" w:name="_Toc247514248"/>
      <w:r>
        <w:rPr>
          <w:rFonts w:ascii="宋体" w:hAnsi="宋体"/>
        </w:rPr>
        <w:t>：</w:t>
      </w:r>
      <w:bookmarkEnd w:id="237"/>
      <w:bookmarkEnd w:id="238"/>
      <w:bookmarkEnd w:id="239"/>
      <w:bookmarkEnd w:id="240"/>
      <w:bookmarkEnd w:id="241"/>
      <w:bookmarkEnd w:id="242"/>
      <w:bookmarkEnd w:id="243"/>
      <w:bookmarkEnd w:id="244"/>
      <w:bookmarkEnd w:id="245"/>
      <w:bookmarkEnd w:id="246"/>
      <w:bookmarkEnd w:id="247"/>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3"/>
        <w:jc w:val="center"/>
        <w:rPr>
          <w:rFonts w:ascii="宋体" w:hAnsi="宋体"/>
          <w:sz w:val="28"/>
          <w:szCs w:val="28"/>
        </w:rPr>
      </w:pPr>
      <w:bookmarkStart w:id="248" w:name="_Toc491883233"/>
      <w:bookmarkStart w:id="249" w:name="_Toc58"/>
      <w:r>
        <w:rPr>
          <w:rFonts w:hint="eastAsia" w:ascii="宋体" w:hAnsi="宋体" w:eastAsia="宋体" w:cs="宋体"/>
          <w:sz w:val="24"/>
          <w:szCs w:val="24"/>
        </w:rPr>
        <w:t>（二）</w:t>
      </w:r>
      <w:bookmarkEnd w:id="248"/>
      <w:r>
        <w:rPr>
          <w:rFonts w:hint="eastAsia" w:ascii="宋体" w:hAnsi="宋体" w:eastAsia="宋体" w:cs="宋体"/>
          <w:sz w:val="24"/>
          <w:szCs w:val="24"/>
        </w:rPr>
        <w:t>法定代表人授权委托书</w:t>
      </w:r>
      <w:bookmarkEnd w:id="249"/>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pStyle w:val="4"/>
        <w:jc w:val="center"/>
        <w:rPr>
          <w:rFonts w:ascii="宋体" w:hAnsi="宋体" w:cs="宋体"/>
          <w:kern w:val="0"/>
          <w:sz w:val="28"/>
          <w:szCs w:val="32"/>
        </w:rPr>
      </w:pPr>
      <w:bookmarkStart w:id="250" w:name="_Toc11329275"/>
      <w:r>
        <w:rPr>
          <w:rFonts w:hint="eastAsia" w:ascii="宋体" w:hAnsi="宋体" w:cs="宋体"/>
          <w:kern w:val="0"/>
          <w:sz w:val="28"/>
          <w:szCs w:val="32"/>
        </w:rPr>
        <w:t>三、</w:t>
      </w:r>
      <w:bookmarkEnd w:id="228"/>
      <w:bookmarkEnd w:id="229"/>
      <w:bookmarkEnd w:id="230"/>
      <w:bookmarkEnd w:id="250"/>
      <w:r>
        <w:rPr>
          <w:rFonts w:hint="eastAsia" w:ascii="宋体" w:hAnsi="宋体" w:cs="宋体"/>
          <w:kern w:val="0"/>
          <w:sz w:val="28"/>
          <w:szCs w:val="32"/>
        </w:rPr>
        <w:t>报价一览表</w:t>
      </w:r>
    </w:p>
    <w:p>
      <w:pPr>
        <w:ind w:left="765"/>
        <w:jc w:val="center"/>
        <w:rPr>
          <w:rFonts w:ascii="宋体" w:hAnsi="宋体" w:cs="宋体"/>
          <w:szCs w:val="21"/>
        </w:rPr>
      </w:pPr>
    </w:p>
    <w:p>
      <w:pPr>
        <w:pStyle w:val="38"/>
        <w:jc w:val="both"/>
        <w:rPr>
          <w:rFonts w:hAnsi="宋体"/>
          <w:color w:val="auto"/>
        </w:rPr>
      </w:pPr>
      <w:r>
        <w:rPr>
          <w:rFonts w:hint="eastAsia" w:hAnsi="宋体"/>
          <w:color w:val="auto"/>
        </w:rPr>
        <w:t>重庆首讯科技股份有限公司：</w:t>
      </w:r>
    </w:p>
    <w:p>
      <w:pPr>
        <w:spacing w:line="360" w:lineRule="auto"/>
        <w:ind w:firstLine="480" w:firstLineChars="200"/>
        <w:jc w:val="left"/>
        <w:rPr>
          <w:rFonts w:ascii="宋体" w:hAnsi="宋体"/>
          <w:b/>
          <w:sz w:val="24"/>
        </w:rPr>
      </w:pPr>
      <w:r>
        <w:rPr>
          <w:rFonts w:hint="eastAsia" w:ascii="宋体" w:hAnsi="宋体"/>
          <w:sz w:val="24"/>
        </w:rPr>
        <w:t>在研究了竞争比选文件中所有文件后，我司对</w:t>
      </w:r>
      <w:r>
        <w:rPr>
          <w:rFonts w:hint="eastAsia" w:ascii="Arial" w:hAnsi="Arial" w:cs="Arial"/>
          <w:sz w:val="24"/>
          <w:u w:val="single"/>
          <w:lang w:eastAsia="zh-CN"/>
        </w:rPr>
        <w:t>开发类报表工具和BI平台采购项目</w:t>
      </w:r>
      <w:r>
        <w:rPr>
          <w:rFonts w:hint="eastAsia" w:ascii="宋体" w:hAnsi="宋体"/>
          <w:sz w:val="24"/>
        </w:rPr>
        <w:t>竞</w:t>
      </w:r>
      <w:r>
        <w:rPr>
          <w:rFonts w:hint="eastAsia" w:ascii="Arial" w:hAnsi="Arial" w:cs="Arial"/>
          <w:sz w:val="24"/>
        </w:rPr>
        <w:t>争比选响应</w:t>
      </w:r>
      <w:r>
        <w:rPr>
          <w:rFonts w:hint="eastAsia" w:ascii="宋体" w:hAnsi="宋体"/>
          <w:sz w:val="24"/>
        </w:rPr>
        <w:t>报价如下：</w:t>
      </w:r>
      <w:r>
        <w:rPr>
          <w:rFonts w:hint="eastAsia" w:ascii="宋体" w:hAnsi="宋体"/>
          <w:b/>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b/>
          <w:bCs/>
          <w:sz w:val="24"/>
        </w:rPr>
      </w:pPr>
      <w:r>
        <w:rPr>
          <w:rFonts w:hint="eastAsia" w:ascii="宋体" w:hAnsi="宋体"/>
          <w:b/>
          <w:bCs/>
          <w:sz w:val="24"/>
        </w:rPr>
        <w:t>报价采用表格形式，如下：</w:t>
      </w:r>
    </w:p>
    <w:tbl>
      <w:tblPr>
        <w:tblStyle w:val="42"/>
        <w:tblW w:w="860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7"/>
        <w:gridCol w:w="2355"/>
        <w:gridCol w:w="1005"/>
        <w:gridCol w:w="1005"/>
        <w:gridCol w:w="870"/>
        <w:gridCol w:w="1140"/>
        <w:gridCol w:w="15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序号</w:t>
            </w:r>
          </w:p>
        </w:tc>
        <w:tc>
          <w:tcPr>
            <w:tcW w:w="23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报价项目</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单位</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数量</w:t>
            </w:r>
          </w:p>
        </w:tc>
        <w:tc>
          <w:tcPr>
            <w:tcW w:w="8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单价(元)</w:t>
            </w:r>
          </w:p>
        </w:tc>
        <w:tc>
          <w:tcPr>
            <w:tcW w:w="11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含税总价(元)</w:t>
            </w:r>
          </w:p>
        </w:tc>
        <w:tc>
          <w:tcPr>
            <w:tcW w:w="15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2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23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报表</w:t>
            </w:r>
            <w:r>
              <w:rPr>
                <w:rFonts w:hint="eastAsia" w:asciiTheme="majorEastAsia" w:hAnsiTheme="majorEastAsia" w:eastAsiaTheme="majorEastAsia" w:cstheme="majorEastAsia"/>
                <w:sz w:val="24"/>
                <w:lang w:eastAsia="zh-CN"/>
              </w:rPr>
              <w:t>工具</w:t>
            </w:r>
            <w:r>
              <w:rPr>
                <w:rFonts w:hint="eastAsia" w:asciiTheme="majorEastAsia" w:hAnsiTheme="majorEastAsia" w:eastAsiaTheme="majorEastAsia" w:cstheme="majorEastAsia"/>
                <w:sz w:val="24"/>
              </w:rPr>
              <w:t>与BI平台采购</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套</w:t>
            </w:r>
          </w:p>
        </w:tc>
        <w:tc>
          <w:tcPr>
            <w:tcW w:w="10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1</w:t>
            </w:r>
          </w:p>
        </w:tc>
        <w:tc>
          <w:tcPr>
            <w:tcW w:w="8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p>
        </w:tc>
        <w:tc>
          <w:tcPr>
            <w:tcW w:w="114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p>
        </w:tc>
        <w:tc>
          <w:tcPr>
            <w:tcW w:w="150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spacing w:line="240" w:lineRule="atLeast"/>
              <w:jc w:val="center"/>
              <w:rPr>
                <w:rFonts w:asciiTheme="majorEastAsia" w:hAnsiTheme="majorEastAsia" w:eastAsiaTheme="majorEastAsia" w:cstheme="majorEastAsia"/>
                <w:b/>
                <w:bCs/>
                <w:sz w:val="24"/>
              </w:rPr>
            </w:pPr>
          </w:p>
        </w:tc>
      </w:tr>
    </w:tbl>
    <w:p>
      <w:pPr>
        <w:ind w:right="-727" w:rightChars="-346"/>
        <w:rPr>
          <w:rFonts w:ascii="宋体" w:hAnsi="宋体" w:cs="宋体"/>
          <w:sz w:val="24"/>
        </w:rPr>
      </w:pPr>
    </w:p>
    <w:p>
      <w:pPr>
        <w:ind w:right="-727" w:rightChars="-346"/>
        <w:rPr>
          <w:rFonts w:ascii="宋体" w:hAnsi="宋体" w:cs="宋体"/>
          <w:sz w:val="24"/>
        </w:rPr>
      </w:pPr>
      <w:r>
        <w:rPr>
          <w:rFonts w:hint="eastAsia" w:ascii="宋体" w:hAnsi="宋体" w:cs="宋体"/>
          <w:sz w:val="24"/>
        </w:rPr>
        <w:t>本项目中产品费用税率</w:t>
      </w:r>
      <w:r>
        <w:rPr>
          <w:rFonts w:hint="eastAsia" w:ascii="宋体" w:hAnsi="宋体" w:cs="宋体"/>
          <w:sz w:val="24"/>
          <w:lang w:eastAsia="zh-Hans"/>
        </w:rPr>
        <w:t>均</w:t>
      </w:r>
      <w:r>
        <w:rPr>
          <w:rFonts w:hint="eastAsia" w:ascii="宋体" w:hAnsi="宋体" w:cs="宋体"/>
          <w:sz w:val="24"/>
        </w:rPr>
        <w:t>按13%计算。</w:t>
      </w:r>
    </w:p>
    <w:p>
      <w:pPr>
        <w:pStyle w:val="16"/>
        <w:rPr>
          <w:highlight w:val="red"/>
        </w:rPr>
      </w:pPr>
    </w:p>
    <w:p>
      <w:pPr>
        <w:spacing w:line="400" w:lineRule="exact"/>
        <w:rPr>
          <w:rFonts w:ascii="宋体" w:hAnsi="宋体" w:cs="宋体"/>
          <w:kern w:val="0"/>
          <w:szCs w:val="21"/>
        </w:rPr>
      </w:pPr>
    </w:p>
    <w:p>
      <w:pPr>
        <w:pStyle w:val="3"/>
        <w:spacing w:before="0" w:after="0" w:line="360" w:lineRule="auto"/>
        <w:jc w:val="center"/>
        <w:rPr>
          <w:rFonts w:ascii="宋体" w:hAnsi="宋体" w:eastAsia="宋体" w:cs="宋体"/>
          <w:sz w:val="28"/>
        </w:rPr>
      </w:pPr>
      <w:bookmarkStart w:id="251" w:name="_Toc11329278"/>
      <w:bookmarkStart w:id="252" w:name="_Toc513633971"/>
      <w:bookmarkStart w:id="253" w:name="_Toc503951050"/>
      <w:bookmarkStart w:id="254" w:name="_Toc247085887"/>
      <w:bookmarkStart w:id="255" w:name="_Toc246997112"/>
      <w:bookmarkStart w:id="256" w:name="_Toc144974871"/>
      <w:bookmarkStart w:id="257" w:name="_Toc152045803"/>
      <w:bookmarkStart w:id="258" w:name="_Toc447827058"/>
      <w:bookmarkStart w:id="259" w:name="_Toc246996369"/>
      <w:bookmarkStart w:id="260" w:name="_Toc152042592"/>
      <w:bookmarkStart w:id="261" w:name="_Toc179632823"/>
      <w:r>
        <w:rPr>
          <w:rFonts w:hint="eastAsia" w:ascii="宋体" w:hAnsi="宋体" w:eastAsia="宋体" w:cs="宋体"/>
          <w:sz w:val="28"/>
        </w:rPr>
        <w:br w:type="page"/>
      </w:r>
      <w:bookmarkStart w:id="262" w:name="_Toc12910"/>
      <w:bookmarkStart w:id="263" w:name="_Toc11961"/>
      <w:bookmarkStart w:id="264" w:name="_Toc18757"/>
      <w:r>
        <w:rPr>
          <w:rFonts w:hint="eastAsia" w:ascii="宋体" w:hAnsi="宋体" w:eastAsia="宋体" w:cs="宋体"/>
          <w:sz w:val="28"/>
        </w:rPr>
        <w:t>四、资格审查资料</w:t>
      </w:r>
      <w:bookmarkEnd w:id="251"/>
      <w:bookmarkEnd w:id="252"/>
      <w:bookmarkEnd w:id="253"/>
      <w:bookmarkEnd w:id="262"/>
      <w:bookmarkEnd w:id="263"/>
      <w:bookmarkEnd w:id="264"/>
    </w:p>
    <w:p>
      <w:pPr>
        <w:pStyle w:val="3"/>
        <w:spacing w:before="0" w:after="0" w:line="360" w:lineRule="auto"/>
        <w:jc w:val="center"/>
        <w:rPr>
          <w:rFonts w:ascii="宋体" w:hAnsi="宋体" w:eastAsia="宋体" w:cs="宋体"/>
          <w:sz w:val="28"/>
        </w:rPr>
      </w:pPr>
      <w:bookmarkStart w:id="265" w:name="_Toc32456"/>
      <w:bookmarkStart w:id="266" w:name="_Toc22003"/>
      <w:bookmarkStart w:id="267" w:name="_Toc17915"/>
      <w:r>
        <w:rPr>
          <w:rFonts w:hint="eastAsia" w:ascii="宋体" w:hAnsi="宋体" w:eastAsia="宋体" w:cs="宋体"/>
          <w:sz w:val="28"/>
        </w:rPr>
        <w:t>（营业执照、资质证书、项目人员资料等）</w:t>
      </w:r>
      <w:bookmarkEnd w:id="265"/>
      <w:bookmarkEnd w:id="266"/>
      <w:bookmarkEnd w:id="267"/>
    </w:p>
    <w:p>
      <w:pPr>
        <w:pStyle w:val="119"/>
        <w:numPr>
          <w:ilvl w:val="0"/>
          <w:numId w:val="3"/>
        </w:numPr>
        <w:ind w:firstLineChars="0"/>
        <w:rPr>
          <w:sz w:val="28"/>
          <w:szCs w:val="28"/>
        </w:rPr>
      </w:pPr>
      <w:r>
        <w:rPr>
          <w:rFonts w:hint="eastAsia"/>
          <w:sz w:val="28"/>
          <w:szCs w:val="28"/>
        </w:rPr>
        <w:t>营业执照</w:t>
      </w:r>
    </w:p>
    <w:p>
      <w:pPr>
        <w:rPr>
          <w:szCs w:val="21"/>
        </w:rPr>
      </w:pPr>
      <w:r>
        <w:rPr>
          <w:rFonts w:hint="eastAsia"/>
          <w:szCs w:val="21"/>
        </w:rPr>
        <w:t>注：请附营业执照复印件或扫描件，并加盖报价人公章；</w:t>
      </w:r>
    </w:p>
    <w:p>
      <w:pPr>
        <w:rPr>
          <w:sz w:val="28"/>
          <w:szCs w:val="28"/>
        </w:rPr>
      </w:pPr>
    </w:p>
    <w:p>
      <w:pPr>
        <w:rPr>
          <w:sz w:val="28"/>
          <w:szCs w:val="28"/>
        </w:rPr>
      </w:pPr>
    </w:p>
    <w:p>
      <w:pPr>
        <w:rPr>
          <w:sz w:val="28"/>
          <w:szCs w:val="28"/>
        </w:rPr>
      </w:pPr>
    </w:p>
    <w:p>
      <w:pPr>
        <w:pStyle w:val="119"/>
        <w:numPr>
          <w:ilvl w:val="0"/>
          <w:numId w:val="3"/>
        </w:numPr>
        <w:ind w:firstLineChars="0"/>
        <w:rPr>
          <w:sz w:val="28"/>
          <w:szCs w:val="28"/>
        </w:rPr>
      </w:pPr>
      <w:r>
        <w:rPr>
          <w:rFonts w:hint="eastAsia"/>
          <w:sz w:val="28"/>
          <w:szCs w:val="28"/>
        </w:rPr>
        <w:t>资质证书</w:t>
      </w:r>
    </w:p>
    <w:p>
      <w:pPr>
        <w:rPr>
          <w:szCs w:val="21"/>
        </w:rPr>
      </w:pPr>
      <w:r>
        <w:rPr>
          <w:rFonts w:hint="eastAsia"/>
          <w:szCs w:val="21"/>
        </w:rPr>
        <w:t>注：报价人需为厂家或者为厂家代理商，具有BI类产品著作权，如果是代理，需原厂提供授权函和软著；</w:t>
      </w:r>
    </w:p>
    <w:p>
      <w:pPr>
        <w:rPr>
          <w:sz w:val="28"/>
          <w:szCs w:val="28"/>
        </w:rPr>
      </w:pPr>
    </w:p>
    <w:p>
      <w:pPr>
        <w:rPr>
          <w:sz w:val="28"/>
          <w:szCs w:val="28"/>
        </w:rPr>
      </w:pPr>
    </w:p>
    <w:p>
      <w:pPr>
        <w:rPr>
          <w:sz w:val="28"/>
          <w:szCs w:val="28"/>
        </w:rPr>
      </w:pPr>
    </w:p>
    <w:p>
      <w:pPr>
        <w:pStyle w:val="119"/>
        <w:numPr>
          <w:ilvl w:val="0"/>
          <w:numId w:val="3"/>
        </w:numPr>
        <w:ind w:firstLineChars="0"/>
        <w:rPr>
          <w:sz w:val="28"/>
          <w:szCs w:val="28"/>
        </w:rPr>
      </w:pPr>
      <w:r>
        <w:rPr>
          <w:rFonts w:hint="eastAsia"/>
          <w:sz w:val="28"/>
          <w:szCs w:val="28"/>
        </w:rPr>
        <w:t>业绩要求</w:t>
      </w:r>
    </w:p>
    <w:p>
      <w:pPr>
        <w:rPr>
          <w:sz w:val="28"/>
          <w:szCs w:val="28"/>
        </w:rPr>
      </w:pPr>
      <w:r>
        <w:rPr>
          <w:rFonts w:hint="eastAsia"/>
          <w:szCs w:val="21"/>
          <w:lang w:val="en-US" w:eastAsia="zh-CN"/>
        </w:rPr>
        <w:t>注：</w:t>
      </w:r>
      <w:r>
        <w:rPr>
          <w:rFonts w:hint="eastAsia" w:ascii="Times New Roman" w:hAnsi="Times New Roman"/>
          <w:szCs w:val="21"/>
        </w:rPr>
        <w:t>近三年（2019年1月1日起至投标截止日）至少承担一项27万及以上报表与BI产品类销售项目（提供合同扫描件）。</w:t>
      </w:r>
      <w:r>
        <w:rPr>
          <w:rFonts w:hint="eastAsia"/>
          <w:szCs w:val="21"/>
          <w:lang w:eastAsia="zh-CN"/>
        </w:rPr>
        <w:t>；</w:t>
      </w:r>
      <w:r>
        <w:rPr>
          <w:rFonts w:hint="eastAsia" w:ascii="Times New Roman" w:hAnsi="Times New Roman"/>
          <w:szCs w:val="21"/>
        </w:rPr>
        <w:br w:type="textWrapping"/>
      </w:r>
      <w:r>
        <w:rPr>
          <w:rFonts w:hint="eastAsia" w:ascii="Times New Roman" w:hAnsi="Times New Roman"/>
          <w:szCs w:val="21"/>
        </w:rPr>
        <w:br w:type="textWrapping"/>
      </w:r>
      <w:r>
        <w:rPr>
          <w:rFonts w:hint="eastAsia" w:ascii="Times New Roman" w:hAnsi="Times New Roman"/>
          <w:szCs w:val="21"/>
        </w:rPr>
        <w:br w:type="textWrapping"/>
      </w:r>
      <w:r>
        <w:rPr>
          <w:rFonts w:hint="eastAsia" w:ascii="Times New Roman" w:hAnsi="Times New Roman"/>
          <w:szCs w:val="21"/>
        </w:rPr>
        <w:br w:type="textWrapping"/>
      </w:r>
      <w:r>
        <w:rPr>
          <w:rFonts w:hint="eastAsia" w:ascii="Times New Roman" w:hAnsi="Times New Roman"/>
          <w:szCs w:val="21"/>
        </w:rPr>
        <w:br w:type="textWrapping"/>
      </w:r>
      <w:r>
        <w:rPr>
          <w:rFonts w:hint="eastAsia" w:ascii="Times New Roman" w:hAnsi="Times New Roman"/>
          <w:szCs w:val="21"/>
        </w:rPr>
        <w:br w:type="textWrapping"/>
      </w:r>
    </w:p>
    <w:p>
      <w:pPr>
        <w:pStyle w:val="119"/>
        <w:numPr>
          <w:ilvl w:val="0"/>
          <w:numId w:val="3"/>
        </w:numPr>
        <w:ind w:firstLineChars="0"/>
        <w:rPr>
          <w:sz w:val="28"/>
          <w:szCs w:val="28"/>
        </w:rPr>
      </w:pPr>
      <w:r>
        <w:rPr>
          <w:rFonts w:hint="eastAsia"/>
          <w:sz w:val="28"/>
          <w:szCs w:val="28"/>
        </w:rPr>
        <w:t>信誉要求</w:t>
      </w:r>
    </w:p>
    <w:p>
      <w:pPr>
        <w:rPr>
          <w:sz w:val="28"/>
          <w:szCs w:val="28"/>
        </w:rPr>
      </w:pPr>
      <w:r>
        <w:rPr>
          <w:rFonts w:hint="eastAsia"/>
          <w:szCs w:val="21"/>
        </w:rPr>
        <w:t>注：请附在国家企业信用信息公示系统（http://www.gsxt.gov.cn/）中未被列入严重违法失信企业名单（黑名单）信息，及在“信用中国”网站（http://www.creditchina.gov.cn/）中未被列入失信惩戒执行人名单截图（参见下图），并加盖报价人公章；</w:t>
      </w: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
    <w:p/>
    <w:p>
      <w:r>
        <w:rPr>
          <w:rFonts w:hint="eastAsia"/>
        </w:rPr>
        <w:t>例：</w:t>
      </w:r>
    </w:p>
    <w:p>
      <w:r>
        <w:drawing>
          <wp:inline distT="0" distB="0" distL="0" distR="0">
            <wp:extent cx="5274310" cy="3784600"/>
            <wp:effectExtent l="0" t="0" r="2540" b="6350"/>
            <wp:docPr id="3" name="图片 3" descr="C:\Users\123\AppData\Local\Temp\16419565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23\AppData\Local\Temp\164195655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3784703"/>
                    </a:xfrm>
                    <a:prstGeom prst="rect">
                      <a:avLst/>
                    </a:prstGeom>
                    <a:noFill/>
                    <a:ln>
                      <a:noFill/>
                    </a:ln>
                  </pic:spPr>
                </pic:pic>
              </a:graphicData>
            </a:graphic>
          </wp:inline>
        </w:drawing>
      </w:r>
    </w:p>
    <w:p/>
    <w:p/>
    <w:p>
      <w:pPr>
        <w:pStyle w:val="119"/>
        <w:numPr>
          <w:ilvl w:val="0"/>
          <w:numId w:val="3"/>
        </w:numPr>
        <w:ind w:firstLineChars="0"/>
        <w:rPr>
          <w:sz w:val="28"/>
          <w:szCs w:val="28"/>
        </w:rPr>
      </w:pPr>
      <w:r>
        <w:rPr>
          <w:rFonts w:hint="eastAsia"/>
          <w:sz w:val="28"/>
          <w:szCs w:val="28"/>
        </w:rPr>
        <w:t>财务状况</w:t>
      </w:r>
    </w:p>
    <w:p>
      <w:pPr>
        <w:jc w:val="center"/>
        <w:rPr>
          <w:rFonts w:ascii="宋体" w:hAnsi="宋体" w:cs="宋体"/>
          <w:b/>
          <w:szCs w:val="21"/>
        </w:rPr>
      </w:pPr>
    </w:p>
    <w:p>
      <w:pPr>
        <w:jc w:val="center"/>
        <w:rPr>
          <w:rFonts w:ascii="宋体" w:hAnsi="宋体" w:cs="宋体"/>
          <w:b/>
          <w:szCs w:val="21"/>
        </w:rPr>
      </w:pPr>
    </w:p>
    <w:p>
      <w:pPr>
        <w:jc w:val="center"/>
        <w:rPr>
          <w:rFonts w:ascii="宋体" w:hAnsi="宋体" w:cs="宋体"/>
          <w:b/>
          <w:szCs w:val="21"/>
        </w:rPr>
      </w:pPr>
    </w:p>
    <w:p>
      <w:pPr>
        <w:pStyle w:val="119"/>
        <w:numPr>
          <w:ilvl w:val="0"/>
          <w:numId w:val="3"/>
        </w:numPr>
        <w:ind w:firstLineChars="0"/>
        <w:rPr>
          <w:sz w:val="28"/>
          <w:szCs w:val="28"/>
        </w:rPr>
      </w:pPr>
      <w:r>
        <w:rPr>
          <w:rFonts w:hint="eastAsia"/>
          <w:sz w:val="28"/>
          <w:szCs w:val="28"/>
        </w:rPr>
        <w:t>人员要求</w:t>
      </w:r>
    </w:p>
    <w:p>
      <w:pPr>
        <w:jc w:val="center"/>
        <w:rPr>
          <w:rFonts w:ascii="宋体" w:hAnsi="宋体" w:cs="宋体"/>
          <w:b/>
          <w:szCs w:val="21"/>
        </w:rPr>
      </w:pPr>
    </w:p>
    <w:p>
      <w:r>
        <w:rPr>
          <w:rFonts w:hint="eastAsia" w:ascii="宋体" w:hAnsi="宋体" w:cs="宋体"/>
          <w:b/>
          <w:szCs w:val="21"/>
        </w:rPr>
        <w:t>（1）主要管理人员名单</w:t>
      </w:r>
    </w:p>
    <w:bookmarkEnd w:id="254"/>
    <w:bookmarkEnd w:id="255"/>
    <w:bookmarkEnd w:id="256"/>
    <w:bookmarkEnd w:id="257"/>
    <w:bookmarkEnd w:id="258"/>
    <w:bookmarkEnd w:id="259"/>
    <w:bookmarkEnd w:id="260"/>
    <w:bookmarkEnd w:id="261"/>
    <w:tbl>
      <w:tblPr>
        <w:tblStyle w:val="42"/>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296"/>
        <w:gridCol w:w="1213"/>
        <w:gridCol w:w="2277"/>
        <w:gridCol w:w="2328"/>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268" w:name="_Toc503951055"/>
            <w:bookmarkStart w:id="269" w:name="_Toc513633973"/>
            <w:bookmarkStart w:id="270" w:name="_Toc447827068"/>
            <w:r>
              <w:rPr>
                <w:rFonts w:hint="eastAsia" w:ascii="宋体" w:hAnsi="宋体" w:cs="宋体"/>
                <w:szCs w:val="21"/>
              </w:rPr>
              <w:t>序号</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29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项目经理</w:t>
            </w:r>
          </w:p>
        </w:tc>
        <w:tc>
          <w:tcPr>
            <w:tcW w:w="12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27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32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92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148"/>
        <w:adjustRightInd/>
        <w:spacing w:line="360" w:lineRule="auto"/>
        <w:rPr>
          <w:rFonts w:ascii="Times New Roman" w:hAnsi="宋体" w:cs="Times New Roman"/>
          <w:b/>
          <w:bCs/>
          <w:color w:val="auto"/>
          <w:sz w:val="21"/>
          <w:szCs w:val="21"/>
        </w:rPr>
      </w:pPr>
      <w:bookmarkStart w:id="271" w:name="_Toc11329281"/>
      <w:bookmarkStart w:id="272" w:name="_Toc11672"/>
      <w:r>
        <w:rPr>
          <w:rFonts w:hint="eastAsia" w:ascii="Times New Roman" w:hAnsi="宋体" w:cs="Times New Roman"/>
          <w:b/>
          <w:bCs/>
          <w:color w:val="auto"/>
          <w:sz w:val="21"/>
          <w:szCs w:val="21"/>
        </w:rPr>
        <w:t>注：需提供项目主要管理人员名单（表格形式），以上人员相关资质证件、身份证复印件及由社保局出具的报价人为以上人员缴纳近三个月的社保证明（带有社保部门公章或社保部门的有效电子印章），并加盖单位鲜公章。</w:t>
      </w:r>
    </w:p>
    <w:p>
      <w:pPr>
        <w:pStyle w:val="148"/>
        <w:adjustRightInd/>
        <w:spacing w:line="360" w:lineRule="auto"/>
        <w:rPr>
          <w:rFonts w:ascii="Times New Roman" w:hAnsi="宋体" w:cs="Times New Roman"/>
          <w:b/>
          <w:color w:val="auto"/>
          <w:sz w:val="21"/>
          <w:szCs w:val="21"/>
        </w:rPr>
      </w:pPr>
    </w:p>
    <w:p>
      <w:pPr>
        <w:pStyle w:val="148"/>
        <w:adjustRightInd/>
        <w:spacing w:line="360" w:lineRule="auto"/>
        <w:rPr>
          <w:rFonts w:ascii="Times New Roman" w:hAnsi="宋体" w:cs="Times New Roman"/>
          <w:b/>
          <w:color w:val="auto"/>
          <w:sz w:val="21"/>
          <w:szCs w:val="21"/>
        </w:rPr>
      </w:pPr>
      <w:r>
        <w:rPr>
          <w:rFonts w:hint="eastAsia" w:ascii="Times New Roman" w:hAnsi="宋体" w:cs="Times New Roman"/>
          <w:b/>
          <w:color w:val="auto"/>
          <w:sz w:val="21"/>
          <w:szCs w:val="21"/>
        </w:rPr>
        <w:t>项目主要管理人员证件照片：</w:t>
      </w:r>
    </w:p>
    <w:p>
      <w:pPr>
        <w:rPr>
          <w:rFonts w:ascii="宋体" w:hAnsi="宋体" w:cs="宋体"/>
          <w:b/>
          <w:szCs w:val="21"/>
        </w:rPr>
      </w:pPr>
    </w:p>
    <w:p>
      <w:pPr>
        <w:rPr>
          <w:rFonts w:ascii="宋体" w:hAnsi="宋体" w:cs="宋体"/>
          <w:b/>
          <w:szCs w:val="21"/>
          <w:highlight w:val="red"/>
        </w:rPr>
      </w:pPr>
    </w:p>
    <w:p>
      <w:pPr>
        <w:rPr>
          <w:rFonts w:ascii="宋体" w:hAnsi="宋体" w:cs="宋体"/>
          <w:b/>
          <w:szCs w:val="21"/>
          <w:highlight w:val="red"/>
        </w:rPr>
      </w:pPr>
    </w:p>
    <w:p>
      <w:pPr>
        <w:pStyle w:val="3"/>
        <w:spacing w:before="0" w:after="0" w:line="360" w:lineRule="auto"/>
        <w:jc w:val="center"/>
        <w:rPr>
          <w:rFonts w:ascii="宋体" w:hAnsi="宋体" w:eastAsia="宋体" w:cs="宋体"/>
          <w:sz w:val="28"/>
        </w:rPr>
      </w:pPr>
      <w:bookmarkStart w:id="273" w:name="_Toc11243"/>
      <w:bookmarkStart w:id="274" w:name="_Toc29559"/>
      <w:r>
        <w:rPr>
          <w:rFonts w:hint="eastAsia" w:ascii="宋体" w:hAnsi="宋体" w:eastAsia="宋体" w:cs="宋体"/>
          <w:sz w:val="28"/>
        </w:rPr>
        <w:t>五、</w:t>
      </w:r>
      <w:bookmarkEnd w:id="268"/>
      <w:bookmarkEnd w:id="269"/>
      <w:bookmarkEnd w:id="270"/>
      <w:r>
        <w:rPr>
          <w:rFonts w:hint="eastAsia" w:ascii="宋体" w:hAnsi="宋体" w:eastAsia="宋体" w:cs="宋体"/>
          <w:sz w:val="28"/>
        </w:rPr>
        <w:t>报价人须知前附表规定的材料</w:t>
      </w:r>
      <w:bookmarkEnd w:id="271"/>
      <w:bookmarkEnd w:id="272"/>
      <w:bookmarkEnd w:id="273"/>
      <w:bookmarkEnd w:id="274"/>
    </w:p>
    <w:p>
      <w:pPr>
        <w:pStyle w:val="2"/>
        <w:jc w:val="center"/>
        <w:rPr>
          <w:rFonts w:ascii="宋体" w:hAnsi="宋体" w:cs="宋体"/>
          <w:sz w:val="28"/>
        </w:rPr>
      </w:pPr>
      <w:bookmarkStart w:id="275" w:name="bookmark81"/>
      <w:bookmarkStart w:id="276" w:name="_Toc513633974"/>
      <w:bookmarkStart w:id="277" w:name="_Toc503951058"/>
      <w:r>
        <w:rPr>
          <w:rFonts w:hint="eastAsia" w:ascii="宋体" w:hAnsi="宋体" w:cs="宋体"/>
          <w:sz w:val="28"/>
        </w:rPr>
        <w:t>（一）</w:t>
      </w:r>
      <w:bookmarkEnd w:id="275"/>
      <w:bookmarkStart w:id="278" w:name="_Toc507681700"/>
      <w:bookmarkStart w:id="279" w:name="_Toc504639215"/>
      <w:bookmarkStart w:id="280" w:name="_Toc507681488"/>
      <w:r>
        <w:rPr>
          <w:rFonts w:hint="eastAsia" w:ascii="宋体" w:hAnsi="宋体" w:cs="宋体"/>
          <w:sz w:val="28"/>
        </w:rPr>
        <w:t>报价人自行承诺部分</w:t>
      </w:r>
      <w:bookmarkEnd w:id="278"/>
      <w:bookmarkEnd w:id="279"/>
      <w:bookmarkEnd w:id="280"/>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2"/>
        <w:jc w:val="center"/>
        <w:rPr>
          <w:rFonts w:ascii="宋体" w:hAnsi="宋体" w:cs="宋体"/>
          <w:sz w:val="28"/>
        </w:rPr>
      </w:pPr>
    </w:p>
    <w:p>
      <w:pPr>
        <w:pStyle w:val="2"/>
        <w:jc w:val="center"/>
        <w:rPr>
          <w:rFonts w:ascii="宋体" w:hAnsi="宋体" w:cs="宋体"/>
          <w:sz w:val="28"/>
        </w:rPr>
      </w:pPr>
    </w:p>
    <w:p>
      <w:pPr>
        <w:pStyle w:val="3"/>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2"/>
        <w:spacing w:before="0" w:after="0" w:line="360" w:lineRule="auto"/>
        <w:jc w:val="center"/>
        <w:rPr>
          <w:sz w:val="28"/>
          <w:szCs w:val="28"/>
        </w:rPr>
      </w:pPr>
      <w:bookmarkStart w:id="281" w:name="_Toc452107137"/>
      <w:bookmarkStart w:id="282" w:name="_Toc508110857"/>
      <w:bookmarkStart w:id="283" w:name="_Toc4375"/>
      <w:r>
        <w:rPr>
          <w:rFonts w:hint="eastAsia"/>
          <w:sz w:val="28"/>
          <w:szCs w:val="28"/>
        </w:rPr>
        <w:t>（一）报价人基本信息表</w:t>
      </w:r>
      <w:bookmarkEnd w:id="281"/>
      <w:bookmarkEnd w:id="282"/>
      <w:bookmarkEnd w:id="283"/>
    </w:p>
    <w:p>
      <w:pPr>
        <w:pStyle w:val="26"/>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报价人</w:t>
            </w:r>
          </w:p>
          <w:p>
            <w:pPr>
              <w:topLinePunct/>
              <w:spacing w:line="440" w:lineRule="exact"/>
              <w:jc w:val="center"/>
              <w:rPr>
                <w:rFonts w:ascii="宋体" w:hAnsi="宋体" w:cs="宋体"/>
                <w:szCs w:val="21"/>
              </w:rPr>
            </w:pPr>
            <w:r>
              <w:rPr>
                <w:rFonts w:hint="eastAsia" w:ascii="宋体" w:hAnsi="宋体" w:cs="宋体"/>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rPr>
            </w:pPr>
            <w:r>
              <w:rPr>
                <w:rFonts w:hint="eastAsia" w:ascii="宋体" w:hAnsi="宋体" w:cs="宋体"/>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szCs w:val="21"/>
              </w:rPr>
            </w:pPr>
            <w:r>
              <w:rPr>
                <w:rFonts w:hint="eastAsia" w:ascii="宋体" w:hAnsi="宋体" w:cs="宋体"/>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szCs w:val="21"/>
              </w:rPr>
            </w:pPr>
            <w:r>
              <w:rPr>
                <w:rFonts w:hint="eastAsia" w:ascii="宋体" w:hAnsi="宋体" w:cs="宋体"/>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szCs w:val="21"/>
              </w:rPr>
            </w:pPr>
          </w:p>
        </w:tc>
      </w:tr>
    </w:tbl>
    <w:p>
      <w:pPr>
        <w:pStyle w:val="2"/>
        <w:jc w:val="center"/>
        <w:rPr>
          <w:rFonts w:ascii="宋体" w:hAnsi="宋体" w:cs="宋体"/>
          <w:sz w:val="28"/>
        </w:rPr>
      </w:pPr>
      <w:r>
        <w:rPr>
          <w:rFonts w:hint="eastAsia" w:ascii="宋体" w:hAnsi="宋体" w:cs="宋体"/>
          <w:sz w:val="28"/>
        </w:rPr>
        <w:t>（二）其他材料</w:t>
      </w:r>
    </w:p>
    <w:p/>
    <w:p>
      <w:pPr>
        <w:keepNext/>
        <w:keepLines/>
        <w:spacing w:line="360" w:lineRule="auto"/>
        <w:jc w:val="center"/>
        <w:outlineLvl w:val="1"/>
        <w:rPr>
          <w:rFonts w:ascii="宋体" w:hAnsi="宋体" w:cs="宋体"/>
          <w:b/>
          <w:bCs/>
          <w:kern w:val="0"/>
          <w:sz w:val="28"/>
          <w:szCs w:val="32"/>
        </w:rPr>
      </w:pPr>
      <w:r>
        <w:rPr>
          <w:rFonts w:hint="eastAsia" w:ascii="宋体" w:hAnsi="宋体" w:cs="宋体"/>
          <w:b/>
          <w:bCs/>
          <w:kern w:val="0"/>
          <w:sz w:val="28"/>
          <w:szCs w:val="32"/>
        </w:rPr>
        <w:t xml:space="preserve"> </w:t>
      </w:r>
      <w:bookmarkEnd w:id="276"/>
      <w:bookmarkEnd w:id="277"/>
      <w:r>
        <w:rPr>
          <w:rFonts w:hint="eastAsia" w:ascii="宋体" w:hAnsi="宋体" w:cs="宋体"/>
          <w:b/>
          <w:bCs/>
          <w:kern w:val="0"/>
          <w:sz w:val="28"/>
          <w:szCs w:val="32"/>
        </w:rPr>
        <w:t>七、投标保证金转账凭证</w:t>
      </w:r>
    </w:p>
    <w:p>
      <w:pPr>
        <w:keepNext/>
        <w:keepLines/>
        <w:spacing w:line="360" w:lineRule="auto"/>
        <w:jc w:val="center"/>
        <w:outlineLvl w:val="1"/>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D4E8C8F-63B4-495F-AA02-6C80F65BBDE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0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embedRegular r:id="rId2" w:fontKey="{12C7DCFA-E48A-451F-8D79-DD1C5E8548B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6"/>
      </w:rPr>
    </w:pPr>
    <w:r>
      <w:fldChar w:fldCharType="begin"/>
    </w:r>
    <w:r>
      <w:rPr>
        <w:rStyle w:val="46"/>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25</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8</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10</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30</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6"/>
                            </w:rPr>
                          </w:pPr>
                          <w:r>
                            <w:fldChar w:fldCharType="begin"/>
                          </w:r>
                          <w:r>
                            <w:rPr>
                              <w:rStyle w:val="46"/>
                            </w:rPr>
                            <w:instrText xml:space="preserve">PAGE  </w:instrText>
                          </w:r>
                          <w:r>
                            <w:fldChar w:fldCharType="separate"/>
                          </w:r>
                          <w:r>
                            <w:rPr>
                              <w:rStyle w:val="46"/>
                            </w:rPr>
                            <w:t>37</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6"/>
                      </w:rPr>
                    </w:pPr>
                    <w:r>
                      <w:fldChar w:fldCharType="begin"/>
                    </w:r>
                    <w:r>
                      <w:rPr>
                        <w:rStyle w:val="46"/>
                      </w:rPr>
                      <w:instrText xml:space="preserve">PAGE  </w:instrText>
                    </w:r>
                    <w:r>
                      <w:fldChar w:fldCharType="separate"/>
                    </w:r>
                    <w:r>
                      <w:rPr>
                        <w:rStyle w:val="46"/>
                      </w:rPr>
                      <w:t>37</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3871CE1D"/>
    <w:multiLevelType w:val="singleLevel"/>
    <w:tmpl w:val="3871CE1D"/>
    <w:lvl w:ilvl="0" w:tentative="0">
      <w:start w:val="1"/>
      <w:numFmt w:val="chineseCounting"/>
      <w:suff w:val="nothing"/>
      <w:lvlText w:val="%1、"/>
      <w:lvlJc w:val="left"/>
      <w:rPr>
        <w:rFonts w:hint="eastAsia"/>
      </w:rPr>
    </w:lvl>
  </w:abstractNum>
  <w:abstractNum w:abstractNumId="2">
    <w:nsid w:val="5E2C7F43"/>
    <w:multiLevelType w:val="multilevel"/>
    <w:tmpl w:val="5E2C7F4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30"/>
  <w:embedTrueTypeFonts/>
  <w:saveSubsetFonts/>
  <w:bordersDoNotSurroundHeader w:val="1"/>
  <w:bordersDoNotSurroundFooter w:val="1"/>
  <w:doNotTrackMoves/>
  <w:documentProtection w:enforcement="0"/>
  <w:defaultTabStop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GQ2MzZhMTI3NjYxM2Q1MjJlYTIxNmU5NTE5ZDg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6BD"/>
    <w:rsid w:val="0009781C"/>
    <w:rsid w:val="000A18D6"/>
    <w:rsid w:val="000A1E4C"/>
    <w:rsid w:val="000A2296"/>
    <w:rsid w:val="000A31DB"/>
    <w:rsid w:val="000A32A6"/>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382A"/>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698F"/>
    <w:rsid w:val="00287A1A"/>
    <w:rsid w:val="0029648C"/>
    <w:rsid w:val="002966A3"/>
    <w:rsid w:val="00296F6F"/>
    <w:rsid w:val="00297D35"/>
    <w:rsid w:val="002A0370"/>
    <w:rsid w:val="002A055F"/>
    <w:rsid w:val="002A2803"/>
    <w:rsid w:val="002A4245"/>
    <w:rsid w:val="002A59E2"/>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4E5"/>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4D8A"/>
    <w:rsid w:val="003668C2"/>
    <w:rsid w:val="00367182"/>
    <w:rsid w:val="0037709D"/>
    <w:rsid w:val="00380543"/>
    <w:rsid w:val="00383AFE"/>
    <w:rsid w:val="00384108"/>
    <w:rsid w:val="00384E9A"/>
    <w:rsid w:val="003856B3"/>
    <w:rsid w:val="003858BE"/>
    <w:rsid w:val="003859B8"/>
    <w:rsid w:val="0039099F"/>
    <w:rsid w:val="00397134"/>
    <w:rsid w:val="003A063A"/>
    <w:rsid w:val="003A30CF"/>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4A7"/>
    <w:rsid w:val="003F098D"/>
    <w:rsid w:val="003F1C45"/>
    <w:rsid w:val="003F1F45"/>
    <w:rsid w:val="003F34F8"/>
    <w:rsid w:val="003F6AEE"/>
    <w:rsid w:val="003F7927"/>
    <w:rsid w:val="003F7A0C"/>
    <w:rsid w:val="003F7C2F"/>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56FD1"/>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376E"/>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35712"/>
    <w:rsid w:val="00640A2B"/>
    <w:rsid w:val="006410AE"/>
    <w:rsid w:val="00641DDB"/>
    <w:rsid w:val="00645AA4"/>
    <w:rsid w:val="0064614C"/>
    <w:rsid w:val="006501D9"/>
    <w:rsid w:val="0065343F"/>
    <w:rsid w:val="00656D56"/>
    <w:rsid w:val="00662461"/>
    <w:rsid w:val="00663C2A"/>
    <w:rsid w:val="00664ABD"/>
    <w:rsid w:val="00672863"/>
    <w:rsid w:val="0067333E"/>
    <w:rsid w:val="00674008"/>
    <w:rsid w:val="006747F2"/>
    <w:rsid w:val="00674A85"/>
    <w:rsid w:val="0067739E"/>
    <w:rsid w:val="00677827"/>
    <w:rsid w:val="00680AC1"/>
    <w:rsid w:val="00681547"/>
    <w:rsid w:val="00681630"/>
    <w:rsid w:val="00682C95"/>
    <w:rsid w:val="00685B7E"/>
    <w:rsid w:val="00685D10"/>
    <w:rsid w:val="00691F63"/>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D792B"/>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1425"/>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212E"/>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508"/>
    <w:rsid w:val="00905B3A"/>
    <w:rsid w:val="00907866"/>
    <w:rsid w:val="00916B64"/>
    <w:rsid w:val="00920C99"/>
    <w:rsid w:val="009235DC"/>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5F5E"/>
    <w:rsid w:val="009967E9"/>
    <w:rsid w:val="00997538"/>
    <w:rsid w:val="009A2809"/>
    <w:rsid w:val="009A2EF8"/>
    <w:rsid w:val="009A4256"/>
    <w:rsid w:val="009B2BC0"/>
    <w:rsid w:val="009B6B7C"/>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3830"/>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77"/>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6236"/>
    <w:rsid w:val="00AE7FF3"/>
    <w:rsid w:val="00AF1740"/>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5E36"/>
    <w:rsid w:val="00C364DD"/>
    <w:rsid w:val="00C37792"/>
    <w:rsid w:val="00C415BC"/>
    <w:rsid w:val="00C44E2D"/>
    <w:rsid w:val="00C46B60"/>
    <w:rsid w:val="00C474B2"/>
    <w:rsid w:val="00C563B6"/>
    <w:rsid w:val="00C57B8C"/>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1F7E"/>
    <w:rsid w:val="00D230C6"/>
    <w:rsid w:val="00D2649C"/>
    <w:rsid w:val="00D273BE"/>
    <w:rsid w:val="00D3252E"/>
    <w:rsid w:val="00D32643"/>
    <w:rsid w:val="00D3367B"/>
    <w:rsid w:val="00D37D3B"/>
    <w:rsid w:val="00D60678"/>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0C19"/>
    <w:rsid w:val="00E23505"/>
    <w:rsid w:val="00E24890"/>
    <w:rsid w:val="00E26737"/>
    <w:rsid w:val="00E30BDB"/>
    <w:rsid w:val="00E31C2F"/>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56C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6643"/>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BB74E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0F0413"/>
    <w:rsid w:val="052E2B3B"/>
    <w:rsid w:val="054416D2"/>
    <w:rsid w:val="054B05E2"/>
    <w:rsid w:val="05507F0F"/>
    <w:rsid w:val="057E5F0D"/>
    <w:rsid w:val="05871A0A"/>
    <w:rsid w:val="05A42E7B"/>
    <w:rsid w:val="05A70EA9"/>
    <w:rsid w:val="05D55D36"/>
    <w:rsid w:val="05EF03F3"/>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633686"/>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0E3A62"/>
    <w:rsid w:val="0B1061C6"/>
    <w:rsid w:val="0B2B08D5"/>
    <w:rsid w:val="0BA35012"/>
    <w:rsid w:val="0BB825ED"/>
    <w:rsid w:val="0BC0647C"/>
    <w:rsid w:val="0BD7624B"/>
    <w:rsid w:val="0BF26817"/>
    <w:rsid w:val="0C22464A"/>
    <w:rsid w:val="0C2B72AE"/>
    <w:rsid w:val="0C623EAC"/>
    <w:rsid w:val="0C946488"/>
    <w:rsid w:val="0CA339DF"/>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8C445B"/>
    <w:rsid w:val="0F90531D"/>
    <w:rsid w:val="0F9992A5"/>
    <w:rsid w:val="0FAD64B5"/>
    <w:rsid w:val="0FB21FD4"/>
    <w:rsid w:val="0FFF5930"/>
    <w:rsid w:val="107A0603"/>
    <w:rsid w:val="10A265EF"/>
    <w:rsid w:val="10EC4A0F"/>
    <w:rsid w:val="11156FC6"/>
    <w:rsid w:val="11485B0D"/>
    <w:rsid w:val="114C7209"/>
    <w:rsid w:val="1154158B"/>
    <w:rsid w:val="117076B2"/>
    <w:rsid w:val="119E6579"/>
    <w:rsid w:val="11D435DD"/>
    <w:rsid w:val="11DA3C43"/>
    <w:rsid w:val="11DB3F4B"/>
    <w:rsid w:val="11FD0857"/>
    <w:rsid w:val="1220326C"/>
    <w:rsid w:val="123A67B6"/>
    <w:rsid w:val="125670E6"/>
    <w:rsid w:val="125E1A9C"/>
    <w:rsid w:val="1276289F"/>
    <w:rsid w:val="1288522D"/>
    <w:rsid w:val="12973CBF"/>
    <w:rsid w:val="129D6A95"/>
    <w:rsid w:val="12AF4046"/>
    <w:rsid w:val="12BB2799"/>
    <w:rsid w:val="12CE506D"/>
    <w:rsid w:val="12EF7191"/>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4D71FA"/>
    <w:rsid w:val="15507C7E"/>
    <w:rsid w:val="15664AEF"/>
    <w:rsid w:val="158E23E1"/>
    <w:rsid w:val="159D7EA6"/>
    <w:rsid w:val="159F1BF9"/>
    <w:rsid w:val="15B71B1D"/>
    <w:rsid w:val="15E63361"/>
    <w:rsid w:val="160B0227"/>
    <w:rsid w:val="16652508"/>
    <w:rsid w:val="16864176"/>
    <w:rsid w:val="16E04880"/>
    <w:rsid w:val="16F23217"/>
    <w:rsid w:val="16F86032"/>
    <w:rsid w:val="17081A7A"/>
    <w:rsid w:val="17292C0C"/>
    <w:rsid w:val="176F50FE"/>
    <w:rsid w:val="17D10049"/>
    <w:rsid w:val="17DD0B49"/>
    <w:rsid w:val="17F1563C"/>
    <w:rsid w:val="17F23C73"/>
    <w:rsid w:val="180C34DF"/>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44F38"/>
    <w:rsid w:val="1D9F1A69"/>
    <w:rsid w:val="1DE41480"/>
    <w:rsid w:val="1E2139B7"/>
    <w:rsid w:val="1E7A14A8"/>
    <w:rsid w:val="1E7F32B0"/>
    <w:rsid w:val="1EBA058B"/>
    <w:rsid w:val="1EBB62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86988"/>
    <w:rsid w:val="20DE5531"/>
    <w:rsid w:val="20E1180E"/>
    <w:rsid w:val="20EA6084"/>
    <w:rsid w:val="20F01139"/>
    <w:rsid w:val="20F1461D"/>
    <w:rsid w:val="212B522B"/>
    <w:rsid w:val="21736537"/>
    <w:rsid w:val="217A1085"/>
    <w:rsid w:val="21977807"/>
    <w:rsid w:val="219A6D4B"/>
    <w:rsid w:val="21C2735E"/>
    <w:rsid w:val="21E57FA3"/>
    <w:rsid w:val="21FB5A74"/>
    <w:rsid w:val="226827C0"/>
    <w:rsid w:val="227C6EFF"/>
    <w:rsid w:val="22942795"/>
    <w:rsid w:val="22A10D06"/>
    <w:rsid w:val="22B665A5"/>
    <w:rsid w:val="22C925E0"/>
    <w:rsid w:val="22D02061"/>
    <w:rsid w:val="22E46F4A"/>
    <w:rsid w:val="22F20159"/>
    <w:rsid w:val="23005537"/>
    <w:rsid w:val="233C2C53"/>
    <w:rsid w:val="23486890"/>
    <w:rsid w:val="236F1F61"/>
    <w:rsid w:val="2392227D"/>
    <w:rsid w:val="23AB4CDF"/>
    <w:rsid w:val="23B17551"/>
    <w:rsid w:val="23C37A75"/>
    <w:rsid w:val="24220F3E"/>
    <w:rsid w:val="2423604B"/>
    <w:rsid w:val="243A3F7E"/>
    <w:rsid w:val="24436391"/>
    <w:rsid w:val="2450121E"/>
    <w:rsid w:val="2487622C"/>
    <w:rsid w:val="24973094"/>
    <w:rsid w:val="24AD6D9A"/>
    <w:rsid w:val="251418FC"/>
    <w:rsid w:val="252E0BC1"/>
    <w:rsid w:val="25A845B3"/>
    <w:rsid w:val="25C5358D"/>
    <w:rsid w:val="25EB71B7"/>
    <w:rsid w:val="26154215"/>
    <w:rsid w:val="261A0BE6"/>
    <w:rsid w:val="263C7691"/>
    <w:rsid w:val="265E2776"/>
    <w:rsid w:val="26666FDC"/>
    <w:rsid w:val="26AB763C"/>
    <w:rsid w:val="26B267E7"/>
    <w:rsid w:val="26F131DC"/>
    <w:rsid w:val="26F65310"/>
    <w:rsid w:val="27052D05"/>
    <w:rsid w:val="27082804"/>
    <w:rsid w:val="270832AE"/>
    <w:rsid w:val="27357F9F"/>
    <w:rsid w:val="27517215"/>
    <w:rsid w:val="27A4553F"/>
    <w:rsid w:val="27D35135"/>
    <w:rsid w:val="27EF1935"/>
    <w:rsid w:val="280A1B75"/>
    <w:rsid w:val="283962F8"/>
    <w:rsid w:val="284F363F"/>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5C0944"/>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9177E"/>
    <w:rsid w:val="30CB1C83"/>
    <w:rsid w:val="30ED2830"/>
    <w:rsid w:val="316B2857"/>
    <w:rsid w:val="31832D29"/>
    <w:rsid w:val="319D5339"/>
    <w:rsid w:val="319F2F47"/>
    <w:rsid w:val="31AA2FC5"/>
    <w:rsid w:val="31B514CB"/>
    <w:rsid w:val="31D20CDE"/>
    <w:rsid w:val="31F37E23"/>
    <w:rsid w:val="31FE689A"/>
    <w:rsid w:val="32223DC6"/>
    <w:rsid w:val="325A02A1"/>
    <w:rsid w:val="329032EF"/>
    <w:rsid w:val="329970EF"/>
    <w:rsid w:val="32B35AAA"/>
    <w:rsid w:val="33135210"/>
    <w:rsid w:val="3326373F"/>
    <w:rsid w:val="33384945"/>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ED793B"/>
    <w:rsid w:val="35F84740"/>
    <w:rsid w:val="36383125"/>
    <w:rsid w:val="366C082D"/>
    <w:rsid w:val="368C388A"/>
    <w:rsid w:val="36C90DD1"/>
    <w:rsid w:val="374634AB"/>
    <w:rsid w:val="37704489"/>
    <w:rsid w:val="37710026"/>
    <w:rsid w:val="379136F3"/>
    <w:rsid w:val="37925427"/>
    <w:rsid w:val="37A55DCC"/>
    <w:rsid w:val="37CA04FF"/>
    <w:rsid w:val="37D30771"/>
    <w:rsid w:val="37EC0BB8"/>
    <w:rsid w:val="381F4CF2"/>
    <w:rsid w:val="394C68A5"/>
    <w:rsid w:val="395E479A"/>
    <w:rsid w:val="39675804"/>
    <w:rsid w:val="39A36C2D"/>
    <w:rsid w:val="39AA29B9"/>
    <w:rsid w:val="39E71AEC"/>
    <w:rsid w:val="39F44455"/>
    <w:rsid w:val="39F60058"/>
    <w:rsid w:val="3A104089"/>
    <w:rsid w:val="3A105164"/>
    <w:rsid w:val="3A8217DE"/>
    <w:rsid w:val="3A822B01"/>
    <w:rsid w:val="3AB8426E"/>
    <w:rsid w:val="3ACF765C"/>
    <w:rsid w:val="3AD278CD"/>
    <w:rsid w:val="3AFA4BE5"/>
    <w:rsid w:val="3B2A44B8"/>
    <w:rsid w:val="3B2B6476"/>
    <w:rsid w:val="3BBC038E"/>
    <w:rsid w:val="3BFE3F02"/>
    <w:rsid w:val="3C2972FD"/>
    <w:rsid w:val="3C5B4444"/>
    <w:rsid w:val="3C852047"/>
    <w:rsid w:val="3CA13116"/>
    <w:rsid w:val="3CA925AE"/>
    <w:rsid w:val="3CF877AB"/>
    <w:rsid w:val="3D2131D7"/>
    <w:rsid w:val="3D306CB2"/>
    <w:rsid w:val="3D32729D"/>
    <w:rsid w:val="3D485E54"/>
    <w:rsid w:val="3D667959"/>
    <w:rsid w:val="3D7FD3B5"/>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B473E0"/>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E45CFA"/>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7E23E60"/>
    <w:rsid w:val="48037A8A"/>
    <w:rsid w:val="48377D23"/>
    <w:rsid w:val="486634EE"/>
    <w:rsid w:val="48807890"/>
    <w:rsid w:val="489D72F5"/>
    <w:rsid w:val="48A64B98"/>
    <w:rsid w:val="48BC156D"/>
    <w:rsid w:val="48F765BE"/>
    <w:rsid w:val="490445F2"/>
    <w:rsid w:val="49320F23"/>
    <w:rsid w:val="49B90457"/>
    <w:rsid w:val="49DC59C6"/>
    <w:rsid w:val="49DD73AE"/>
    <w:rsid w:val="49E12961"/>
    <w:rsid w:val="49F95BD6"/>
    <w:rsid w:val="4AA73240"/>
    <w:rsid w:val="4AB72272"/>
    <w:rsid w:val="4AD703A4"/>
    <w:rsid w:val="4B305E1B"/>
    <w:rsid w:val="4BB92D8E"/>
    <w:rsid w:val="4BD07B58"/>
    <w:rsid w:val="4BE87BA5"/>
    <w:rsid w:val="4C3176AB"/>
    <w:rsid w:val="4C415DC1"/>
    <w:rsid w:val="4C6E278E"/>
    <w:rsid w:val="4CFF538B"/>
    <w:rsid w:val="4D4D7800"/>
    <w:rsid w:val="4D7251FF"/>
    <w:rsid w:val="4DE50C0B"/>
    <w:rsid w:val="4E11105D"/>
    <w:rsid w:val="4E16225A"/>
    <w:rsid w:val="4E253AB8"/>
    <w:rsid w:val="4E472C92"/>
    <w:rsid w:val="4E614802"/>
    <w:rsid w:val="4E824D97"/>
    <w:rsid w:val="4E9D5C2D"/>
    <w:rsid w:val="4EBA57C1"/>
    <w:rsid w:val="4F047E0A"/>
    <w:rsid w:val="4F477F24"/>
    <w:rsid w:val="4FA91AAC"/>
    <w:rsid w:val="4FBD0FF5"/>
    <w:rsid w:val="4FC854D7"/>
    <w:rsid w:val="50142DE1"/>
    <w:rsid w:val="5015687B"/>
    <w:rsid w:val="501926CA"/>
    <w:rsid w:val="503109FF"/>
    <w:rsid w:val="505E3D68"/>
    <w:rsid w:val="50737957"/>
    <w:rsid w:val="50D13748"/>
    <w:rsid w:val="516A440A"/>
    <w:rsid w:val="5190495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054E56"/>
    <w:rsid w:val="57212B27"/>
    <w:rsid w:val="572809C2"/>
    <w:rsid w:val="57480C4D"/>
    <w:rsid w:val="574C27F3"/>
    <w:rsid w:val="57895A45"/>
    <w:rsid w:val="57C5313B"/>
    <w:rsid w:val="57D807D4"/>
    <w:rsid w:val="57EA7969"/>
    <w:rsid w:val="57F740F4"/>
    <w:rsid w:val="57FA3D86"/>
    <w:rsid w:val="580B63A1"/>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AFC63D"/>
    <w:rsid w:val="5BB57082"/>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7B5F87"/>
    <w:rsid w:val="5DC25C67"/>
    <w:rsid w:val="5DD97571"/>
    <w:rsid w:val="5E2F58D3"/>
    <w:rsid w:val="5E5A06FD"/>
    <w:rsid w:val="5E9342EC"/>
    <w:rsid w:val="5EA27CF7"/>
    <w:rsid w:val="5EBC3C1E"/>
    <w:rsid w:val="5ED57321"/>
    <w:rsid w:val="5F3815EE"/>
    <w:rsid w:val="5F5C32D6"/>
    <w:rsid w:val="5FB10E83"/>
    <w:rsid w:val="600E788A"/>
    <w:rsid w:val="60296056"/>
    <w:rsid w:val="604130CF"/>
    <w:rsid w:val="60663C94"/>
    <w:rsid w:val="60794FD4"/>
    <w:rsid w:val="60814FEF"/>
    <w:rsid w:val="60AE4E89"/>
    <w:rsid w:val="60C36E6E"/>
    <w:rsid w:val="60D32F5A"/>
    <w:rsid w:val="610E2B4C"/>
    <w:rsid w:val="619945D7"/>
    <w:rsid w:val="61C24BFD"/>
    <w:rsid w:val="61DE43D4"/>
    <w:rsid w:val="61E06967"/>
    <w:rsid w:val="61ED083B"/>
    <w:rsid w:val="624216A0"/>
    <w:rsid w:val="626343A0"/>
    <w:rsid w:val="626736F9"/>
    <w:rsid w:val="626B4082"/>
    <w:rsid w:val="626B6B00"/>
    <w:rsid w:val="627B5B4D"/>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7E0B59"/>
    <w:rsid w:val="65F66C79"/>
    <w:rsid w:val="660447CA"/>
    <w:rsid w:val="665622BC"/>
    <w:rsid w:val="66653739"/>
    <w:rsid w:val="666C4EE6"/>
    <w:rsid w:val="66792487"/>
    <w:rsid w:val="66FB0FDC"/>
    <w:rsid w:val="66FC5AFF"/>
    <w:rsid w:val="6709462E"/>
    <w:rsid w:val="6777196F"/>
    <w:rsid w:val="678A1ED0"/>
    <w:rsid w:val="67AB61F8"/>
    <w:rsid w:val="67BA7741"/>
    <w:rsid w:val="67E6170C"/>
    <w:rsid w:val="67FB9E67"/>
    <w:rsid w:val="680D0CA5"/>
    <w:rsid w:val="68A45648"/>
    <w:rsid w:val="68A5668C"/>
    <w:rsid w:val="68D27297"/>
    <w:rsid w:val="6911241F"/>
    <w:rsid w:val="69B67115"/>
    <w:rsid w:val="69B82DF4"/>
    <w:rsid w:val="69EF53B4"/>
    <w:rsid w:val="6A126DD2"/>
    <w:rsid w:val="6A420E56"/>
    <w:rsid w:val="6A924E32"/>
    <w:rsid w:val="6A94008C"/>
    <w:rsid w:val="6AC635A8"/>
    <w:rsid w:val="6AE60947"/>
    <w:rsid w:val="6AEF6EB8"/>
    <w:rsid w:val="6AFA3A25"/>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EFAE68C"/>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5E36CE"/>
    <w:rsid w:val="73D73D11"/>
    <w:rsid w:val="744975DD"/>
    <w:rsid w:val="746920A5"/>
    <w:rsid w:val="74CB1EDB"/>
    <w:rsid w:val="74DE73F5"/>
    <w:rsid w:val="751E77AF"/>
    <w:rsid w:val="75D07F8B"/>
    <w:rsid w:val="75EE5669"/>
    <w:rsid w:val="76957051"/>
    <w:rsid w:val="76BD4232"/>
    <w:rsid w:val="76C10199"/>
    <w:rsid w:val="76C57BCB"/>
    <w:rsid w:val="76F927CD"/>
    <w:rsid w:val="773B2934"/>
    <w:rsid w:val="773E064E"/>
    <w:rsid w:val="774E1211"/>
    <w:rsid w:val="777B71D8"/>
    <w:rsid w:val="778A6ACC"/>
    <w:rsid w:val="77A54D53"/>
    <w:rsid w:val="77D75F2B"/>
    <w:rsid w:val="77FC6767"/>
    <w:rsid w:val="781A0BEC"/>
    <w:rsid w:val="78202415"/>
    <w:rsid w:val="78213FC9"/>
    <w:rsid w:val="78701D9C"/>
    <w:rsid w:val="78FA0671"/>
    <w:rsid w:val="793A634F"/>
    <w:rsid w:val="798635EB"/>
    <w:rsid w:val="798862DA"/>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3B4809"/>
    <w:rsid w:val="7C5728ED"/>
    <w:rsid w:val="7C670107"/>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 w:val="BFC664F5"/>
    <w:rsid w:val="D5DCB5C1"/>
    <w:rsid w:val="DDB9A2AA"/>
    <w:rsid w:val="FF6FBB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2">
    <w:name w:val="heading 3"/>
    <w:basedOn w:val="3"/>
    <w:next w:val="1"/>
    <w:link w:val="169"/>
    <w:qFormat/>
    <w:uiPriority w:val="0"/>
    <w:pPr>
      <w:outlineLvl w:val="2"/>
    </w:pPr>
  </w:style>
  <w:style w:type="paragraph" w:styleId="5">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6">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7">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8">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9">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39"/>
    <w:pPr>
      <w:ind w:left="1260"/>
      <w:jc w:val="left"/>
    </w:pPr>
    <w:rPr>
      <w:rFonts w:ascii="Calibri" w:hAnsi="Calibri"/>
      <w:sz w:val="18"/>
      <w:szCs w:val="18"/>
    </w:rPr>
  </w:style>
  <w:style w:type="paragraph" w:styleId="11">
    <w:name w:val="table of authorities"/>
    <w:basedOn w:val="1"/>
    <w:next w:val="1"/>
    <w:qFormat/>
    <w:uiPriority w:val="99"/>
    <w:pPr>
      <w:ind w:left="420" w:leftChars="200"/>
    </w:pPr>
  </w:style>
  <w:style w:type="paragraph" w:styleId="12">
    <w:name w:val="Normal Indent"/>
    <w:basedOn w:val="1"/>
    <w:link w:val="67"/>
    <w:qFormat/>
    <w:uiPriority w:val="0"/>
    <w:pPr>
      <w:ind w:firstLine="420" w:firstLineChars="200"/>
    </w:pPr>
  </w:style>
  <w:style w:type="paragraph" w:styleId="13">
    <w:name w:val="Document Map"/>
    <w:basedOn w:val="1"/>
    <w:link w:val="74"/>
    <w:qFormat/>
    <w:uiPriority w:val="0"/>
    <w:pPr>
      <w:shd w:val="clear" w:color="auto" w:fill="000080"/>
    </w:pPr>
    <w:rPr>
      <w:kern w:val="0"/>
      <w:sz w:val="20"/>
    </w:rPr>
  </w:style>
  <w:style w:type="paragraph" w:styleId="14">
    <w:name w:val="annotation text"/>
    <w:basedOn w:val="1"/>
    <w:link w:val="56"/>
    <w:unhideWhenUsed/>
    <w:qFormat/>
    <w:uiPriority w:val="99"/>
    <w:pPr>
      <w:jc w:val="left"/>
    </w:pPr>
    <w:rPr>
      <w:kern w:val="0"/>
      <w:sz w:val="20"/>
    </w:rPr>
  </w:style>
  <w:style w:type="paragraph" w:styleId="15">
    <w:name w:val="Body Text 3"/>
    <w:basedOn w:val="1"/>
    <w:link w:val="60"/>
    <w:qFormat/>
    <w:uiPriority w:val="0"/>
    <w:rPr>
      <w:rFonts w:ascii="宋体"/>
      <w:kern w:val="0"/>
      <w:sz w:val="24"/>
      <w:szCs w:val="20"/>
    </w:rPr>
  </w:style>
  <w:style w:type="paragraph" w:styleId="16">
    <w:name w:val="Body Text"/>
    <w:basedOn w:val="1"/>
    <w:next w:val="1"/>
    <w:link w:val="63"/>
    <w:qFormat/>
    <w:uiPriority w:val="0"/>
    <w:pPr>
      <w:spacing w:after="120"/>
    </w:pPr>
    <w:rPr>
      <w:kern w:val="0"/>
      <w:sz w:val="20"/>
    </w:rPr>
  </w:style>
  <w:style w:type="paragraph" w:styleId="17">
    <w:name w:val="Body Text Indent"/>
    <w:basedOn w:val="1"/>
    <w:link w:val="73"/>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6"/>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0"/>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8"/>
    <w:qFormat/>
    <w:uiPriority w:val="0"/>
    <w:rPr>
      <w:kern w:val="0"/>
      <w:sz w:val="18"/>
      <w:szCs w:val="18"/>
    </w:rPr>
  </w:style>
  <w:style w:type="paragraph" w:styleId="26">
    <w:name w:val="footer"/>
    <w:basedOn w:val="1"/>
    <w:link w:val="92"/>
    <w:qFormat/>
    <w:uiPriority w:val="99"/>
    <w:pPr>
      <w:tabs>
        <w:tab w:val="center" w:pos="4153"/>
        <w:tab w:val="right" w:pos="8306"/>
      </w:tabs>
      <w:snapToGrid w:val="0"/>
      <w:jc w:val="left"/>
    </w:pPr>
    <w:rPr>
      <w:kern w:val="0"/>
      <w:sz w:val="18"/>
      <w:szCs w:val="18"/>
    </w:rPr>
  </w:style>
  <w:style w:type="paragraph" w:styleId="27">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4"/>
    <w:next w:val="14"/>
    <w:link w:val="66"/>
    <w:qFormat/>
    <w:uiPriority w:val="0"/>
    <w:rPr>
      <w:b/>
      <w:bCs/>
    </w:rPr>
  </w:style>
  <w:style w:type="paragraph" w:styleId="41">
    <w:name w:val="Body Text First Indent"/>
    <w:basedOn w:val="16"/>
    <w:qFormat/>
    <w:uiPriority w:val="0"/>
    <w:pPr>
      <w:adjustRightInd w:val="0"/>
      <w:spacing w:line="275" w:lineRule="atLeast"/>
      <w:ind w:firstLine="420"/>
      <w:textAlignment w:val="baseline"/>
    </w:pPr>
    <w:rPr>
      <w:rFonts w:ascii="宋体" w:eastAsia="楷体_GB2312"/>
      <w:sz w:val="24"/>
      <w:szCs w:val="20"/>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basedOn w:val="44"/>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qFormat/>
    <w:uiPriority w:val="0"/>
    <w:rPr>
      <w:rFonts w:ascii="Times New Roman" w:hAnsi="Times New Roman" w:eastAsia="宋体" w:cs="Times New Roman"/>
      <w:b/>
      <w:bCs/>
      <w:sz w:val="32"/>
      <w:szCs w:val="32"/>
    </w:rPr>
  </w:style>
  <w:style w:type="character" w:customStyle="1" w:styleId="56">
    <w:name w:val="批注文字 字符"/>
    <w:link w:val="14"/>
    <w:semiHidden/>
    <w:qFormat/>
    <w:uiPriority w:val="99"/>
    <w:rPr>
      <w:rFonts w:ascii="Times New Roman" w:hAnsi="Times New Roman" w:eastAsia="宋体" w:cs="Times New Roman"/>
      <w:szCs w:val="24"/>
    </w:rPr>
  </w:style>
  <w:style w:type="character" w:customStyle="1" w:styleId="57">
    <w:name w:val="标题 6 字符"/>
    <w:link w:val="6"/>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5"/>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6"/>
    <w:qFormat/>
    <w:uiPriority w:val="0"/>
    <w:rPr>
      <w:rFonts w:eastAsia="宋体"/>
      <w:szCs w:val="24"/>
    </w:rPr>
  </w:style>
  <w:style w:type="character" w:customStyle="1" w:styleId="64">
    <w:name w:val="脚注文本 字符"/>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0"/>
    <w:qFormat/>
    <w:uiPriority w:val="0"/>
    <w:rPr>
      <w:rFonts w:ascii="Times New Roman" w:hAnsi="Times New Roman" w:eastAsia="宋体" w:cs="Times New Roman"/>
      <w:b/>
      <w:bCs/>
      <w:szCs w:val="24"/>
    </w:rPr>
  </w:style>
  <w:style w:type="character" w:customStyle="1" w:styleId="67">
    <w:name w:val="正文缩进 字符"/>
    <w:link w:val="12"/>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7"/>
    <w:qFormat/>
    <w:uiPriority w:val="0"/>
    <w:rPr>
      <w:rFonts w:ascii="Times New Roman" w:hAnsi="Times New Roman" w:eastAsia="宋体" w:cs="Times New Roman"/>
      <w:sz w:val="18"/>
      <w:szCs w:val="18"/>
    </w:rPr>
  </w:style>
  <w:style w:type="character" w:customStyle="1" w:styleId="71">
    <w:name w:val="标题 9 字符"/>
    <w:link w:val="9"/>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7"/>
    <w:qFormat/>
    <w:uiPriority w:val="0"/>
    <w:rPr>
      <w:szCs w:val="24"/>
    </w:rPr>
  </w:style>
  <w:style w:type="character" w:customStyle="1" w:styleId="74">
    <w:name w:val="文档结构图 字符"/>
    <w:link w:val="13"/>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3"/>
    <w:qFormat/>
    <w:uiPriority w:val="0"/>
    <w:rPr>
      <w:rFonts w:ascii="Arial" w:hAnsi="Arial" w:eastAsia="黑体" w:cs="Times New Roman"/>
      <w:b/>
      <w:bCs/>
      <w:sz w:val="32"/>
      <w:szCs w:val="32"/>
    </w:rPr>
  </w:style>
  <w:style w:type="character" w:customStyle="1" w:styleId="77">
    <w:name w:val="标题 字符"/>
    <w:link w:val="39"/>
    <w:qFormat/>
    <w:uiPriority w:val="0"/>
    <w:rPr>
      <w:rFonts w:ascii="Arial" w:hAnsi="Arial"/>
      <w:b/>
      <w:sz w:val="32"/>
    </w:rPr>
  </w:style>
  <w:style w:type="character" w:customStyle="1" w:styleId="78">
    <w:name w:val="批注框文本 字符"/>
    <w:link w:val="25"/>
    <w:qFormat/>
    <w:uiPriority w:val="0"/>
    <w:rPr>
      <w:rFonts w:ascii="Times New Roman" w:hAnsi="Times New Roman" w:eastAsia="宋体" w:cs="Times New Roman"/>
      <w:sz w:val="18"/>
      <w:szCs w:val="18"/>
    </w:rPr>
  </w:style>
  <w:style w:type="character" w:customStyle="1" w:styleId="79">
    <w:name w:val="标题 8 字符"/>
    <w:link w:val="8"/>
    <w:qFormat/>
    <w:uiPriority w:val="0"/>
    <w:rPr>
      <w:rFonts w:ascii="Arial" w:hAnsi="Arial" w:eastAsia="黑体" w:cs="Times New Roman"/>
      <w:kern w:val="0"/>
      <w:sz w:val="24"/>
      <w:szCs w:val="24"/>
    </w:rPr>
  </w:style>
  <w:style w:type="character" w:customStyle="1" w:styleId="80">
    <w:name w:val="日期 字符"/>
    <w:link w:val="23"/>
    <w:qFormat/>
    <w:uiPriority w:val="0"/>
    <w:rPr>
      <w:rFonts w:ascii="Times New Roman" w:hAnsi="Times New Roman" w:eastAsia="宋体" w:cs="Times New Roman"/>
      <w:sz w:val="24"/>
      <w:szCs w:val="20"/>
    </w:rPr>
  </w:style>
  <w:style w:type="character" w:customStyle="1" w:styleId="81">
    <w:name w:val="标题 1 字符"/>
    <w:link w:val="4"/>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5"/>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6"/>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1"/>
    <w:qFormat/>
    <w:uiPriority w:val="99"/>
    <w:rPr>
      <w:rFonts w:ascii="Courier New" w:hAnsi="Courier New"/>
    </w:rPr>
  </w:style>
  <w:style w:type="character" w:customStyle="1" w:styleId="97">
    <w:name w:val="标题 7 字符"/>
    <w:link w:val="7"/>
    <w:qFormat/>
    <w:uiPriority w:val="0"/>
    <w:rPr>
      <w:rFonts w:ascii="Times New Roman" w:hAnsi="Times New Roman" w:eastAsia="宋体" w:cs="Times New Roman"/>
      <w:b/>
      <w:bCs/>
      <w:kern w:val="0"/>
      <w:sz w:val="24"/>
      <w:szCs w:val="24"/>
    </w:rPr>
  </w:style>
  <w:style w:type="paragraph" w:customStyle="1" w:styleId="98">
    <w:name w:val="样式4"/>
    <w:basedOn w:val="2"/>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2"/>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出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3"/>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2"/>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2"/>
    <w:qFormat/>
    <w:uiPriority w:val="0"/>
    <w:pPr>
      <w:spacing w:before="0" w:after="0" w:line="400" w:lineRule="exact"/>
    </w:pPr>
    <w:rPr>
      <w:rFonts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2"/>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customStyle="1" w:styleId="167">
    <w:name w:val="表格内正文，无编号"/>
    <w:basedOn w:val="1"/>
    <w:qFormat/>
    <w:uiPriority w:val="0"/>
    <w:pPr>
      <w:spacing w:line="400" w:lineRule="exact"/>
      <w:ind w:firstLine="643" w:firstLineChars="200"/>
    </w:pPr>
  </w:style>
  <w:style w:type="paragraph" w:customStyle="1" w:styleId="168">
    <w:name w:val="列表段落2"/>
    <w:basedOn w:val="1"/>
    <w:qFormat/>
    <w:uiPriority w:val="34"/>
    <w:pPr>
      <w:ind w:firstLine="420" w:firstLineChars="200"/>
    </w:pPr>
  </w:style>
  <w:style w:type="character" w:customStyle="1" w:styleId="169">
    <w:name w:val="标题 3 字符"/>
    <w:basedOn w:val="44"/>
    <w:link w:val="2"/>
    <w:qFormat/>
    <w:uiPriority w:val="0"/>
    <w:rPr>
      <w:b/>
      <w:kern w:val="2"/>
      <w:sz w:val="32"/>
      <w:szCs w:val="32"/>
    </w:rPr>
  </w:style>
  <w:style w:type="paragraph" w:customStyle="1" w:styleId="170">
    <w:name w:val="Revision"/>
    <w:hidden/>
    <w:semiHidden/>
    <w:qFormat/>
    <w:uiPriority w:val="99"/>
    <w:rPr>
      <w:rFonts w:ascii="Times New Roman" w:hAnsi="Times New Roman" w:eastAsia="宋体" w:cs="Times New Roman"/>
      <w:kern w:val="2"/>
      <w:sz w:val="21"/>
      <w:szCs w:val="24"/>
      <w:lang w:val="en-US" w:eastAsia="zh-CN" w:bidi="ar-SA"/>
    </w:rPr>
  </w:style>
  <w:style w:type="paragraph" w:styleId="17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42</Pages>
  <Words>14512</Words>
  <Characters>15216</Characters>
  <Lines>121</Lines>
  <Paragraphs>34</Paragraphs>
  <TotalTime>46</TotalTime>
  <ScaleCrop>false</ScaleCrop>
  <LinksUpToDate>false</LinksUpToDate>
  <CharactersWithSpaces>16057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2020-04-30T08:16:00Z</dcterms:created>
  <dc:creator>陈桂兰</dc:creator>
  <cp:lastModifiedBy>♂杰♂</cp:lastModifiedBy>
  <cp:lastPrinted>2020-05-12T07:11:00Z</cp:lastPrinted>
  <dcterms:modified xsi:type="dcterms:W3CDTF">2022-07-14T05:05:13Z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8E150FF347AC48B2BD97CA193AECC58D</vt:lpwstr>
  </property>
</Properties>
</file>