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40" w:leftChars="216" w:hanging="3122" w:hangingChars="600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bCs/>
          <w:sz w:val="52"/>
          <w:szCs w:val="52"/>
        </w:rPr>
        <w:t>2021年忠都公司事件检测分析仪更换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设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计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方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案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</w:rPr>
        <w:t>重庆首讯科技</w:t>
      </w:r>
      <w:r>
        <w:rPr>
          <w:rFonts w:hint="eastAsia" w:ascii="微软雅黑" w:hAnsi="微软雅黑" w:eastAsia="微软雅黑"/>
          <w:b/>
          <w:sz w:val="36"/>
          <w:szCs w:val="36"/>
        </w:rPr>
        <w:t>股份</w:t>
      </w:r>
      <w:r>
        <w:rPr>
          <w:rFonts w:hint="eastAsia" w:ascii="微软雅黑" w:hAnsi="微软雅黑" w:eastAsia="微软雅黑" w:cs="Times New Roman"/>
          <w:b/>
          <w:sz w:val="36"/>
          <w:szCs w:val="36"/>
        </w:rPr>
        <w:t>有限公司</w:t>
      </w:r>
    </w:p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ascii="微软雅黑" w:hAnsi="微软雅黑" w:eastAsia="微软雅黑" w:cs="Times New Roman"/>
          <w:b/>
          <w:sz w:val="32"/>
          <w:szCs w:val="32"/>
        </w:rPr>
        <w:t>20</w:t>
      </w:r>
      <w:r>
        <w:rPr>
          <w:rFonts w:hint="eastAsia" w:ascii="微软雅黑" w:hAnsi="微软雅黑" w:eastAsia="微软雅黑" w:cs="Times New Roman"/>
          <w:b/>
          <w:sz w:val="32"/>
          <w:szCs w:val="32"/>
        </w:rPr>
        <w:t>21年</w:t>
      </w:r>
      <w:r>
        <w:rPr>
          <w:rFonts w:hint="eastAsia" w:ascii="微软雅黑" w:hAnsi="微软雅黑" w:eastAsia="微软雅黑"/>
          <w:b/>
          <w:sz w:val="32"/>
          <w:szCs w:val="32"/>
        </w:rPr>
        <w:t>2</w:t>
      </w:r>
      <w:r>
        <w:rPr>
          <w:rFonts w:hint="eastAsia" w:ascii="微软雅黑" w:hAnsi="微软雅黑" w:eastAsia="微软雅黑" w:cs="Times New Roman"/>
          <w:b/>
          <w:sz w:val="32"/>
          <w:szCs w:val="32"/>
        </w:rPr>
        <w:t>月</w:t>
      </w:r>
    </w:p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忠都公司事件检测分析仪更换</w:t>
      </w:r>
    </w:p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设计方案</w:t>
      </w:r>
    </w:p>
    <w:p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1 设计范围与设计依据</w:t>
      </w: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1.1 项目背景</w:t>
      </w:r>
    </w:p>
    <w:p>
      <w:pPr>
        <w:spacing w:line="360" w:lineRule="auto"/>
        <w:ind w:firstLine="440" w:firstLineChars="200"/>
        <w:rPr>
          <w:rFonts w:ascii="方正仿宋_GBK" w:hAnsi="宋体" w:eastAsia="方正仿宋_GBK"/>
        </w:rPr>
      </w:pPr>
      <w:r>
        <w:rPr>
          <w:rFonts w:hint="eastAsia" w:ascii="微软雅黑" w:hAnsi="微软雅黑" w:eastAsia="微软雅黑" w:cs="Times New Roman"/>
          <w:sz w:val="22"/>
          <w:szCs w:val="22"/>
        </w:rPr>
        <w:t>因丰忠路事件检测仪2015年设备采购安装，投入使用至今，每日24小时工作状态，大部分底板、主板、视频卡老化易故障难维修，现设备厂家已停止生产，无法购买更换；软件故障后也无法联系上厂家人员。隧道部分区域无检测，存在安全隐患。因此，对丰忠路隧道事件检测分析仪进行分批更换硬件及软件。</w:t>
      </w:r>
    </w:p>
    <w:p>
      <w:pPr>
        <w:spacing w:line="360" w:lineRule="auto"/>
        <w:rPr>
          <w:rFonts w:ascii="微软雅黑" w:hAnsi="微软雅黑" w:eastAsia="微软雅黑" w:cs="微软雅黑"/>
          <w:b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1.2 编制依据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信息产业部、电力部、建设部颁布的有关标准和规范；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交通部颁发的有关技术标准、规范、规程及强制性条文；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 xml:space="preserve">  其他有关法律、法规、国家标准、规范、规程；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《重庆“三环十射多联线”高速公路交通工程总体方案设计》 （庆市交通委员会 2013年 1 月） 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《公路隧道设计规范》第二册 交通工程与附属设施（JTG D70/2-2014）；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《高速公路交通工程及沿线设施设计通用规范》（JTG D80-2006）；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中华人民共和国国家标准《高速公路隧道监控系统模式》（GB-T 18567-2010）；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《高速公路监控技术要求》（交通运输部2012年第3号公告）；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《视频安防监控系统工程设计规范》GB50395-2007；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《电子信息系统机房设计规范》（GB50174-2008）；</w:t>
      </w:r>
    </w:p>
    <w:p>
      <w:pPr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《民用闭路监视电视系统工程技术规范》（GB 50198-2011) ;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/>
          <w:sz w:val="22"/>
          <w:szCs w:val="22"/>
        </w:rPr>
        <w:t>施工安全交通组织，重庆市营运高速公路施工标准化管理办法(重庆市交通委员会分布)。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2 设计调查过程</w:t>
      </w:r>
    </w:p>
    <w:p>
      <w:pPr>
        <w:pStyle w:val="6"/>
        <w:adjustRightInd w:val="0"/>
        <w:snapToGrid w:val="0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2020年12月受业主单位委托，由我公司负责忠都公司2021年机电专项工程施工,2020年10月至2020年12月，我公司人员多次与忠都公司相关人员到现场调查交流，在此基础上做出了相应的施工方案,。</w:t>
      </w:r>
    </w:p>
    <w:p>
      <w:pPr>
        <w:pStyle w:val="6"/>
        <w:adjustRightInd w:val="0"/>
        <w:snapToGrid w:val="0"/>
        <w:spacing w:line="360" w:lineRule="auto"/>
        <w:ind w:firstLine="0" w:firstLineChars="0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3 设计方案</w:t>
      </w:r>
    </w:p>
    <w:p>
      <w:pPr>
        <w:pStyle w:val="6"/>
        <w:adjustRightInd w:val="0"/>
        <w:snapToGrid w:val="0"/>
        <w:spacing w:line="360" w:lineRule="auto"/>
        <w:ind w:firstLine="440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sz w:val="22"/>
          <w:szCs w:val="22"/>
        </w:rPr>
        <w:t>设计方案：</w:t>
      </w:r>
      <w:r>
        <w:rPr>
          <w:rFonts w:hint="eastAsia" w:ascii="微软雅黑" w:hAnsi="微软雅黑" w:eastAsia="微软雅黑" w:cs="微软雅黑"/>
          <w:sz w:val="22"/>
          <w:szCs w:val="22"/>
        </w:rPr>
        <w:t>拟对丰忠路事件检测分析仪更换（含软件）。丰忠路购买新品牌事件检测仪2台，满足更换16路图像报警通道，满足运行管理需求。</w:t>
      </w:r>
    </w:p>
    <w:p>
      <w:pPr>
        <w:ind w:firstLine="440" w:firstLineChars="200"/>
        <w:rPr>
          <w:rFonts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 w:cs="Times New Roman"/>
          <w:sz w:val="22"/>
          <w:szCs w:val="22"/>
        </w:rPr>
        <w:t>事件检测仪分析仪属隧道安全应急报警设备，设备运行状态直接影响到隧道内的突发事件的监控告警提醒，从而做出应急响应，保证隧道的运行安全，建议</w:t>
      </w:r>
      <w:r>
        <w:rPr>
          <w:rFonts w:hint="eastAsia" w:ascii="微软雅黑" w:hAnsi="微软雅黑" w:eastAsia="微软雅黑" w:cs="微软雅黑"/>
          <w:sz w:val="22"/>
          <w:szCs w:val="22"/>
        </w:rPr>
        <w:t>采购2台事件检测分析仪进行更换。</w:t>
      </w:r>
    </w:p>
    <w:p>
      <w:pPr>
        <w:spacing w:beforeLines="50" w:afterLines="50" w:line="336" w:lineRule="auto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sz w:val="30"/>
          <w:szCs w:val="30"/>
        </w:rPr>
        <w:t>4 工程量清单及点位情况说明</w:t>
      </w:r>
    </w:p>
    <w:tbl>
      <w:tblPr>
        <w:tblStyle w:val="2"/>
        <w:tblW w:w="10420" w:type="dxa"/>
        <w:tblInd w:w="-104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1360"/>
        <w:gridCol w:w="1120"/>
        <w:gridCol w:w="2900"/>
        <w:gridCol w:w="880"/>
        <w:gridCol w:w="880"/>
        <w:gridCol w:w="1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color w:val="000000"/>
                <w:sz w:val="36"/>
                <w:szCs w:val="36"/>
              </w:rPr>
              <w:t>事件检测分析仪更换工程量表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公司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路段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设备地点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规格型号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忠都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丰忠路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管清湾隧道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事件检测分析仪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Intel酷睿E-6400(双核，主频：2.4GHz)、含视频事件检测软件、支持高清及标清图像输入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2</w:t>
            </w: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蒲家场隧道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事件检测分析仪</w:t>
            </w:r>
          </w:p>
        </w:tc>
        <w:tc>
          <w:tcPr>
            <w:tcW w:w="2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Intel酷睿E-6400(双核，主频：2.5GHz)、含视频事件检测软件、支持高清及标清图像输入</w:t>
            </w:r>
            <w:bookmarkStart w:id="0" w:name="_GoBack"/>
            <w:bookmarkEnd w:id="0"/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3</w:t>
            </w: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系统调试</w:t>
            </w:r>
          </w:p>
        </w:tc>
        <w:tc>
          <w:tcPr>
            <w:tcW w:w="2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</w:tr>
    </w:tbl>
    <w:p>
      <w:pPr>
        <w:rPr>
          <w:rFonts w:ascii="微软雅黑" w:hAnsi="微软雅黑" w:eastAsia="微软雅黑"/>
          <w:bCs/>
          <w:sz w:val="28"/>
          <w:szCs w:val="28"/>
        </w:rPr>
      </w:pPr>
    </w:p>
    <w:p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5主要设备性能参数</w:t>
      </w: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5.1事件检测分析仪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微软雅黑" w:hAnsi="微软雅黑" w:eastAsia="微软雅黑" w:cs="微软雅黑"/>
          <w:b/>
          <w:bCs/>
          <w:color w:val="000000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2"/>
          <w:szCs w:val="22"/>
        </w:rPr>
        <w:t>事件检测分析仪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——机箱尺寸(mm):487mm*431mm*88.9mm(19英寸2U工业计算机)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——输入电压：100-260V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——MTBF:50000小时(25度)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——CPU：Intel酷睿E-6400(双核，主频：2.4GHz)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——内存：2GB  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——硬盘：2TB SATA2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——集成10/100/1000以太网卡；集成声卡；集成显卡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——2个串口，2个USB 2.0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——视频输入：支持高清及标清视频输入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——操作系统：Windows正版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注：分析仪含视频事件检测软件</w:t>
      </w:r>
    </w:p>
    <w:p>
      <w:pPr>
        <w:widowControl/>
        <w:spacing w:line="360" w:lineRule="auto"/>
        <w:jc w:val="left"/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（2）视频采集卡</w:t>
      </w:r>
    </w:p>
    <w:p>
      <w:pPr>
        <w:widowControl/>
        <w:spacing w:line="360" w:lineRule="auto"/>
        <w:ind w:firstLine="220" w:firstLineChars="100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接口类型: PCI card</w:t>
      </w:r>
    </w:p>
    <w:p>
      <w:pPr>
        <w:widowControl/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规格: Standard profile, half-length, 32-bit Conventional PCI card                           　　　　　　                                                     　　I接入标准： NTSC-M, PAL-B/G, RS-170, CCIR                                                                                                      功耗:Max. 1 W (200 mA @ +5V), excluding I/O power output                       　　　　　　　　　　　　　　　　　　　　  环境温度：0 to +50 °C / +32 to +122 °F             　　　　　　　　　　　　　　　　　　　　　　　　　　　　　　　　　　　  环境湿度：10 to 90% RH non-condensing                                                                                                            处理视频：8路BNC输入  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/>
          <w:b/>
          <w:bCs/>
          <w:sz w:val="22"/>
          <w:szCs w:val="22"/>
        </w:rPr>
        <w:t>6 施工及注意事项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/>
          <w:b/>
          <w:bCs/>
          <w:sz w:val="22"/>
          <w:szCs w:val="22"/>
        </w:rPr>
        <w:t>6.1 施工前的准备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（1）对外场设备的预埋管线进行检查确认，横穿管是否已按要求预埋。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（2）安装前应对管线进行疏导，并准备好工程数量表中的电源线、信号线、视频线、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光缆等各种线缆和安装工具、材料，并测量长度。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（3）严格遵循国家颁发的《建筑安装工人安全技术操作规程》和建设部颁发的《施工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现场安全检查评分标准》《施工现场临时用电的安全技术规范》及《中华人民共和国消</w:t>
      </w:r>
      <w:r>
        <w:rPr>
          <w:rFonts w:hint="eastAsia" w:ascii="微软雅黑" w:hAnsi="微软雅黑" w:eastAsia="微软雅黑" w:cs="微软雅黑"/>
          <w:sz w:val="22"/>
          <w:szCs w:val="22"/>
        </w:rPr>
        <w:t>防管理条例》以及重庆高速公路集团颁发的《高速公路机电运营维护管理办法》。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（4）使用易燃易爆化学危险品的作业，必须制定防火安全措施和灭火预案，在下达生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产任务的同时进行有针对性的书面防火安全技术交底，贯彻“谁施工、谁负责”的原则。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（5）线缆敷设：线缆的敷设需充分考虑长期可靠、稳定以及做好对线缆的防盗等保护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措施。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（6）支架固定：固定牢固，做好防锈处理。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6.2 外场设备安装要求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实施前应到现场核实设备安装位置。情报板有足够的视距，不受天桥、树木等遮挡。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按各设备施工图中的安装位置及预埋管线位置进行安装。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设备内部零件安装和机壳一律不准使用自攻螺丝。金属机件用的紧固件螺孔、螺丝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应涂上适当的密封剂。所有使用的紧固件应符合中华人民共和国国家标准。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模块和电路板应准确、安全地就位，而且易于拆卸和更换。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布线时，电源线与信号线应保持一定距离。所有布线须用线夹、线座、线扎、线捆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或其它方式予以固定。当布线线路通到有尖角处，必须用金属环形材料予以保护。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所有电缆要作清晰的编号标记，用以接续和检查回路。电缆在端头处要配有标签。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所有设备的进线孔应安装衬垫，以保证在电缆扭动时不影响设备的密封性能。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需接续的电缆，其接续点应在机箱内或电缆沟内。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电缆通过电缆孔洞、电缆管道和类似的地方时要密封，防止害虫和雨水进入。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设备安装完成后，应按照相关技术标准与规范进行调试，在调试过程中，每项试验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应做好记录，并及时处理安装中系统出现的问题，编写好调试报告。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有关设备内部、外部接口都应符合工 TU、EIA、IEEE 等国际通用标准。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严格执行高速公路机电维护安全管理办法，专门设置安全人员，合理摆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放标志标牌、协助疏导交通，维护人员必须进行安全教育和培训，现场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施工人员必须佩戴相应安全标记。</w:t>
      </w:r>
    </w:p>
    <w:p>
      <w:pPr>
        <w:rPr>
          <w:rFonts w:ascii="微软雅黑" w:hAnsi="微软雅黑" w:eastAsia="微软雅黑" w:cs="微软雅黑"/>
          <w:b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6.3 施工组织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本次改造是在已通车道路上进行，良好的实施组织计划和保畅方案是工程得以顺利实施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的保障。施工组织计划应遵循以下原则：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（1）施工组织应最大限度减小对交通影响。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（2）保障施工人员和设备安全。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（3）需满足重庆市营运高速公路施工标准化管理办法(重庆市交通委员会公布)。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（4）施工单位在施工前，应结合本单位自身情况，编写详细施工组织计划，待相关各方批准后方可进行施工。</w:t>
      </w:r>
    </w:p>
    <w:p>
      <w:pPr>
        <w:rPr>
          <w:rFonts w:ascii="微软雅黑" w:hAnsi="微软雅黑" w:eastAsia="微软雅黑" w:cs="微软雅黑"/>
          <w:sz w:val="22"/>
          <w:szCs w:val="22"/>
        </w:rPr>
      </w:pPr>
    </w:p>
    <w:p>
      <w:pPr>
        <w:rPr>
          <w:rStyle w:val="4"/>
          <w:rFonts w:ascii="微软雅黑" w:hAnsi="微软雅黑" w:eastAsia="微软雅黑" w:cs="微软雅黑"/>
          <w:b w:val="0"/>
          <w:color w:val="333333"/>
          <w:spacing w:val="11"/>
          <w:sz w:val="22"/>
          <w:szCs w:val="22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pStyle w:val="5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5A78116D"/>
    <w:multiLevelType w:val="singleLevel"/>
    <w:tmpl w:val="5A78116D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0D"/>
    <w:rsid w:val="00006FA9"/>
    <w:rsid w:val="00084D0D"/>
    <w:rsid w:val="001B3E30"/>
    <w:rsid w:val="002A6444"/>
    <w:rsid w:val="00432421"/>
    <w:rsid w:val="006C07CD"/>
    <w:rsid w:val="00BD224E"/>
    <w:rsid w:val="00E42CC3"/>
    <w:rsid w:val="00EC72DC"/>
    <w:rsid w:val="00F264B6"/>
    <w:rsid w:val="05451587"/>
    <w:rsid w:val="0657390A"/>
    <w:rsid w:val="079D5832"/>
    <w:rsid w:val="07EB0D2B"/>
    <w:rsid w:val="08703D30"/>
    <w:rsid w:val="08941340"/>
    <w:rsid w:val="08E6584B"/>
    <w:rsid w:val="09005A25"/>
    <w:rsid w:val="091128C9"/>
    <w:rsid w:val="09D731B3"/>
    <w:rsid w:val="0A7C3120"/>
    <w:rsid w:val="0DBE04AF"/>
    <w:rsid w:val="0EFE36F1"/>
    <w:rsid w:val="112F58B5"/>
    <w:rsid w:val="12036CCD"/>
    <w:rsid w:val="135D4346"/>
    <w:rsid w:val="1594050A"/>
    <w:rsid w:val="17DA12FD"/>
    <w:rsid w:val="1CCB20B0"/>
    <w:rsid w:val="1DB610DD"/>
    <w:rsid w:val="217167C0"/>
    <w:rsid w:val="25115D62"/>
    <w:rsid w:val="266C0167"/>
    <w:rsid w:val="277C440B"/>
    <w:rsid w:val="27D87BF1"/>
    <w:rsid w:val="28217347"/>
    <w:rsid w:val="28FC4B66"/>
    <w:rsid w:val="2C7B286B"/>
    <w:rsid w:val="2DA372EA"/>
    <w:rsid w:val="2DDA70EF"/>
    <w:rsid w:val="2E1F3766"/>
    <w:rsid w:val="31F2360C"/>
    <w:rsid w:val="32220732"/>
    <w:rsid w:val="33FE24DD"/>
    <w:rsid w:val="34E03A7E"/>
    <w:rsid w:val="35AF28A9"/>
    <w:rsid w:val="373D0D8D"/>
    <w:rsid w:val="37641B44"/>
    <w:rsid w:val="37AF64B8"/>
    <w:rsid w:val="38C43B06"/>
    <w:rsid w:val="392A7220"/>
    <w:rsid w:val="39E21883"/>
    <w:rsid w:val="3A9C6CD2"/>
    <w:rsid w:val="40CC76DD"/>
    <w:rsid w:val="43266D68"/>
    <w:rsid w:val="44CF57A2"/>
    <w:rsid w:val="45FB6E90"/>
    <w:rsid w:val="46352743"/>
    <w:rsid w:val="4E674E61"/>
    <w:rsid w:val="50A60ECB"/>
    <w:rsid w:val="51713C92"/>
    <w:rsid w:val="56752CF3"/>
    <w:rsid w:val="59193956"/>
    <w:rsid w:val="597779BC"/>
    <w:rsid w:val="5A3051FA"/>
    <w:rsid w:val="5B5C237B"/>
    <w:rsid w:val="5D9B7710"/>
    <w:rsid w:val="5DA2097C"/>
    <w:rsid w:val="5F2E4ABC"/>
    <w:rsid w:val="5FE26823"/>
    <w:rsid w:val="6160153B"/>
    <w:rsid w:val="6C267F5E"/>
    <w:rsid w:val="6CA11C95"/>
    <w:rsid w:val="6D862476"/>
    <w:rsid w:val="6E6B191D"/>
    <w:rsid w:val="71FB4EEF"/>
    <w:rsid w:val="744A6881"/>
    <w:rsid w:val="76E63008"/>
    <w:rsid w:val="77850314"/>
    <w:rsid w:val="796371D4"/>
    <w:rsid w:val="79A34154"/>
    <w:rsid w:val="7DC4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设计说明2"/>
    <w:basedOn w:val="1"/>
    <w:qFormat/>
    <w:uiPriority w:val="0"/>
    <w:pPr>
      <w:numPr>
        <w:ilvl w:val="1"/>
        <w:numId w:val="1"/>
      </w:numPr>
      <w:tabs>
        <w:tab w:val="left" w:pos="630"/>
      </w:tabs>
      <w:spacing w:before="120" w:after="120" w:line="400" w:lineRule="exact"/>
      <w:outlineLvl w:val="1"/>
    </w:pPr>
    <w:rPr>
      <w:rFonts w:ascii="新宋体" w:hAnsi="新宋体" w:eastAsia="宋体" w:cs="Times New Roman"/>
      <w:b/>
      <w:kern w:val="2"/>
      <w:sz w:val="28"/>
      <w:szCs w:val="20"/>
    </w:rPr>
  </w:style>
  <w:style w:type="paragraph" w:customStyle="1" w:styleId="6">
    <w:name w:val="内容"/>
    <w:basedOn w:val="1"/>
    <w:qFormat/>
    <w:uiPriority w:val="0"/>
    <w:pPr>
      <w:spacing w:line="480" w:lineRule="exact"/>
      <w:ind w:firstLine="200" w:firstLineChars="200"/>
    </w:pPr>
  </w:style>
  <w:style w:type="character" w:customStyle="1" w:styleId="7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490</Words>
  <Characters>2796</Characters>
  <Lines>23</Lines>
  <Paragraphs>6</Paragraphs>
  <TotalTime>51</TotalTime>
  <ScaleCrop>false</ScaleCrop>
  <LinksUpToDate>false</LinksUpToDate>
  <CharactersWithSpaces>3280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陈晨</cp:lastModifiedBy>
  <dcterms:modified xsi:type="dcterms:W3CDTF">2021-09-17T06:14:54Z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9BD37248D9C54AEF89CFB7BEB68A1C14</vt:lpwstr>
  </property>
</Properties>
</file>