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3640" w:leftChars="216" w:hanging="3122" w:hangingChars="600"/>
        <w:rPr>
          <w:rFonts w:ascii="微软雅黑" w:hAnsi="微软雅黑" w:eastAsia="微软雅黑" w:cs="Times New Roman"/>
          <w:b/>
          <w:sz w:val="52"/>
          <w:szCs w:val="52"/>
        </w:rPr>
      </w:pPr>
      <w:r>
        <w:rPr>
          <w:rFonts w:hint="eastAsia" w:ascii="微软雅黑" w:hAnsi="微软雅黑" w:eastAsia="微软雅黑"/>
          <w:b/>
          <w:bCs/>
          <w:sz w:val="52"/>
          <w:szCs w:val="52"/>
        </w:rPr>
        <w:t>2021年股份公司事件检测分析仪更换</w:t>
      </w: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  <w:r>
        <w:rPr>
          <w:rFonts w:hint="eastAsia" w:ascii="微软雅黑" w:hAnsi="微软雅黑" w:eastAsia="微软雅黑" w:cs="Times New Roman"/>
          <w:b/>
          <w:sz w:val="52"/>
          <w:szCs w:val="52"/>
        </w:rPr>
        <w:t>设</w:t>
      </w: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  <w:r>
        <w:rPr>
          <w:rFonts w:hint="eastAsia" w:ascii="微软雅黑" w:hAnsi="微软雅黑" w:eastAsia="微软雅黑" w:cs="Times New Roman"/>
          <w:b/>
          <w:sz w:val="52"/>
          <w:szCs w:val="52"/>
        </w:rPr>
        <w:t>计</w:t>
      </w: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  <w:r>
        <w:rPr>
          <w:rFonts w:hint="eastAsia" w:ascii="微软雅黑" w:hAnsi="微软雅黑" w:eastAsia="微软雅黑" w:cs="Times New Roman"/>
          <w:b/>
          <w:sz w:val="52"/>
          <w:szCs w:val="52"/>
        </w:rPr>
        <w:t>方</w:t>
      </w: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  <w:r>
        <w:rPr>
          <w:rFonts w:hint="eastAsia" w:ascii="微软雅黑" w:hAnsi="微软雅黑" w:eastAsia="微软雅黑" w:cs="Times New Roman"/>
          <w:b/>
          <w:sz w:val="52"/>
          <w:szCs w:val="52"/>
        </w:rPr>
        <w:t>案</w:t>
      </w: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</w:p>
    <w:p>
      <w:pPr>
        <w:rPr>
          <w:rFonts w:ascii="微软雅黑" w:hAnsi="微软雅黑" w:eastAsia="微软雅黑" w:cs="Times New Roman"/>
          <w:b/>
          <w:sz w:val="52"/>
          <w:szCs w:val="52"/>
        </w:rPr>
      </w:pPr>
    </w:p>
    <w:p>
      <w:pPr>
        <w:jc w:val="center"/>
        <w:rPr>
          <w:rFonts w:ascii="微软雅黑" w:hAnsi="微软雅黑" w:eastAsia="微软雅黑" w:cs="Times New Roman"/>
          <w:b/>
          <w:sz w:val="52"/>
          <w:szCs w:val="52"/>
        </w:rPr>
      </w:pPr>
    </w:p>
    <w:p>
      <w:pPr>
        <w:rPr>
          <w:rFonts w:ascii="微软雅黑" w:hAnsi="微软雅黑" w:eastAsia="微软雅黑" w:cs="Times New Roman"/>
          <w:b/>
          <w:sz w:val="52"/>
          <w:szCs w:val="52"/>
        </w:rPr>
      </w:pPr>
    </w:p>
    <w:p>
      <w:pPr>
        <w:jc w:val="center"/>
        <w:rPr>
          <w:rFonts w:ascii="微软雅黑" w:hAnsi="微软雅黑" w:eastAsia="微软雅黑" w:cs="Times New Roman"/>
          <w:b/>
          <w:sz w:val="36"/>
          <w:szCs w:val="36"/>
        </w:rPr>
      </w:pPr>
      <w:r>
        <w:rPr>
          <w:rFonts w:hint="eastAsia" w:ascii="微软雅黑" w:hAnsi="微软雅黑" w:eastAsia="微软雅黑" w:cs="Times New Roman"/>
          <w:b/>
          <w:sz w:val="36"/>
          <w:szCs w:val="36"/>
        </w:rPr>
        <w:t>重庆首讯科技</w:t>
      </w:r>
      <w:r>
        <w:rPr>
          <w:rFonts w:hint="eastAsia" w:ascii="微软雅黑" w:hAnsi="微软雅黑" w:eastAsia="微软雅黑"/>
          <w:b/>
          <w:sz w:val="36"/>
          <w:szCs w:val="36"/>
        </w:rPr>
        <w:t>股份</w:t>
      </w:r>
      <w:r>
        <w:rPr>
          <w:rFonts w:hint="eastAsia" w:ascii="微软雅黑" w:hAnsi="微软雅黑" w:eastAsia="微软雅黑" w:cs="Times New Roman"/>
          <w:b/>
          <w:sz w:val="36"/>
          <w:szCs w:val="36"/>
        </w:rPr>
        <w:t>有限公司</w:t>
      </w:r>
    </w:p>
    <w:p>
      <w:pPr>
        <w:jc w:val="center"/>
        <w:rPr>
          <w:rFonts w:ascii="微软雅黑" w:hAnsi="微软雅黑" w:eastAsia="微软雅黑"/>
          <w:b/>
          <w:bCs/>
          <w:sz w:val="44"/>
          <w:szCs w:val="44"/>
        </w:rPr>
      </w:pPr>
      <w:r>
        <w:rPr>
          <w:rFonts w:ascii="微软雅黑" w:hAnsi="微软雅黑" w:eastAsia="微软雅黑" w:cs="Times New Roman"/>
          <w:b/>
          <w:sz w:val="32"/>
          <w:szCs w:val="32"/>
        </w:rPr>
        <w:t>20</w:t>
      </w:r>
      <w:r>
        <w:rPr>
          <w:rFonts w:hint="eastAsia" w:ascii="微软雅黑" w:hAnsi="微软雅黑" w:eastAsia="微软雅黑" w:cs="Times New Roman"/>
          <w:b/>
          <w:sz w:val="32"/>
          <w:szCs w:val="32"/>
        </w:rPr>
        <w:t>21年</w:t>
      </w:r>
      <w:r>
        <w:rPr>
          <w:rFonts w:hint="eastAsia" w:ascii="微软雅黑" w:hAnsi="微软雅黑" w:eastAsia="微软雅黑"/>
          <w:b/>
          <w:sz w:val="32"/>
          <w:szCs w:val="32"/>
        </w:rPr>
        <w:t>2</w:t>
      </w:r>
      <w:r>
        <w:rPr>
          <w:rFonts w:hint="eastAsia" w:ascii="微软雅黑" w:hAnsi="微软雅黑" w:eastAsia="微软雅黑" w:cs="Times New Roman"/>
          <w:b/>
          <w:sz w:val="32"/>
          <w:szCs w:val="32"/>
        </w:rPr>
        <w:t>月</w:t>
      </w:r>
    </w:p>
    <w:p>
      <w:pPr>
        <w:jc w:val="center"/>
        <w:rPr>
          <w:rFonts w:ascii="微软雅黑" w:hAnsi="微软雅黑" w:eastAsia="微软雅黑"/>
          <w:b/>
          <w:bCs/>
          <w:sz w:val="44"/>
          <w:szCs w:val="44"/>
        </w:rPr>
      </w:pPr>
      <w:r>
        <w:rPr>
          <w:rFonts w:hint="eastAsia" w:ascii="微软雅黑" w:hAnsi="微软雅黑" w:eastAsia="微软雅黑"/>
          <w:b/>
          <w:bCs/>
          <w:sz w:val="44"/>
          <w:szCs w:val="44"/>
        </w:rPr>
        <w:t>股份公司事件检测分析仪更换</w:t>
      </w:r>
    </w:p>
    <w:p>
      <w:pPr>
        <w:jc w:val="center"/>
        <w:rPr>
          <w:rFonts w:ascii="微软雅黑" w:hAnsi="微软雅黑" w:eastAsia="微软雅黑"/>
          <w:b/>
          <w:bCs/>
          <w:sz w:val="44"/>
          <w:szCs w:val="44"/>
        </w:rPr>
      </w:pPr>
      <w:r>
        <w:rPr>
          <w:rFonts w:hint="eastAsia" w:ascii="微软雅黑" w:hAnsi="微软雅黑" w:eastAsia="微软雅黑"/>
          <w:b/>
          <w:bCs/>
          <w:sz w:val="44"/>
          <w:szCs w:val="44"/>
        </w:rPr>
        <w:t>设计方案</w:t>
      </w:r>
    </w:p>
    <w:p>
      <w:pPr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1 设计范围与设计依据</w:t>
      </w:r>
    </w:p>
    <w:p>
      <w:pPr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1.1 项目背景</w:t>
      </w:r>
    </w:p>
    <w:p>
      <w:pPr>
        <w:spacing w:line="360" w:lineRule="auto"/>
        <w:ind w:firstLine="440" w:firstLineChars="200"/>
        <w:rPr>
          <w:rFonts w:ascii="方正仿宋_GBK" w:hAnsi="宋体" w:eastAsia="方正仿宋_GBK"/>
        </w:rPr>
      </w:pPr>
      <w:r>
        <w:rPr>
          <w:rFonts w:hint="eastAsia" w:ascii="微软雅黑" w:hAnsi="微软雅黑" w:eastAsia="微软雅黑" w:cs="Times New Roman"/>
          <w:sz w:val="22"/>
          <w:szCs w:val="22"/>
        </w:rPr>
        <w:t>因</w:t>
      </w:r>
      <w:r>
        <w:rPr>
          <w:rFonts w:hint="eastAsia" w:ascii="方正仿宋_GBK" w:hAnsi="宋体" w:eastAsia="方正仿宋_GBK"/>
        </w:rPr>
        <w:t>长万路事件检测仪2011年设备采购安装，投入使用至今，每日24小时工作状态，大部分底板、主板、视频卡老化易故障难维修，现备件已停产，无法购买更换。故障后隧道部分区域无检测，存在安全隐患。</w:t>
      </w:r>
      <w:r>
        <w:rPr>
          <w:rFonts w:hint="eastAsia" w:ascii="微软雅黑" w:hAnsi="微软雅黑" w:eastAsia="微软雅黑" w:cs="Times New Roman"/>
          <w:sz w:val="22"/>
          <w:szCs w:val="22"/>
        </w:rPr>
        <w:t>因此，拟</w:t>
      </w:r>
      <w:r>
        <w:rPr>
          <w:rFonts w:hint="eastAsia" w:ascii="微软雅黑" w:hAnsi="微软雅黑" w:eastAsia="微软雅黑" w:cs="微软雅黑"/>
          <w:sz w:val="22"/>
          <w:szCs w:val="22"/>
        </w:rPr>
        <w:t>拟对股份公司长万路马垭口隧道事件检测分析仪进行更换。</w:t>
      </w:r>
    </w:p>
    <w:p>
      <w:pPr>
        <w:spacing w:line="360" w:lineRule="auto"/>
        <w:rPr>
          <w:rFonts w:ascii="微软雅黑" w:hAnsi="微软雅黑" w:eastAsia="微软雅黑" w:cs="微软雅黑"/>
          <w:b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sz w:val="22"/>
          <w:szCs w:val="22"/>
        </w:rPr>
        <w:t>1.2 编制依据</w:t>
      </w:r>
    </w:p>
    <w:p>
      <w:pPr>
        <w:pStyle w:val="5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微软雅黑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>信息产业部、电力部、建设部颁布的有关标准和规范；</w:t>
      </w:r>
    </w:p>
    <w:p>
      <w:pPr>
        <w:pStyle w:val="5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微软雅黑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>交通部颁发的有关技术标准、规范、规程及强制性条文；</w:t>
      </w:r>
    </w:p>
    <w:p>
      <w:pPr>
        <w:pStyle w:val="5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微软雅黑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 xml:space="preserve">  其他有关法律、法规、国家标准、规范、规程；</w:t>
      </w:r>
    </w:p>
    <w:p>
      <w:pPr>
        <w:pStyle w:val="5"/>
        <w:numPr>
          <w:ilvl w:val="1"/>
          <w:numId w:val="0"/>
        </w:numPr>
        <w:tabs>
          <w:tab w:val="left" w:pos="360"/>
          <w:tab w:val="left" w:pos="900"/>
          <w:tab w:val="left" w:pos="5382"/>
          <w:tab w:val="clear" w:pos="630"/>
        </w:tabs>
        <w:spacing w:before="0" w:after="0" w:line="360" w:lineRule="auto"/>
        <w:rPr>
          <w:rFonts w:ascii="微软雅黑" w:hAnsi="微软雅黑" w:eastAsia="微软雅黑"/>
          <w:b w:val="0"/>
          <w:kern w:val="0"/>
          <w:sz w:val="22"/>
          <w:szCs w:val="22"/>
        </w:rPr>
      </w:pPr>
      <w:r>
        <w:rPr>
          <w:rFonts w:ascii="微软雅黑" w:hAnsi="Times New Roman" w:eastAsia="微软雅黑"/>
          <w:b w:val="0"/>
          <w:kern w:val="0"/>
          <w:sz w:val="22"/>
          <w:szCs w:val="22"/>
        </w:rPr>
        <w:t>►</w:t>
      </w:r>
      <w:r>
        <w:rPr>
          <w:rFonts w:hint="eastAsia" w:ascii="微软雅黑" w:hAnsi="微软雅黑" w:eastAsia="微软雅黑"/>
          <w:b w:val="0"/>
          <w:kern w:val="0"/>
          <w:sz w:val="22"/>
          <w:szCs w:val="22"/>
        </w:rPr>
        <w:t>《重庆“三环十射多联线”高速公路交通工程总体方案设计》 （庆市交通委员会 2013年 1 月） 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《公路隧道设计规范》第二册 交通工程与附属设施（JTG D70/2-2014）；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《高速公路交通工程及沿线设施设计通用规范》（JTG D80-2006）；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Times New Roman" w:eastAsia="微软雅黑" w:cs="Times New Roman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中华人民共和国国家标准《高速公路隧道监控系统模式》（GB-T 18567-2010）；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《高速公路监控技术要求》（交通运输部2012年第3号公告）；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《视频安防监控系统工程设计规范》GB50395-2007；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《电子信息系统机房设计规范》（GB50174-2008）；</w:t>
      </w:r>
    </w:p>
    <w:p>
      <w:pPr>
        <w:rPr>
          <w:rFonts w:ascii="微软雅黑" w:hAnsi="微软雅黑" w:eastAsia="微软雅黑" w:cs="微软雅黑"/>
          <w:sz w:val="22"/>
          <w:szCs w:val="22"/>
        </w:rPr>
      </w:pPr>
      <w:r>
        <w:rPr>
          <w:rFonts w:ascii="微软雅黑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 w:cs="微软雅黑"/>
          <w:sz w:val="22"/>
          <w:szCs w:val="22"/>
        </w:rPr>
        <w:t>《民用闭路监视电视系统工程技术规范》（GB 50198-2011) ;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sz w:val="22"/>
          <w:szCs w:val="22"/>
        </w:rPr>
      </w:pPr>
      <w:r>
        <w:rPr>
          <w:rFonts w:ascii="微软雅黑" w:hAnsi="Times New Roman" w:eastAsia="微软雅黑" w:cs="Times New Roman"/>
          <w:sz w:val="22"/>
          <w:szCs w:val="22"/>
        </w:rPr>
        <w:t>►</w:t>
      </w:r>
      <w:r>
        <w:rPr>
          <w:rFonts w:hint="eastAsia" w:ascii="微软雅黑" w:hAnsi="微软雅黑" w:eastAsia="微软雅黑"/>
          <w:sz w:val="22"/>
          <w:szCs w:val="22"/>
        </w:rPr>
        <w:t>施工安全交通组织，重庆市营运高速公路施工标准化管理办法(重庆市交通委员会分布)。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2 设计调查过程</w:t>
      </w:r>
    </w:p>
    <w:p>
      <w:pPr>
        <w:pStyle w:val="6"/>
        <w:adjustRightInd w:val="0"/>
        <w:snapToGrid w:val="0"/>
        <w:spacing w:line="360" w:lineRule="auto"/>
        <w:ind w:firstLine="44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2020年12月受业主单位委托，由我公司负责重庆高速公路股份有限公司2021年机电专项工程施工,2020年10月至2020年12月，我公司人员多次与股份公司相关人员到现场调查交流，在此基础上做出了相应的施工方案,。</w:t>
      </w:r>
    </w:p>
    <w:p>
      <w:pPr>
        <w:pStyle w:val="6"/>
        <w:adjustRightInd w:val="0"/>
        <w:snapToGrid w:val="0"/>
        <w:spacing w:line="360" w:lineRule="auto"/>
        <w:ind w:firstLine="0" w:firstLineChars="0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3 设计方案</w:t>
      </w:r>
    </w:p>
    <w:p>
      <w:pPr>
        <w:pStyle w:val="6"/>
        <w:adjustRightInd w:val="0"/>
        <w:snapToGrid w:val="0"/>
        <w:spacing w:line="360" w:lineRule="auto"/>
        <w:ind w:firstLine="440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sz w:val="22"/>
          <w:szCs w:val="22"/>
        </w:rPr>
        <w:t>设计方案：</w:t>
      </w:r>
      <w:r>
        <w:rPr>
          <w:rFonts w:hint="eastAsia" w:ascii="微软雅黑" w:hAnsi="微软雅黑" w:eastAsia="微软雅黑" w:cs="微软雅黑"/>
          <w:sz w:val="22"/>
          <w:szCs w:val="22"/>
        </w:rPr>
        <w:t>拟对股份公司长万路事件检测分析仪更换（含软件）。长万路购买新品牌事件检测仪2台，满足更换32路图像报警通道，满足运行管理需求。</w:t>
      </w:r>
    </w:p>
    <w:p>
      <w:pPr>
        <w:ind w:firstLine="440" w:firstLineChars="200"/>
        <w:rPr>
          <w:rFonts w:ascii="微软雅黑" w:hAnsi="微软雅黑" w:eastAsia="微软雅黑"/>
          <w:b/>
          <w:sz w:val="30"/>
          <w:szCs w:val="30"/>
        </w:rPr>
      </w:pPr>
      <w:r>
        <w:rPr>
          <w:rFonts w:hint="eastAsia" w:ascii="微软雅黑" w:hAnsi="微软雅黑" w:eastAsia="微软雅黑" w:cs="Times New Roman"/>
          <w:sz w:val="22"/>
          <w:szCs w:val="22"/>
        </w:rPr>
        <w:t>事件检测仪分析仪属隧道安全应急报警设备，设备运行状态直接影响到隧道内的突发事件的监控告警提醒，从而做出应急响应，保证隧道的运行安全，建议</w:t>
      </w:r>
      <w:r>
        <w:rPr>
          <w:rFonts w:hint="eastAsia" w:ascii="微软雅黑" w:hAnsi="微软雅黑" w:eastAsia="微软雅黑" w:cs="微软雅黑"/>
          <w:sz w:val="22"/>
          <w:szCs w:val="22"/>
        </w:rPr>
        <w:t>采购2台事件检测分析仪进行更换。</w:t>
      </w:r>
    </w:p>
    <w:p>
      <w:pPr>
        <w:spacing w:beforeLines="50" w:afterLines="50" w:line="336" w:lineRule="auto"/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sz w:val="30"/>
          <w:szCs w:val="30"/>
        </w:rPr>
        <w:t>4 工程量清单及点位情况说明</w:t>
      </w:r>
    </w:p>
    <w:tbl>
      <w:tblPr>
        <w:tblStyle w:val="2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436"/>
        <w:gridCol w:w="436"/>
        <w:gridCol w:w="747"/>
        <w:gridCol w:w="2263"/>
        <w:gridCol w:w="2203"/>
        <w:gridCol w:w="550"/>
        <w:gridCol w:w="550"/>
        <w:gridCol w:w="9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36"/>
                <w:szCs w:val="36"/>
              </w:rPr>
            </w:pPr>
            <w:r>
              <w:rPr>
                <w:rFonts w:hint="eastAsia" w:ascii="微软雅黑" w:hAnsi="微软雅黑" w:eastAsia="微软雅黑"/>
                <w:color w:val="000000"/>
                <w:sz w:val="36"/>
                <w:szCs w:val="36"/>
              </w:rPr>
              <w:t>事件检测分析仪更换工程量表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公司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路段</w:t>
            </w: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设备地点</w:t>
            </w:r>
          </w:p>
        </w:tc>
        <w:tc>
          <w:tcPr>
            <w:tcW w:w="13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设备名称</w:t>
            </w:r>
          </w:p>
        </w:tc>
        <w:tc>
          <w:tcPr>
            <w:tcW w:w="1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规格型号</w:t>
            </w:r>
          </w:p>
        </w:tc>
        <w:tc>
          <w:tcPr>
            <w:tcW w:w="3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单位</w:t>
            </w:r>
          </w:p>
        </w:tc>
        <w:tc>
          <w:tcPr>
            <w:tcW w:w="3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255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股份</w:t>
            </w:r>
          </w:p>
        </w:tc>
        <w:tc>
          <w:tcPr>
            <w:tcW w:w="255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长万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梁平监控中心</w:t>
            </w:r>
          </w:p>
        </w:tc>
        <w:tc>
          <w:tcPr>
            <w:tcW w:w="1328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事件检测分析仪</w:t>
            </w:r>
          </w:p>
        </w:tc>
        <w:tc>
          <w:tcPr>
            <w:tcW w:w="1293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Intel酷睿E-6400(双核，主频：2.4GHz)、含视频事件检测软件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323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2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　</w:t>
            </w:r>
          </w:p>
        </w:tc>
        <w:tc>
          <w:tcPr>
            <w:tcW w:w="2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　</w:t>
            </w:r>
          </w:p>
        </w:tc>
        <w:tc>
          <w:tcPr>
            <w:tcW w:w="43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　</w:t>
            </w:r>
          </w:p>
        </w:tc>
        <w:tc>
          <w:tcPr>
            <w:tcW w:w="132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小计</w:t>
            </w:r>
          </w:p>
        </w:tc>
        <w:tc>
          <w:tcPr>
            <w:tcW w:w="1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　</w:t>
            </w:r>
          </w:p>
        </w:tc>
        <w:tc>
          <w:tcPr>
            <w:tcW w:w="3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　</w:t>
            </w:r>
          </w:p>
        </w:tc>
        <w:tc>
          <w:tcPr>
            <w:tcW w:w="3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2</w:t>
            </w:r>
          </w:p>
        </w:tc>
        <w:tc>
          <w:tcPr>
            <w:tcW w:w="52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32路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3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  <w:szCs w:val="22"/>
              </w:rPr>
              <w:t>　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  <w:szCs w:val="22"/>
              </w:rPr>
              <w:t>　</w:t>
            </w: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  <w:szCs w:val="22"/>
              </w:rPr>
              <w:t>　</w:t>
            </w:r>
          </w:p>
        </w:tc>
        <w:tc>
          <w:tcPr>
            <w:tcW w:w="13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系统调试</w:t>
            </w:r>
          </w:p>
        </w:tc>
        <w:tc>
          <w:tcPr>
            <w:tcW w:w="1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  <w:szCs w:val="22"/>
              </w:rPr>
              <w:t>　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/>
                <w:color w:val="000000"/>
                <w:sz w:val="22"/>
                <w:szCs w:val="22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/>
                <w:color w:val="00000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color w:val="000000"/>
                <w:sz w:val="22"/>
                <w:szCs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color w:val="000000"/>
                <w:sz w:val="22"/>
                <w:szCs w:val="22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color w:val="000000"/>
                <w:sz w:val="22"/>
                <w:szCs w:val="22"/>
              </w:rPr>
            </w:pPr>
          </w:p>
        </w:tc>
        <w:tc>
          <w:tcPr>
            <w:tcW w:w="13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微软雅黑" w:hAnsi="微软雅黑" w:eastAsia="微软雅黑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  <w:lang w:val="en-US" w:eastAsia="zh-CN"/>
              </w:rPr>
              <w:t>安全措施费（1.5%）</w:t>
            </w:r>
          </w:p>
        </w:tc>
        <w:tc>
          <w:tcPr>
            <w:tcW w:w="1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00000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00000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color w:val="00000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微软雅黑" w:hAnsi="微软雅黑" w:eastAsia="微软雅黑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color w:val="000000"/>
                <w:sz w:val="22"/>
                <w:szCs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color w:val="000000"/>
                <w:sz w:val="22"/>
                <w:szCs w:val="22"/>
              </w:rPr>
            </w:pPr>
          </w:p>
        </w:tc>
        <w:tc>
          <w:tcPr>
            <w:tcW w:w="43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color w:val="000000"/>
                <w:sz w:val="22"/>
                <w:szCs w:val="22"/>
              </w:rPr>
            </w:pPr>
          </w:p>
        </w:tc>
        <w:tc>
          <w:tcPr>
            <w:tcW w:w="13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default" w:ascii="微软雅黑" w:hAnsi="微软雅黑" w:eastAsia="微软雅黑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  <w:lang w:val="en-US" w:eastAsia="zh-CN"/>
              </w:rPr>
              <w:t>税金（9%）</w:t>
            </w:r>
          </w:p>
        </w:tc>
        <w:tc>
          <w:tcPr>
            <w:tcW w:w="12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color w:val="000000"/>
                <w:sz w:val="22"/>
                <w:szCs w:val="22"/>
              </w:rPr>
            </w:pP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00000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项</w:t>
            </w:r>
          </w:p>
        </w:tc>
        <w:tc>
          <w:tcPr>
            <w:tcW w:w="3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color w:val="00000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微软雅黑" w:hAnsi="微软雅黑" w:eastAsia="微软雅黑"/>
                <w:color w:val="000000"/>
                <w:sz w:val="22"/>
                <w:szCs w:val="22"/>
              </w:rPr>
              <w:t>1</w:t>
            </w:r>
          </w:p>
        </w:tc>
        <w:tc>
          <w:tcPr>
            <w:tcW w:w="5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/>
                <w:color w:val="000000"/>
                <w:sz w:val="22"/>
                <w:szCs w:val="22"/>
              </w:rPr>
            </w:pPr>
          </w:p>
        </w:tc>
      </w:tr>
    </w:tbl>
    <w:p>
      <w:pPr>
        <w:rPr>
          <w:rFonts w:ascii="微软雅黑" w:hAnsi="微软雅黑" w:eastAsia="微软雅黑"/>
          <w:bCs/>
          <w:sz w:val="28"/>
          <w:szCs w:val="28"/>
        </w:rPr>
      </w:pPr>
    </w:p>
    <w:p>
      <w:pPr>
        <w:rPr>
          <w:rFonts w:ascii="微软雅黑" w:hAnsi="微软雅黑" w:eastAsia="微软雅黑"/>
          <w:b/>
          <w:bCs/>
          <w:sz w:val="28"/>
          <w:szCs w:val="28"/>
        </w:rPr>
      </w:pPr>
      <w:r>
        <w:rPr>
          <w:rFonts w:hint="eastAsia" w:ascii="微软雅黑" w:hAnsi="微软雅黑" w:eastAsia="微软雅黑"/>
          <w:b/>
          <w:bCs/>
          <w:sz w:val="28"/>
          <w:szCs w:val="28"/>
        </w:rPr>
        <w:t>5主要设备性能参数</w:t>
      </w:r>
    </w:p>
    <w:p>
      <w:pPr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5.1事件检测分析仪</w:t>
      </w:r>
    </w:p>
    <w:p>
      <w:pPr>
        <w:widowControl/>
        <w:numPr>
          <w:ilvl w:val="0"/>
          <w:numId w:val="2"/>
        </w:numPr>
        <w:spacing w:line="360" w:lineRule="auto"/>
        <w:jc w:val="left"/>
        <w:rPr>
          <w:rFonts w:ascii="微软雅黑" w:hAnsi="微软雅黑" w:eastAsia="微软雅黑" w:cs="微软雅黑"/>
          <w:b/>
          <w:bCs/>
          <w:color w:val="000000"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sz w:val="22"/>
          <w:szCs w:val="22"/>
        </w:rPr>
        <w:t>事件检测分析仪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——机箱尺寸(mm):487mm*431mm*88.9mm(19英寸2U工业计算机)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——输入电压：100-260V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——MTBF:50000小时(25度)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——CPU：Intel酷睿E-6400(双核，主频：2.4GHz)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——内存：2GB  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——硬盘：2TB SATA2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——集成10/100/1000以太网卡；集成声卡；集成显卡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——2个串口，2个USB 2.0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——视频输入：1-8路模拟视频</w:t>
      </w:r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——操作系统：Windows正版</w:t>
      </w:r>
      <w:bookmarkStart w:id="0" w:name="_GoBack"/>
      <w:bookmarkEnd w:id="0"/>
    </w:p>
    <w:p>
      <w:pPr>
        <w:snapToGrid w:val="0"/>
        <w:spacing w:line="360" w:lineRule="auto"/>
        <w:ind w:firstLine="480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注：分析仪含视频事件检测软件</w:t>
      </w:r>
    </w:p>
    <w:p>
      <w:pPr>
        <w:widowControl/>
        <w:spacing w:line="360" w:lineRule="auto"/>
        <w:jc w:val="left"/>
        <w:rPr>
          <w:rFonts w:ascii="微软雅黑" w:hAnsi="微软雅黑" w:eastAsia="微软雅黑" w:cs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bCs/>
          <w:sz w:val="22"/>
          <w:szCs w:val="22"/>
        </w:rPr>
        <w:t>（2）视频采集卡</w:t>
      </w:r>
    </w:p>
    <w:p>
      <w:pPr>
        <w:widowControl/>
        <w:spacing w:line="360" w:lineRule="auto"/>
        <w:ind w:firstLine="220" w:firstLineChars="100"/>
        <w:jc w:val="left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接口类型: PCI card</w:t>
      </w:r>
    </w:p>
    <w:p>
      <w:pPr>
        <w:widowControl/>
        <w:spacing w:line="360" w:lineRule="auto"/>
        <w:jc w:val="left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 xml:space="preserve">规格: Standard profile, half-length, 32-bit Conventional PCI card                           　　　　　　                                                     　　I接入标准： NTSC-M, PAL-B/G, RS-170, CCIR                                                                                                      功耗:Max. 1 W (200 mA @ +5V), excluding I/O power output                       　　　　　　　　　　　　　　　　　　　　  环境温度：0 to +50 °C / +32 to +122 °F             　　　　　　　　　　　　　　　　　　　　　　　　　　　　　　　　　　　  环境湿度：10 to 90% RH non-condensing                                                                                                            处理视频：16路BNC输入  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/>
          <w:b/>
          <w:bCs/>
          <w:sz w:val="22"/>
          <w:szCs w:val="22"/>
        </w:rPr>
        <w:t>6 施工及注意事项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b/>
          <w:bCs/>
          <w:sz w:val="22"/>
          <w:szCs w:val="22"/>
        </w:rPr>
      </w:pPr>
      <w:r>
        <w:rPr>
          <w:rFonts w:hint="eastAsia" w:ascii="微软雅黑" w:hAnsi="微软雅黑" w:eastAsia="微软雅黑"/>
          <w:b/>
          <w:bCs/>
          <w:sz w:val="22"/>
          <w:szCs w:val="22"/>
        </w:rPr>
        <w:t>6.1 施工前的准备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sz w:val="22"/>
          <w:szCs w:val="22"/>
        </w:rPr>
      </w:pPr>
      <w:r>
        <w:rPr>
          <w:rFonts w:hint="eastAsia" w:ascii="微软雅黑" w:hAnsi="微软雅黑" w:eastAsia="微软雅黑"/>
          <w:sz w:val="22"/>
          <w:szCs w:val="22"/>
        </w:rPr>
        <w:t>（1）对外场设备的预埋管线进行检查确认，横穿管是否已按要求预埋。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sz w:val="22"/>
          <w:szCs w:val="22"/>
        </w:rPr>
      </w:pPr>
      <w:r>
        <w:rPr>
          <w:rFonts w:hint="eastAsia" w:ascii="微软雅黑" w:hAnsi="微软雅黑" w:eastAsia="微软雅黑"/>
          <w:sz w:val="22"/>
          <w:szCs w:val="22"/>
        </w:rPr>
        <w:t>（2）安装前应对管线进行疏导，并准备好工程数量表中的电源线、信号线、视频线、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sz w:val="22"/>
          <w:szCs w:val="22"/>
        </w:rPr>
      </w:pPr>
      <w:r>
        <w:rPr>
          <w:rFonts w:hint="eastAsia" w:ascii="微软雅黑" w:hAnsi="微软雅黑" w:eastAsia="微软雅黑"/>
          <w:sz w:val="22"/>
          <w:szCs w:val="22"/>
        </w:rPr>
        <w:t>光缆等各种线缆和安装工具、材料，并测量长度。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/>
          <w:sz w:val="22"/>
          <w:szCs w:val="22"/>
        </w:rPr>
      </w:pPr>
      <w:r>
        <w:rPr>
          <w:rFonts w:hint="eastAsia" w:ascii="微软雅黑" w:hAnsi="微软雅黑" w:eastAsia="微软雅黑"/>
          <w:sz w:val="22"/>
          <w:szCs w:val="22"/>
        </w:rPr>
        <w:t>（3）严格遵循国家颁发的《建筑安装工人安全技术操作规程》和建设部颁发的《施工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/>
          <w:sz w:val="22"/>
          <w:szCs w:val="22"/>
        </w:rPr>
        <w:t>现场安全检查评分标准》《施工现场临时用电的安全技术规范》及《中华人民共和国消</w:t>
      </w:r>
      <w:r>
        <w:rPr>
          <w:rFonts w:hint="eastAsia" w:ascii="微软雅黑" w:hAnsi="微软雅黑" w:eastAsia="微软雅黑" w:cs="微软雅黑"/>
          <w:sz w:val="22"/>
          <w:szCs w:val="22"/>
        </w:rPr>
        <w:t>防管理条例》以及重庆高速公路集团颁发的《高速公路机电运营维护管理办法》。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（4）使用易燃易爆化学危险品的作业，必须制定防火安全措施和灭火预案，在下达生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产任务的同时进行有针对性的书面防火安全技术交底，贯彻“谁施工、谁负责”的原则。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（5）线缆敷设：线缆的敷设需充分考虑长期可靠、稳定以及做好对线缆的防盗等保护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措施。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（6）支架固定：固定牢固，做好防锈处理。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6.2 外场设备安装要求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实施前应到现场核实设备安装位置。情报板有足够的视距，不受天桥、树木等遮挡。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按各设备施工图中的安装位置及预埋管线位置进行安装。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设备内部零件安装和机壳一律不准使用自攻螺丝。金属机件用的紧固件螺孔、螺丝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应涂上适当的密封剂。所有使用的紧固件应符合中华人民共和国国家标准。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模块和电路板应准确、安全地就位，而且易于拆卸和更换。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布线时，电源线与信号线应保持一定距离。所有布线须用线夹、线座、线扎、线捆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或其它方式予以固定。当布线线路通到有尖角处，必须用金属环形材料予以保护。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所有电缆要作清晰的编号标记，用以接续和检查回路。电缆在端头处要配有标签。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所有设备的进线孔应安装衬垫，以保证在电缆扭动时不影响设备的密封性能。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需接续的电缆，其接续点应在机箱内或电缆沟内。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电缆通过电缆孔洞、电缆管道和类似的地方时要密封，防止害虫和雨水进入。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设备安装完成后，应按照相关技术标准与规范进行调试，在调试过程中，每项试验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应做好记录，并及时处理安装中系统出现的问题，编写好调试报告。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有关设备内部、外部接口都应符合工 TU、EIA、IEEE 等国际通用标准。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Ø 严格执行高速公路机电维护安全管理办法，专门设置安全人员，合理摆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放标志标牌、协助疏导交通，维护人员必须进行安全教育和培训，现场</w:t>
      </w:r>
    </w:p>
    <w:p>
      <w:pPr>
        <w:adjustRightInd w:val="0"/>
        <w:snapToGrid w:val="0"/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施工人员必须佩戴相应安全标记。</w:t>
      </w:r>
    </w:p>
    <w:p>
      <w:pPr>
        <w:rPr>
          <w:rFonts w:ascii="微软雅黑" w:hAnsi="微软雅黑" w:eastAsia="微软雅黑" w:cs="微软雅黑"/>
          <w:b/>
          <w:sz w:val="22"/>
          <w:szCs w:val="22"/>
        </w:rPr>
      </w:pPr>
      <w:r>
        <w:rPr>
          <w:rFonts w:hint="eastAsia" w:ascii="微软雅黑" w:hAnsi="微软雅黑" w:eastAsia="微软雅黑" w:cs="微软雅黑"/>
          <w:b/>
          <w:sz w:val="22"/>
          <w:szCs w:val="22"/>
        </w:rPr>
        <w:t>6.3 施工组织</w:t>
      </w:r>
    </w:p>
    <w:p>
      <w:pPr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本次改造是在已通车道路上进行，良好的实施组织计划和保畅方案是工程得以顺利实施</w:t>
      </w:r>
    </w:p>
    <w:p>
      <w:pPr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的保障。施工组织计划应遵循以下原则：</w:t>
      </w:r>
    </w:p>
    <w:p>
      <w:pPr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（1）施工组织应最大限度减小对交通影响。</w:t>
      </w:r>
    </w:p>
    <w:p>
      <w:pPr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（2）保障施工人员和设备安全。</w:t>
      </w:r>
    </w:p>
    <w:p>
      <w:pPr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（3）需满足重庆市营运高速公路施工标准化管理办法(重庆市交通委员会公布)。</w:t>
      </w:r>
    </w:p>
    <w:p>
      <w:pPr>
        <w:spacing w:line="360" w:lineRule="auto"/>
        <w:rPr>
          <w:rFonts w:ascii="微软雅黑" w:hAnsi="微软雅黑" w:eastAsia="微软雅黑" w:cs="微软雅黑"/>
          <w:sz w:val="22"/>
          <w:szCs w:val="22"/>
        </w:rPr>
      </w:pPr>
      <w:r>
        <w:rPr>
          <w:rFonts w:hint="eastAsia" w:ascii="微软雅黑" w:hAnsi="微软雅黑" w:eastAsia="微软雅黑" w:cs="微软雅黑"/>
          <w:sz w:val="22"/>
          <w:szCs w:val="22"/>
        </w:rPr>
        <w:t>（4）施工单位在施工前，应结合本单位自身情况，编写详细施工组织计划，待相关各方批准后方可进行施工。</w:t>
      </w:r>
    </w:p>
    <w:p>
      <w:pPr>
        <w:rPr>
          <w:rFonts w:ascii="微软雅黑" w:hAnsi="微软雅黑" w:eastAsia="微软雅黑" w:cs="微软雅黑"/>
          <w:sz w:val="22"/>
          <w:szCs w:val="22"/>
        </w:rPr>
      </w:pPr>
    </w:p>
    <w:p>
      <w:pPr>
        <w:rPr>
          <w:rStyle w:val="4"/>
          <w:rFonts w:ascii="微软雅黑" w:hAnsi="微软雅黑" w:eastAsia="微软雅黑" w:cs="微软雅黑"/>
          <w:b w:val="0"/>
          <w:color w:val="333333"/>
          <w:spacing w:val="11"/>
          <w:sz w:val="22"/>
          <w:szCs w:val="22"/>
          <w:shd w:val="clear" w:color="auto" w:fill="FFFFFF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D"/>
    <w:multiLevelType w:val="multilevel"/>
    <w:tmpl w:val="0000000D"/>
    <w:lvl w:ilvl="0" w:tentative="0">
      <w:start w:val="1"/>
      <w:numFmt w:val="bullet"/>
      <w:lvlText w:val="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pStyle w:val="5"/>
      <w:lvlText w:val="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1">
    <w:nsid w:val="5A78116D"/>
    <w:multiLevelType w:val="singleLevel"/>
    <w:tmpl w:val="5A78116D"/>
    <w:lvl w:ilvl="0" w:tentative="0">
      <w:start w:val="1"/>
      <w:numFmt w:val="decimal"/>
      <w:suff w:val="space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D0D"/>
    <w:rsid w:val="00084D0D"/>
    <w:rsid w:val="001B3E30"/>
    <w:rsid w:val="00432421"/>
    <w:rsid w:val="006C07CD"/>
    <w:rsid w:val="00BD224E"/>
    <w:rsid w:val="00E42CC3"/>
    <w:rsid w:val="00EC72DC"/>
    <w:rsid w:val="05451587"/>
    <w:rsid w:val="0657390A"/>
    <w:rsid w:val="079D5832"/>
    <w:rsid w:val="07EB0D2B"/>
    <w:rsid w:val="08703D30"/>
    <w:rsid w:val="08941340"/>
    <w:rsid w:val="08E6584B"/>
    <w:rsid w:val="09005A25"/>
    <w:rsid w:val="091128C9"/>
    <w:rsid w:val="09D731B3"/>
    <w:rsid w:val="0A7C3120"/>
    <w:rsid w:val="0BD802B9"/>
    <w:rsid w:val="0DBE04AF"/>
    <w:rsid w:val="0EFE36F1"/>
    <w:rsid w:val="112F58B5"/>
    <w:rsid w:val="12036CCD"/>
    <w:rsid w:val="135D4346"/>
    <w:rsid w:val="1594050A"/>
    <w:rsid w:val="1667697C"/>
    <w:rsid w:val="17DA12FD"/>
    <w:rsid w:val="1CCB20B0"/>
    <w:rsid w:val="1DB610DD"/>
    <w:rsid w:val="217167C0"/>
    <w:rsid w:val="25115D62"/>
    <w:rsid w:val="266C0167"/>
    <w:rsid w:val="277C440B"/>
    <w:rsid w:val="27D87BF1"/>
    <w:rsid w:val="28217347"/>
    <w:rsid w:val="28FC4B66"/>
    <w:rsid w:val="2C7B286B"/>
    <w:rsid w:val="2DA372EA"/>
    <w:rsid w:val="2DDA70EF"/>
    <w:rsid w:val="2E1F3766"/>
    <w:rsid w:val="31F2360C"/>
    <w:rsid w:val="32220732"/>
    <w:rsid w:val="34E03A7E"/>
    <w:rsid w:val="35AF28A9"/>
    <w:rsid w:val="373D0D8D"/>
    <w:rsid w:val="37641B44"/>
    <w:rsid w:val="37AF64B8"/>
    <w:rsid w:val="38C43B06"/>
    <w:rsid w:val="392A7220"/>
    <w:rsid w:val="39E21883"/>
    <w:rsid w:val="3A9C6CD2"/>
    <w:rsid w:val="40CC76DD"/>
    <w:rsid w:val="43266D68"/>
    <w:rsid w:val="44CF57A2"/>
    <w:rsid w:val="45FB6E90"/>
    <w:rsid w:val="46352743"/>
    <w:rsid w:val="4E674E61"/>
    <w:rsid w:val="50A60ECB"/>
    <w:rsid w:val="51713C92"/>
    <w:rsid w:val="56752CF3"/>
    <w:rsid w:val="59193956"/>
    <w:rsid w:val="597779BC"/>
    <w:rsid w:val="5A3051FA"/>
    <w:rsid w:val="5B5C237B"/>
    <w:rsid w:val="5D9B7710"/>
    <w:rsid w:val="5DA2097C"/>
    <w:rsid w:val="5F2E4ABC"/>
    <w:rsid w:val="5FE26823"/>
    <w:rsid w:val="6160153B"/>
    <w:rsid w:val="6C267F5E"/>
    <w:rsid w:val="6CA11C95"/>
    <w:rsid w:val="6D862476"/>
    <w:rsid w:val="6E6B191D"/>
    <w:rsid w:val="71480FA2"/>
    <w:rsid w:val="71FB4EEF"/>
    <w:rsid w:val="744A6881"/>
    <w:rsid w:val="76E63008"/>
    <w:rsid w:val="77850314"/>
    <w:rsid w:val="796371D4"/>
    <w:rsid w:val="79A34154"/>
    <w:rsid w:val="7DC4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cs="宋体" w:asciiTheme="minorHAnsi" w:hAnsiTheme="minorHAnsi" w:eastAsiaTheme="minorEastAsia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paragraph" w:customStyle="1" w:styleId="5">
    <w:name w:val="设计说明2"/>
    <w:basedOn w:val="1"/>
    <w:qFormat/>
    <w:uiPriority w:val="0"/>
    <w:pPr>
      <w:numPr>
        <w:ilvl w:val="1"/>
        <w:numId w:val="1"/>
      </w:numPr>
      <w:tabs>
        <w:tab w:val="left" w:pos="630"/>
      </w:tabs>
      <w:spacing w:before="120" w:after="120" w:line="400" w:lineRule="exact"/>
      <w:outlineLvl w:val="1"/>
    </w:pPr>
    <w:rPr>
      <w:rFonts w:ascii="新宋体" w:hAnsi="新宋体" w:eastAsia="宋体" w:cs="Times New Roman"/>
      <w:b/>
      <w:kern w:val="2"/>
      <w:sz w:val="28"/>
      <w:szCs w:val="20"/>
    </w:rPr>
  </w:style>
  <w:style w:type="paragraph" w:customStyle="1" w:styleId="6">
    <w:name w:val="内容"/>
    <w:basedOn w:val="1"/>
    <w:qFormat/>
    <w:uiPriority w:val="0"/>
    <w:pPr>
      <w:spacing w:line="480" w:lineRule="exact"/>
      <w:ind w:firstLine="200" w:firstLineChars="200"/>
    </w:pPr>
  </w:style>
  <w:style w:type="character" w:customStyle="1" w:styleId="7">
    <w:name w:val="font11"/>
    <w:basedOn w:val="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478</Words>
  <Characters>2729</Characters>
  <Lines>22</Lines>
  <Paragraphs>6</Paragraphs>
  <TotalTime>2</TotalTime>
  <ScaleCrop>false</ScaleCrop>
  <LinksUpToDate>false</LinksUpToDate>
  <CharactersWithSpaces>3201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陈晨</cp:lastModifiedBy>
  <dcterms:modified xsi:type="dcterms:W3CDTF">2021-09-17T06:11:59Z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CC3C0473CFF4409E888BCA7641D74D01</vt:lpwstr>
  </property>
</Properties>
</file>