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兴航商贸</w:t>
      </w:r>
      <w:r>
        <w:rPr>
          <w:rFonts w:hint="eastAsia" w:ascii="方正小标宋_GBK" w:eastAsia="方正小标宋_GBK"/>
          <w:sz w:val="44"/>
          <w:szCs w:val="44"/>
        </w:rPr>
        <w:t>有限公司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行政办公会议题表</w:t>
      </w:r>
    </w:p>
    <w:p>
      <w:pPr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承办部门：</w:t>
      </w:r>
      <w:r>
        <w:rPr>
          <w:rFonts w:hint="eastAsia"/>
          <w:sz w:val="28"/>
          <w:lang w:val="en-US" w:eastAsia="zh-CN"/>
        </w:rPr>
        <w:t>综合部</w:t>
      </w:r>
    </w:p>
    <w:tbl>
      <w:tblPr>
        <w:tblStyle w:val="6"/>
        <w:tblW w:w="9279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82"/>
        <w:gridCol w:w="3961"/>
        <w:gridCol w:w="1003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议题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名称</w:t>
            </w:r>
          </w:p>
        </w:tc>
        <w:tc>
          <w:tcPr>
            <w:tcW w:w="8181" w:type="dxa"/>
            <w:gridSpan w:val="4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关于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薪酬绩效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  <w:t>咨询项目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议题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背景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以及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主要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内容</w:t>
            </w:r>
          </w:p>
        </w:tc>
        <w:tc>
          <w:tcPr>
            <w:tcW w:w="8181" w:type="dxa"/>
            <w:gridSpan w:val="4"/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航发集团为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探索差异化薪酬分配、绩效及奖惩机制，打破薪酬分配“大锅饭”，在市场化程度相对较高的子公司开展市场化薪酬改革试点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我司按照航发集团产业板块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分类属于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逐步走上市场化的全资经营子公司。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现我司按照航发集团关于薪酬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绩效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改革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的统一部署，拟向市场邀请具备资源薪酬绩效咨询服务范围的相关机构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对原有薪酬制度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及激励机制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进行调整以适应本公司发展的需要。</w:t>
            </w:r>
          </w:p>
          <w:p>
            <w:pPr>
              <w:pStyle w:val="5"/>
              <w:widowControl/>
              <w:spacing w:line="480" w:lineRule="exact"/>
              <w:ind w:firstLine="5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附件：1.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薪酬绩效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咨询项目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询价函</w:t>
            </w:r>
          </w:p>
          <w:p>
            <w:pPr>
              <w:pStyle w:val="5"/>
              <w:widowControl/>
              <w:spacing w:line="480" w:lineRule="exact"/>
              <w:jc w:val="both"/>
              <w:rPr>
                <w:rFonts w:hint="default" w:ascii="华文中宋" w:hAnsi="华文中宋" w:eastAsia="方正仿宋_GBK" w:cs="华文中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薪酬绩效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</w:rPr>
              <w:t>咨询项目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最高限价报告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议题</w:t>
            </w:r>
          </w:p>
          <w:p>
            <w:pPr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建议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事项</w:t>
            </w:r>
          </w:p>
        </w:tc>
        <w:tc>
          <w:tcPr>
            <w:tcW w:w="8181" w:type="dxa"/>
            <w:gridSpan w:val="4"/>
            <w:vAlign w:val="center"/>
          </w:tcPr>
          <w:p>
            <w:pPr>
              <w:spacing w:line="440" w:lineRule="exac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建议按照上述要求委托咨询公司进行设计薪酬绩效项目。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建议列席部门</w:t>
            </w:r>
          </w:p>
        </w:tc>
        <w:tc>
          <w:tcPr>
            <w:tcW w:w="3961" w:type="dxa"/>
            <w:vAlign w:val="center"/>
          </w:tcPr>
          <w:p>
            <w:pPr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财务部、经营发展部、后勤事务部、工程部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汇报时间</w:t>
            </w:r>
          </w:p>
        </w:tc>
        <w:tc>
          <w:tcPr>
            <w:tcW w:w="2635" w:type="dxa"/>
            <w:vAlign w:val="center"/>
          </w:tcPr>
          <w:p>
            <w:pPr>
              <w:jc w:val="center"/>
              <w:rPr>
                <w:rFonts w:hint="default" w:ascii="黑体" w:eastAsia="黑体"/>
                <w:lang w:val="en-US"/>
              </w:rPr>
            </w:pPr>
            <w:r>
              <w:rPr>
                <w:rFonts w:hint="eastAsia" w:ascii="黑体" w:eastAsia="黑体"/>
              </w:rPr>
              <w:t>202</w:t>
            </w:r>
            <w:r>
              <w:rPr>
                <w:rFonts w:hint="eastAsia" w:ascii="黑体" w:eastAsia="黑体"/>
                <w:lang w:val="en-US" w:eastAsia="zh-CN"/>
              </w:rPr>
              <w:t>1</w:t>
            </w:r>
            <w:r>
              <w:rPr>
                <w:rFonts w:hint="eastAsia" w:ascii="黑体" w:eastAsia="黑体"/>
              </w:rPr>
              <w:t>.</w:t>
            </w:r>
            <w:r>
              <w:rPr>
                <w:rFonts w:hint="eastAsia" w:ascii="黑体" w:eastAsia="黑体"/>
                <w:lang w:val="en-US" w:eastAsia="zh-CN"/>
              </w:rPr>
              <w:t>12</w:t>
            </w:r>
            <w:r>
              <w:rPr>
                <w:rFonts w:hint="eastAsia" w:ascii="黑体" w:eastAsia="黑体"/>
              </w:rPr>
              <w:t>.</w:t>
            </w:r>
            <w:r>
              <w:rPr>
                <w:rFonts w:hint="eastAsia" w:ascii="黑体" w:eastAsia="黑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</w:rPr>
              <w:t>涉及多个部门的是否达成一致意见</w:t>
            </w:r>
          </w:p>
        </w:tc>
        <w:tc>
          <w:tcPr>
            <w:tcW w:w="7599" w:type="dxa"/>
            <w:gridSpan w:val="3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279" w:type="dxa"/>
            <w:gridSpan w:val="5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参会人员签字：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1960" w:firstLineChars="7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>
      <w:pPr>
        <w:spacing w:line="400" w:lineRule="exact"/>
        <w:rPr>
          <w:rFonts w:eastAsia="方正仿宋_GBK" w:cstheme="minorBidi"/>
          <w:sz w:val="30"/>
          <w:szCs w:val="30"/>
        </w:rPr>
      </w:pPr>
    </w:p>
    <w:sectPr>
      <w:pgSz w:w="11906" w:h="16838"/>
      <w:pgMar w:top="158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9F"/>
    <w:rsid w:val="00046964"/>
    <w:rsid w:val="000F01E8"/>
    <w:rsid w:val="001035F6"/>
    <w:rsid w:val="00122ADD"/>
    <w:rsid w:val="0017509E"/>
    <w:rsid w:val="001E3C6D"/>
    <w:rsid w:val="0022552F"/>
    <w:rsid w:val="00237B11"/>
    <w:rsid w:val="00261245"/>
    <w:rsid w:val="00281364"/>
    <w:rsid w:val="00283690"/>
    <w:rsid w:val="002C0F9B"/>
    <w:rsid w:val="002E3D03"/>
    <w:rsid w:val="002E5C2C"/>
    <w:rsid w:val="002F6879"/>
    <w:rsid w:val="0030602D"/>
    <w:rsid w:val="00306CE5"/>
    <w:rsid w:val="003231B8"/>
    <w:rsid w:val="00372939"/>
    <w:rsid w:val="003E5215"/>
    <w:rsid w:val="00405F1E"/>
    <w:rsid w:val="0041730A"/>
    <w:rsid w:val="004413F4"/>
    <w:rsid w:val="00474BE0"/>
    <w:rsid w:val="004A43D5"/>
    <w:rsid w:val="004A6E9F"/>
    <w:rsid w:val="004B4991"/>
    <w:rsid w:val="004E7F45"/>
    <w:rsid w:val="004F2589"/>
    <w:rsid w:val="00585CA2"/>
    <w:rsid w:val="005D7DF5"/>
    <w:rsid w:val="005E4BDF"/>
    <w:rsid w:val="00606729"/>
    <w:rsid w:val="00650859"/>
    <w:rsid w:val="00807B0A"/>
    <w:rsid w:val="00816757"/>
    <w:rsid w:val="00855818"/>
    <w:rsid w:val="008C7D77"/>
    <w:rsid w:val="008E5A27"/>
    <w:rsid w:val="008E5FF5"/>
    <w:rsid w:val="008F0BDF"/>
    <w:rsid w:val="009002D0"/>
    <w:rsid w:val="0090552B"/>
    <w:rsid w:val="00917E16"/>
    <w:rsid w:val="00940856"/>
    <w:rsid w:val="009916A3"/>
    <w:rsid w:val="00A064A5"/>
    <w:rsid w:val="00A70A0D"/>
    <w:rsid w:val="00A71F45"/>
    <w:rsid w:val="00A9304C"/>
    <w:rsid w:val="00A94074"/>
    <w:rsid w:val="00AD5A15"/>
    <w:rsid w:val="00AF2EA4"/>
    <w:rsid w:val="00AF6D45"/>
    <w:rsid w:val="00B01884"/>
    <w:rsid w:val="00B043DF"/>
    <w:rsid w:val="00B32868"/>
    <w:rsid w:val="00B9321F"/>
    <w:rsid w:val="00BB352F"/>
    <w:rsid w:val="00BC44E2"/>
    <w:rsid w:val="00BC70A4"/>
    <w:rsid w:val="00BD2747"/>
    <w:rsid w:val="00BD76D9"/>
    <w:rsid w:val="00C232B9"/>
    <w:rsid w:val="00C84513"/>
    <w:rsid w:val="00CA4D7B"/>
    <w:rsid w:val="00CA4FD7"/>
    <w:rsid w:val="00CC73E0"/>
    <w:rsid w:val="00D44B1D"/>
    <w:rsid w:val="00D7099E"/>
    <w:rsid w:val="00D91911"/>
    <w:rsid w:val="00DA0506"/>
    <w:rsid w:val="00DA566E"/>
    <w:rsid w:val="00DC767A"/>
    <w:rsid w:val="00DF1522"/>
    <w:rsid w:val="00E414BE"/>
    <w:rsid w:val="00E45D3F"/>
    <w:rsid w:val="00E63C1E"/>
    <w:rsid w:val="00E63F27"/>
    <w:rsid w:val="00E6406D"/>
    <w:rsid w:val="00E677A5"/>
    <w:rsid w:val="00E81390"/>
    <w:rsid w:val="00ED7B60"/>
    <w:rsid w:val="00F34049"/>
    <w:rsid w:val="00F64A14"/>
    <w:rsid w:val="00F76CB1"/>
    <w:rsid w:val="00F8283A"/>
    <w:rsid w:val="00F832D4"/>
    <w:rsid w:val="00F834B0"/>
    <w:rsid w:val="00FF00D1"/>
    <w:rsid w:val="00FF7E38"/>
    <w:rsid w:val="0182549B"/>
    <w:rsid w:val="0202513D"/>
    <w:rsid w:val="02C97829"/>
    <w:rsid w:val="046F7B41"/>
    <w:rsid w:val="04771817"/>
    <w:rsid w:val="04C13463"/>
    <w:rsid w:val="04DC056C"/>
    <w:rsid w:val="05671CEF"/>
    <w:rsid w:val="058D6F1B"/>
    <w:rsid w:val="059036B5"/>
    <w:rsid w:val="05F77C21"/>
    <w:rsid w:val="07516D6E"/>
    <w:rsid w:val="08A810E9"/>
    <w:rsid w:val="08E976EB"/>
    <w:rsid w:val="09367A94"/>
    <w:rsid w:val="0B5A79D9"/>
    <w:rsid w:val="0C484B1A"/>
    <w:rsid w:val="0D827BCB"/>
    <w:rsid w:val="0E2013FE"/>
    <w:rsid w:val="0E4A7E62"/>
    <w:rsid w:val="0E4B4131"/>
    <w:rsid w:val="0E5C71D5"/>
    <w:rsid w:val="0EDB4BB2"/>
    <w:rsid w:val="0F31440E"/>
    <w:rsid w:val="1077384A"/>
    <w:rsid w:val="12266002"/>
    <w:rsid w:val="12370DAF"/>
    <w:rsid w:val="12F016E0"/>
    <w:rsid w:val="14F539FD"/>
    <w:rsid w:val="15754192"/>
    <w:rsid w:val="15793648"/>
    <w:rsid w:val="158F717B"/>
    <w:rsid w:val="168259EF"/>
    <w:rsid w:val="169D2588"/>
    <w:rsid w:val="16CE3224"/>
    <w:rsid w:val="16D10F43"/>
    <w:rsid w:val="17EC2D37"/>
    <w:rsid w:val="195D5DD8"/>
    <w:rsid w:val="1968719E"/>
    <w:rsid w:val="19A835C8"/>
    <w:rsid w:val="1C3C38EA"/>
    <w:rsid w:val="1D5B1A36"/>
    <w:rsid w:val="1DDB01A3"/>
    <w:rsid w:val="1E6262F1"/>
    <w:rsid w:val="1F2440FA"/>
    <w:rsid w:val="208B77E0"/>
    <w:rsid w:val="21BC01E5"/>
    <w:rsid w:val="227625D5"/>
    <w:rsid w:val="229934CB"/>
    <w:rsid w:val="238E0EC7"/>
    <w:rsid w:val="26B27EC5"/>
    <w:rsid w:val="26EE2458"/>
    <w:rsid w:val="27550060"/>
    <w:rsid w:val="275E40FE"/>
    <w:rsid w:val="28C377AD"/>
    <w:rsid w:val="299B7DC6"/>
    <w:rsid w:val="2A6D4F95"/>
    <w:rsid w:val="2AA119AB"/>
    <w:rsid w:val="2ADE70F7"/>
    <w:rsid w:val="2C8C3C02"/>
    <w:rsid w:val="2CDC0CFF"/>
    <w:rsid w:val="2D4132AE"/>
    <w:rsid w:val="2E534807"/>
    <w:rsid w:val="2EB92ACF"/>
    <w:rsid w:val="2F8D67FE"/>
    <w:rsid w:val="2FCA1062"/>
    <w:rsid w:val="2FF27607"/>
    <w:rsid w:val="30AF7364"/>
    <w:rsid w:val="30DA77A7"/>
    <w:rsid w:val="31356C28"/>
    <w:rsid w:val="31417FE6"/>
    <w:rsid w:val="314F695C"/>
    <w:rsid w:val="327008B7"/>
    <w:rsid w:val="33127954"/>
    <w:rsid w:val="33DA23EB"/>
    <w:rsid w:val="352160C7"/>
    <w:rsid w:val="36F30369"/>
    <w:rsid w:val="39353AAE"/>
    <w:rsid w:val="39E3514B"/>
    <w:rsid w:val="3AB21437"/>
    <w:rsid w:val="3C014703"/>
    <w:rsid w:val="3C032EFE"/>
    <w:rsid w:val="3DA93D81"/>
    <w:rsid w:val="3F4878D5"/>
    <w:rsid w:val="401C68C9"/>
    <w:rsid w:val="40917577"/>
    <w:rsid w:val="40C878CE"/>
    <w:rsid w:val="422D1EA6"/>
    <w:rsid w:val="45DE0179"/>
    <w:rsid w:val="4646031E"/>
    <w:rsid w:val="46D16C17"/>
    <w:rsid w:val="47494046"/>
    <w:rsid w:val="49340B9C"/>
    <w:rsid w:val="4A1575E9"/>
    <w:rsid w:val="4AC55E4E"/>
    <w:rsid w:val="4AD76D41"/>
    <w:rsid w:val="4C9609B4"/>
    <w:rsid w:val="4CCF3C31"/>
    <w:rsid w:val="4DF5425A"/>
    <w:rsid w:val="4E0107B3"/>
    <w:rsid w:val="4E52014C"/>
    <w:rsid w:val="4F644633"/>
    <w:rsid w:val="4FD87CF4"/>
    <w:rsid w:val="507138E4"/>
    <w:rsid w:val="54224F20"/>
    <w:rsid w:val="56F413DE"/>
    <w:rsid w:val="573846EA"/>
    <w:rsid w:val="577B4553"/>
    <w:rsid w:val="578A0755"/>
    <w:rsid w:val="57A44EC4"/>
    <w:rsid w:val="59A05976"/>
    <w:rsid w:val="5A610FCB"/>
    <w:rsid w:val="5A69163F"/>
    <w:rsid w:val="5A746FBB"/>
    <w:rsid w:val="5B1E00AF"/>
    <w:rsid w:val="5B3F621F"/>
    <w:rsid w:val="5B7B582B"/>
    <w:rsid w:val="5B823E42"/>
    <w:rsid w:val="5B9A6A59"/>
    <w:rsid w:val="5D8649F5"/>
    <w:rsid w:val="5DDF7CE6"/>
    <w:rsid w:val="5F0C191D"/>
    <w:rsid w:val="5F8F5E59"/>
    <w:rsid w:val="605431B4"/>
    <w:rsid w:val="609C4743"/>
    <w:rsid w:val="60BA2025"/>
    <w:rsid w:val="617E1F8F"/>
    <w:rsid w:val="61DE3127"/>
    <w:rsid w:val="62C75594"/>
    <w:rsid w:val="62D60934"/>
    <w:rsid w:val="633C601B"/>
    <w:rsid w:val="63547B29"/>
    <w:rsid w:val="64413B38"/>
    <w:rsid w:val="644F62C1"/>
    <w:rsid w:val="645637EE"/>
    <w:rsid w:val="65D15A2C"/>
    <w:rsid w:val="66E34D24"/>
    <w:rsid w:val="67CF2399"/>
    <w:rsid w:val="68152443"/>
    <w:rsid w:val="68BD70BE"/>
    <w:rsid w:val="6901054E"/>
    <w:rsid w:val="690B5F14"/>
    <w:rsid w:val="6AD62431"/>
    <w:rsid w:val="6B447D73"/>
    <w:rsid w:val="6B967C07"/>
    <w:rsid w:val="6B9951E2"/>
    <w:rsid w:val="6B9D14F7"/>
    <w:rsid w:val="6CBD5CA7"/>
    <w:rsid w:val="6CFB4A48"/>
    <w:rsid w:val="6D6E3DCC"/>
    <w:rsid w:val="6DAD4B24"/>
    <w:rsid w:val="6E755DCB"/>
    <w:rsid w:val="6EE40A47"/>
    <w:rsid w:val="6EEE2AD2"/>
    <w:rsid w:val="6F2E42CD"/>
    <w:rsid w:val="6F8B37AA"/>
    <w:rsid w:val="70A27DB2"/>
    <w:rsid w:val="70A609C4"/>
    <w:rsid w:val="70D4023E"/>
    <w:rsid w:val="719A3D91"/>
    <w:rsid w:val="71E97B27"/>
    <w:rsid w:val="754C456C"/>
    <w:rsid w:val="755C69D9"/>
    <w:rsid w:val="757A5EB1"/>
    <w:rsid w:val="76E93EE0"/>
    <w:rsid w:val="77B234CA"/>
    <w:rsid w:val="77BD1F04"/>
    <w:rsid w:val="78067C84"/>
    <w:rsid w:val="78A011F9"/>
    <w:rsid w:val="79DF0CEC"/>
    <w:rsid w:val="7A7937F5"/>
    <w:rsid w:val="7B4A3BA4"/>
    <w:rsid w:val="7B5C3582"/>
    <w:rsid w:val="7B7B074C"/>
    <w:rsid w:val="7C253013"/>
    <w:rsid w:val="7D0940B9"/>
    <w:rsid w:val="7D0F33B6"/>
    <w:rsid w:val="7E3562EC"/>
    <w:rsid w:val="7EAA4578"/>
    <w:rsid w:val="7F1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交通局</Company>
  <Pages>1</Pages>
  <Words>46</Words>
  <Characters>263</Characters>
  <Lines>2</Lines>
  <Paragraphs>1</Paragraphs>
  <TotalTime>5</TotalTime>
  <ScaleCrop>false</ScaleCrop>
  <LinksUpToDate>false</LinksUpToDate>
  <CharactersWithSpaces>308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2019-06-04T00:58:00Z</dcterms:created>
  <dc:creator>窗口</dc:creator>
  <cp:lastModifiedBy>唐丽</cp:lastModifiedBy>
  <cp:lastPrinted>2021-12-06T03:51:56Z</cp:lastPrinted>
  <dcterms:modified xsi:type="dcterms:W3CDTF">2021-12-06T03:52:07Z</dcterms:modified>
  <dc:title>委主任办公会提案表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6431EC8856E647439CC922227013671C</vt:lpwstr>
  </property>
</Properties>
</file>