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eastAsia="宋体" w:cs="宋体"/>
          <w:sz w:val="28"/>
          <w:szCs w:val="28"/>
          <w:highlight w:val="none"/>
          <w:lang w:val="en-US" w:eastAsia="zh-CN"/>
        </w:rPr>
      </w:pPr>
      <w:r>
        <w:rPr>
          <w:rFonts w:hint="eastAsia" w:ascii="宋体" w:hAnsi="宋体" w:cs="宋体"/>
          <w:b/>
          <w:sz w:val="32"/>
          <w:szCs w:val="32"/>
          <w:highlight w:val="none"/>
        </w:rPr>
        <w:t>项目名称：2022年首讯公司主要车型轮胎供货单位选择</w:t>
      </w:r>
      <w:r>
        <w:rPr>
          <w:rFonts w:hint="eastAsia" w:ascii="宋体" w:hAnsi="宋体" w:cs="宋体"/>
          <w:b/>
          <w:sz w:val="32"/>
          <w:szCs w:val="32"/>
          <w:highlight w:val="none"/>
          <w:lang w:val="en-US" w:eastAsia="zh-CN"/>
        </w:rPr>
        <w:t>项目</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07</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247085669"/>
      <w:bookmarkStart w:id="1" w:name="_Toc296602400"/>
      <w:bookmarkStart w:id="2" w:name="_Toc507319889"/>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260" w:name="_GoBack"/>
      <w:bookmarkStart w:id="5" w:name="_Toc246996157"/>
      <w:bookmarkStart w:id="6" w:name="_Toc247096243"/>
      <w:bookmarkStart w:id="7" w:name="_Toc246996900"/>
      <w:bookmarkStart w:id="8" w:name="_Toc247085671"/>
      <w:bookmarkStart w:id="9" w:name="_Toc152042287"/>
      <w:bookmarkStart w:id="10" w:name="_Toc179632527"/>
      <w:bookmarkStart w:id="11" w:name="_Toc2000404"/>
      <w:bookmarkStart w:id="12" w:name="_Toc507319890"/>
      <w:bookmarkStart w:id="13" w:name="_Toc144974479"/>
      <w:bookmarkStart w:id="14" w:name="_Toc152045511"/>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24874"/>
      <w:bookmarkStart w:id="19" w:name="_Toc507319891"/>
      <w:bookmarkStart w:id="20" w:name="_Toc144974480"/>
      <w:bookmarkStart w:id="21" w:name="_Toc152042288"/>
      <w:bookmarkStart w:id="22" w:name="_Toc247085672"/>
      <w:bookmarkStart w:id="23" w:name="_Toc152045512"/>
      <w:bookmarkStart w:id="24" w:name="_Toc6549"/>
      <w:bookmarkStart w:id="25" w:name="_Toc179632528"/>
      <w:bookmarkStart w:id="26" w:name="_Toc11329213"/>
      <w:bookmarkStart w:id="27" w:name="_Toc246996158"/>
      <w:bookmarkStart w:id="28" w:name="_Toc10076"/>
      <w:bookmarkStart w:id="29" w:name="_Toc24699690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2022年首讯公司主要车型轮胎供货单位选择项目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1329214"/>
      <w:bookmarkStart w:id="31" w:name="_Toc21343"/>
      <w:bookmarkStart w:id="32" w:name="_Toc18109"/>
      <w:bookmarkStart w:id="33" w:name="_Toc507319892"/>
      <w:bookmarkStart w:id="34" w:name="_Toc152042289"/>
      <w:bookmarkStart w:id="35" w:name="_Toc179632529"/>
      <w:bookmarkStart w:id="36" w:name="_Toc10952"/>
      <w:bookmarkStart w:id="37" w:name="_Toc152045513"/>
      <w:bookmarkStart w:id="38" w:name="_Toc247085673"/>
      <w:bookmarkStart w:id="39" w:name="_Toc144974481"/>
      <w:bookmarkStart w:id="40" w:name="_Toc246996902"/>
      <w:bookmarkStart w:id="41" w:name="_Toc24699615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重庆市南岸区四公里</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2022年首讯公司主要车型轮胎供货单位选择项目</w:t>
      </w:r>
      <w:r>
        <w:rPr>
          <w:rFonts w:hint="eastAsia" w:ascii="宋体" w:hAnsi="宋体" w:cs="宋体"/>
          <w:szCs w:val="21"/>
          <w:highlight w:val="none"/>
        </w:rPr>
        <w:t>，</w:t>
      </w:r>
      <w:r>
        <w:rPr>
          <w:rFonts w:hint="eastAsia" w:ascii="宋体" w:hAnsi="宋体" w:cs="宋体"/>
          <w:szCs w:val="21"/>
          <w:highlight w:val="none"/>
          <w:lang w:val="en-US" w:eastAsia="zh-CN"/>
        </w:rPr>
        <w:t>本次竞争性比选内容包含2022年首讯公司主要车型轮胎供货单位选择项目相关轮胎采购及配合、安装调试</w:t>
      </w:r>
      <w:r>
        <w:rPr>
          <w:rFonts w:hint="eastAsia" w:ascii="宋体" w:hAnsi="宋体" w:cs="宋体"/>
          <w:szCs w:val="21"/>
          <w:highlight w:val="none"/>
        </w:rPr>
        <w:t>（详见工程量清单）。</w:t>
      </w:r>
    </w:p>
    <w:p>
      <w:pPr>
        <w:pStyle w:val="13"/>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w:t>
      </w:r>
      <w:r>
        <w:rPr>
          <w:rFonts w:hint="eastAsia" w:ascii="宋体" w:hAnsi="宋体" w:cs="宋体"/>
          <w:highlight w:val="none"/>
          <w:lang w:val="en-US" w:eastAsia="zh-CN"/>
        </w:rPr>
        <w:t>2022年首讯公司主要车型轮胎供货单位选择项目相关</w:t>
      </w:r>
      <w:r>
        <w:rPr>
          <w:rFonts w:hint="eastAsia" w:ascii="宋体" w:hAnsi="宋体" w:cs="宋体"/>
          <w:szCs w:val="21"/>
          <w:highlight w:val="none"/>
          <w:lang w:val="en-US" w:eastAsia="zh-CN"/>
        </w:rPr>
        <w:t xml:space="preserve">类型轮胎的采购安装。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p>
    <w:p>
      <w:pPr>
        <w:pStyle w:val="4"/>
        <w:spacing w:before="120" w:after="0" w:line="360" w:lineRule="auto"/>
        <w:rPr>
          <w:rFonts w:hint="eastAsia" w:ascii="宋体" w:hAnsi="宋体" w:eastAsia="宋体" w:cs="宋体"/>
          <w:highlight w:val="none"/>
        </w:rPr>
      </w:pPr>
      <w:bookmarkStart w:id="43" w:name="_Toc7065"/>
      <w:bookmarkStart w:id="44" w:name="_Toc179632530"/>
      <w:bookmarkStart w:id="45" w:name="_Toc144974482"/>
      <w:bookmarkStart w:id="46" w:name="_Toc246996160"/>
      <w:bookmarkStart w:id="47" w:name="_Toc152045514"/>
      <w:bookmarkStart w:id="48" w:name="_Toc507319893"/>
      <w:bookmarkStart w:id="49" w:name="_Toc152042290"/>
      <w:bookmarkStart w:id="50" w:name="_Toc246996903"/>
      <w:bookmarkStart w:id="51" w:name="_Toc30356"/>
      <w:bookmarkStart w:id="52" w:name="_Toc11329215"/>
      <w:bookmarkStart w:id="53" w:name="_Toc10171"/>
      <w:bookmarkStart w:id="54" w:name="_Toc247085674"/>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44974483"/>
      <w:bookmarkStart w:id="56" w:name="_Toc246996161"/>
      <w:bookmarkStart w:id="57" w:name="_Toc152042291"/>
      <w:bookmarkStart w:id="58" w:name="_Toc246996904"/>
      <w:bookmarkStart w:id="59" w:name="_Toc247085675"/>
      <w:bookmarkStart w:id="60" w:name="_Toc179632531"/>
      <w:bookmarkStart w:id="61" w:name="_Toc15204551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left="210" w:leftChars="100" w:firstLine="210" w:firstLineChars="1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轮胎</w:t>
      </w:r>
      <w:r>
        <w:rPr>
          <w:rFonts w:hint="eastAsia" w:ascii="宋体" w:hAnsi="宋体" w:cs="宋体"/>
          <w:szCs w:val="21"/>
          <w:highlight w:val="none"/>
          <w:shd w:val="clear" w:color="auto" w:fill="FFFFFF"/>
          <w:lang w:eastAsia="zh-CN"/>
        </w:rPr>
        <w:t>销售</w:t>
      </w:r>
      <w:r>
        <w:rPr>
          <w:rFonts w:hint="eastAsia" w:ascii="宋体" w:hAnsi="宋体" w:cs="宋体"/>
          <w:szCs w:val="21"/>
          <w:highlight w:val="none"/>
          <w:shd w:val="clear" w:color="auto" w:fill="FFFFFF"/>
          <w:lang w:val="en-US" w:eastAsia="zh-CN"/>
        </w:rPr>
        <w:t>或</w:t>
      </w:r>
      <w:r>
        <w:rPr>
          <w:rFonts w:hint="eastAsia" w:ascii="宋体" w:hAnsi="宋体" w:cs="宋体"/>
          <w:szCs w:val="21"/>
          <w:highlight w:val="none"/>
          <w:shd w:val="clear" w:color="auto" w:fill="FFFFFF"/>
          <w:lang w:eastAsia="zh-CN"/>
        </w:rPr>
        <w:t>汽车零配件</w:t>
      </w:r>
      <w:r>
        <w:rPr>
          <w:rFonts w:hint="eastAsia" w:ascii="宋体" w:hAnsi="宋体" w:cs="宋体"/>
          <w:szCs w:val="21"/>
          <w:highlight w:val="none"/>
          <w:shd w:val="clear" w:color="auto" w:fill="FFFFFF"/>
          <w:lang w:val="en-US" w:eastAsia="zh-CN"/>
        </w:rPr>
        <w:t>销售或机动车（汽车）维修等</w:t>
      </w:r>
      <w:r>
        <w:rPr>
          <w:rFonts w:hint="eastAsia" w:ascii="宋体" w:hAnsi="宋体" w:cs="宋体"/>
          <w:szCs w:val="21"/>
          <w:highlight w:val="none"/>
          <w:shd w:val="clear" w:color="auto" w:fill="FFFFFF"/>
          <w:lang w:eastAsia="zh-CN"/>
        </w:rPr>
        <w:t>相关内容。</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3.2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1329216"/>
      <w:bookmarkStart w:id="63" w:name="_Toc507319894"/>
      <w:bookmarkStart w:id="64" w:name="_Toc14361"/>
      <w:bookmarkStart w:id="65" w:name="_Toc12460"/>
      <w:bookmarkStart w:id="66" w:name="_Toc25619"/>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1329217"/>
      <w:bookmarkStart w:id="68" w:name="_Toc144974484"/>
      <w:bookmarkStart w:id="69" w:name="_Toc152042292"/>
      <w:bookmarkStart w:id="70" w:name="_Toc507319895"/>
      <w:bookmarkStart w:id="71" w:name="_Toc246996905"/>
      <w:bookmarkStart w:id="72" w:name="_Toc247085676"/>
      <w:bookmarkStart w:id="73" w:name="_Toc246996162"/>
      <w:bookmarkStart w:id="74" w:name="_Toc179632532"/>
      <w:bookmarkStart w:id="75" w:name="_Toc152045516"/>
      <w:bookmarkStart w:id="76" w:name="_Toc9131"/>
      <w:bookmarkStart w:id="77" w:name="_Toc16686"/>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2022</w:t>
      </w:r>
      <w:r>
        <w:rPr>
          <w:rFonts w:hint="eastAsia" w:ascii="宋体" w:hAnsi="宋体"/>
          <w:szCs w:val="21"/>
          <w:highlight w:val="none"/>
          <w:u w:val="none"/>
        </w:rPr>
        <w:t>年</w:t>
      </w:r>
      <w:r>
        <w:rPr>
          <w:rFonts w:hint="eastAsia" w:ascii="宋体" w:hAnsi="宋体"/>
          <w:szCs w:val="21"/>
          <w:highlight w:val="none"/>
          <w:u w:val="single"/>
          <w:lang w:val="en-US" w:eastAsia="zh-CN"/>
        </w:rPr>
        <w:t>7</w:t>
      </w:r>
      <w:r>
        <w:rPr>
          <w:rFonts w:hint="eastAsia" w:ascii="宋体" w:hAnsi="宋体"/>
          <w:szCs w:val="21"/>
          <w:highlight w:val="none"/>
          <w:u w:val="none"/>
        </w:rPr>
        <w:t>月</w:t>
      </w:r>
      <w:r>
        <w:rPr>
          <w:rFonts w:hint="eastAsia" w:ascii="宋体" w:hAnsi="宋体"/>
          <w:szCs w:val="21"/>
          <w:highlight w:val="none"/>
          <w:u w:val="single"/>
          <w:lang w:val="en-US" w:eastAsia="zh-CN"/>
        </w:rPr>
        <w:t>11</w:t>
      </w:r>
      <w:r>
        <w:rPr>
          <w:rFonts w:hint="eastAsia" w:ascii="宋体" w:hAnsi="宋体"/>
          <w:szCs w:val="21"/>
          <w:highlight w:val="none"/>
          <w:u w:val="none"/>
        </w:rPr>
        <w:t>日</w:t>
      </w:r>
      <w:r>
        <w:rPr>
          <w:rFonts w:hint="eastAsia" w:ascii="宋体" w:hAnsi="宋体"/>
          <w:szCs w:val="21"/>
          <w:highlight w:val="none"/>
          <w:u w:val="none"/>
          <w:lang w:val="en-US" w:eastAsia="zh-CN"/>
        </w:rPr>
        <w:t>下</w:t>
      </w:r>
      <w:r>
        <w:rPr>
          <w:rFonts w:hint="eastAsia" w:ascii="宋体" w:hAnsi="宋体"/>
          <w:szCs w:val="21"/>
          <w:highlight w:val="none"/>
          <w:u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u w:val="single"/>
        </w:rPr>
        <w:t>:</w:t>
      </w:r>
      <w:r>
        <w:rPr>
          <w:rFonts w:hint="eastAsia" w:ascii="宋体" w:hAnsi="宋体"/>
          <w:szCs w:val="21"/>
          <w:highlight w:val="none"/>
          <w:u w:val="single"/>
          <w:lang w:val="en-US" w:eastAsia="zh-CN"/>
        </w:rPr>
        <w:t>3</w:t>
      </w:r>
      <w:r>
        <w:rPr>
          <w:rFonts w:hint="eastAsia" w:ascii="宋体" w:hAnsi="宋体"/>
          <w:szCs w:val="21"/>
          <w:highlight w:val="none"/>
          <w:u w:val="single"/>
        </w:rPr>
        <w:t>0</w:t>
      </w:r>
      <w:r>
        <w:rPr>
          <w:rFonts w:hint="eastAsia" w:ascii="宋体" w:hAnsi="宋体"/>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507319897"/>
      <w:bookmarkStart w:id="80" w:name="_Toc152042293"/>
      <w:bookmarkStart w:id="81" w:name="_Toc247085678"/>
      <w:bookmarkStart w:id="82" w:name="_Toc179632534"/>
      <w:bookmarkStart w:id="83" w:name="_Toc18402"/>
      <w:bookmarkStart w:id="84" w:name="_Toc21615"/>
      <w:bookmarkStart w:id="85" w:name="_Toc393"/>
      <w:bookmarkStart w:id="86" w:name="_Toc246996907"/>
      <w:bookmarkStart w:id="87" w:name="_Toc11329219"/>
      <w:bookmarkStart w:id="88" w:name="_Toc246996164"/>
      <w:bookmarkStart w:id="89" w:name="_Toc152045517"/>
      <w:bookmarkStart w:id="90" w:name="_Toc144974485"/>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11</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报价的递交：重庆市南岸区四公里内环入口200米处重庆首讯科技大楼。</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杨先生  </w:t>
            </w:r>
            <w:r>
              <w:rPr>
                <w:rFonts w:hint="eastAsia" w:ascii="宋体" w:hAnsi="宋体" w:cs="宋体"/>
                <w:szCs w:val="21"/>
                <w:highlight w:val="none"/>
              </w:rPr>
              <w:t>电 话：</w:t>
            </w:r>
            <w:r>
              <w:rPr>
                <w:rFonts w:hint="eastAsia" w:ascii="宋体" w:hAnsi="宋体" w:cs="宋体"/>
                <w:szCs w:val="21"/>
                <w:highlight w:val="none"/>
                <w:lang w:val="en-US" w:eastAsia="zh-CN"/>
              </w:rPr>
              <w:t>13637862889</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246996916"/>
      <w:bookmarkStart w:id="92" w:name="_Toc246996173"/>
      <w:bookmarkStart w:id="93" w:name="_Toc507319898"/>
      <w:bookmarkStart w:id="94" w:name="_Toc247085687"/>
      <w:bookmarkStart w:id="95" w:name="_Toc2000405"/>
      <w:bookmarkStart w:id="96" w:name="_Toc152045527"/>
      <w:bookmarkStart w:id="97" w:name="_Toc179632544"/>
      <w:bookmarkStart w:id="98" w:name="_Toc144974495"/>
      <w:bookmarkStart w:id="99" w:name="_Toc21719"/>
      <w:bookmarkStart w:id="100" w:name="_Toc152042303"/>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址：重庆市南岸区四公里内环入口高速集团首讯科技大楼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杨先生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13637862889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2022年首讯公司主要车型轮胎供货单位选择</w:t>
            </w:r>
            <w:r>
              <w:rPr>
                <w:rFonts w:hint="eastAsia" w:ascii="宋体" w:hAnsi="宋体" w:eastAsia="宋体" w:cs="宋体"/>
                <w:szCs w:val="21"/>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none"/>
                <w:lang w:val="en-US" w:eastAsia="zh-CN"/>
              </w:rPr>
            </w:pPr>
            <w:r>
              <w:rPr>
                <w:rFonts w:hint="eastAsia" w:ascii="宋体" w:hAnsi="宋体"/>
                <w:b/>
                <w:bCs/>
                <w:szCs w:val="21"/>
                <w:highlight w:val="none"/>
                <w:u w:val="none"/>
              </w:rPr>
              <w:t>2022年首讯公司主要车型轮胎供货单位选择</w:t>
            </w:r>
            <w:r>
              <w:rPr>
                <w:rFonts w:hint="eastAsia" w:ascii="宋体" w:hAnsi="宋体"/>
                <w:b/>
                <w:bCs/>
                <w:szCs w:val="21"/>
                <w:highlight w:val="none"/>
                <w:u w:val="none"/>
                <w:lang w:val="en-US" w:eastAsia="zh-CN"/>
              </w:rPr>
              <w:t>项目</w:t>
            </w:r>
            <w:r>
              <w:rPr>
                <w:rFonts w:hint="eastAsia" w:ascii="宋体" w:hAnsi="宋体"/>
                <w:b/>
                <w:bCs/>
                <w:szCs w:val="21"/>
                <w:highlight w:val="none"/>
                <w:u w:val="none"/>
              </w:rPr>
              <w:t>最高限价9014</w:t>
            </w:r>
            <w:r>
              <w:rPr>
                <w:rFonts w:hint="eastAsia" w:ascii="宋体" w:hAnsi="宋体"/>
                <w:b/>
                <w:bCs/>
                <w:szCs w:val="21"/>
                <w:highlight w:val="none"/>
                <w:u w:val="none"/>
                <w:lang w:val="en-US" w:eastAsia="zh-CN"/>
              </w:rPr>
              <w:t>2.00元；</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（1）供货周期为一年，由供货方每季度向甲方发起付款申请，甲方相关人员核对后支付相应金额。若乙方未提出书面申请，则相应的延迟责任由乙方自行承担；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重庆市南岸区四公里内环入口高速集团首讯科技大楼</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30198"/>
      <w:bookmarkStart w:id="104" w:name="_Toc11284"/>
      <w:bookmarkStart w:id="105" w:name="_Toc11329222"/>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27148"/>
      <w:bookmarkStart w:id="108" w:name="_Toc21487"/>
      <w:bookmarkStart w:id="109" w:name="_Toc8293"/>
      <w:bookmarkStart w:id="110" w:name="_Toc11329227"/>
      <w:bookmarkStart w:id="111" w:name="_Toc388534043"/>
      <w:bookmarkStart w:id="112" w:name="_Toc387234996"/>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507319900"/>
            <w:bookmarkStart w:id="114" w:name="_Toc23696"/>
            <w:bookmarkStart w:id="115" w:name="_Toc413241584"/>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836" w:type="dxa"/>
          </w:tcPr>
          <w:p>
            <w:pPr>
              <w:spacing w:line="360" w:lineRule="auto"/>
              <w:ind w:firstLine="420" w:firstLineChars="200"/>
              <w:rPr>
                <w:rFonts w:hint="eastAsia"/>
                <w:lang w:val="en-US" w:eastAsia="zh-CN"/>
              </w:rPr>
            </w:pPr>
            <w:r>
              <w:rPr>
                <w:rFonts w:hint="eastAsia"/>
              </w:rPr>
              <w:t>具有有效的营业执照</w:t>
            </w:r>
            <w:r>
              <w:rPr>
                <w:rFonts w:hint="eastAsia"/>
                <w:lang w:eastAsia="zh-CN"/>
              </w:rPr>
              <w:t>，</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轮胎</w:t>
            </w:r>
            <w:r>
              <w:rPr>
                <w:rFonts w:hint="eastAsia" w:ascii="宋体" w:hAnsi="宋体" w:cs="宋体"/>
                <w:szCs w:val="21"/>
                <w:highlight w:val="none"/>
                <w:shd w:val="clear" w:color="auto" w:fill="FFFFFF"/>
                <w:lang w:eastAsia="zh-CN"/>
              </w:rPr>
              <w:t>销售</w:t>
            </w:r>
            <w:r>
              <w:rPr>
                <w:rFonts w:hint="eastAsia" w:ascii="宋体" w:hAnsi="宋体" w:cs="宋体"/>
                <w:szCs w:val="21"/>
                <w:highlight w:val="none"/>
                <w:shd w:val="clear" w:color="auto" w:fill="FFFFFF"/>
                <w:lang w:val="en-US" w:eastAsia="zh-CN"/>
              </w:rPr>
              <w:t>或</w:t>
            </w:r>
            <w:r>
              <w:rPr>
                <w:rFonts w:hint="eastAsia" w:ascii="宋体" w:hAnsi="宋体" w:cs="宋体"/>
                <w:szCs w:val="21"/>
                <w:highlight w:val="none"/>
                <w:shd w:val="clear" w:color="auto" w:fill="FFFFFF"/>
                <w:lang w:eastAsia="zh-CN"/>
              </w:rPr>
              <w:t>汽车零配件</w:t>
            </w:r>
            <w:r>
              <w:rPr>
                <w:rFonts w:hint="eastAsia" w:ascii="宋体" w:hAnsi="宋体" w:cs="宋体"/>
                <w:szCs w:val="21"/>
                <w:highlight w:val="none"/>
                <w:shd w:val="clear" w:color="auto" w:fill="FFFFFF"/>
                <w:lang w:val="en-US" w:eastAsia="zh-CN"/>
              </w:rPr>
              <w:t>销售或机动车（汽车）维修等</w:t>
            </w:r>
            <w:r>
              <w:rPr>
                <w:rFonts w:hint="eastAsia" w:ascii="宋体" w:hAnsi="宋体" w:cs="宋体"/>
                <w:szCs w:val="21"/>
                <w:highlight w:val="none"/>
                <w:shd w:val="clear" w:color="auto" w:fill="FFFFFF"/>
                <w:lang w:eastAsia="zh-CN"/>
              </w:rPr>
              <w:t>相关内容</w:t>
            </w:r>
            <w:r>
              <w:rPr>
                <w:rFonts w:hint="eastAsia"/>
              </w:rPr>
              <w:t>；</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6096"/>
      <w:bookmarkStart w:id="117" w:name="_Toc17384"/>
      <w:bookmarkStart w:id="118"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152042364"/>
      <w:bookmarkStart w:id="120" w:name="_Toc246996973"/>
      <w:bookmarkStart w:id="121" w:name="_Toc144974554"/>
      <w:bookmarkStart w:id="122" w:name="_Toc152045587"/>
      <w:bookmarkStart w:id="123" w:name="_Toc507319957"/>
      <w:bookmarkStart w:id="124" w:name="_Toc179632605"/>
      <w:bookmarkStart w:id="125" w:name="_Toc7682"/>
      <w:bookmarkStart w:id="126" w:name="_Toc246996230"/>
      <w:bookmarkStart w:id="127" w:name="_Toc247085745"/>
      <w:bookmarkStart w:id="128" w:name="_Toc2000406"/>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授权</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2、本竞争性比选报价采用综合单价报价。包含但不限于完成本项目所需的设备费、</w:t>
      </w:r>
      <w:r>
        <w:rPr>
          <w:rFonts w:hint="default" w:ascii="宋体" w:hAnsi="宋体" w:eastAsia="宋体" w:cs="宋体"/>
          <w:b w:val="0"/>
          <w:bCs w:val="0"/>
          <w:sz w:val="21"/>
          <w:szCs w:val="21"/>
          <w:highlight w:val="none"/>
          <w:lang w:val="en-US" w:eastAsia="zh-CN"/>
        </w:rPr>
        <w:t>设备安装附件的费用、</w:t>
      </w:r>
      <w:r>
        <w:rPr>
          <w:rFonts w:hint="eastAsia" w:ascii="宋体" w:hAnsi="宋体" w:eastAsia="宋体" w:cs="宋体"/>
          <w:b w:val="0"/>
          <w:bCs w:val="0"/>
          <w:sz w:val="21"/>
          <w:szCs w:val="21"/>
          <w:highlight w:val="none"/>
          <w:lang w:val="en-US" w:eastAsia="zh-CN"/>
        </w:rPr>
        <w:t>包装费、质检（自检）、税费、利润、运输、过路过桥费、装卸、保险费、厂验费、派技术人员到现场指导安装、指导调试、技术培训、缺陷责任期的维护修复等一切费用（报价人若有漏项，则被认为此项费用已包含在总报价中）。因中标人自身原因造成漏报、少报皆由其自行承担责任，招标人不再补偿，以及竞争性比选文件中明示或暗示的的所有责任、义务和一般风险。</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、报价中的单价和合价全部以人民币（元）表示。</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、合同为单价合同，合同期间不予调价。</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9、报价人提供的材料设备需在报价清单中明确品牌及型号。</w:t>
      </w:r>
      <w:bookmarkStart w:id="130" w:name="_Toc152042575"/>
      <w:bookmarkStart w:id="131" w:name="_Toc179632806"/>
      <w:bookmarkStart w:id="132" w:name="_Toc144974855"/>
      <w:bookmarkStart w:id="133" w:name="_Toc152045786"/>
      <w:bookmarkStart w:id="134" w:name="_Toc246996354"/>
      <w:bookmarkStart w:id="135" w:name="_Toc247085872"/>
      <w:bookmarkStart w:id="136" w:name="_Toc246997097"/>
    </w:p>
    <w:p>
      <w:pPr>
        <w:rPr>
          <w:rFonts w:hint="eastAsia" w:ascii="宋体" w:hAnsi="宋体" w:cs="宋体"/>
          <w:b w:val="0"/>
          <w:bCs w:val="0"/>
          <w:sz w:val="21"/>
          <w:szCs w:val="21"/>
          <w:highlight w:val="none"/>
          <w:lang w:val="en-US" w:eastAsia="zh-CN"/>
        </w:rPr>
      </w:pPr>
    </w:p>
    <w:p>
      <w:pPr>
        <w:pStyle w:val="2"/>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
        <w:rPr>
          <w:rFonts w:hint="eastAsia"/>
        </w:rPr>
      </w:pPr>
    </w:p>
    <w:p>
      <w:pPr>
        <w:pStyle w:val="3"/>
        <w:spacing w:before="0" w:after="0" w:line="360" w:lineRule="auto"/>
        <w:jc w:val="center"/>
        <w:rPr>
          <w:rFonts w:hint="eastAsia" w:ascii="宋体" w:hAnsi="宋体" w:cs="宋体"/>
          <w:highlight w:val="none"/>
        </w:rPr>
      </w:pPr>
      <w:bookmarkStart w:id="137" w:name="_Toc2000409"/>
      <w:bookmarkStart w:id="138" w:name="_Toc152045772"/>
      <w:bookmarkStart w:id="139" w:name="_Toc246996340"/>
      <w:bookmarkStart w:id="140" w:name="_Toc152042554"/>
      <w:bookmarkStart w:id="141" w:name="_Toc144974834"/>
      <w:bookmarkStart w:id="142" w:name="_Toc514858705"/>
      <w:bookmarkStart w:id="143" w:name="_Toc247085855"/>
      <w:bookmarkStart w:id="144" w:name="_Toc179632789"/>
      <w:bookmarkStart w:id="145" w:name="_Toc24503"/>
      <w:bookmarkStart w:id="146" w:name="_Toc246997083"/>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tbl>
      <w:tblPr>
        <w:tblStyle w:val="41"/>
        <w:tblpPr w:leftFromText="180" w:rightFromText="180" w:vertAnchor="text" w:horzAnchor="page" w:tblpX="1446" w:tblpY="66"/>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634"/>
        <w:gridCol w:w="1122"/>
        <w:gridCol w:w="1658"/>
        <w:gridCol w:w="1878"/>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147" w:name="_Toc247096438"/>
            <w:bookmarkStart w:id="148" w:name="_Toc144974851"/>
            <w:bookmarkStart w:id="149" w:name="_Toc246997093"/>
            <w:bookmarkStart w:id="150" w:name="_Toc152042571"/>
            <w:bookmarkStart w:id="151" w:name="_Toc247085866"/>
            <w:bookmarkStart w:id="152" w:name="_Toc246996350"/>
            <w:bookmarkStart w:id="153" w:name="_Toc152045782"/>
            <w:bookmarkStart w:id="154" w:name="_Toc179632800"/>
            <w:r>
              <w:rPr>
                <w:rFonts w:hint="eastAsia" w:ascii="宋体" w:hAnsi="宋体" w:eastAsia="宋体" w:cs="宋体"/>
                <w:b w:val="0"/>
                <w:bCs w:val="0"/>
                <w:i w:val="0"/>
                <w:iCs w:val="0"/>
                <w:color w:val="000000"/>
                <w:kern w:val="0"/>
                <w:sz w:val="24"/>
                <w:szCs w:val="24"/>
                <w:u w:val="none"/>
                <w:lang w:val="en-US" w:eastAsia="zh-CN"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车型</w:t>
            </w:r>
          </w:p>
        </w:tc>
        <w:tc>
          <w:tcPr>
            <w:tcW w:w="11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车辆数</w:t>
            </w:r>
          </w:p>
        </w:tc>
        <w:tc>
          <w:tcPr>
            <w:tcW w:w="16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预计轮胎数量</w:t>
            </w:r>
          </w:p>
        </w:tc>
        <w:tc>
          <w:tcPr>
            <w:tcW w:w="187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轮胎品牌</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255/60R18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庆铃高架</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6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8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235/75R17.5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庆铃皮卡</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江淮皮卡</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245/65R17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爱知高架</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哈佛H6</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225/65R17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2000410"/>
      <w:bookmarkStart w:id="156" w:name="_Toc12440"/>
      <w:bookmarkStart w:id="157" w:name="_Toc447827048"/>
      <w:bookmarkStart w:id="158" w:name="_Toc513633963"/>
      <w:bookmarkStart w:id="159" w:name="_Toc514858706"/>
      <w:bookmarkStart w:id="160" w:name="_Toc503951042"/>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ascii="宋体" w:hAnsi="宋体" w:cs="宋体"/>
          <w:b/>
          <w:bCs/>
          <w:sz w:val="24"/>
          <w:szCs w:val="24"/>
          <w:highlight w:val="none"/>
          <w:lang w:val="en-US" w:eastAsia="zh-CN"/>
        </w:rPr>
        <w:t>无。</w:t>
      </w:r>
      <w:r>
        <w:rPr>
          <w:rFonts w:hint="eastAsia" w:ascii="宋体" w:hAnsi="宋体" w:cs="宋体"/>
          <w:highlight w:val="none"/>
        </w:rPr>
        <w:br w:type="page"/>
      </w:r>
      <w:bookmarkStart w:id="161" w:name="_Toc144974854"/>
      <w:bookmarkStart w:id="162" w:name="_Toc152045785"/>
      <w:bookmarkStart w:id="163" w:name="_Toc152042574"/>
    </w:p>
    <w:p>
      <w:pPr>
        <w:pStyle w:val="3"/>
        <w:spacing w:before="0" w:after="0" w:line="360" w:lineRule="auto"/>
        <w:jc w:val="center"/>
        <w:rPr>
          <w:rFonts w:hint="eastAsia" w:ascii="宋体" w:hAnsi="宋体" w:cs="宋体"/>
          <w:highlight w:val="none"/>
        </w:rPr>
      </w:pPr>
      <w:bookmarkStart w:id="164" w:name="_Toc246997096"/>
      <w:bookmarkStart w:id="165" w:name="_Toc179632804"/>
      <w:bookmarkStart w:id="166" w:name="_Toc447827049"/>
      <w:bookmarkStart w:id="167" w:name="_Toc10887"/>
      <w:bookmarkStart w:id="168" w:name="_Toc514858707"/>
      <w:bookmarkStart w:id="169" w:name="_Toc246996353"/>
      <w:bookmarkStart w:id="170" w:name="_Toc2000411"/>
      <w:bookmarkStart w:id="171" w:name="_Toc503951043"/>
      <w:bookmarkStart w:id="172" w:name="_Toc513633964"/>
      <w:bookmarkStart w:id="173" w:name="_Toc247085870"/>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514858708"/>
      <w:bookmarkStart w:id="175" w:name="_Toc514430114"/>
      <w:bookmarkStart w:id="176" w:name="_Toc2000412"/>
      <w:bookmarkStart w:id="177" w:name="_Toc12089"/>
      <w:bookmarkStart w:id="178" w:name="_Toc507320039"/>
      <w:bookmarkStart w:id="179" w:name="_Toc179632807"/>
      <w:bookmarkStart w:id="180" w:name="_Toc246997098"/>
      <w:bookmarkStart w:id="181" w:name="_Toc246996355"/>
      <w:bookmarkStart w:id="182" w:name="_Toc144974856"/>
      <w:bookmarkStart w:id="183" w:name="_Toc152045787"/>
      <w:bookmarkStart w:id="184" w:name="_Toc247085873"/>
      <w:bookmarkStart w:id="185" w:name="_Toc152042576"/>
      <w:r>
        <w:rPr>
          <w:rFonts w:hint="eastAsia" w:ascii="宋体" w:hAnsi="宋体" w:cs="宋体"/>
          <w:b/>
          <w:kern w:val="0"/>
          <w:sz w:val="24"/>
          <w:highlight w:val="none"/>
          <w:lang w:val="en-US" w:eastAsia="zh-CN"/>
        </w:rPr>
        <w:t>符合国家标准。</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514858709"/>
      <w:bookmarkStart w:id="188" w:name="_Toc24853"/>
      <w:bookmarkStart w:id="189" w:name="_Toc2000413"/>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13633967"/>
      <w:bookmarkStart w:id="191" w:name="_Toc503971829"/>
      <w:bookmarkStart w:id="192" w:name="_Toc513646738"/>
      <w:bookmarkStart w:id="193" w:name="_Toc503951046"/>
      <w:bookmarkStart w:id="194"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5459"/>
      <w:bookmarkStart w:id="196" w:name="_Toc11329273"/>
      <w:bookmarkStart w:id="197" w:name="_Toc1368"/>
      <w:bookmarkStart w:id="198" w:name="_Toc28780"/>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11329274"/>
      <w:bookmarkStart w:id="200" w:name="_Toc8870"/>
      <w:bookmarkStart w:id="201" w:name="_Toc25874"/>
      <w:bookmarkStart w:id="202" w:name="_Toc29547"/>
      <w:bookmarkStart w:id="203" w:name="_Toc15863"/>
      <w:bookmarkStart w:id="204" w:name="_Toc447827053"/>
      <w:bookmarkStart w:id="205" w:name="_Toc503951048"/>
      <w:bookmarkStart w:id="206" w:name="_Toc513633969"/>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rPr>
        <w:t>2022年首讯公司主要车型轮胎供货单位选择</w:t>
      </w:r>
      <w:r>
        <w:rPr>
          <w:rFonts w:hint="eastAsia" w:ascii="Arial" w:hAnsi="Arial" w:cs="Arial"/>
          <w:color w:val="auto"/>
          <w:sz w:val="24"/>
          <w:highlight w:val="none"/>
          <w:u w:val="single"/>
          <w:lang w:val="en-US" w:eastAsia="zh-CN"/>
        </w:rPr>
        <w:t>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352691662"/>
      <w:bookmarkStart w:id="211" w:name="_Toc369531698"/>
      <w:bookmarkStart w:id="212" w:name="_Toc27897"/>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247514248"/>
      <w:bookmarkStart w:id="214" w:name="_Toc384308377"/>
      <w:bookmarkStart w:id="215" w:name="_Toc144974858"/>
      <w:bookmarkStart w:id="216" w:name="_Toc152045789"/>
      <w:bookmarkStart w:id="217" w:name="_Toc152042578"/>
      <w:bookmarkStart w:id="218" w:name="_Toc369531699"/>
      <w:bookmarkStart w:id="219" w:name="_Toc15573"/>
      <w:bookmarkStart w:id="220" w:name="_Toc361508754"/>
      <w:bookmarkStart w:id="221" w:name="_Toc300835211"/>
      <w:bookmarkStart w:id="222" w:name="_Toc352691663"/>
      <w:bookmarkStart w:id="223" w:name="_Toc247527829"/>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2022年首讯公司主要车型轮胎供货单位选择</w:t>
      </w:r>
      <w:r>
        <w:rPr>
          <w:rFonts w:hint="eastAsia" w:ascii="宋体" w:hAnsi="宋体"/>
          <w:color w:val="000000"/>
          <w:sz w:val="24"/>
          <w:highlight w:val="none"/>
          <w:u w:val="single"/>
          <w:lang w:val="en-US" w:eastAsia="zh-CN"/>
        </w:rPr>
        <w:t>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w:t>
      </w:r>
      <w:r>
        <w:rPr>
          <w:rFonts w:hint="eastAsia" w:ascii="宋体" w:hAnsi="宋体" w:cs="宋体"/>
          <w:b/>
          <w:kern w:val="0"/>
          <w:sz w:val="28"/>
          <w:szCs w:val="28"/>
          <w:highlight w:val="none"/>
        </w:rPr>
        <w:t xml:space="preserve"> </w:t>
      </w:r>
    </w:p>
    <w:tbl>
      <w:tblPr>
        <w:tblStyle w:val="41"/>
        <w:tblpPr w:leftFromText="180" w:rightFromText="180" w:vertAnchor="text" w:horzAnchor="page" w:tblpX="1446" w:tblpY="66"/>
        <w:tblOverlap w:val="never"/>
        <w:tblW w:w="98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88"/>
        <w:gridCol w:w="1146"/>
        <w:gridCol w:w="1707"/>
        <w:gridCol w:w="1768"/>
        <w:gridCol w:w="1415"/>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227" w:name="_Toc513633971"/>
            <w:bookmarkStart w:id="228" w:name="_Toc11329278"/>
            <w:bookmarkStart w:id="229" w:name="_Toc503951050"/>
            <w:bookmarkStart w:id="230" w:name="_Toc247085887"/>
            <w:bookmarkStart w:id="231" w:name="_Toc179632823"/>
            <w:bookmarkStart w:id="232" w:name="_Toc152045803"/>
            <w:bookmarkStart w:id="233" w:name="_Toc152042592"/>
            <w:bookmarkStart w:id="234" w:name="_Toc447827058"/>
            <w:bookmarkStart w:id="235" w:name="_Toc246997112"/>
            <w:bookmarkStart w:id="236" w:name="_Toc144974871"/>
            <w:bookmarkStart w:id="237" w:name="_Toc246996369"/>
            <w:r>
              <w:rPr>
                <w:rFonts w:hint="eastAsia" w:ascii="宋体" w:hAnsi="宋体" w:eastAsia="宋体" w:cs="宋体"/>
                <w:b w:val="0"/>
                <w:bCs w:val="0"/>
                <w:i w:val="0"/>
                <w:iCs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车型</w:t>
            </w:r>
          </w:p>
        </w:tc>
        <w:tc>
          <w:tcPr>
            <w:tcW w:w="11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预计</w:t>
            </w:r>
            <w:r>
              <w:rPr>
                <w:rFonts w:hint="eastAsia" w:ascii="宋体" w:hAnsi="宋体" w:cs="宋体"/>
                <w:b w:val="0"/>
                <w:bCs w:val="0"/>
                <w:i w:val="0"/>
                <w:iCs w:val="0"/>
                <w:color w:val="000000"/>
                <w:kern w:val="0"/>
                <w:sz w:val="24"/>
                <w:szCs w:val="24"/>
                <w:u w:val="none"/>
                <w:lang w:val="en-US" w:eastAsia="zh-CN" w:bidi="ar"/>
              </w:rPr>
              <w:t>轮胎</w:t>
            </w:r>
            <w:r>
              <w:rPr>
                <w:rFonts w:hint="eastAsia" w:ascii="宋体" w:hAnsi="宋体" w:eastAsia="宋体" w:cs="宋体"/>
                <w:b w:val="0"/>
                <w:bCs w:val="0"/>
                <w:i w:val="0"/>
                <w:iCs w:val="0"/>
                <w:color w:val="000000"/>
                <w:kern w:val="0"/>
                <w:sz w:val="24"/>
                <w:szCs w:val="24"/>
                <w:u w:val="none"/>
                <w:lang w:val="en-US" w:eastAsia="zh-CN" w:bidi="ar"/>
              </w:rPr>
              <w:t>数量</w:t>
            </w:r>
          </w:p>
        </w:tc>
        <w:tc>
          <w:tcPr>
            <w:tcW w:w="17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轮胎品牌</w:t>
            </w:r>
          </w:p>
        </w:tc>
        <w:tc>
          <w:tcPr>
            <w:tcW w:w="17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（含税）</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大通皮卡90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255/60R18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大通皮卡70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245/70R16</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庆铃高架</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235/75R17.5</w:t>
            </w:r>
          </w:p>
        </w:tc>
        <w:tc>
          <w:tcPr>
            <w:tcW w:w="14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庆铃皮卡</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245/70R17</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江淮皮卡</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245/65R17</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爱知高架</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700R16</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哈佛H6</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225/65R17</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843"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税金</w:t>
            </w:r>
            <w:r>
              <w:rPr>
                <w:rFonts w:hint="eastAsia" w:ascii="宋体" w:hAnsi="宋体" w:eastAsia="宋体" w:cs="宋体"/>
                <w:b w:val="0"/>
                <w:bCs w:val="0"/>
                <w:i w:val="0"/>
                <w:iCs w:val="0"/>
                <w:color w:val="000000"/>
                <w:kern w:val="0"/>
                <w:sz w:val="24"/>
                <w:szCs w:val="24"/>
                <w:u w:val="none"/>
                <w:lang w:eastAsia="zh-CN" w:bidi="ar"/>
              </w:rPr>
              <w:t>（税率X%）：大写XX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843"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不含税金额合计</w:t>
            </w:r>
            <w:r>
              <w:rPr>
                <w:rFonts w:hint="eastAsia" w:ascii="宋体" w:hAnsi="宋体" w:eastAsia="宋体" w:cs="宋体"/>
                <w:b w:val="0"/>
                <w:bCs w:val="0"/>
                <w:i w:val="0"/>
                <w:iCs w:val="0"/>
                <w:color w:val="000000"/>
                <w:kern w:val="0"/>
                <w:sz w:val="24"/>
                <w:szCs w:val="24"/>
                <w:u w:val="none"/>
                <w:lang w:eastAsia="zh-CN" w:bidi="ar"/>
              </w:rPr>
              <w:t>：大写XX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843"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含税总金额合计</w:t>
            </w:r>
            <w:r>
              <w:rPr>
                <w:rFonts w:hint="eastAsia" w:ascii="宋体" w:hAnsi="宋体" w:eastAsia="宋体" w:cs="宋体"/>
                <w:b w:val="0"/>
                <w:bCs w:val="0"/>
                <w:i w:val="0"/>
                <w:iCs w:val="0"/>
                <w:color w:val="000000"/>
                <w:kern w:val="0"/>
                <w:sz w:val="24"/>
                <w:szCs w:val="24"/>
                <w:u w:val="none"/>
                <w:lang w:eastAsia="zh-CN" w:bidi="ar"/>
              </w:rPr>
              <w:t>：大写XX</w:t>
            </w:r>
          </w:p>
        </w:tc>
      </w:tr>
    </w:tbl>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38" w:name="_Toc18757"/>
      <w:bookmarkStart w:id="239" w:name="_Toc12910"/>
      <w:bookmarkStart w:id="240"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27"/>
      <w:bookmarkEnd w:id="228"/>
      <w:bookmarkEnd w:id="229"/>
      <w:bookmarkEnd w:id="238"/>
      <w:bookmarkEnd w:id="239"/>
      <w:bookmarkEnd w:id="240"/>
    </w:p>
    <w:p>
      <w:pPr>
        <w:pStyle w:val="4"/>
        <w:spacing w:before="0" w:after="0" w:line="360" w:lineRule="auto"/>
        <w:jc w:val="center"/>
        <w:rPr>
          <w:rFonts w:hint="eastAsia" w:ascii="宋体" w:hAnsi="宋体" w:eastAsia="宋体" w:cs="宋体"/>
          <w:sz w:val="28"/>
          <w:highlight w:val="none"/>
        </w:rPr>
      </w:pPr>
      <w:bookmarkStart w:id="241" w:name="_Toc32456"/>
      <w:bookmarkStart w:id="242" w:name="_Toc17915"/>
      <w:bookmarkStart w:id="243"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营业执照、资质证书、信誉等</w:t>
      </w:r>
      <w:r>
        <w:rPr>
          <w:rFonts w:hint="eastAsia" w:ascii="宋体" w:hAnsi="宋体" w:eastAsia="宋体" w:cs="宋体"/>
          <w:sz w:val="28"/>
          <w:highlight w:val="none"/>
          <w:lang w:eastAsia="zh-CN"/>
        </w:rPr>
        <w:t>）</w:t>
      </w:r>
      <w:bookmarkEnd w:id="230"/>
      <w:bookmarkEnd w:id="231"/>
      <w:bookmarkEnd w:id="232"/>
      <w:bookmarkEnd w:id="233"/>
      <w:bookmarkEnd w:id="234"/>
      <w:bookmarkEnd w:id="235"/>
      <w:bookmarkEnd w:id="236"/>
      <w:bookmarkEnd w:id="237"/>
      <w:bookmarkEnd w:id="241"/>
      <w:bookmarkEnd w:id="242"/>
      <w:bookmarkEnd w:id="243"/>
      <w:bookmarkStart w:id="244" w:name="_Toc513633973"/>
      <w:bookmarkStart w:id="245" w:name="_Toc503951055"/>
      <w:bookmarkStart w:id="246" w:name="_Toc447827068"/>
      <w:bookmarkStart w:id="247" w:name="_Toc11329281"/>
      <w:bookmarkStart w:id="248" w:name="_Toc11672"/>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11243"/>
      <w:bookmarkStart w:id="250" w:name="_Toc29559"/>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13633974"/>
      <w:bookmarkStart w:id="253" w:name="_Toc503951058"/>
      <w:r>
        <w:rPr>
          <w:rFonts w:hint="eastAsia" w:ascii="宋体" w:hAnsi="宋体" w:cs="宋体"/>
          <w:sz w:val="28"/>
          <w:highlight w:val="none"/>
        </w:rPr>
        <w:t>（一）</w:t>
      </w:r>
      <w:bookmarkEnd w:id="251"/>
      <w:bookmarkStart w:id="254" w:name="_Toc507681488"/>
      <w:bookmarkStart w:id="255" w:name="_Toc507681700"/>
      <w:bookmarkStart w:id="256" w:name="_Toc504639215"/>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375"/>
      <w:bookmarkStart w:id="258" w:name="_Toc452107137"/>
      <w:bookmarkStart w:id="259" w:name="_Toc50811085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7"/>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pStyle w:val="2"/>
        <w:rPr>
          <w:rFonts w:hint="default" w:ascii="Arial" w:hAnsi="Arial" w:eastAsia="宋体" w:cs="Arial"/>
          <w:b/>
          <w:bCs/>
          <w:caps w:val="0"/>
          <w:color w:val="000000"/>
          <w:kern w:val="2"/>
          <w:sz w:val="24"/>
          <w:szCs w:val="24"/>
          <w:highlight w:val="none"/>
          <w:lang w:val="en-US" w:eastAsia="zh-CN" w:bidi="ar-SA"/>
        </w:rPr>
      </w:pPr>
    </w:p>
    <w:p>
      <w:pPr>
        <w:pStyle w:val="2"/>
        <w:rPr>
          <w:rFonts w:hint="default" w:ascii="Arial" w:hAnsi="Arial" w:eastAsia="宋体" w:cs="Arial"/>
          <w:b/>
          <w:bCs/>
          <w:caps w:val="0"/>
          <w:color w:val="000000"/>
          <w:kern w:val="2"/>
          <w:sz w:val="24"/>
          <w:szCs w:val="24"/>
          <w:highlight w:val="none"/>
          <w:lang w:val="en-US" w:eastAsia="zh-CN" w:bidi="ar-SA"/>
        </w:rPr>
      </w:pPr>
    </w:p>
    <w:bookmarkEnd w:id="252"/>
    <w:bookmarkEnd w:id="253"/>
    <w:p>
      <w:pPr>
        <w:pStyle w:val="2"/>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21E39A-A2A0-44F7-98C5-F0A813C3B34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27E"/>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6E86461"/>
    <w:rsid w:val="374634AB"/>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2C2F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507DCA"/>
    <w:rsid w:val="4BB92D8E"/>
    <w:rsid w:val="4BD07B58"/>
    <w:rsid w:val="4BE87BA5"/>
    <w:rsid w:val="4C3176AB"/>
    <w:rsid w:val="4C415DC1"/>
    <w:rsid w:val="4C6E278E"/>
    <w:rsid w:val="4CFF538B"/>
    <w:rsid w:val="4D4D7800"/>
    <w:rsid w:val="4D7251FF"/>
    <w:rsid w:val="4DA076FA"/>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704BCD"/>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9E744E"/>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02464"/>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B198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5"/>
    <w:semiHidden/>
    <w:qFormat/>
    <w:uiPriority w:val="99"/>
    <w:rPr>
      <w:rFonts w:ascii="Times New Roman" w:hAnsi="Times New Roman" w:eastAsia="宋体" w:cs="Times New Roman"/>
      <w:szCs w:val="24"/>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7"/>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8"/>
    <w:qFormat/>
    <w:uiPriority w:val="0"/>
    <w:rPr>
      <w:rFonts w:ascii="Times New Roman" w:hAnsi="Times New Roman" w:eastAsia="宋体" w:cs="Times New Roman"/>
      <w:sz w:val="18"/>
      <w:szCs w:val="18"/>
    </w:rPr>
  </w:style>
  <w:style w:type="character" w:customStyle="1" w:styleId="70">
    <w:name w:val="标题 9 Char"/>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8"/>
    <w:qFormat/>
    <w:uiPriority w:val="0"/>
    <w:rPr>
      <w:szCs w:val="24"/>
    </w:rPr>
  </w:style>
  <w:style w:type="character" w:customStyle="1" w:styleId="73">
    <w:name w:val="文档结构图 Char"/>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6"/>
    <w:qFormat/>
    <w:uiPriority w:val="0"/>
    <w:rPr>
      <w:rFonts w:ascii="Times New Roman" w:hAnsi="Times New Roman" w:eastAsia="宋体" w:cs="Times New Roman"/>
      <w:sz w:val="18"/>
      <w:szCs w:val="18"/>
    </w:rPr>
  </w:style>
  <w:style w:type="character" w:customStyle="1" w:styleId="78">
    <w:name w:val="标题 8 Char"/>
    <w:link w:val="9"/>
    <w:qFormat/>
    <w:uiPriority w:val="0"/>
    <w:rPr>
      <w:rFonts w:ascii="Arial" w:hAnsi="Arial" w:eastAsia="黑体" w:cs="Times New Roman"/>
      <w:kern w:val="0"/>
      <w:sz w:val="24"/>
      <w:szCs w:val="24"/>
    </w:rPr>
  </w:style>
  <w:style w:type="character" w:customStyle="1" w:styleId="79">
    <w:name w:val="日期 Char"/>
    <w:link w:val="24"/>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7"/>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2"/>
    <w:qFormat/>
    <w:uiPriority w:val="99"/>
    <w:rPr>
      <w:rFonts w:ascii="Courier New" w:hAnsi="Courier New"/>
    </w:rPr>
  </w:style>
  <w:style w:type="character" w:customStyle="1" w:styleId="96">
    <w:name w:val="标题 7 Char"/>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8</TotalTime>
  <ScaleCrop>false</ScaleCrop>
  <LinksUpToDate>false</LinksUpToDate>
  <CharactersWithSpaces>7400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2020-05-11T07:11:00Z</cp:lastPrinted>
  <dcterms:modified xsi:type="dcterms:W3CDTF">2022-07-06T07:03:53Z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