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leftChars="0"/>
        <w:rPr>
          <w:rFonts w:ascii="宋体" w:hAnsi="宋体" w:cs="宋体"/>
          <w:b/>
          <w:sz w:val="28"/>
          <w:szCs w:val="28"/>
        </w:rPr>
      </w:pPr>
      <w:bookmarkStart w:id="0" w:name="_Hlk58760056"/>
      <w:r>
        <w:rPr>
          <w:rFonts w:hint="eastAsia" w:ascii="宋体" w:hAnsi="宋体" w:cs="宋体"/>
          <w:b/>
          <w:sz w:val="28"/>
          <w:szCs w:val="28"/>
        </w:rPr>
        <w:t>项目名称：        重庆高速国储能源投资有限公司</w:t>
      </w:r>
    </w:p>
    <w:p>
      <w:pPr>
        <w:pStyle w:val="9"/>
        <w:spacing w:line="360" w:lineRule="auto"/>
        <w:ind w:leftChars="0"/>
        <w:jc w:val="center"/>
        <w:rPr>
          <w:rFonts w:ascii="宋体" w:hAnsi="宋体" w:cs="宋体"/>
          <w:b/>
          <w:sz w:val="28"/>
          <w:szCs w:val="28"/>
        </w:rPr>
      </w:pPr>
      <w:r>
        <w:rPr>
          <w:rFonts w:hint="eastAsia" w:ascii="宋体" w:hAnsi="宋体" w:cs="宋体"/>
          <w:b/>
          <w:sz w:val="28"/>
          <w:szCs w:val="28"/>
        </w:rPr>
        <w:t>智慧加油站综合运营管理系统二期建设</w:t>
      </w:r>
    </w:p>
    <w:p>
      <w:pPr>
        <w:pStyle w:val="9"/>
        <w:spacing w:line="360" w:lineRule="auto"/>
        <w:ind w:leftChars="0"/>
        <w:rPr>
          <w:rFonts w:ascii="宋体" w:hAnsi="宋体" w:cs="宋体"/>
          <w:b/>
          <w:sz w:val="28"/>
          <w:szCs w:val="28"/>
        </w:rPr>
      </w:pPr>
      <w:r>
        <w:rPr>
          <w:rFonts w:hint="eastAsia" w:ascii="宋体" w:hAnsi="宋体" w:cs="宋体"/>
          <w:b/>
          <w:sz w:val="28"/>
          <w:szCs w:val="28"/>
        </w:rPr>
        <w:t>招标编号：</w:t>
      </w:r>
      <w:bookmarkEnd w:id="0"/>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3"/>
        <w:rPr>
          <w:color w:val="auto"/>
        </w:rPr>
      </w:pPr>
    </w:p>
    <w:p/>
    <w:p>
      <w:pPr>
        <w:pStyle w:val="13"/>
        <w:rPr>
          <w:color w:val="auto"/>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spacing w:val="20"/>
          <w:sz w:val="84"/>
          <w:szCs w:val="84"/>
        </w:rPr>
      </w:pPr>
      <w:bookmarkStart w:id="1" w:name="_Hlk58760076"/>
      <w:r>
        <w:rPr>
          <w:rFonts w:hint="eastAsia" w:ascii="宋体" w:hAnsi="宋体" w:cs="宋体"/>
          <w:b/>
          <w:spacing w:val="20"/>
          <w:sz w:val="84"/>
          <w:szCs w:val="84"/>
          <w:lang w:val="en-US" w:eastAsia="zh-CN"/>
        </w:rPr>
        <w:t>第二次</w:t>
      </w:r>
      <w:bookmarkStart w:id="41" w:name="_GoBack"/>
      <w:bookmarkEnd w:id="41"/>
      <w:r>
        <w:rPr>
          <w:rFonts w:hint="eastAsia" w:ascii="宋体" w:hAnsi="宋体" w:cs="宋体"/>
          <w:b/>
          <w:spacing w:val="20"/>
          <w:sz w:val="84"/>
          <w:szCs w:val="84"/>
        </w:rPr>
        <w:t>竞争性比选文件</w:t>
      </w:r>
      <w:bookmarkEnd w:id="1"/>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3"/>
        <w:rPr>
          <w:color w:val="auto"/>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9"/>
        <w:spacing w:line="360" w:lineRule="auto"/>
        <w:ind w:left="0" w:leftChars="0" w:firstLine="2409" w:firstLineChars="800"/>
        <w:rPr>
          <w:rFonts w:ascii="宋体" w:hAnsi="宋体" w:cs="宋体"/>
          <w:b/>
          <w:sz w:val="30"/>
          <w:szCs w:val="30"/>
        </w:rPr>
      </w:pPr>
      <w:bookmarkStart w:id="2" w:name="_Hlk58760083"/>
      <w:r>
        <w:rPr>
          <w:rFonts w:hint="eastAsia" w:ascii="宋体" w:hAnsi="宋体" w:cs="宋体"/>
          <w:b/>
          <w:sz w:val="30"/>
          <w:szCs w:val="30"/>
        </w:rPr>
        <w:t>重庆</w:t>
      </w:r>
      <w:r>
        <w:rPr>
          <w:rFonts w:hint="eastAsia" w:ascii="宋体" w:hAnsi="宋体" w:cs="宋体"/>
          <w:b/>
          <w:sz w:val="30"/>
          <w:szCs w:val="30"/>
          <w:lang w:eastAsia="zh-Hans"/>
        </w:rPr>
        <w:t>高速国储能源投资有限公司</w:t>
      </w:r>
      <w:r>
        <w:rPr>
          <w:rFonts w:hint="eastAsia" w:ascii="宋体" w:hAnsi="宋体" w:cs="宋体"/>
          <w:b/>
          <w:sz w:val="30"/>
          <w:szCs w:val="30"/>
        </w:rPr>
        <w:t xml:space="preserve"> 制</w:t>
      </w:r>
    </w:p>
    <w:p>
      <w:pPr>
        <w:pStyle w:val="9"/>
        <w:spacing w:line="360" w:lineRule="auto"/>
        <w:ind w:left="99" w:leftChars="47" w:firstLine="3534" w:firstLineChars="1100"/>
        <w:rPr>
          <w:rFonts w:ascii="宋体" w:hAnsi="宋体" w:cs="宋体"/>
          <w:b/>
          <w:sz w:val="32"/>
          <w:szCs w:val="32"/>
        </w:rPr>
      </w:pPr>
      <w:r>
        <w:rPr>
          <w:rFonts w:ascii="宋体" w:hAnsi="宋体" w:cs="宋体"/>
          <w:b/>
          <w:sz w:val="32"/>
          <w:szCs w:val="32"/>
        </w:rPr>
        <w:t>202</w:t>
      </w:r>
      <w:r>
        <w:rPr>
          <w:rFonts w:hint="eastAsia" w:ascii="宋体" w:hAnsi="宋体" w:cs="宋体"/>
          <w:b/>
          <w:sz w:val="32"/>
          <w:szCs w:val="32"/>
        </w:rPr>
        <w:t>2</w:t>
      </w:r>
      <w:r>
        <w:rPr>
          <w:rFonts w:ascii="宋体" w:hAnsi="宋体" w:cs="宋体"/>
          <w:b/>
          <w:sz w:val="32"/>
          <w:szCs w:val="32"/>
        </w:rPr>
        <w:t>年4月</w:t>
      </w:r>
      <w:bookmarkEnd w:id="2"/>
    </w:p>
    <w:p>
      <w:p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spacing w:line="276" w:lineRule="auto"/>
        <w:jc w:val="center"/>
        <w:rPr>
          <w:rFonts w:ascii="宋体" w:hAnsi="宋体" w:cs="宋体"/>
          <w:b/>
          <w:sz w:val="30"/>
          <w:szCs w:val="30"/>
        </w:rPr>
      </w:pPr>
      <w:bookmarkStart w:id="3" w:name="_Hlk62760563"/>
      <w:r>
        <w:rPr>
          <w:rFonts w:hint="eastAsia" w:ascii="宋体" w:hAnsi="宋体" w:cs="宋体"/>
          <w:b/>
          <w:sz w:val="30"/>
          <w:szCs w:val="30"/>
        </w:rPr>
        <w:t>重庆高速国储能源投资有限公司</w:t>
      </w:r>
      <w:bookmarkEnd w:id="3"/>
      <w:r>
        <w:rPr>
          <w:rFonts w:hint="eastAsia" w:ascii="宋体" w:hAnsi="宋体" w:cs="宋体"/>
          <w:b/>
          <w:sz w:val="30"/>
          <w:szCs w:val="30"/>
        </w:rPr>
        <w:t>智慧加油站综合运营管理系统</w:t>
      </w:r>
    </w:p>
    <w:p>
      <w:pPr>
        <w:spacing w:line="276" w:lineRule="auto"/>
        <w:jc w:val="center"/>
        <w:rPr>
          <w:rFonts w:ascii="宋体" w:hAnsi="宋体" w:cs="宋体"/>
          <w:b/>
          <w:sz w:val="30"/>
          <w:szCs w:val="30"/>
        </w:rPr>
      </w:pPr>
      <w:r>
        <w:rPr>
          <w:rFonts w:hint="eastAsia" w:ascii="宋体" w:hAnsi="宋体" w:cs="宋体"/>
          <w:b/>
          <w:sz w:val="30"/>
          <w:szCs w:val="30"/>
        </w:rPr>
        <w:t>竞争性比选公告</w:t>
      </w:r>
    </w:p>
    <w:p>
      <w:pPr>
        <w:spacing w:line="360" w:lineRule="auto"/>
        <w:ind w:firstLine="420" w:firstLineChars="200"/>
        <w:rPr>
          <w:b/>
          <w:szCs w:val="21"/>
        </w:rPr>
      </w:pPr>
      <w:bookmarkStart w:id="4" w:name="_Toc247085682"/>
      <w:bookmarkStart w:id="5" w:name="_Toc152042297"/>
      <w:bookmarkStart w:id="6" w:name="_Toc296602412"/>
      <w:bookmarkStart w:id="7" w:name="_Toc144974489"/>
      <w:bookmarkStart w:id="8" w:name="_Toc152045521"/>
      <w:bookmarkStart w:id="9" w:name="_Toc179632538"/>
      <w:bookmarkStart w:id="10" w:name="_Toc246996911"/>
      <w:bookmarkStart w:id="11" w:name="_Toc246996168"/>
      <w:r>
        <w:rPr>
          <w:rFonts w:hint="eastAsia"/>
          <w:szCs w:val="21"/>
        </w:rPr>
        <w:t>为进一步全面提高重庆高速国储能源投资有限公司的办公效率和管理应用水平，</w:t>
      </w:r>
      <w:bookmarkStart w:id="12" w:name="_Hlk58760114"/>
      <w:r>
        <w:rPr>
          <w:rFonts w:hint="eastAsia"/>
          <w:szCs w:val="21"/>
        </w:rPr>
        <w:t>对本项目</w:t>
      </w:r>
      <w:r>
        <w:rPr>
          <w:rFonts w:hint="eastAsia"/>
          <w:b/>
          <w:szCs w:val="21"/>
        </w:rPr>
        <w:t>重庆高速国储能源投资有限公司智慧加油站综合运营管理系统二期建设</w:t>
      </w:r>
      <w:r>
        <w:rPr>
          <w:rFonts w:hint="eastAsia"/>
          <w:szCs w:val="21"/>
        </w:rPr>
        <w:t>准备组织实施，建设资金来自：业主自筹，项目出资比例为</w:t>
      </w:r>
      <w:r>
        <w:rPr>
          <w:szCs w:val="21"/>
        </w:rPr>
        <w:t>100%</w:t>
      </w:r>
      <w:r>
        <w:rPr>
          <w:rFonts w:hint="eastAsia"/>
          <w:szCs w:val="21"/>
        </w:rPr>
        <w:t>，比选人为重庆高速国储能源投资有限公司。根据国家相关法律法规相关规定，本服务类项目计划以竞争性比选方式确定设计单位，具体情况如下：</w:t>
      </w:r>
      <w:bookmarkEnd w:id="12"/>
      <w:bookmarkStart w:id="13" w:name="_Toc247085681"/>
      <w:bookmarkStart w:id="14" w:name="_Toc152042296"/>
      <w:bookmarkStart w:id="15" w:name="_Toc144974488"/>
      <w:bookmarkStart w:id="16" w:name="_Toc246996910"/>
      <w:bookmarkStart w:id="17" w:name="_Toc179632537"/>
      <w:bookmarkStart w:id="18" w:name="_Toc152045520"/>
      <w:bookmarkStart w:id="19" w:name="_Toc296602411"/>
      <w:bookmarkStart w:id="20" w:name="_Toc246996167"/>
    </w:p>
    <w:p>
      <w:pPr>
        <w:spacing w:line="360" w:lineRule="auto"/>
        <w:rPr>
          <w:b/>
          <w:szCs w:val="21"/>
        </w:rPr>
      </w:pPr>
      <w:r>
        <w:rPr>
          <w:rFonts w:hint="eastAsia"/>
          <w:b/>
          <w:szCs w:val="21"/>
        </w:rPr>
        <w:t>一、项目概况与竞争性比选范围</w:t>
      </w:r>
      <w:bookmarkEnd w:id="13"/>
      <w:bookmarkEnd w:id="14"/>
      <w:bookmarkEnd w:id="15"/>
      <w:bookmarkEnd w:id="16"/>
      <w:bookmarkEnd w:id="17"/>
      <w:bookmarkEnd w:id="18"/>
      <w:bookmarkEnd w:id="19"/>
      <w:bookmarkEnd w:id="20"/>
    </w:p>
    <w:p>
      <w:pPr>
        <w:spacing w:line="360" w:lineRule="auto"/>
        <w:ind w:firstLine="420" w:firstLineChars="200"/>
        <w:rPr>
          <w:szCs w:val="21"/>
        </w:rPr>
      </w:pPr>
      <w:r>
        <w:rPr>
          <w:szCs w:val="21"/>
        </w:rPr>
        <w:t>1</w:t>
      </w:r>
      <w:r>
        <w:rPr>
          <w:rFonts w:hint="eastAsia"/>
          <w:szCs w:val="21"/>
        </w:rPr>
        <w:t>、比选范围：主要包括但不限于包括项目运行情况优化描述、公众号开发模块描述、安全数质量管理模块描述、预警中心模块描述、经营分析模块描述等；在项目内容描述部分，概括目前已有系统的大致框架</w:t>
      </w:r>
      <w:r>
        <w:rPr>
          <w:rFonts w:hint="eastAsia"/>
          <w:szCs w:val="21"/>
          <w:lang w:eastAsia="zh-Hans"/>
        </w:rPr>
        <w:t>和</w:t>
      </w:r>
      <w:r>
        <w:rPr>
          <w:rFonts w:hint="eastAsia"/>
          <w:szCs w:val="21"/>
        </w:rPr>
        <w:t>运行情况；用户环境描述部分，概括各油站及经营部、财务部等使用过程中需要升级完善的部分。安全数质量管理模块描述中，概括在规范化油品安全管理，数质量管理模块中需要包含的部分。进行系统开发，配合并指导安装、调试、试运行、技监检验、验收，技术资料提交、人员培训、质保期内的维修、维护、保养和易损耗件的提供等全部工作内容。</w:t>
      </w:r>
    </w:p>
    <w:p>
      <w:pPr>
        <w:spacing w:line="360" w:lineRule="auto"/>
        <w:ind w:firstLine="420" w:firstLineChars="200"/>
        <w:rPr>
          <w:szCs w:val="21"/>
        </w:rPr>
      </w:pPr>
      <w:r>
        <w:rPr>
          <w:szCs w:val="21"/>
        </w:rPr>
        <w:t>2</w:t>
      </w:r>
      <w:r>
        <w:rPr>
          <w:rFonts w:hint="eastAsia"/>
          <w:szCs w:val="21"/>
        </w:rPr>
        <w:t>、项目地点：</w:t>
      </w:r>
      <w:r>
        <w:rPr>
          <w:rFonts w:hint="eastAsia"/>
          <w:szCs w:val="21"/>
          <w:u w:val="single"/>
        </w:rPr>
        <w:t xml:space="preserve"> 重庆市</w:t>
      </w:r>
      <w:r>
        <w:rPr>
          <w:szCs w:val="21"/>
          <w:u w:val="single"/>
        </w:rPr>
        <w:t xml:space="preserve"> </w:t>
      </w:r>
      <w:r>
        <w:rPr>
          <w:rFonts w:hint="eastAsia"/>
          <w:szCs w:val="21"/>
        </w:rPr>
        <w:t>。</w:t>
      </w:r>
    </w:p>
    <w:p>
      <w:pPr>
        <w:spacing w:line="360" w:lineRule="auto"/>
        <w:ind w:firstLine="420" w:firstLineChars="200"/>
        <w:rPr>
          <w:szCs w:val="21"/>
        </w:rPr>
      </w:pPr>
      <w:r>
        <w:rPr>
          <w:szCs w:val="21"/>
        </w:rPr>
        <w:t>3</w:t>
      </w:r>
      <w:r>
        <w:rPr>
          <w:rFonts w:hint="eastAsia"/>
          <w:szCs w:val="21"/>
        </w:rPr>
        <w:t>、服务周期：</w:t>
      </w:r>
      <w:r>
        <w:rPr>
          <w:szCs w:val="21"/>
          <w:u w:val="single"/>
        </w:rPr>
        <w:t xml:space="preserve"> 120 </w:t>
      </w:r>
      <w:r>
        <w:rPr>
          <w:rFonts w:hint="eastAsia"/>
          <w:szCs w:val="21"/>
        </w:rPr>
        <w:t>日历天（实际服务期以比选人通知时间为准）。</w:t>
      </w:r>
    </w:p>
    <w:p>
      <w:pPr>
        <w:spacing w:line="360" w:lineRule="auto"/>
        <w:ind w:firstLine="420" w:firstLineChars="200"/>
        <w:rPr>
          <w:szCs w:val="21"/>
          <w:highlight w:val="yellow"/>
        </w:rPr>
      </w:pPr>
      <w:r>
        <w:rPr>
          <w:szCs w:val="21"/>
        </w:rPr>
        <w:t>4</w:t>
      </w:r>
      <w:r>
        <w:rPr>
          <w:rFonts w:hint="eastAsia"/>
          <w:szCs w:val="21"/>
        </w:rPr>
        <w:t>、支付条款：</w:t>
      </w:r>
      <w:r>
        <w:rPr>
          <w:rFonts w:hint="eastAsia"/>
          <w:szCs w:val="21"/>
          <w:lang w:eastAsia="zh-Hans"/>
        </w:rPr>
        <w:t>合同签署后，项目启动资金</w:t>
      </w:r>
      <w:r>
        <w:rPr>
          <w:rFonts w:hint="eastAsia"/>
          <w:szCs w:val="21"/>
        </w:rPr>
        <w:t>支付合同总金额的[0]%，系统</w:t>
      </w:r>
      <w:r>
        <w:rPr>
          <w:rFonts w:hint="eastAsia"/>
          <w:szCs w:val="21"/>
          <w:lang w:eastAsia="zh-Hans"/>
        </w:rPr>
        <w:t>初验</w:t>
      </w:r>
      <w:r>
        <w:rPr>
          <w:rFonts w:hint="eastAsia"/>
          <w:szCs w:val="21"/>
        </w:rPr>
        <w:t>合格后支付合同总金额的</w:t>
      </w:r>
      <w:r>
        <w:rPr>
          <w:szCs w:val="21"/>
        </w:rPr>
        <w:t>[</w:t>
      </w:r>
      <w:r>
        <w:rPr>
          <w:rFonts w:hint="eastAsia"/>
          <w:szCs w:val="21"/>
        </w:rPr>
        <w:t>75]%，</w:t>
      </w:r>
      <w:r>
        <w:rPr>
          <w:rFonts w:hint="eastAsia"/>
          <w:szCs w:val="21"/>
          <w:lang w:eastAsia="zh-Hans"/>
        </w:rPr>
        <w:t>系统终验合格后，支付合同总金额的</w:t>
      </w:r>
      <w:r>
        <w:rPr>
          <w:szCs w:val="21"/>
          <w:lang w:eastAsia="zh-Hans"/>
        </w:rPr>
        <w:t>[20]%</w:t>
      </w:r>
      <w:r>
        <w:rPr>
          <w:rFonts w:hint="eastAsia"/>
          <w:szCs w:val="21"/>
          <w:lang w:eastAsia="zh-Hans"/>
        </w:rPr>
        <w:t>，</w:t>
      </w:r>
      <w:r>
        <w:rPr>
          <w:rFonts w:hint="eastAsia"/>
          <w:szCs w:val="21"/>
        </w:rPr>
        <w:t>质保金[5]%在系统运行一年后付清。</w:t>
      </w:r>
    </w:p>
    <w:p>
      <w:pPr>
        <w:spacing w:line="360" w:lineRule="auto"/>
        <w:ind w:firstLine="420" w:firstLineChars="200"/>
        <w:rPr>
          <w:szCs w:val="21"/>
        </w:rPr>
      </w:pPr>
      <w:r>
        <w:rPr>
          <w:rFonts w:hint="eastAsia"/>
          <w:szCs w:val="21"/>
        </w:rPr>
        <w:t>5、安装及验收要求：</w:t>
      </w:r>
    </w:p>
    <w:p>
      <w:pPr>
        <w:spacing w:line="360" w:lineRule="auto"/>
        <w:ind w:firstLine="420" w:firstLineChars="200"/>
        <w:rPr>
          <w:szCs w:val="21"/>
        </w:rPr>
      </w:pPr>
      <w:r>
        <w:rPr>
          <w:szCs w:val="21"/>
        </w:rPr>
        <w:t>5.1</w:t>
      </w:r>
      <w:r>
        <w:rPr>
          <w:rFonts w:hint="eastAsia"/>
          <w:szCs w:val="21"/>
        </w:rPr>
        <w:t>现场的部署调试，由中选人派遣有丰富经验的专业技术人员负责整个部署调试过程，并对因调试所导致的设备损坏承担全部赔偿责任。</w:t>
      </w:r>
    </w:p>
    <w:p>
      <w:pPr>
        <w:spacing w:line="360" w:lineRule="auto"/>
        <w:ind w:firstLine="420" w:firstLineChars="200"/>
        <w:rPr>
          <w:szCs w:val="21"/>
        </w:rPr>
      </w:pPr>
      <w:r>
        <w:rPr>
          <w:szCs w:val="21"/>
        </w:rPr>
        <w:t>5.2</w:t>
      </w:r>
      <w:r>
        <w:rPr>
          <w:rFonts w:hint="eastAsia"/>
          <w:szCs w:val="21"/>
        </w:rPr>
        <w:t>安装、调试完成后，采用实际运行测试的方法，逐一验证各项性能及指标，中选人应保证本次开发的系统在多种状态下正常工作，各项性能及指标均满足合同要求，达到相应技术标准。</w:t>
      </w:r>
    </w:p>
    <w:p>
      <w:pPr>
        <w:spacing w:line="360" w:lineRule="auto"/>
        <w:ind w:firstLine="420" w:firstLineChars="200"/>
        <w:rPr>
          <w:szCs w:val="21"/>
        </w:rPr>
      </w:pPr>
      <w:r>
        <w:rPr>
          <w:szCs w:val="21"/>
        </w:rPr>
        <w:t>5.3</w:t>
      </w:r>
      <w:r>
        <w:rPr>
          <w:rFonts w:hint="eastAsia"/>
          <w:szCs w:val="21"/>
        </w:rPr>
        <w:t>最终验收：双方共同组织，参照本竞争性比选文件中的各项技术指标、规格、性能及开发单位提供的正式技术文件进行，试运行正常并符合比选人提出的相关要求。</w:t>
      </w:r>
    </w:p>
    <w:p>
      <w:pPr>
        <w:spacing w:line="360" w:lineRule="auto"/>
        <w:ind w:firstLine="420" w:firstLineChars="200"/>
        <w:rPr>
          <w:szCs w:val="21"/>
        </w:rPr>
      </w:pPr>
      <w:r>
        <w:rPr>
          <w:szCs w:val="21"/>
        </w:rPr>
        <w:t>5.4</w:t>
      </w:r>
      <w:r>
        <w:rPr>
          <w:rFonts w:hint="eastAsia"/>
          <w:szCs w:val="21"/>
        </w:rPr>
        <w:t>中选人应根据比选人要求，对系统设备运行过程中的缺陷进行软件修改和更换。</w:t>
      </w:r>
    </w:p>
    <w:p>
      <w:pPr>
        <w:spacing w:line="360" w:lineRule="auto"/>
        <w:ind w:firstLine="420" w:firstLineChars="200"/>
        <w:rPr>
          <w:szCs w:val="21"/>
        </w:rPr>
      </w:pPr>
      <w:r>
        <w:rPr>
          <w:rFonts w:hint="eastAsia"/>
          <w:szCs w:val="21"/>
        </w:rPr>
        <w:t>6、质保和售后服务：</w:t>
      </w:r>
    </w:p>
    <w:p>
      <w:pPr>
        <w:spacing w:line="360" w:lineRule="auto"/>
        <w:ind w:firstLine="420" w:firstLineChars="200"/>
        <w:rPr>
          <w:szCs w:val="21"/>
        </w:rPr>
      </w:pPr>
      <w:r>
        <w:rPr>
          <w:rFonts w:hint="eastAsia"/>
          <w:szCs w:val="21"/>
        </w:rPr>
        <w:t>6</w:t>
      </w:r>
      <w:r>
        <w:rPr>
          <w:szCs w:val="21"/>
        </w:rPr>
        <w:t>.1</w:t>
      </w:r>
      <w:r>
        <w:rPr>
          <w:rFonts w:hint="eastAsia"/>
          <w:szCs w:val="21"/>
        </w:rPr>
        <w:t>系统投入运行后，质量实行三包，系统整体质保期至少</w:t>
      </w:r>
      <w:r>
        <w:rPr>
          <w:szCs w:val="21"/>
          <w:u w:val="single"/>
        </w:rPr>
        <w:t xml:space="preserve"> </w:t>
      </w:r>
      <w:r>
        <w:rPr>
          <w:rFonts w:hint="eastAsia"/>
          <w:szCs w:val="21"/>
          <w:u w:val="single"/>
        </w:rPr>
        <w:t>1</w:t>
      </w:r>
      <w:r>
        <w:rPr>
          <w:szCs w:val="21"/>
          <w:u w:val="single"/>
        </w:rPr>
        <w:t xml:space="preserve"> </w:t>
      </w:r>
      <w:r>
        <w:rPr>
          <w:rFonts w:hint="eastAsia"/>
          <w:szCs w:val="21"/>
        </w:rPr>
        <w:t>年（自调试验收合格正式投入使用之日起计算）并提供7×24小时维护和技术支持。</w:t>
      </w:r>
    </w:p>
    <w:p>
      <w:pPr>
        <w:spacing w:line="360" w:lineRule="auto"/>
        <w:ind w:firstLine="420" w:firstLineChars="200"/>
      </w:pPr>
      <w:r>
        <w:rPr>
          <w:rFonts w:hint="eastAsia"/>
          <w:szCs w:val="21"/>
        </w:rPr>
        <w:t>6</w:t>
      </w:r>
      <w:r>
        <w:rPr>
          <w:szCs w:val="21"/>
        </w:rPr>
        <w:t>.2</w:t>
      </w:r>
      <w:r>
        <w:rPr>
          <w:rFonts w:hint="eastAsia"/>
          <w:szCs w:val="21"/>
        </w:rPr>
        <w:t>质保期内中选人应承诺免费对该项目维护。</w:t>
      </w:r>
    </w:p>
    <w:p>
      <w:pPr>
        <w:spacing w:line="360" w:lineRule="auto"/>
        <w:rPr>
          <w:b/>
          <w:szCs w:val="21"/>
        </w:rPr>
      </w:pPr>
      <w:r>
        <w:rPr>
          <w:rFonts w:hint="eastAsia"/>
          <w:b/>
          <w:szCs w:val="21"/>
        </w:rPr>
        <w:t>二、比选申请人资格要求</w:t>
      </w:r>
      <w:bookmarkEnd w:id="4"/>
      <w:bookmarkEnd w:id="5"/>
      <w:bookmarkEnd w:id="6"/>
      <w:bookmarkEnd w:id="7"/>
      <w:bookmarkEnd w:id="8"/>
      <w:bookmarkEnd w:id="9"/>
      <w:bookmarkEnd w:id="10"/>
      <w:bookmarkEnd w:id="11"/>
    </w:p>
    <w:p>
      <w:pPr>
        <w:spacing w:line="360" w:lineRule="auto"/>
        <w:ind w:firstLine="420" w:firstLineChars="200"/>
        <w:rPr>
          <w:szCs w:val="21"/>
        </w:rPr>
      </w:pPr>
      <w:bookmarkStart w:id="21" w:name="_Toc144974490"/>
      <w:bookmarkStart w:id="22" w:name="_Toc296602413"/>
      <w:bookmarkStart w:id="23" w:name="_Toc247085683"/>
      <w:bookmarkStart w:id="24" w:name="_Toc152045522"/>
      <w:bookmarkStart w:id="25" w:name="_Toc246996912"/>
      <w:bookmarkStart w:id="26" w:name="_Toc246996169"/>
      <w:bookmarkStart w:id="27" w:name="_Toc179632539"/>
      <w:bookmarkStart w:id="28" w:name="_Toc152042298"/>
      <w:r>
        <w:rPr>
          <w:rFonts w:hint="eastAsia"/>
          <w:szCs w:val="21"/>
        </w:rPr>
        <w:t>1、资质要求</w:t>
      </w:r>
    </w:p>
    <w:p>
      <w:pPr>
        <w:spacing w:line="360" w:lineRule="auto"/>
        <w:ind w:firstLine="420" w:firstLineChars="200"/>
        <w:rPr>
          <w:szCs w:val="21"/>
        </w:rPr>
      </w:pPr>
      <w:r>
        <w:rPr>
          <w:szCs w:val="21"/>
        </w:rPr>
        <w:t>1.1</w:t>
      </w:r>
      <w:r>
        <w:rPr>
          <w:rFonts w:hint="eastAsia"/>
          <w:szCs w:val="21"/>
        </w:rPr>
        <w:t>比选申请人具</w:t>
      </w:r>
      <w:r>
        <w:rPr>
          <w:rFonts w:hint="eastAsia"/>
        </w:rPr>
        <w:t>备独立的企业法人资格，提供有效</w:t>
      </w:r>
      <w:r>
        <w:rPr>
          <w:rFonts w:hint="eastAsia"/>
          <w:szCs w:val="21"/>
        </w:rPr>
        <w:t>的营业执照（</w:t>
      </w:r>
      <w:r>
        <w:rPr>
          <w:rFonts w:hint="eastAsia"/>
          <w:szCs w:val="21"/>
          <w:lang w:eastAsia="zh-Hans"/>
        </w:rPr>
        <w:t>经营范围包括：</w:t>
      </w:r>
      <w:r>
        <w:rPr>
          <w:rFonts w:hint="eastAsia"/>
          <w:szCs w:val="21"/>
        </w:rPr>
        <w:t>信息系统集成服务、软件开发、计算机软硬件研(开)发、计算机应用技术的研发</w:t>
      </w:r>
      <w:r>
        <w:rPr>
          <w:rFonts w:hint="eastAsia"/>
          <w:szCs w:val="21"/>
          <w:lang w:eastAsia="zh-Hans"/>
        </w:rPr>
        <w:t>，</w:t>
      </w:r>
      <w:r>
        <w:rPr>
          <w:rFonts w:hint="eastAsia"/>
          <w:szCs w:val="21"/>
        </w:rPr>
        <w:t>以上经营范围中，</w:t>
      </w:r>
      <w:r>
        <w:rPr>
          <w:rFonts w:hint="eastAsia"/>
          <w:szCs w:val="21"/>
          <w:lang w:eastAsia="zh-Hans"/>
        </w:rPr>
        <w:t>满足至少一项视为合格，</w:t>
      </w:r>
      <w:r>
        <w:rPr>
          <w:rFonts w:hint="eastAsia"/>
          <w:szCs w:val="21"/>
        </w:rPr>
        <w:t>提供营业执照复印件）。</w:t>
      </w:r>
    </w:p>
    <w:p>
      <w:pPr>
        <w:spacing w:line="360" w:lineRule="auto"/>
        <w:ind w:firstLine="420" w:firstLineChars="200"/>
        <w:rPr>
          <w:szCs w:val="21"/>
        </w:rPr>
      </w:pPr>
      <w:r>
        <w:rPr>
          <w:rFonts w:hint="eastAsia"/>
          <w:szCs w:val="21"/>
        </w:rPr>
        <w:t>1</w:t>
      </w:r>
      <w:r>
        <w:rPr>
          <w:szCs w:val="21"/>
        </w:rPr>
        <w:t>.2</w:t>
      </w:r>
      <w:r>
        <w:rPr>
          <w:rFonts w:hint="eastAsia"/>
          <w:szCs w:val="21"/>
        </w:rPr>
        <w:t>近三年没有处于被责令停业、财产被接管、冻结破产状态，提供书面承诺。</w:t>
      </w:r>
    </w:p>
    <w:p>
      <w:pPr>
        <w:pStyle w:val="2"/>
        <w:ind w:firstLine="420"/>
        <w:rPr>
          <w:szCs w:val="21"/>
        </w:rPr>
      </w:pPr>
      <w:r>
        <w:rPr>
          <w:rFonts w:hint="eastAsia"/>
          <w:szCs w:val="21"/>
        </w:rPr>
        <w:t>1.3 比选申请人需在最近三年内有参加零售类信息化系统的开发经验的业绩证明。</w:t>
      </w:r>
    </w:p>
    <w:p>
      <w:pPr>
        <w:pStyle w:val="2"/>
        <w:ind w:firstLine="420"/>
        <w:rPr>
          <w:szCs w:val="21"/>
        </w:rPr>
      </w:pPr>
      <w:r>
        <w:rPr>
          <w:szCs w:val="21"/>
        </w:rPr>
        <w:t xml:space="preserve">1.4 </w:t>
      </w:r>
      <w:r>
        <w:rPr>
          <w:rFonts w:hint="eastAsia"/>
          <w:szCs w:val="21"/>
          <w:lang w:eastAsia="zh-Hans"/>
        </w:rPr>
        <w:t>比选申请人承诺招标人享有完成系统的独立知识产权，比选人放弃该知识产权的主张。</w:t>
      </w:r>
    </w:p>
    <w:p>
      <w:pPr>
        <w:spacing w:line="360" w:lineRule="auto"/>
        <w:rPr>
          <w:b/>
          <w:szCs w:val="21"/>
        </w:rPr>
      </w:pPr>
      <w:r>
        <w:rPr>
          <w:rFonts w:hint="eastAsia"/>
          <w:b/>
          <w:szCs w:val="21"/>
        </w:rPr>
        <w:t>三、竞争性比选响应文件的相关要求：</w:t>
      </w:r>
    </w:p>
    <w:p>
      <w:pPr>
        <w:spacing w:line="360" w:lineRule="auto"/>
        <w:ind w:firstLine="420" w:firstLineChars="200"/>
        <w:rPr>
          <w:szCs w:val="21"/>
        </w:rPr>
      </w:pPr>
      <w:r>
        <w:rPr>
          <w:szCs w:val="21"/>
        </w:rPr>
        <w:t>1</w:t>
      </w:r>
      <w:r>
        <w:rPr>
          <w:rFonts w:hint="eastAsia"/>
          <w:szCs w:val="21"/>
        </w:rPr>
        <w:t>、本项目最高限价为</w:t>
      </w:r>
      <w:r>
        <w:rPr>
          <w:szCs w:val="21"/>
        </w:rPr>
        <w:t xml:space="preserve"> </w:t>
      </w:r>
      <w:r>
        <w:rPr>
          <w:rFonts w:hint="eastAsia"/>
          <w:szCs w:val="21"/>
          <w:lang w:eastAsia="zh-Hans"/>
        </w:rPr>
        <w:t>¥</w:t>
      </w:r>
      <w:r>
        <w:rPr>
          <w:szCs w:val="21"/>
          <w:lang w:eastAsia="zh-Hans"/>
        </w:rPr>
        <w:t xml:space="preserve"> </w:t>
      </w:r>
      <w:r>
        <w:rPr>
          <w:szCs w:val="21"/>
        </w:rPr>
        <w:t>900,000.00</w:t>
      </w:r>
      <w:r>
        <w:rPr>
          <w:rFonts w:hint="eastAsia"/>
          <w:szCs w:val="21"/>
        </w:rPr>
        <w:t>元，比选申请人的比选总报价不得超过比选人发布的最高报价，否则按否决投标处理。</w:t>
      </w:r>
      <w:bookmarkEnd w:id="21"/>
      <w:bookmarkEnd w:id="22"/>
      <w:bookmarkEnd w:id="23"/>
      <w:bookmarkEnd w:id="24"/>
      <w:bookmarkEnd w:id="25"/>
      <w:bookmarkEnd w:id="26"/>
      <w:bookmarkEnd w:id="27"/>
      <w:bookmarkEnd w:id="28"/>
    </w:p>
    <w:p>
      <w:pPr>
        <w:pStyle w:val="13"/>
        <w:spacing w:line="360" w:lineRule="auto"/>
        <w:ind w:firstLine="418" w:firstLineChars="209"/>
        <w:jc w:val="left"/>
        <w:rPr>
          <w:color w:val="auto"/>
          <w:szCs w:val="21"/>
        </w:rPr>
      </w:pPr>
      <w:r>
        <w:rPr>
          <w:rFonts w:hint="eastAsia"/>
          <w:color w:val="auto"/>
          <w:szCs w:val="21"/>
        </w:rPr>
        <w:t>系统各个功能模块基本要求如下：</w:t>
      </w:r>
    </w:p>
    <w:tbl>
      <w:tblPr>
        <w:tblStyle w:val="17"/>
        <w:tblW w:w="912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155"/>
        <w:gridCol w:w="445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1" w:type="dxa"/>
            <w:shd w:val="clear" w:color="auto" w:fill="9BC2E6"/>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模块</w:t>
            </w:r>
          </w:p>
        </w:tc>
        <w:tc>
          <w:tcPr>
            <w:tcW w:w="2155" w:type="dxa"/>
            <w:shd w:val="clear" w:color="auto" w:fill="9BC2E6"/>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子模块</w:t>
            </w:r>
          </w:p>
        </w:tc>
        <w:tc>
          <w:tcPr>
            <w:tcW w:w="4456" w:type="dxa"/>
            <w:shd w:val="clear" w:color="auto" w:fill="9BC2E6"/>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功能描述</w:t>
            </w:r>
          </w:p>
        </w:tc>
        <w:tc>
          <w:tcPr>
            <w:tcW w:w="2048" w:type="dxa"/>
            <w:shd w:val="clear" w:color="auto" w:fill="9BC2E6"/>
            <w:vAlign w:val="center"/>
          </w:tcPr>
          <w:p>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收银管理</w:t>
            </w: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油品销售功能扩展</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订单</w:t>
            </w:r>
            <w:r>
              <w:rPr>
                <w:rFonts w:hint="eastAsia" w:ascii="宋体" w:hAnsi="宋体" w:cs="宋体"/>
                <w:color w:val="000000"/>
                <w:kern w:val="0"/>
                <w:sz w:val="22"/>
                <w:szCs w:val="22"/>
                <w:lang w:eastAsia="zh-Hans" w:bidi="ar"/>
              </w:rPr>
              <w:t>拆分功能</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现金批量入账</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创建离线订单</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IC卡充值 收款</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IC卡支付订单统计优化</w:t>
            </w:r>
            <w:r>
              <w:rPr>
                <w:rFonts w:hint="eastAsia" w:ascii="宋体" w:hAnsi="宋体" w:cs="宋体"/>
                <w:color w:val="000000"/>
                <w:kern w:val="0"/>
                <w:sz w:val="22"/>
                <w:szCs w:val="22"/>
                <w:lang w:eastAsia="zh-Hans" w:bidi="ar"/>
              </w:rPr>
              <w:t>调整</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订单信息修改</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POS机双向推送开关，支持订单自动推送到POS机</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非油商品销售功能扩展</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非油品赠送</w:t>
            </w:r>
            <w:r>
              <w:rPr>
                <w:rFonts w:hint="eastAsia" w:ascii="宋体" w:hAnsi="宋体" w:cs="宋体"/>
                <w:color w:val="000000"/>
                <w:kern w:val="0"/>
                <w:sz w:val="22"/>
                <w:szCs w:val="22"/>
                <w:lang w:eastAsia="zh-Hans" w:bidi="ar"/>
              </w:rPr>
              <w:t>功能</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非油品赠送与订单关联</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非油品享受换购价</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拆分订单</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61"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油站管理</w:t>
            </w: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非油品管理</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商品管理查询排序优化</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商品库存查询排序优化</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非油商品</w:t>
            </w:r>
            <w:r>
              <w:rPr>
                <w:rFonts w:hint="eastAsia" w:ascii="宋体" w:hAnsi="宋体" w:cs="宋体"/>
                <w:color w:val="000000"/>
                <w:kern w:val="0"/>
                <w:sz w:val="22"/>
                <w:szCs w:val="22"/>
                <w:lang w:eastAsia="zh-Hans" w:bidi="ar"/>
              </w:rPr>
              <w:t>综合管理优化</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非油商品 创建促销规则</w:t>
            </w:r>
          </w:p>
        </w:tc>
        <w:tc>
          <w:tcPr>
            <w:tcW w:w="2048" w:type="dxa"/>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kern w:val="0"/>
                <w:sz w:val="22"/>
                <w:szCs w:val="22"/>
                <w:lang w:bidi="ar"/>
              </w:rPr>
              <w:t>同一商品</w:t>
            </w:r>
            <w:r>
              <w:rPr>
                <w:rFonts w:hint="eastAsia" w:ascii="宋体" w:hAnsi="宋体" w:cs="宋体"/>
                <w:color w:val="000000"/>
                <w:kern w:val="0"/>
                <w:sz w:val="22"/>
                <w:szCs w:val="22"/>
                <w:lang w:eastAsia="zh-Hans" w:bidi="ar"/>
              </w:rPr>
              <w:t>支持多种</w:t>
            </w:r>
            <w:r>
              <w:rPr>
                <w:rFonts w:hint="eastAsia" w:ascii="宋体" w:hAnsi="宋体" w:cs="宋体"/>
                <w:color w:val="000000"/>
                <w:kern w:val="0"/>
                <w:sz w:val="22"/>
                <w:szCs w:val="22"/>
                <w:lang w:bidi="ar"/>
              </w:rPr>
              <w:t>销售状态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单个商品折扣规则制定</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lang w:eastAsia="zh-Hans"/>
              </w:rPr>
            </w:pPr>
            <w:r>
              <w:rPr>
                <w:rFonts w:hint="eastAsia" w:ascii="宋体" w:hAnsi="宋体" w:cs="宋体"/>
                <w:color w:val="000000"/>
                <w:kern w:val="0"/>
                <w:sz w:val="22"/>
                <w:szCs w:val="22"/>
                <w:lang w:eastAsia="zh-Hans" w:bidi="ar"/>
              </w:rPr>
              <w:t>商品库存综合信息管理优化</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商品进货价从商品库存变更到商品管理</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商品管理页面增加商品库导出</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kern w:val="0"/>
                <w:sz w:val="22"/>
                <w:szCs w:val="22"/>
                <w:lang w:bidi="ar"/>
              </w:rPr>
            </w:pPr>
            <w:r>
              <w:rPr>
                <w:rFonts w:hint="eastAsia" w:ascii="宋体" w:hAnsi="宋体" w:cs="宋体"/>
                <w:kern w:val="0"/>
                <w:sz w:val="22"/>
                <w:szCs w:val="22"/>
                <w:lang w:bidi="ar"/>
              </w:rPr>
              <w:t>增加按非油供应商，分时间段导出相应的进销存数据，方便与供应商结算。</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kern w:val="0"/>
                <w:sz w:val="22"/>
                <w:szCs w:val="22"/>
                <w:lang w:bidi="ar"/>
              </w:rPr>
            </w:pPr>
            <w:r>
              <w:rPr>
                <w:rFonts w:hint="eastAsia" w:ascii="宋体" w:hAnsi="宋体" w:cs="宋体"/>
                <w:kern w:val="0"/>
                <w:sz w:val="22"/>
                <w:szCs w:val="22"/>
                <w:lang w:bidi="ar"/>
              </w:rPr>
              <w:t>非油统一销售价格调整后不影响此前非油日报与月报表数据</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商品赠品 导出单个加油站任意时间段内的赠品表格</w:t>
            </w:r>
          </w:p>
        </w:tc>
        <w:tc>
          <w:tcPr>
            <w:tcW w:w="2048" w:type="dxa"/>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订单管理</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赠送非油品与油品订单关联</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油品订单赠送非油品时，根据优惠活动自动计算可以赠送的商品</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订单列表的查询条件扩展</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kern w:val="0"/>
                <w:sz w:val="22"/>
                <w:szCs w:val="22"/>
                <w:lang w:bidi="ar"/>
              </w:rPr>
            </w:pPr>
            <w:r>
              <w:rPr>
                <w:rFonts w:hint="eastAsia" w:ascii="宋体" w:hAnsi="宋体" w:cs="宋体"/>
                <w:kern w:val="0"/>
                <w:sz w:val="22"/>
                <w:szCs w:val="22"/>
                <w:lang w:bidi="ar"/>
              </w:rPr>
              <w:t>优化加油订单拆分后不能在客户加油明细数据显示的问题</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sz w:val="22"/>
                <w:szCs w:val="22"/>
              </w:rPr>
            </w:pPr>
            <w:r>
              <w:rPr>
                <w:rFonts w:hint="eastAsia" w:ascii="宋体" w:hAnsi="宋体" w:cs="宋体"/>
                <w:kern w:val="0"/>
                <w:sz w:val="22"/>
                <w:szCs w:val="22"/>
                <w:lang w:bidi="ar"/>
              </w:rPr>
              <w:t>增加导出油品及非油品销量明细表格，至少能满足导出38天内的数据。我司12月为11.24-12.31</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班组管理</w:t>
            </w:r>
          </w:p>
        </w:tc>
        <w:tc>
          <w:tcPr>
            <w:tcW w:w="4456" w:type="dxa"/>
            <w:shd w:val="clear" w:color="auto" w:fill="auto"/>
            <w:vAlign w:val="center"/>
          </w:tcPr>
          <w:p>
            <w:pPr>
              <w:widowControl/>
              <w:spacing w:line="360" w:lineRule="auto"/>
              <w:jc w:val="center"/>
              <w:textAlignment w:val="center"/>
              <w:rPr>
                <w:rFonts w:ascii="宋体" w:hAnsi="宋体" w:cs="宋体"/>
                <w:sz w:val="22"/>
                <w:szCs w:val="22"/>
              </w:rPr>
            </w:pPr>
            <w:r>
              <w:rPr>
                <w:rFonts w:hint="eastAsia" w:ascii="宋体" w:hAnsi="宋体" w:cs="宋体"/>
                <w:kern w:val="0"/>
                <w:sz w:val="22"/>
                <w:szCs w:val="22"/>
                <w:lang w:bidi="ar"/>
              </w:rPr>
              <w:t>报表统计维度扩展</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sz w:val="22"/>
                <w:szCs w:val="22"/>
              </w:rPr>
            </w:pPr>
            <w:r>
              <w:rPr>
                <w:rFonts w:hint="eastAsia" w:ascii="宋体" w:hAnsi="宋体" w:cs="宋体"/>
                <w:kern w:val="0"/>
                <w:sz w:val="22"/>
                <w:szCs w:val="22"/>
                <w:lang w:bidi="ar"/>
              </w:rPr>
              <w:t>回灌及自用油</w:t>
            </w:r>
            <w:r>
              <w:rPr>
                <w:rFonts w:hint="eastAsia" w:ascii="宋体" w:hAnsi="宋体" w:cs="宋体"/>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会员管理</w:t>
            </w:r>
          </w:p>
        </w:tc>
        <w:tc>
          <w:tcPr>
            <w:tcW w:w="4456" w:type="dxa"/>
            <w:shd w:val="clear" w:color="auto" w:fill="auto"/>
            <w:vAlign w:val="center"/>
          </w:tcPr>
          <w:p>
            <w:pPr>
              <w:widowControl/>
              <w:spacing w:line="360" w:lineRule="auto"/>
              <w:jc w:val="center"/>
              <w:textAlignment w:val="center"/>
              <w:rPr>
                <w:rFonts w:ascii="宋体" w:hAnsi="宋体" w:cs="宋体"/>
                <w:sz w:val="22"/>
                <w:szCs w:val="22"/>
              </w:rPr>
            </w:pPr>
            <w:r>
              <w:rPr>
                <w:rFonts w:hint="eastAsia" w:ascii="宋体" w:hAnsi="宋体" w:cs="宋体"/>
                <w:kern w:val="0"/>
                <w:sz w:val="22"/>
                <w:szCs w:val="22"/>
                <w:lang w:eastAsia="zh-Hans" w:bidi="ar"/>
              </w:rPr>
              <w:t>电子会员账户增加</w:t>
            </w:r>
            <w:r>
              <w:rPr>
                <w:rFonts w:hint="eastAsia" w:ascii="宋体" w:hAnsi="宋体" w:cs="宋体"/>
                <w:kern w:val="0"/>
                <w:sz w:val="22"/>
                <w:szCs w:val="22"/>
                <w:lang w:bidi="ar"/>
              </w:rPr>
              <w:t>透支功能</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sz w:val="22"/>
                <w:szCs w:val="22"/>
              </w:rPr>
            </w:pPr>
            <w:r>
              <w:rPr>
                <w:rFonts w:hint="eastAsia" w:ascii="宋体" w:hAnsi="宋体" w:cs="宋体"/>
                <w:kern w:val="0"/>
                <w:sz w:val="22"/>
                <w:szCs w:val="22"/>
                <w:lang w:bidi="ar"/>
              </w:rPr>
              <w:t>IC卡/电子会员金额卡/电子会员透支卡充值消费明细导出及优化导出表格格式，增加油品单价、油品号</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sz w:val="22"/>
                <w:szCs w:val="22"/>
              </w:rPr>
            </w:pPr>
            <w:r>
              <w:rPr>
                <w:rFonts w:hint="eastAsia" w:ascii="宋体" w:hAnsi="宋体" w:cs="宋体"/>
                <w:kern w:val="0"/>
                <w:sz w:val="22"/>
                <w:szCs w:val="22"/>
                <w:lang w:bidi="ar"/>
              </w:rPr>
              <w:t>电子会员卡充值/消费订单查询（包含充值地点/充值来源）</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sz w:val="22"/>
                <w:szCs w:val="22"/>
              </w:rPr>
            </w:pPr>
            <w:r>
              <w:rPr>
                <w:rFonts w:hint="eastAsia" w:ascii="宋体" w:hAnsi="宋体" w:cs="宋体"/>
                <w:kern w:val="0"/>
                <w:sz w:val="22"/>
                <w:szCs w:val="22"/>
                <w:lang w:bidi="ar"/>
              </w:rPr>
              <w:t>支持IC卡充值/消费订单查询（包含充值地点/充值来源）</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bidi="ar"/>
              </w:rPr>
              <w:t>充值</w:t>
            </w:r>
            <w:r>
              <w:rPr>
                <w:rFonts w:hint="eastAsia" w:ascii="宋体" w:hAnsi="宋体" w:cs="宋体"/>
                <w:color w:val="000000"/>
                <w:kern w:val="0"/>
                <w:sz w:val="22"/>
                <w:szCs w:val="22"/>
                <w:lang w:eastAsia="zh-Hans" w:bidi="ar"/>
              </w:rPr>
              <w:t>行为</w:t>
            </w:r>
            <w:r>
              <w:rPr>
                <w:rFonts w:hint="eastAsia" w:ascii="宋体" w:hAnsi="宋体" w:cs="宋体"/>
                <w:color w:val="000000"/>
                <w:kern w:val="0"/>
                <w:sz w:val="22"/>
                <w:szCs w:val="22"/>
                <w:lang w:bidi="ar"/>
              </w:rPr>
              <w:t>安全性</w:t>
            </w:r>
            <w:r>
              <w:rPr>
                <w:rFonts w:hint="eastAsia" w:ascii="宋体" w:hAnsi="宋体" w:cs="宋体"/>
                <w:color w:val="000000"/>
                <w:kern w:val="0"/>
                <w:sz w:val="22"/>
                <w:szCs w:val="22"/>
                <w:lang w:eastAsia="zh-Hans" w:bidi="ar"/>
              </w:rPr>
              <w:t>强化</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绑定充值电脑的MAC地址</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可透支消费的审批权限给到经营部部长</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电子会员-透支客户，限制可消费站点，公务车挂账客户可以全站使用</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企业子卡</w:t>
            </w:r>
            <w:r>
              <w:rPr>
                <w:rFonts w:hint="eastAsia" w:ascii="宋体" w:hAnsi="宋体" w:cs="宋体"/>
                <w:color w:val="000000"/>
                <w:kern w:val="0"/>
                <w:sz w:val="22"/>
                <w:szCs w:val="22"/>
                <w:lang w:eastAsia="zh-Hans" w:bidi="ar"/>
              </w:rPr>
              <w:t>信息扩展</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充值返利</w:t>
            </w:r>
            <w:r>
              <w:rPr>
                <w:rFonts w:hint="eastAsia" w:ascii="宋体" w:hAnsi="宋体" w:cs="宋体"/>
                <w:color w:val="000000"/>
                <w:kern w:val="0"/>
                <w:sz w:val="22"/>
                <w:szCs w:val="22"/>
                <w:lang w:eastAsia="zh-Hans" w:bidi="ar"/>
              </w:rPr>
              <w:t>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电子会员/IC卡增加开票限制</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企业会员允许手机号重复</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企业会员金额明细显示，增加字段</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可以导出企业会员的消费记录情况</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会员充值规则优化</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会员充值站点增加公司本部</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企业会员支持显示二维码</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1"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发票管理</w:t>
            </w:r>
          </w:p>
        </w:tc>
        <w:tc>
          <w:tcPr>
            <w:tcW w:w="2155"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开票管理</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发票查询优化</w:t>
            </w:r>
          </w:p>
        </w:tc>
        <w:tc>
          <w:tcPr>
            <w:tcW w:w="2048" w:type="dxa"/>
            <w:vMerge w:val="restart"/>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公司信息维护</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lang w:eastAsia="zh-Hans"/>
              </w:rPr>
            </w:pPr>
            <w:r>
              <w:rPr>
                <w:rFonts w:hint="eastAsia" w:ascii="宋体" w:hAnsi="宋体" w:cs="宋体"/>
                <w:color w:val="000000"/>
                <w:sz w:val="22"/>
                <w:szCs w:val="22"/>
                <w:lang w:eastAsia="zh-Hans"/>
              </w:rPr>
              <w:t>系统查询发票状态优化</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会员累计油品开票，主动勾选开票</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批量开票的限制条件</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专用发票开票申请流程</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spacing w:line="360" w:lineRule="auto"/>
              <w:jc w:val="center"/>
              <w:rPr>
                <w:rFonts w:ascii="宋体" w:hAnsi="宋体" w:cs="宋体"/>
                <w:color w:val="000000"/>
                <w:sz w:val="22"/>
                <w:szCs w:val="22"/>
              </w:rPr>
            </w:pP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充值类发票开票</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61" w:type="dxa"/>
            <w:shd w:val="clear" w:color="auto" w:fill="auto"/>
            <w:vAlign w:val="center"/>
          </w:tcPr>
          <w:p>
            <w:pPr>
              <w:spacing w:line="360" w:lineRule="auto"/>
              <w:jc w:val="center"/>
              <w:rPr>
                <w:rFonts w:ascii="宋体" w:hAnsi="宋体" w:cs="宋体"/>
                <w:color w:val="000000"/>
                <w:sz w:val="22"/>
                <w:szCs w:val="22"/>
              </w:rPr>
            </w:pPr>
          </w:p>
        </w:tc>
        <w:tc>
          <w:tcPr>
            <w:tcW w:w="2155" w:type="dxa"/>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财务报表</w:t>
            </w:r>
          </w:p>
        </w:tc>
        <w:tc>
          <w:tcPr>
            <w:tcW w:w="4456" w:type="dxa"/>
            <w:shd w:val="clear" w:color="auto" w:fill="auto"/>
            <w:vAlign w:val="center"/>
          </w:tcPr>
          <w:p>
            <w:pPr>
              <w:widowControl/>
              <w:spacing w:line="360" w:lineRule="auto"/>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加油站月报表及计算汇总表更新</w:t>
            </w:r>
          </w:p>
        </w:tc>
        <w:tc>
          <w:tcPr>
            <w:tcW w:w="2048" w:type="dxa"/>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按照财务部最新要求，更新报表模板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restart"/>
            <w:shd w:val="clear" w:color="auto" w:fill="auto"/>
            <w:vAlign w:val="center"/>
          </w:tcPr>
          <w:p>
            <w:pPr>
              <w:spacing w:line="360" w:lineRule="auto"/>
              <w:jc w:val="center"/>
              <w:rPr>
                <w:rFonts w:ascii="宋体" w:hAnsi="宋体" w:cs="宋体"/>
                <w:color w:val="000000"/>
                <w:sz w:val="22"/>
                <w:szCs w:val="22"/>
              </w:rPr>
            </w:pPr>
            <w:r>
              <w:rPr>
                <w:rFonts w:hint="eastAsia" w:ascii="宋体" w:hAnsi="宋体" w:cs="宋体"/>
                <w:color w:val="000000"/>
                <w:sz w:val="22"/>
                <w:szCs w:val="22"/>
              </w:rPr>
              <w:t>经营分析</w:t>
            </w:r>
          </w:p>
        </w:tc>
        <w:tc>
          <w:tcPr>
            <w:tcW w:w="2155"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油卡消费</w:t>
            </w:r>
          </w:p>
        </w:tc>
        <w:tc>
          <w:tcPr>
            <w:tcW w:w="4456" w:type="dxa"/>
            <w:shd w:val="clear" w:color="auto" w:fill="auto"/>
            <w:vAlign w:val="center"/>
          </w:tcPr>
          <w:p>
            <w:pPr>
              <w:widowControl/>
              <w:spacing w:line="360" w:lineRule="auto"/>
              <w:jc w:val="center"/>
              <w:textAlignment w:val="center"/>
              <w:rPr>
                <w:rFonts w:ascii="宋体" w:hAnsi="宋体" w:cs="宋体"/>
                <w:color w:val="70AD47"/>
                <w:sz w:val="22"/>
                <w:szCs w:val="22"/>
              </w:rPr>
            </w:pPr>
            <w:r>
              <w:rPr>
                <w:rFonts w:hint="eastAsia" w:ascii="宋体" w:hAnsi="宋体" w:cs="宋体"/>
                <w:kern w:val="0"/>
                <w:sz w:val="22"/>
                <w:szCs w:val="22"/>
                <w:lang w:bidi="ar"/>
              </w:rPr>
              <w:t>油卡赊销客户的消费报表</w:t>
            </w:r>
          </w:p>
        </w:tc>
        <w:tc>
          <w:tcPr>
            <w:tcW w:w="2048" w:type="dxa"/>
            <w:vMerge w:val="restart"/>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根据国储工作流程变更需求，进行报表调整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订单分析</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异常订单分析功能</w:t>
            </w:r>
          </w:p>
        </w:tc>
        <w:tc>
          <w:tcPr>
            <w:tcW w:w="2048" w:type="dxa"/>
            <w:vMerge w:val="continue"/>
            <w:shd w:val="clear" w:color="auto" w:fill="auto"/>
            <w:vAlign w:val="center"/>
          </w:tcPr>
          <w:p>
            <w:pPr>
              <w:spacing w:line="360" w:lineRule="auto"/>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1" w:type="dxa"/>
            <w:vMerge w:val="restart"/>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预警中心</w:t>
            </w:r>
          </w:p>
        </w:tc>
        <w:tc>
          <w:tcPr>
            <w:tcW w:w="2155"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油罐预警</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查看达到预警值的油罐数据</w:t>
            </w:r>
          </w:p>
        </w:tc>
        <w:tc>
          <w:tcPr>
            <w:tcW w:w="2048" w:type="dxa"/>
            <w:vMerge w:val="restart"/>
            <w:shd w:val="clear" w:color="auto" w:fill="auto"/>
            <w:vAlign w:val="center"/>
          </w:tcPr>
          <w:p>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新建预警中心，该中心可以接受到系统发出的预警信息，并显示在预警中心中，另外根据需求，系统可自动发送预警邮件到设定的电子邮箱。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61" w:type="dxa"/>
            <w:vMerge w:val="continue"/>
            <w:shd w:val="clear" w:color="auto" w:fill="auto"/>
            <w:vAlign w:val="center"/>
          </w:tcPr>
          <w:p>
            <w:pPr>
              <w:spacing w:line="360" w:lineRule="auto"/>
              <w:jc w:val="center"/>
              <w:rPr>
                <w:rFonts w:ascii="宋体" w:hAnsi="宋体" w:cs="宋体"/>
                <w:color w:val="000000"/>
                <w:sz w:val="22"/>
                <w:szCs w:val="22"/>
              </w:rPr>
            </w:pPr>
          </w:p>
        </w:tc>
        <w:tc>
          <w:tcPr>
            <w:tcW w:w="2155"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商品库存预警</w:t>
            </w:r>
          </w:p>
        </w:tc>
        <w:tc>
          <w:tcPr>
            <w:tcW w:w="4456" w:type="dxa"/>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查看达到预警值的商品库存</w:t>
            </w:r>
          </w:p>
        </w:tc>
        <w:tc>
          <w:tcPr>
            <w:tcW w:w="2048" w:type="dxa"/>
            <w:vMerge w:val="continue"/>
            <w:shd w:val="clear" w:color="auto" w:fill="auto"/>
            <w:vAlign w:val="center"/>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61" w:type="dxa"/>
            <w:vMerge w:val="restart"/>
            <w:shd w:val="clear" w:color="auto" w:fill="auto"/>
            <w:vAlign w:val="center"/>
          </w:tcPr>
          <w:p>
            <w:pPr>
              <w:widowControl/>
              <w:spacing w:line="360" w:lineRule="auto"/>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安全与数质量管理模块</w:t>
            </w:r>
          </w:p>
        </w:tc>
        <w:tc>
          <w:tcPr>
            <w:tcW w:w="2155" w:type="dxa"/>
            <w:vMerge w:val="restart"/>
            <w:shd w:val="clear" w:color="auto" w:fill="auto"/>
            <w:vAlign w:val="center"/>
          </w:tcPr>
          <w:p>
            <w:pPr>
              <w:widowControl/>
              <w:spacing w:line="360" w:lineRule="auto"/>
              <w:jc w:val="left"/>
              <w:textAlignment w:val="center"/>
              <w:rPr>
                <w:rFonts w:ascii="宋体" w:hAnsi="宋体" w:cs="宋体"/>
                <w:color w:val="000000"/>
                <w:sz w:val="22"/>
                <w:szCs w:val="22"/>
              </w:rPr>
            </w:pPr>
            <w:r>
              <w:rPr>
                <w:rFonts w:hint="eastAsia" w:ascii="宋体" w:hAnsi="宋体" w:cs="宋体"/>
                <w:color w:val="000000"/>
                <w:sz w:val="22"/>
                <w:szCs w:val="22"/>
              </w:rPr>
              <w:t>根据油品销售管理办法中，油品类商品的安全、数量、质量管理办法。独立开发安全与数质量管理模块。该模块可根据系统读取的各类参数进行油品综合安全数质量管理。并根据管理流程要求，输出各种预警信息和报表数据。</w:t>
            </w: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根据油罐的容积表（手动填入数据），生成油罐的点位示意图（通过示意图可查询出点位相应的升数）</w:t>
            </w:r>
          </w:p>
        </w:tc>
        <w:tc>
          <w:tcPr>
            <w:tcW w:w="2048" w:type="dxa"/>
            <w:shd w:val="clear" w:color="auto" w:fill="auto"/>
            <w:vAlign w:val="center"/>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油罐的当前容量通过图表显示</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进油时，Vt和V20的换算（卸油状态、油水总高、水高、油温、卸油时间、期间付油等数据），损益率的自动计算</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油品盘存时，油罐的出油数据、油枪的出油数据对比</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油品盘存表，盘盈增加盘盈升数和损益率字段（每日盘存损益、累计损益）</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油品盘存表，销售密度手动录入，吨数自动改变（可查询每月销售密度和吨位）</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油罐状态里，预警增加（高\低）位预警设置</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continue"/>
            <w:shd w:val="clear" w:color="auto" w:fill="auto"/>
          </w:tcPr>
          <w:p>
            <w:pPr>
              <w:spacing w:line="360" w:lineRule="auto"/>
              <w:jc w:val="center"/>
              <w:rPr>
                <w:rFonts w:ascii="宋体" w:hAnsi="宋体" w:cs="宋体"/>
                <w:color w:val="000000"/>
                <w:sz w:val="22"/>
                <w:szCs w:val="22"/>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rPr>
            </w:pPr>
          </w:p>
        </w:tc>
        <w:tc>
          <w:tcPr>
            <w:tcW w:w="4456" w:type="dxa"/>
            <w:shd w:val="clear" w:color="auto" w:fill="auto"/>
            <w:vAlign w:val="center"/>
          </w:tcPr>
          <w:p>
            <w:pPr>
              <w:widowControl/>
              <w:spacing w:line="360" w:lineRule="auto"/>
              <w:jc w:val="left"/>
              <w:textAlignment w:val="center"/>
              <w:rPr>
                <w:rFonts w:ascii="宋体" w:hAnsi="宋体" w:cs="宋体"/>
                <w:color w:val="000000"/>
                <w:szCs w:val="21"/>
              </w:rPr>
            </w:pPr>
            <w:r>
              <w:rPr>
                <w:rFonts w:hint="eastAsia" w:ascii="宋体" w:hAnsi="宋体" w:cs="宋体"/>
                <w:color w:val="000000"/>
                <w:kern w:val="0"/>
                <w:szCs w:val="21"/>
                <w:lang w:bidi="ar"/>
              </w:rPr>
              <w:t>油罐状态里，增加V20体积显示</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restart"/>
            <w:shd w:val="clear" w:color="auto" w:fill="auto"/>
          </w:tcPr>
          <w:p>
            <w:pPr>
              <w:spacing w:line="360" w:lineRule="auto"/>
              <w:jc w:val="center"/>
              <w:rPr>
                <w:rFonts w:ascii="宋体" w:hAnsi="宋体" w:cs="宋体"/>
                <w:color w:val="000000"/>
                <w:sz w:val="22"/>
                <w:szCs w:val="22"/>
                <w:lang w:eastAsia="zh-Hans"/>
              </w:rPr>
            </w:pPr>
            <w:r>
              <w:rPr>
                <w:rFonts w:hint="eastAsia" w:ascii="宋体" w:hAnsi="宋体" w:cs="宋体"/>
                <w:color w:val="000000"/>
                <w:sz w:val="22"/>
                <w:szCs w:val="22"/>
                <w:lang w:eastAsia="zh-Hans"/>
              </w:rPr>
              <w:t>公众号模块</w:t>
            </w:r>
          </w:p>
        </w:tc>
        <w:tc>
          <w:tcPr>
            <w:tcW w:w="2155" w:type="dxa"/>
            <w:vMerge w:val="restart"/>
            <w:shd w:val="clear" w:color="auto" w:fill="auto"/>
            <w:vAlign w:val="center"/>
          </w:tcPr>
          <w:p>
            <w:pPr>
              <w:widowControl/>
              <w:spacing w:line="360" w:lineRule="auto"/>
              <w:jc w:val="left"/>
              <w:textAlignment w:val="center"/>
              <w:rPr>
                <w:rFonts w:ascii="宋体" w:hAnsi="宋体" w:cs="宋体"/>
                <w:color w:val="000000"/>
                <w:sz w:val="22"/>
                <w:szCs w:val="22"/>
                <w:lang w:eastAsia="zh-Hans"/>
              </w:rPr>
            </w:pPr>
            <w:r>
              <w:rPr>
                <w:rFonts w:hint="eastAsia" w:ascii="宋体" w:hAnsi="宋体" w:cs="宋体"/>
                <w:color w:val="000000"/>
                <w:sz w:val="22"/>
                <w:szCs w:val="22"/>
                <w:lang w:eastAsia="zh-Hans"/>
              </w:rPr>
              <w:t>对公司申请完成的公众号进行建设，可实现客户自助完成消费记录查询、发票开具、客户信息维护等功能。</w:t>
            </w:r>
          </w:p>
        </w:tc>
        <w:tc>
          <w:tcPr>
            <w:tcW w:w="4456" w:type="dxa"/>
            <w:shd w:val="clear" w:color="auto" w:fill="auto"/>
            <w:vAlign w:val="center"/>
          </w:tcPr>
          <w:p>
            <w:pPr>
              <w:widowControl/>
              <w:spacing w:line="360" w:lineRule="auto"/>
              <w:jc w:val="left"/>
              <w:textAlignment w:val="center"/>
              <w:rPr>
                <w:rFonts w:ascii="宋体" w:hAnsi="宋体" w:cs="宋体"/>
                <w:color w:val="000000"/>
                <w:kern w:val="0"/>
                <w:szCs w:val="21"/>
                <w:lang w:eastAsia="zh-Hans" w:bidi="ar"/>
              </w:rPr>
            </w:pPr>
            <w:r>
              <w:rPr>
                <w:rFonts w:hint="eastAsia" w:ascii="宋体" w:hAnsi="宋体" w:cs="宋体"/>
                <w:color w:val="000000"/>
                <w:kern w:val="0"/>
                <w:szCs w:val="21"/>
                <w:lang w:eastAsia="zh-Hans" w:bidi="ar"/>
              </w:rPr>
              <w:t>企业开通服务号，成为企业招收电子会员的主要渠道，客户点击关注后，即自动成为企业电子会员，电子会员应具备唯一性和实名制</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continue"/>
            <w:shd w:val="clear" w:color="auto" w:fill="auto"/>
          </w:tcPr>
          <w:p>
            <w:pPr>
              <w:spacing w:line="360" w:lineRule="auto"/>
              <w:jc w:val="center"/>
              <w:rPr>
                <w:rFonts w:ascii="宋体" w:hAnsi="宋体" w:cs="宋体"/>
                <w:color w:val="000000"/>
                <w:sz w:val="22"/>
                <w:szCs w:val="22"/>
                <w:lang w:eastAsia="zh-Hans"/>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lang w:eastAsia="zh-Hans"/>
              </w:rPr>
            </w:pPr>
          </w:p>
        </w:tc>
        <w:tc>
          <w:tcPr>
            <w:tcW w:w="4456" w:type="dxa"/>
            <w:shd w:val="clear" w:color="auto" w:fill="auto"/>
            <w:vAlign w:val="center"/>
          </w:tcPr>
          <w:p>
            <w:pPr>
              <w:widowControl/>
              <w:spacing w:line="360" w:lineRule="auto"/>
              <w:jc w:val="left"/>
              <w:textAlignment w:val="center"/>
              <w:rPr>
                <w:rFonts w:ascii="宋体" w:hAnsi="宋体" w:cs="宋体"/>
                <w:color w:val="000000"/>
                <w:kern w:val="0"/>
                <w:szCs w:val="21"/>
                <w:lang w:eastAsia="zh-Hans" w:bidi="ar"/>
              </w:rPr>
            </w:pPr>
            <w:r>
              <w:rPr>
                <w:rFonts w:hint="eastAsia" w:ascii="宋体" w:hAnsi="宋体" w:cs="宋体"/>
                <w:color w:val="000000"/>
                <w:kern w:val="0"/>
                <w:szCs w:val="21"/>
                <w:lang w:eastAsia="zh-Hans" w:bidi="ar"/>
              </w:rPr>
              <w:t>电子会员可自助查询会员信息、消费记录</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continue"/>
            <w:shd w:val="clear" w:color="auto" w:fill="auto"/>
          </w:tcPr>
          <w:p>
            <w:pPr>
              <w:spacing w:line="360" w:lineRule="auto"/>
              <w:jc w:val="center"/>
              <w:rPr>
                <w:rFonts w:ascii="宋体" w:hAnsi="宋体" w:cs="宋体"/>
                <w:color w:val="000000"/>
                <w:sz w:val="22"/>
                <w:szCs w:val="22"/>
                <w:lang w:eastAsia="zh-Hans"/>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lang w:eastAsia="zh-Hans"/>
              </w:rPr>
            </w:pPr>
          </w:p>
        </w:tc>
        <w:tc>
          <w:tcPr>
            <w:tcW w:w="4456" w:type="dxa"/>
            <w:shd w:val="clear" w:color="auto" w:fill="auto"/>
            <w:vAlign w:val="center"/>
          </w:tcPr>
          <w:p>
            <w:pPr>
              <w:widowControl/>
              <w:spacing w:line="360" w:lineRule="auto"/>
              <w:jc w:val="left"/>
              <w:textAlignment w:val="center"/>
              <w:rPr>
                <w:rFonts w:ascii="宋体" w:hAnsi="宋体" w:cs="宋体"/>
                <w:kern w:val="0"/>
                <w:szCs w:val="21"/>
                <w:lang w:bidi="ar"/>
              </w:rPr>
            </w:pPr>
            <w:r>
              <w:rPr>
                <w:rFonts w:hint="eastAsia" w:ascii="宋体" w:hAnsi="宋体" w:cs="宋体"/>
                <w:kern w:val="0"/>
                <w:szCs w:val="21"/>
                <w:lang w:bidi="ar"/>
              </w:rPr>
              <w:t>微信公众号电子会员卡促销活动支持：优惠劵、非油优惠劵及核销、满减、</w:t>
            </w:r>
            <w:r>
              <w:rPr>
                <w:rFonts w:ascii="宋体" w:hAnsi="宋体" w:cs="宋体"/>
                <w:kern w:val="0"/>
                <w:szCs w:val="21"/>
                <w:lang w:bidi="ar"/>
              </w:rPr>
              <w:t>升级会员体系</w:t>
            </w:r>
            <w:r>
              <w:rPr>
                <w:rFonts w:hint="eastAsia" w:ascii="宋体" w:hAnsi="宋体" w:cs="宋体"/>
                <w:kern w:val="0"/>
                <w:szCs w:val="21"/>
                <w:lang w:bidi="ar"/>
              </w:rPr>
              <w:t>，设置规则根据周期内加油金额自动变更会员等级及对应的优惠政策。</w:t>
            </w:r>
          </w:p>
        </w:tc>
        <w:tc>
          <w:tcPr>
            <w:tcW w:w="2048" w:type="dxa"/>
            <w:shd w:val="clear" w:color="auto" w:fill="auto"/>
          </w:tcPr>
          <w:p>
            <w:pPr>
              <w:spacing w:line="360" w:lineRule="auto"/>
              <w:jc w:val="left"/>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61" w:type="dxa"/>
            <w:vMerge w:val="continue"/>
            <w:shd w:val="clear" w:color="auto" w:fill="auto"/>
          </w:tcPr>
          <w:p>
            <w:pPr>
              <w:spacing w:line="360" w:lineRule="auto"/>
              <w:jc w:val="center"/>
              <w:rPr>
                <w:rFonts w:ascii="宋体" w:hAnsi="宋体" w:cs="宋体"/>
                <w:color w:val="000000"/>
                <w:sz w:val="22"/>
                <w:szCs w:val="22"/>
                <w:lang w:eastAsia="zh-Hans"/>
              </w:rPr>
            </w:pPr>
          </w:p>
        </w:tc>
        <w:tc>
          <w:tcPr>
            <w:tcW w:w="2155" w:type="dxa"/>
            <w:vMerge w:val="continue"/>
            <w:shd w:val="clear" w:color="auto" w:fill="auto"/>
            <w:vAlign w:val="center"/>
          </w:tcPr>
          <w:p>
            <w:pPr>
              <w:widowControl/>
              <w:spacing w:line="360" w:lineRule="auto"/>
              <w:jc w:val="left"/>
              <w:textAlignment w:val="center"/>
              <w:rPr>
                <w:rFonts w:ascii="宋体" w:hAnsi="宋体" w:cs="宋体"/>
                <w:color w:val="000000"/>
                <w:sz w:val="22"/>
                <w:szCs w:val="22"/>
                <w:lang w:eastAsia="zh-Hans"/>
              </w:rPr>
            </w:pPr>
          </w:p>
        </w:tc>
        <w:tc>
          <w:tcPr>
            <w:tcW w:w="4456" w:type="dxa"/>
            <w:shd w:val="clear" w:color="auto" w:fill="auto"/>
            <w:vAlign w:val="center"/>
          </w:tcPr>
          <w:p>
            <w:pPr>
              <w:widowControl/>
              <w:spacing w:line="360" w:lineRule="auto"/>
              <w:jc w:val="left"/>
              <w:textAlignment w:val="center"/>
              <w:rPr>
                <w:rFonts w:ascii="宋体" w:hAnsi="宋体" w:cs="宋体"/>
                <w:color w:val="000000"/>
                <w:kern w:val="0"/>
                <w:szCs w:val="21"/>
                <w:lang w:eastAsia="zh-Hans" w:bidi="ar"/>
              </w:rPr>
            </w:pPr>
            <w:r>
              <w:rPr>
                <w:rFonts w:hint="eastAsia" w:ascii="宋体" w:hAnsi="宋体" w:cs="宋体"/>
                <w:color w:val="000000"/>
                <w:kern w:val="0"/>
                <w:szCs w:val="21"/>
                <w:lang w:eastAsia="zh-Hans" w:bidi="ar"/>
              </w:rPr>
              <w:t>电子会员可根据消费记录自助开具普通版电子发票</w:t>
            </w:r>
          </w:p>
        </w:tc>
        <w:tc>
          <w:tcPr>
            <w:tcW w:w="2048" w:type="dxa"/>
            <w:shd w:val="clear" w:color="auto" w:fill="auto"/>
          </w:tcPr>
          <w:p>
            <w:pPr>
              <w:spacing w:line="360" w:lineRule="auto"/>
              <w:jc w:val="left"/>
              <w:rPr>
                <w:rFonts w:ascii="宋体" w:hAnsi="宋体" w:cs="宋体"/>
                <w:color w:val="000000"/>
                <w:sz w:val="22"/>
                <w:szCs w:val="22"/>
              </w:rPr>
            </w:pPr>
          </w:p>
        </w:tc>
      </w:tr>
    </w:tbl>
    <w:p>
      <w:pPr>
        <w:spacing w:line="360" w:lineRule="auto"/>
      </w:pPr>
    </w:p>
    <w:p>
      <w:pPr>
        <w:spacing w:line="360" w:lineRule="auto"/>
        <w:ind w:firstLine="420" w:firstLineChars="200"/>
        <w:rPr>
          <w:szCs w:val="21"/>
        </w:rPr>
      </w:pPr>
      <w:r>
        <w:rPr>
          <w:szCs w:val="21"/>
        </w:rPr>
        <w:t>2</w:t>
      </w:r>
      <w:r>
        <w:rPr>
          <w:rFonts w:hint="eastAsia"/>
          <w:szCs w:val="21"/>
        </w:rPr>
        <w:t>、报价说明</w:t>
      </w:r>
    </w:p>
    <w:p>
      <w:pPr>
        <w:spacing w:line="360" w:lineRule="auto"/>
        <w:ind w:firstLine="420" w:firstLineChars="200"/>
        <w:rPr>
          <w:szCs w:val="21"/>
        </w:rPr>
      </w:pPr>
      <w:r>
        <w:rPr>
          <w:rFonts w:hint="eastAsia"/>
          <w:szCs w:val="21"/>
        </w:rPr>
        <w:t>2</w:t>
      </w:r>
      <w:r>
        <w:rPr>
          <w:szCs w:val="21"/>
        </w:rPr>
        <w:t>.1</w:t>
      </w:r>
      <w:r>
        <w:rPr>
          <w:rFonts w:hint="eastAsia"/>
          <w:szCs w:val="21"/>
        </w:rPr>
        <w:t>本项目采用总价投标报价评审。比选申请人填报的单价及总价均为包干价（在采购数量未发生变化的情况下），报价包含软件定制开发、安装、调试、试运行、验收、维护维修、提供培训、实施服务、质保期内的免费售后服务、税金等所有费用。若比选申请人有漏项报价，应视为已均摊在其单价和总价报价中。</w:t>
      </w:r>
    </w:p>
    <w:p>
      <w:pPr>
        <w:spacing w:line="360" w:lineRule="auto"/>
        <w:ind w:firstLine="420" w:firstLineChars="200"/>
        <w:rPr>
          <w:szCs w:val="21"/>
        </w:rPr>
      </w:pPr>
      <w:r>
        <w:rPr>
          <w:rFonts w:hint="eastAsia"/>
          <w:szCs w:val="21"/>
        </w:rPr>
        <w:t>2</w:t>
      </w:r>
      <w:r>
        <w:rPr>
          <w:szCs w:val="21"/>
        </w:rPr>
        <w:t>.2</w:t>
      </w:r>
      <w:r>
        <w:rPr>
          <w:rFonts w:hint="eastAsia"/>
          <w:szCs w:val="21"/>
        </w:rPr>
        <w:t>投标报价应详细填写，对软件定制开发各分项分别报价，并对报价范围有详细的文字说明，比选申请人在投标时所报各项价格在合同执行过程中不得高于投标报价，比选人有权选择所投标产品的部分或者全部，比选申请人应承诺所投标产品的价格和服务不变。</w:t>
      </w:r>
    </w:p>
    <w:p>
      <w:pPr>
        <w:spacing w:line="360" w:lineRule="auto"/>
        <w:ind w:firstLine="420" w:firstLineChars="200"/>
        <w:rPr>
          <w:szCs w:val="21"/>
        </w:rPr>
      </w:pPr>
      <w:r>
        <w:rPr>
          <w:szCs w:val="21"/>
        </w:rPr>
        <w:t>3</w:t>
      </w:r>
      <w:r>
        <w:rPr>
          <w:rFonts w:hint="eastAsia"/>
          <w:szCs w:val="21"/>
        </w:rPr>
        <w:t>、本次竞争性比选响应文件的组成：</w:t>
      </w:r>
    </w:p>
    <w:p>
      <w:pPr>
        <w:spacing w:line="360" w:lineRule="auto"/>
        <w:ind w:firstLine="422" w:firstLineChars="200"/>
        <w:rPr>
          <w:b/>
          <w:bCs/>
          <w:szCs w:val="21"/>
        </w:rPr>
      </w:pPr>
      <w:r>
        <w:rPr>
          <w:rFonts w:hint="eastAsia"/>
          <w:b/>
          <w:bCs/>
          <w:szCs w:val="21"/>
        </w:rPr>
        <w:t>第一卷：商务文件</w:t>
      </w:r>
    </w:p>
    <w:p>
      <w:pPr>
        <w:pStyle w:val="13"/>
        <w:spacing w:line="360" w:lineRule="auto"/>
        <w:ind w:firstLine="420" w:firstLineChars="200"/>
        <w:jc w:val="left"/>
        <w:rPr>
          <w:color w:val="auto"/>
          <w:sz w:val="21"/>
          <w:szCs w:val="21"/>
        </w:rPr>
      </w:pPr>
      <w:bookmarkStart w:id="29" w:name="_Hlk58758822"/>
      <w:r>
        <w:rPr>
          <w:rFonts w:hint="eastAsia"/>
          <w:color w:val="auto"/>
          <w:sz w:val="21"/>
          <w:szCs w:val="21"/>
        </w:rPr>
        <w:t>（1）报价书</w:t>
      </w:r>
    </w:p>
    <w:p>
      <w:pPr>
        <w:pStyle w:val="13"/>
        <w:spacing w:line="360" w:lineRule="auto"/>
        <w:ind w:firstLine="420" w:firstLineChars="200"/>
        <w:jc w:val="left"/>
        <w:rPr>
          <w:color w:val="auto"/>
          <w:sz w:val="21"/>
          <w:szCs w:val="21"/>
        </w:rPr>
      </w:pPr>
      <w:r>
        <w:rPr>
          <w:rFonts w:hint="eastAsia"/>
          <w:color w:val="auto"/>
          <w:sz w:val="21"/>
          <w:szCs w:val="21"/>
        </w:rPr>
        <w:t>（2）法定代表人身份证明及授权委托书</w:t>
      </w:r>
    </w:p>
    <w:p>
      <w:pPr>
        <w:pStyle w:val="13"/>
        <w:spacing w:line="360" w:lineRule="auto"/>
        <w:ind w:firstLine="420" w:firstLineChars="200"/>
        <w:jc w:val="left"/>
        <w:rPr>
          <w:color w:val="auto"/>
          <w:sz w:val="21"/>
          <w:szCs w:val="21"/>
        </w:rPr>
      </w:pPr>
      <w:r>
        <w:rPr>
          <w:rFonts w:hint="eastAsia"/>
          <w:color w:val="auto"/>
          <w:sz w:val="21"/>
          <w:szCs w:val="21"/>
        </w:rPr>
        <w:t>（3）有效的营业执照复印件</w:t>
      </w:r>
    </w:p>
    <w:p>
      <w:pPr>
        <w:pStyle w:val="13"/>
        <w:spacing w:line="360" w:lineRule="auto"/>
        <w:ind w:firstLine="420" w:firstLineChars="200"/>
        <w:jc w:val="left"/>
        <w:rPr>
          <w:color w:val="auto"/>
          <w:sz w:val="21"/>
          <w:szCs w:val="21"/>
        </w:rPr>
      </w:pPr>
      <w:r>
        <w:rPr>
          <w:rFonts w:hint="eastAsia"/>
          <w:color w:val="auto"/>
          <w:sz w:val="21"/>
          <w:szCs w:val="21"/>
        </w:rPr>
        <w:t>（4）货物清单报价明细表</w:t>
      </w:r>
    </w:p>
    <w:p>
      <w:pPr>
        <w:pStyle w:val="13"/>
        <w:spacing w:line="360" w:lineRule="auto"/>
        <w:ind w:firstLine="420" w:firstLineChars="200"/>
        <w:jc w:val="left"/>
        <w:rPr>
          <w:color w:val="auto"/>
          <w:sz w:val="21"/>
          <w:szCs w:val="21"/>
        </w:rPr>
      </w:pPr>
      <w:r>
        <w:rPr>
          <w:rFonts w:hint="eastAsia"/>
          <w:color w:val="auto"/>
          <w:sz w:val="21"/>
          <w:szCs w:val="21"/>
        </w:rPr>
        <w:t>（5）承诺函</w:t>
      </w:r>
    </w:p>
    <w:p>
      <w:pPr>
        <w:pStyle w:val="13"/>
        <w:spacing w:line="360" w:lineRule="auto"/>
        <w:ind w:firstLine="420" w:firstLineChars="200"/>
        <w:jc w:val="left"/>
        <w:rPr>
          <w:color w:val="auto"/>
          <w:sz w:val="21"/>
          <w:szCs w:val="21"/>
        </w:rPr>
      </w:pPr>
      <w:r>
        <w:rPr>
          <w:rFonts w:hint="eastAsia"/>
          <w:color w:val="auto"/>
          <w:sz w:val="21"/>
          <w:szCs w:val="21"/>
        </w:rPr>
        <w:t>（6）技术方案</w:t>
      </w:r>
    </w:p>
    <w:p>
      <w:pPr>
        <w:pStyle w:val="13"/>
        <w:spacing w:line="360" w:lineRule="auto"/>
        <w:ind w:firstLine="420" w:firstLineChars="200"/>
        <w:jc w:val="both"/>
        <w:rPr>
          <w:color w:val="auto"/>
          <w:sz w:val="21"/>
          <w:szCs w:val="21"/>
        </w:rPr>
      </w:pPr>
      <w:r>
        <w:rPr>
          <w:rFonts w:hint="eastAsia"/>
          <w:color w:val="auto"/>
          <w:sz w:val="21"/>
          <w:szCs w:val="21"/>
        </w:rPr>
        <w:t>（7）其他资料</w:t>
      </w:r>
    </w:p>
    <w:p>
      <w:pPr>
        <w:pStyle w:val="13"/>
        <w:spacing w:line="360" w:lineRule="auto"/>
        <w:ind w:firstLine="422" w:firstLineChars="200"/>
        <w:jc w:val="both"/>
        <w:rPr>
          <w:color w:val="auto"/>
        </w:rPr>
      </w:pPr>
      <w:r>
        <w:rPr>
          <w:rFonts w:hint="eastAsia"/>
          <w:b/>
          <w:bCs/>
          <w:color w:val="auto"/>
          <w:sz w:val="21"/>
          <w:szCs w:val="21"/>
        </w:rPr>
        <w:t>第二卷：技术文件</w:t>
      </w:r>
    </w:p>
    <w:p>
      <w:pPr>
        <w:spacing w:line="360" w:lineRule="auto"/>
        <w:ind w:firstLine="422" w:firstLineChars="200"/>
        <w:rPr>
          <w:rFonts w:ascii="宋体" w:hAnsi="宋体" w:cs="宋体"/>
          <w:szCs w:val="21"/>
        </w:rPr>
      </w:pPr>
      <w:r>
        <w:rPr>
          <w:rFonts w:hint="eastAsia" w:ascii="宋体" w:hAnsi="宋体" w:cs="宋体"/>
          <w:b/>
          <w:szCs w:val="21"/>
        </w:rPr>
        <w:t>（注：以上所有文件均须</w:t>
      </w:r>
      <w:r>
        <w:rPr>
          <w:rFonts w:hint="eastAsia" w:ascii="宋体" w:hAnsi="宋体"/>
          <w:b/>
          <w:szCs w:val="16"/>
        </w:rPr>
        <w:t>报价单位法定代表人或其授权代理人签署并加盖单位公章</w:t>
      </w:r>
      <w:r>
        <w:rPr>
          <w:rFonts w:hint="eastAsia" w:ascii="宋体" w:hAnsi="宋体" w:cs="宋体"/>
          <w:b/>
          <w:szCs w:val="21"/>
        </w:rPr>
        <w:t>）</w:t>
      </w:r>
    </w:p>
    <w:p>
      <w:pPr>
        <w:spacing w:line="360" w:lineRule="auto"/>
        <w:ind w:firstLine="420" w:firstLineChars="200"/>
        <w:rPr>
          <w:szCs w:val="21"/>
        </w:rPr>
      </w:pPr>
      <w:r>
        <w:rPr>
          <w:szCs w:val="21"/>
        </w:rPr>
        <w:t>4</w:t>
      </w:r>
      <w:r>
        <w:rPr>
          <w:rFonts w:hint="eastAsia"/>
          <w:szCs w:val="21"/>
        </w:rPr>
        <w:t>、竞争性比选响应文件的份数及编制要求</w:t>
      </w:r>
    </w:p>
    <w:p>
      <w:pPr>
        <w:spacing w:line="360" w:lineRule="auto"/>
        <w:ind w:firstLine="420" w:firstLineChars="200"/>
        <w:rPr>
          <w:szCs w:val="21"/>
        </w:rPr>
      </w:pPr>
      <w:r>
        <w:rPr>
          <w:rFonts w:hint="eastAsia"/>
          <w:szCs w:val="21"/>
        </w:rPr>
        <w:t>竞争性比选响应文件正本</w:t>
      </w:r>
      <w:r>
        <w:rPr>
          <w:szCs w:val="21"/>
        </w:rPr>
        <w:t>1</w:t>
      </w:r>
      <w:r>
        <w:rPr>
          <w:rFonts w:hint="eastAsia"/>
          <w:szCs w:val="21"/>
        </w:rPr>
        <w:t>份，副本</w:t>
      </w:r>
      <w:r>
        <w:rPr>
          <w:szCs w:val="21"/>
        </w:rPr>
        <w:t>1</w:t>
      </w:r>
      <w:r>
        <w:rPr>
          <w:rFonts w:hint="eastAsia"/>
          <w:szCs w:val="21"/>
        </w:rPr>
        <w:t>份，竞争性比选响应文件按竞争性比选文件中规定格式排版，并编制目录。</w:t>
      </w:r>
      <w:bookmarkEnd w:id="29"/>
    </w:p>
    <w:p>
      <w:pPr>
        <w:spacing w:line="360" w:lineRule="auto"/>
        <w:ind w:firstLine="420" w:firstLineChars="200"/>
        <w:rPr>
          <w:rFonts w:ascii="宋体" w:hAnsi="宋体"/>
          <w:b/>
          <w:bCs/>
          <w:sz w:val="24"/>
          <w:szCs w:val="24"/>
        </w:rPr>
      </w:pPr>
      <w:r>
        <w:rPr>
          <w:szCs w:val="21"/>
        </w:rPr>
        <w:t>5</w:t>
      </w:r>
      <w:r>
        <w:rPr>
          <w:rFonts w:hint="eastAsia"/>
          <w:szCs w:val="21"/>
        </w:rPr>
        <w:t>、</w:t>
      </w:r>
      <w:r>
        <w:rPr>
          <w:rFonts w:hint="eastAsia" w:ascii="宋体" w:hAnsi="宋体"/>
          <w:b/>
          <w:bCs/>
          <w:sz w:val="24"/>
          <w:szCs w:val="24"/>
        </w:rPr>
        <w:t>特别说明：</w:t>
      </w:r>
    </w:p>
    <w:p>
      <w:pPr>
        <w:spacing w:line="360" w:lineRule="auto"/>
        <w:ind w:firstLine="420" w:firstLineChars="200"/>
      </w:pPr>
      <w:r>
        <w:rPr>
          <w:rFonts w:hint="eastAsia"/>
          <w:szCs w:val="21"/>
        </w:rPr>
        <w:t>各比选申请人应本着长期合作、专业服务的精神，严格保证服务质量，一旦发现成交单位的情况与专业水平与比选响应文件所述不符，或实际从业能力无法达到比选人的要求，或因从事服务的过错给比选人带来损失的，或不能按本比选文件的要求提供服务的，比选人保留中途解聘并要求赔偿的权利，且比选人有权追回已支付的所有费用。</w:t>
      </w:r>
    </w:p>
    <w:p>
      <w:pPr>
        <w:numPr>
          <w:ilvl w:val="0"/>
          <w:numId w:val="2"/>
        </w:numPr>
        <w:spacing w:line="360" w:lineRule="auto"/>
        <w:rPr>
          <w:rFonts w:ascii="宋体" w:hAnsi="宋体" w:cs="宋体"/>
          <w:b/>
          <w:szCs w:val="21"/>
        </w:rPr>
      </w:pPr>
      <w:r>
        <w:rPr>
          <w:rFonts w:hint="eastAsia" w:ascii="宋体" w:hAnsi="宋体" w:cs="宋体"/>
          <w:b/>
          <w:szCs w:val="21"/>
        </w:rPr>
        <w:t>评标办法（</w:t>
      </w:r>
      <w:r>
        <w:rPr>
          <w:rFonts w:hint="eastAsia" w:ascii="宋体" w:hAnsi="宋体"/>
          <w:b/>
          <w:szCs w:val="21"/>
        </w:rPr>
        <w:t>本项目采用综合评估法</w:t>
      </w:r>
      <w:r>
        <w:rPr>
          <w:rFonts w:hint="eastAsia" w:ascii="宋体" w:hAnsi="宋体" w:cs="宋体"/>
          <w:b/>
          <w:szCs w:val="21"/>
        </w:rPr>
        <w:t>）：</w:t>
      </w:r>
    </w:p>
    <w:tbl>
      <w:tblPr>
        <w:tblStyle w:val="17"/>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11"/>
        <w:gridCol w:w="623"/>
        <w:gridCol w:w="1701"/>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72" w:type="dxa"/>
            <w:gridSpan w:val="2"/>
            <w:vAlign w:val="center"/>
          </w:tcPr>
          <w:p>
            <w:pPr>
              <w:spacing w:line="360" w:lineRule="auto"/>
              <w:jc w:val="center"/>
              <w:rPr>
                <w:rFonts w:ascii="宋体" w:hAnsi="宋体"/>
                <w:b/>
                <w:szCs w:val="21"/>
              </w:rPr>
            </w:pPr>
            <w:r>
              <w:rPr>
                <w:rFonts w:ascii="宋体" w:hAnsi="宋体"/>
                <w:b/>
                <w:szCs w:val="21"/>
              </w:rPr>
              <w:t>条款名称</w:t>
            </w:r>
          </w:p>
        </w:tc>
        <w:tc>
          <w:tcPr>
            <w:tcW w:w="7348" w:type="dxa"/>
            <w:gridSpan w:val="3"/>
            <w:vAlign w:val="center"/>
          </w:tcPr>
          <w:p>
            <w:pPr>
              <w:spacing w:line="360"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vAlign w:val="center"/>
          </w:tcPr>
          <w:p>
            <w:pPr>
              <w:spacing w:line="360" w:lineRule="auto"/>
              <w:jc w:val="center"/>
              <w:rPr>
                <w:rFonts w:ascii="宋体" w:hAnsi="宋体"/>
                <w:szCs w:val="21"/>
              </w:rPr>
            </w:pPr>
            <w:r>
              <w:rPr>
                <w:rFonts w:ascii="宋体" w:hAnsi="宋体"/>
                <w:szCs w:val="21"/>
              </w:rPr>
              <w:t>初步评审</w:t>
            </w:r>
          </w:p>
        </w:tc>
        <w:tc>
          <w:tcPr>
            <w:tcW w:w="7348" w:type="dxa"/>
            <w:gridSpan w:val="3"/>
            <w:vAlign w:val="center"/>
          </w:tcPr>
          <w:p>
            <w:pPr>
              <w:spacing w:line="360" w:lineRule="auto"/>
            </w:pPr>
            <w:r>
              <w:rPr>
                <w:rFonts w:hint="eastAsia"/>
              </w:rPr>
              <w:t>（</w:t>
            </w:r>
            <w:r>
              <w:t>1）竞争性比选响应文件按照竞争性比</w:t>
            </w:r>
            <w:r>
              <w:rPr>
                <w:rFonts w:hint="eastAsia"/>
              </w:rPr>
              <w:t>选文件规定的签字盖章处法定代表人或其授权代理人的签字及盖章齐全；</w:t>
            </w:r>
          </w:p>
          <w:p>
            <w:pPr>
              <w:spacing w:line="360" w:lineRule="auto"/>
            </w:pPr>
            <w:r>
              <w:rPr>
                <w:rFonts w:hint="eastAsia"/>
              </w:rPr>
              <w:t>（</w:t>
            </w:r>
            <w:r>
              <w:t>2）在报价函上填写了竞标总价（包括大写金额和小写金额），竞标总价不高于比选人公布的最高竞标限价，且报价唯一</w:t>
            </w:r>
            <w:r>
              <w:rPr>
                <w:rFonts w:hint="eastAsia"/>
              </w:rPr>
              <w:t>；</w:t>
            </w:r>
          </w:p>
          <w:p>
            <w:pPr>
              <w:spacing w:line="360" w:lineRule="auto"/>
            </w:pPr>
            <w:r>
              <w:rPr>
                <w:rFonts w:hint="eastAsia"/>
              </w:rPr>
              <w:t>（</w:t>
            </w:r>
            <w:r>
              <w:t>3）</w:t>
            </w:r>
            <w:r>
              <w:rPr>
                <w:rFonts w:hint="eastAsia"/>
              </w:rPr>
              <w:t>具备有效的营业执照；</w:t>
            </w:r>
            <w:r>
              <w:t xml:space="preserve"> </w:t>
            </w:r>
          </w:p>
          <w:p>
            <w:pPr>
              <w:spacing w:line="360" w:lineRule="auto"/>
            </w:pPr>
            <w:r>
              <w:rPr>
                <w:rFonts w:hint="eastAsia"/>
              </w:rPr>
              <w:t>（</w:t>
            </w:r>
            <w:r>
              <w:t>4）</w:t>
            </w:r>
            <w:r>
              <w:rPr>
                <w:rFonts w:hint="eastAsia"/>
              </w:rPr>
              <w:t>服务周期</w:t>
            </w:r>
            <w:r>
              <w:t>；</w:t>
            </w:r>
          </w:p>
          <w:p>
            <w:pPr>
              <w:spacing w:line="360" w:lineRule="auto"/>
            </w:pPr>
            <w:r>
              <w:rPr>
                <w:rFonts w:hint="eastAsia"/>
              </w:rPr>
              <w:t>（</w:t>
            </w:r>
            <w:r>
              <w:t>5）</w:t>
            </w:r>
            <w:r>
              <w:rPr>
                <w:rFonts w:hint="eastAsia"/>
              </w:rPr>
              <w:t>近三年没有处于被责令停业、财产被接管、冻结破产状态的书面承诺</w:t>
            </w:r>
            <w:r>
              <w:t>；</w:t>
            </w:r>
          </w:p>
          <w:p>
            <w:pPr>
              <w:pStyle w:val="13"/>
              <w:spacing w:line="360" w:lineRule="auto"/>
              <w:jc w:val="both"/>
              <w:rPr>
                <w:color w:val="auto"/>
              </w:rPr>
            </w:pPr>
            <w:r>
              <w:rPr>
                <w:rFonts w:hint="eastAsia"/>
                <w:color w:val="auto"/>
                <w:sz w:val="21"/>
                <w:szCs w:val="22"/>
              </w:rPr>
              <w:t>（6）近3年软件系统类业绩证明材料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72" w:type="dxa"/>
            <w:gridSpan w:val="2"/>
            <w:vAlign w:val="center"/>
          </w:tcPr>
          <w:p>
            <w:pPr>
              <w:spacing w:line="360" w:lineRule="auto"/>
              <w:jc w:val="center"/>
              <w:rPr>
                <w:rFonts w:ascii="宋体" w:hAnsi="宋体"/>
                <w:b/>
                <w:szCs w:val="21"/>
              </w:rPr>
            </w:pPr>
            <w:r>
              <w:rPr>
                <w:rFonts w:ascii="宋体" w:hAnsi="宋体"/>
                <w:b/>
                <w:szCs w:val="21"/>
              </w:rPr>
              <w:t>条款名称</w:t>
            </w:r>
          </w:p>
        </w:tc>
        <w:tc>
          <w:tcPr>
            <w:tcW w:w="7348" w:type="dxa"/>
            <w:gridSpan w:val="3"/>
            <w:vAlign w:val="center"/>
          </w:tcPr>
          <w:p>
            <w:pPr>
              <w:spacing w:line="360"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172" w:type="dxa"/>
            <w:gridSpan w:val="2"/>
            <w:vAlign w:val="center"/>
          </w:tcPr>
          <w:p>
            <w:pPr>
              <w:spacing w:line="360" w:lineRule="auto"/>
              <w:jc w:val="center"/>
              <w:rPr>
                <w:rFonts w:ascii="宋体" w:hAnsi="宋体"/>
                <w:szCs w:val="21"/>
              </w:rPr>
            </w:pPr>
            <w:r>
              <w:rPr>
                <w:rFonts w:hint="eastAsia" w:ascii="宋体" w:hAnsi="宋体"/>
                <w:szCs w:val="21"/>
              </w:rPr>
              <w:t>详细评审</w:t>
            </w:r>
          </w:p>
        </w:tc>
        <w:tc>
          <w:tcPr>
            <w:tcW w:w="7348" w:type="dxa"/>
            <w:gridSpan w:val="3"/>
            <w:vAlign w:val="center"/>
          </w:tcPr>
          <w:p>
            <w:pPr>
              <w:spacing w:line="360" w:lineRule="auto"/>
              <w:ind w:right="420" w:rightChars="200"/>
              <w:rPr>
                <w:rFonts w:ascii="宋体" w:hAnsi="宋体"/>
              </w:rPr>
            </w:pPr>
            <w:r>
              <w:rPr>
                <w:rFonts w:hint="eastAsia" w:ascii="宋体" w:hAnsi="宋体"/>
              </w:rPr>
              <w:t>评审因素</w:t>
            </w:r>
            <w:r>
              <w:rPr>
                <w:rFonts w:ascii="宋体" w:hAnsi="宋体"/>
              </w:rPr>
              <w:tab/>
            </w:r>
            <w:r>
              <w:rPr>
                <w:rFonts w:ascii="宋体" w:hAnsi="宋体"/>
              </w:rPr>
              <w:t xml:space="preserve">                          </w:t>
            </w:r>
            <w:r>
              <w:rPr>
                <w:rFonts w:hint="eastAsia" w:ascii="宋体" w:hAnsi="宋体"/>
              </w:rPr>
              <w:t>评分值</w:t>
            </w:r>
          </w:p>
          <w:p>
            <w:pPr>
              <w:numPr>
                <w:ilvl w:val="0"/>
                <w:numId w:val="3"/>
              </w:numPr>
              <w:spacing w:line="360" w:lineRule="auto"/>
              <w:ind w:right="420" w:rightChars="200"/>
              <w:rPr>
                <w:rFonts w:ascii="宋体" w:hAnsi="宋体"/>
              </w:rPr>
            </w:pPr>
            <w:r>
              <w:rPr>
                <w:rFonts w:hint="eastAsia" w:ascii="宋体" w:hAnsi="宋体"/>
              </w:rPr>
              <w:t>商务部分</w:t>
            </w:r>
            <w:r>
              <w:rPr>
                <w:rFonts w:ascii="宋体" w:hAnsi="宋体"/>
              </w:rPr>
              <w:t xml:space="preserve">                        </w:t>
            </w:r>
            <w:r>
              <w:rPr>
                <w:rFonts w:hint="eastAsia" w:ascii="宋体" w:hAnsi="宋体"/>
              </w:rPr>
              <w:t xml:space="preserve"> 3</w:t>
            </w:r>
            <w:r>
              <w:rPr>
                <w:rFonts w:ascii="宋体" w:hAnsi="宋体"/>
              </w:rPr>
              <w:t>0</w:t>
            </w:r>
            <w:r>
              <w:rPr>
                <w:rFonts w:hint="eastAsia" w:ascii="宋体" w:hAnsi="宋体"/>
              </w:rPr>
              <w:t>分</w:t>
            </w:r>
          </w:p>
          <w:p>
            <w:pPr>
              <w:numPr>
                <w:ilvl w:val="0"/>
                <w:numId w:val="3"/>
              </w:numPr>
              <w:spacing w:line="360" w:lineRule="auto"/>
              <w:ind w:right="420" w:rightChars="200"/>
              <w:rPr>
                <w:rFonts w:ascii="宋体" w:hAnsi="宋体"/>
              </w:rPr>
            </w:pPr>
            <w:r>
              <w:rPr>
                <w:rFonts w:hint="eastAsia" w:ascii="宋体" w:hAnsi="宋体"/>
              </w:rPr>
              <w:t xml:space="preserve">技术部分 </w:t>
            </w:r>
            <w:r>
              <w:rPr>
                <w:rFonts w:ascii="宋体" w:hAnsi="宋体"/>
              </w:rPr>
              <w:t xml:space="preserve">                        </w:t>
            </w:r>
            <w:r>
              <w:rPr>
                <w:rFonts w:hint="eastAsia" w:ascii="宋体" w:hAnsi="宋体"/>
              </w:rPr>
              <w:t>2</w:t>
            </w:r>
            <w:r>
              <w:rPr>
                <w:rFonts w:ascii="宋体" w:hAnsi="宋体"/>
              </w:rPr>
              <w:t>0</w:t>
            </w:r>
            <w:r>
              <w:rPr>
                <w:rFonts w:hint="eastAsia" w:ascii="宋体" w:hAnsi="宋体"/>
              </w:rPr>
              <w:t>分</w:t>
            </w:r>
          </w:p>
          <w:p>
            <w:pPr>
              <w:spacing w:line="360" w:lineRule="auto"/>
              <w:ind w:right="420" w:rightChars="200"/>
              <w:rPr>
                <w:rFonts w:ascii="宋体" w:hAnsi="宋体"/>
              </w:rPr>
            </w:pPr>
            <w:r>
              <w:rPr>
                <w:rFonts w:hint="eastAsia" w:ascii="宋体" w:hAnsi="宋体"/>
              </w:rPr>
              <w:t xml:space="preserve">（三）竞标报价 </w:t>
            </w:r>
            <w:r>
              <w:rPr>
                <w:rFonts w:ascii="宋体" w:hAnsi="宋体"/>
              </w:rPr>
              <w:t xml:space="preserve">                        50</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vAlign w:val="center"/>
          </w:tcPr>
          <w:p>
            <w:pPr>
              <w:spacing w:line="360" w:lineRule="auto"/>
              <w:jc w:val="center"/>
              <w:rPr>
                <w:rFonts w:ascii="宋体" w:hAnsi="宋体"/>
                <w:szCs w:val="21"/>
              </w:rPr>
            </w:pPr>
            <w:r>
              <w:rPr>
                <w:rFonts w:hint="eastAsia" w:ascii="宋体" w:hAnsi="宋体"/>
                <w:szCs w:val="21"/>
              </w:rPr>
              <w:t>澄清</w:t>
            </w:r>
          </w:p>
        </w:tc>
        <w:tc>
          <w:tcPr>
            <w:tcW w:w="7348" w:type="dxa"/>
            <w:gridSpan w:val="3"/>
            <w:vAlign w:val="center"/>
          </w:tcPr>
          <w:p>
            <w:pPr>
              <w:spacing w:line="360" w:lineRule="auto"/>
              <w:ind w:right="420" w:rightChars="200"/>
              <w:rPr>
                <w:rFonts w:ascii="宋体" w:hAnsi="宋体"/>
                <w:szCs w:val="21"/>
              </w:rPr>
            </w:pPr>
            <w:r>
              <w:rPr>
                <w:rFonts w:hint="eastAsia" w:ascii="宋体" w:hAnsi="宋体"/>
                <w:szCs w:val="21"/>
              </w:rPr>
              <w:t>发生以下任一情形的，作否决处理：</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）修正后的最终竞标报价超过最高竞标限价。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72" w:type="dxa"/>
            <w:gridSpan w:val="2"/>
            <w:vAlign w:val="center"/>
          </w:tcPr>
          <w:p>
            <w:pPr>
              <w:spacing w:line="360" w:lineRule="auto"/>
              <w:jc w:val="center"/>
              <w:rPr>
                <w:rFonts w:ascii="宋体" w:hAnsi="宋体"/>
                <w:szCs w:val="21"/>
              </w:rPr>
            </w:pPr>
            <w:r>
              <w:rPr>
                <w:rFonts w:hint="eastAsia" w:ascii="宋体" w:hAnsi="宋体"/>
                <w:szCs w:val="21"/>
              </w:rPr>
              <w:t>视为比选申请人相互串通投标的情形</w:t>
            </w:r>
          </w:p>
        </w:tc>
        <w:tc>
          <w:tcPr>
            <w:tcW w:w="7348" w:type="dxa"/>
            <w:gridSpan w:val="3"/>
            <w:vAlign w:val="center"/>
          </w:tcPr>
          <w:p>
            <w:pPr>
              <w:spacing w:line="360" w:lineRule="auto"/>
              <w:ind w:right="420" w:rightChars="200"/>
              <w:rPr>
                <w:rFonts w:ascii="宋体" w:hAnsi="宋体"/>
                <w:szCs w:val="21"/>
              </w:rPr>
            </w:pPr>
            <w:r>
              <w:rPr>
                <w:rFonts w:hint="eastAsia" w:ascii="宋体" w:hAnsi="宋体"/>
                <w:szCs w:val="21"/>
              </w:rPr>
              <w:t>有下列情况之一的，视为比选申请人相互串通投标，做否决处理。</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不同比选申请人的竞争性比选响应文件由同一单位或者个人编制；</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2）不</w:t>
            </w:r>
            <w:r>
              <w:rPr>
                <w:rFonts w:hint="eastAsia" w:ascii="宋体" w:hAnsi="宋体"/>
                <w:szCs w:val="21"/>
              </w:rPr>
              <w:t>同比选申请人委托同一单位或者个人办理投标事宜；</w:t>
            </w:r>
          </w:p>
          <w:p>
            <w:pPr>
              <w:spacing w:line="360" w:lineRule="auto"/>
              <w:ind w:right="-42" w:rightChars="-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不同比选申请人的竞争性比选响应文件载明的项目管理成员为同一人；</w:t>
            </w:r>
          </w:p>
          <w:p>
            <w:pPr>
              <w:spacing w:line="360" w:lineRule="auto"/>
              <w:ind w:right="-42" w:rightChars="-2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不同比选申请人的竞争性比选响应文件异常一致或者竞标报价呈规律性差异；</w:t>
            </w:r>
          </w:p>
          <w:p>
            <w:pPr>
              <w:spacing w:line="360" w:lineRule="auto"/>
              <w:ind w:right="420" w:right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不同比选申请人的竞争性比选响应文件相互混装；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496" w:type="dxa"/>
            <w:gridSpan w:val="4"/>
            <w:vAlign w:val="center"/>
          </w:tcPr>
          <w:p>
            <w:pPr>
              <w:spacing w:line="360" w:lineRule="auto"/>
              <w:rPr>
                <w:rFonts w:ascii="宋体" w:hAnsi="宋体"/>
                <w:b/>
                <w:szCs w:val="21"/>
              </w:rPr>
            </w:pPr>
            <w:r>
              <w:rPr>
                <w:rFonts w:ascii="宋体" w:hAnsi="宋体"/>
                <w:b/>
                <w:szCs w:val="21"/>
              </w:rPr>
              <w:t>评审因素与评分值</w:t>
            </w:r>
          </w:p>
        </w:tc>
        <w:tc>
          <w:tcPr>
            <w:tcW w:w="5024" w:type="dxa"/>
            <w:vMerge w:val="restart"/>
            <w:vAlign w:val="center"/>
          </w:tcPr>
          <w:p>
            <w:pPr>
              <w:spacing w:line="360" w:lineRule="auto"/>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1" w:type="dxa"/>
            <w:vAlign w:val="center"/>
          </w:tcPr>
          <w:p>
            <w:pPr>
              <w:spacing w:line="360" w:lineRule="auto"/>
              <w:jc w:val="center"/>
              <w:rPr>
                <w:rFonts w:ascii="宋体" w:hAnsi="宋体"/>
                <w:b/>
                <w:szCs w:val="21"/>
              </w:rPr>
            </w:pPr>
            <w:r>
              <w:rPr>
                <w:rFonts w:ascii="宋体" w:hAnsi="宋体"/>
                <w:b/>
                <w:szCs w:val="21"/>
              </w:rPr>
              <w:t>序号</w:t>
            </w:r>
          </w:p>
        </w:tc>
        <w:tc>
          <w:tcPr>
            <w:tcW w:w="1134" w:type="dxa"/>
            <w:gridSpan w:val="2"/>
            <w:vAlign w:val="center"/>
          </w:tcPr>
          <w:p>
            <w:pPr>
              <w:spacing w:line="360" w:lineRule="auto"/>
              <w:jc w:val="center"/>
              <w:rPr>
                <w:rFonts w:ascii="宋体" w:hAnsi="宋体"/>
                <w:b/>
                <w:szCs w:val="21"/>
              </w:rPr>
            </w:pPr>
            <w:r>
              <w:rPr>
                <w:rFonts w:ascii="宋体" w:hAnsi="宋体"/>
                <w:b/>
                <w:szCs w:val="21"/>
              </w:rPr>
              <w:t>评审因素</w:t>
            </w:r>
          </w:p>
        </w:tc>
        <w:tc>
          <w:tcPr>
            <w:tcW w:w="1701" w:type="dxa"/>
            <w:vAlign w:val="center"/>
          </w:tcPr>
          <w:p>
            <w:pPr>
              <w:spacing w:line="360" w:lineRule="auto"/>
              <w:rPr>
                <w:rFonts w:ascii="宋体" w:hAnsi="宋体"/>
                <w:b/>
                <w:szCs w:val="21"/>
              </w:rPr>
            </w:pPr>
            <w:r>
              <w:rPr>
                <w:rFonts w:ascii="宋体" w:hAnsi="宋体"/>
                <w:b/>
                <w:szCs w:val="21"/>
              </w:rPr>
              <w:t>评审因素评分值</w:t>
            </w:r>
          </w:p>
        </w:tc>
        <w:tc>
          <w:tcPr>
            <w:tcW w:w="5024" w:type="dxa"/>
            <w:vMerge w:val="continue"/>
            <w:vAlign w:val="center"/>
          </w:tcPr>
          <w:p>
            <w:pPr>
              <w:spacing w:line="360" w:lineRule="auto"/>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61" w:type="dxa"/>
            <w:vAlign w:val="center"/>
          </w:tcPr>
          <w:p>
            <w:pPr>
              <w:spacing w:line="360" w:lineRule="auto"/>
              <w:jc w:val="center"/>
              <w:rPr>
                <w:rFonts w:ascii="宋体" w:hAnsi="宋体"/>
                <w:b/>
                <w:szCs w:val="21"/>
              </w:rPr>
            </w:pPr>
            <w:r>
              <w:rPr>
                <w:rFonts w:ascii="宋体" w:hAnsi="宋体" w:cs="宋体"/>
                <w:kern w:val="0"/>
                <w:szCs w:val="21"/>
              </w:rPr>
              <w:t>A</w:t>
            </w:r>
          </w:p>
        </w:tc>
        <w:tc>
          <w:tcPr>
            <w:tcW w:w="1134" w:type="dxa"/>
            <w:gridSpan w:val="2"/>
            <w:vAlign w:val="center"/>
          </w:tcPr>
          <w:p>
            <w:pPr>
              <w:spacing w:line="360" w:lineRule="auto"/>
              <w:jc w:val="center"/>
              <w:rPr>
                <w:rFonts w:ascii="宋体" w:hAnsi="宋体"/>
                <w:b/>
                <w:szCs w:val="21"/>
              </w:rPr>
            </w:pPr>
            <w:r>
              <w:rPr>
                <w:rFonts w:hint="eastAsia" w:ascii="宋体" w:hAnsi="宋体" w:cs="宋体"/>
                <w:kern w:val="0"/>
                <w:szCs w:val="21"/>
              </w:rPr>
              <w:t>商务得分</w:t>
            </w:r>
          </w:p>
        </w:tc>
        <w:tc>
          <w:tcPr>
            <w:tcW w:w="1701" w:type="dxa"/>
            <w:vAlign w:val="center"/>
          </w:tcPr>
          <w:p>
            <w:pPr>
              <w:spacing w:line="360" w:lineRule="auto"/>
              <w:jc w:val="center"/>
              <w:rPr>
                <w:rFonts w:ascii="宋体" w:hAnsi="宋体" w:cs="宋体"/>
                <w:kern w:val="0"/>
                <w:szCs w:val="21"/>
              </w:rPr>
            </w:pPr>
            <w:r>
              <w:rPr>
                <w:rFonts w:hint="eastAsia" w:ascii="宋体" w:hAnsi="宋体" w:cs="宋体"/>
                <w:kern w:val="0"/>
                <w:szCs w:val="21"/>
              </w:rPr>
              <w:t>商务部分</w:t>
            </w:r>
          </w:p>
          <w:p>
            <w:pPr>
              <w:spacing w:line="360" w:lineRule="auto"/>
              <w:jc w:val="center"/>
            </w:pPr>
            <w:r>
              <w:rPr>
                <w:rFonts w:hint="eastAsia" w:ascii="宋体" w:hAnsi="宋体" w:cs="宋体"/>
                <w:kern w:val="0"/>
                <w:szCs w:val="21"/>
              </w:rPr>
              <w:t>（3</w:t>
            </w:r>
            <w:r>
              <w:rPr>
                <w:rFonts w:ascii="宋体" w:hAnsi="宋体" w:cs="宋体"/>
                <w:kern w:val="0"/>
                <w:szCs w:val="21"/>
              </w:rPr>
              <w:t>0</w:t>
            </w:r>
            <w:r>
              <w:rPr>
                <w:rFonts w:hint="eastAsia" w:ascii="宋体" w:hAnsi="宋体" w:cs="宋体"/>
                <w:kern w:val="0"/>
                <w:szCs w:val="21"/>
              </w:rPr>
              <w:t>分）</w:t>
            </w:r>
          </w:p>
        </w:tc>
        <w:tc>
          <w:tcPr>
            <w:tcW w:w="5024" w:type="dxa"/>
            <w:vAlign w:val="center"/>
          </w:tcPr>
          <w:p>
            <w:pPr>
              <w:numPr>
                <w:ilvl w:val="0"/>
                <w:numId w:val="4"/>
              </w:numPr>
              <w:spacing w:line="360" w:lineRule="auto"/>
              <w:jc w:val="left"/>
              <w:rPr>
                <w:rFonts w:ascii="宋体" w:hAnsi="宋体" w:cs="宋体"/>
                <w:bCs/>
                <w:szCs w:val="21"/>
              </w:rPr>
            </w:pPr>
            <w:r>
              <w:rPr>
                <w:rFonts w:hint="eastAsia" w:ascii="宋体" w:hAnsi="宋体" w:cs="宋体"/>
                <w:bCs/>
                <w:szCs w:val="21"/>
              </w:rPr>
              <w:t>比选申请人</w:t>
            </w:r>
            <w:r>
              <w:rPr>
                <w:rFonts w:hint="eastAsia" w:ascii="宋体" w:hAnsi="宋体" w:cs="宋体"/>
                <w:bCs/>
                <w:szCs w:val="21"/>
                <w:lang w:eastAsia="zh-Hans"/>
              </w:rPr>
              <w:t>承诺在系统</w:t>
            </w:r>
            <w:r>
              <w:rPr>
                <w:rFonts w:hint="eastAsia" w:ascii="宋体" w:hAnsi="宋体" w:cs="宋体"/>
                <w:bCs/>
                <w:szCs w:val="21"/>
              </w:rPr>
              <w:t>开发期间派遣10人（含）以上团队驻场开发，测试验证期间派遣5人（含）以上团队驻场测试；同时，开发单位承诺系统开发时间在</w:t>
            </w:r>
            <w:r>
              <w:rPr>
                <w:rFonts w:ascii="宋体" w:hAnsi="宋体" w:cs="宋体"/>
                <w:bCs/>
                <w:szCs w:val="21"/>
              </w:rPr>
              <w:t>30</w:t>
            </w:r>
            <w:r>
              <w:rPr>
                <w:rFonts w:hint="eastAsia" w:ascii="宋体" w:hAnsi="宋体" w:cs="宋体"/>
                <w:bCs/>
                <w:szCs w:val="21"/>
              </w:rPr>
              <w:t>天以内完成；测试时间在</w:t>
            </w:r>
            <w:r>
              <w:rPr>
                <w:rFonts w:ascii="宋体" w:hAnsi="宋体" w:cs="宋体"/>
                <w:bCs/>
                <w:szCs w:val="21"/>
              </w:rPr>
              <w:t>30</w:t>
            </w:r>
            <w:r>
              <w:rPr>
                <w:rFonts w:hint="eastAsia" w:ascii="宋体" w:hAnsi="宋体" w:cs="宋体"/>
                <w:bCs/>
                <w:szCs w:val="21"/>
              </w:rPr>
              <w:t>天以内完成（10分）</w:t>
            </w:r>
          </w:p>
          <w:p>
            <w:pPr>
              <w:numPr>
                <w:ilvl w:val="0"/>
                <w:numId w:val="4"/>
              </w:numPr>
              <w:spacing w:line="360" w:lineRule="auto"/>
              <w:jc w:val="left"/>
              <w:rPr>
                <w:rFonts w:ascii="宋体" w:hAnsi="宋体"/>
                <w:color w:val="auto"/>
                <w:szCs w:val="21"/>
                <w:highlight w:val="none"/>
              </w:rPr>
            </w:pPr>
            <w:r>
              <w:rPr>
                <w:rFonts w:hint="eastAsia" w:ascii="宋体" w:hAnsi="宋体" w:cs="宋体"/>
                <w:bCs/>
                <w:szCs w:val="21"/>
                <w:lang w:eastAsia="zh-Hans"/>
              </w:rPr>
              <w:t>比选人提供</w:t>
            </w:r>
            <w:r>
              <w:rPr>
                <w:rFonts w:hint="eastAsia" w:ascii="宋体" w:hAnsi="宋体" w:cs="宋体"/>
                <w:bCs/>
                <w:color w:val="auto"/>
                <w:szCs w:val="21"/>
                <w:highlight w:val="none"/>
                <w:lang w:eastAsia="zh-Hans"/>
              </w:rPr>
              <w:t>三年内</w:t>
            </w:r>
            <w:r>
              <w:rPr>
                <w:rFonts w:hint="eastAsia" w:ascii="宋体" w:hAnsi="宋体" w:cs="宋体"/>
                <w:bCs/>
                <w:color w:val="auto"/>
                <w:szCs w:val="21"/>
                <w:highlight w:val="none"/>
                <w:lang w:val="en-US" w:eastAsia="zh-CN"/>
              </w:rPr>
              <w:t>零售类</w:t>
            </w:r>
            <w:r>
              <w:rPr>
                <w:rFonts w:hint="eastAsia" w:ascii="宋体" w:hAnsi="宋体" w:cs="宋体"/>
                <w:bCs/>
                <w:color w:val="auto"/>
                <w:szCs w:val="21"/>
                <w:highlight w:val="none"/>
                <w:lang w:eastAsia="zh-Hans"/>
              </w:rPr>
              <w:t>信息系统开发业绩证明材料，需提供合同复印件</w:t>
            </w:r>
            <w:r>
              <w:rPr>
                <w:rFonts w:hint="eastAsia" w:ascii="宋体" w:hAnsi="宋体" w:cs="宋体"/>
                <w:bCs/>
                <w:color w:val="auto"/>
                <w:szCs w:val="21"/>
                <w:highlight w:val="none"/>
              </w:rPr>
              <w:t>（20分）；</w:t>
            </w:r>
          </w:p>
          <w:p>
            <w:pPr>
              <w:spacing w:line="360" w:lineRule="auto"/>
              <w:jc w:val="left"/>
              <w:rPr>
                <w:rFonts w:ascii="宋体" w:hAnsi="宋体"/>
                <w:szCs w:val="21"/>
              </w:rPr>
            </w:pPr>
            <w:r>
              <w:rPr>
                <w:rFonts w:hint="eastAsia" w:ascii="宋体" w:hAnsi="宋体" w:cs="宋体"/>
                <w:bCs/>
                <w:i/>
                <w:iCs/>
                <w:sz w:val="18"/>
                <w:szCs w:val="18"/>
                <w:lang w:eastAsia="zh-Hans"/>
              </w:rPr>
              <w:t>其中，第一条</w:t>
            </w:r>
            <w:r>
              <w:rPr>
                <w:rFonts w:hint="eastAsia" w:ascii="宋体" w:hAnsi="宋体" w:cs="宋体"/>
                <w:bCs/>
                <w:i/>
                <w:iCs/>
                <w:sz w:val="18"/>
                <w:szCs w:val="18"/>
              </w:rPr>
              <w:t>条件满足，得10分，</w:t>
            </w:r>
            <w:r>
              <w:rPr>
                <w:rFonts w:hint="eastAsia" w:ascii="宋体" w:hAnsi="宋体" w:cs="宋体"/>
                <w:bCs/>
                <w:i/>
                <w:iCs/>
                <w:sz w:val="18"/>
                <w:szCs w:val="18"/>
                <w:lang w:eastAsia="zh-Hans"/>
              </w:rPr>
              <w:t>否则得</w:t>
            </w:r>
            <w:r>
              <w:rPr>
                <w:rFonts w:ascii="宋体" w:hAnsi="宋体" w:cs="宋体"/>
                <w:bCs/>
                <w:i/>
                <w:iCs/>
                <w:sz w:val="18"/>
                <w:szCs w:val="18"/>
                <w:lang w:eastAsia="zh-Hans"/>
              </w:rPr>
              <w:t>0</w:t>
            </w:r>
            <w:r>
              <w:rPr>
                <w:rFonts w:hint="eastAsia" w:ascii="宋体" w:hAnsi="宋体" w:cs="宋体"/>
                <w:bCs/>
                <w:i/>
                <w:iCs/>
                <w:sz w:val="18"/>
                <w:szCs w:val="18"/>
                <w:lang w:eastAsia="zh-Hans"/>
              </w:rPr>
              <w:t>分；第二条提供</w:t>
            </w:r>
            <w:r>
              <w:rPr>
                <w:rFonts w:hint="eastAsia" w:ascii="宋体" w:hAnsi="宋体" w:cs="宋体"/>
                <w:bCs/>
                <w:i/>
                <w:iCs/>
                <w:sz w:val="18"/>
                <w:szCs w:val="18"/>
              </w:rPr>
              <w:t>四</w:t>
            </w:r>
            <w:r>
              <w:rPr>
                <w:rFonts w:hint="eastAsia" w:ascii="宋体" w:hAnsi="宋体" w:cs="宋体"/>
                <w:bCs/>
                <w:i/>
                <w:iCs/>
                <w:sz w:val="18"/>
                <w:szCs w:val="18"/>
                <w:lang w:eastAsia="zh-Hans"/>
              </w:rPr>
              <w:t>份或以上证明材料，得</w:t>
            </w:r>
            <w:r>
              <w:rPr>
                <w:rFonts w:hint="eastAsia" w:ascii="宋体" w:hAnsi="宋体" w:cs="宋体"/>
                <w:bCs/>
                <w:i/>
                <w:iCs/>
                <w:sz w:val="18"/>
                <w:szCs w:val="18"/>
              </w:rPr>
              <w:t>20</w:t>
            </w:r>
            <w:r>
              <w:rPr>
                <w:rFonts w:hint="eastAsia" w:ascii="宋体" w:hAnsi="宋体" w:cs="宋体"/>
                <w:bCs/>
                <w:i/>
                <w:iCs/>
                <w:sz w:val="18"/>
                <w:szCs w:val="18"/>
                <w:lang w:eastAsia="zh-Hans"/>
              </w:rPr>
              <w:t>分，提供</w:t>
            </w:r>
            <w:r>
              <w:rPr>
                <w:rFonts w:hint="eastAsia" w:ascii="宋体" w:hAnsi="宋体" w:cs="宋体"/>
                <w:bCs/>
                <w:i/>
                <w:iCs/>
                <w:sz w:val="18"/>
                <w:szCs w:val="18"/>
              </w:rPr>
              <w:t>叁</w:t>
            </w:r>
            <w:r>
              <w:rPr>
                <w:rFonts w:hint="eastAsia" w:ascii="宋体" w:hAnsi="宋体" w:cs="宋体"/>
                <w:bCs/>
                <w:i/>
                <w:iCs/>
                <w:sz w:val="18"/>
                <w:szCs w:val="18"/>
                <w:lang w:eastAsia="zh-Hans"/>
              </w:rPr>
              <w:t>份业绩证明，得</w:t>
            </w:r>
            <w:r>
              <w:rPr>
                <w:rFonts w:ascii="宋体" w:hAnsi="宋体" w:cs="宋体"/>
                <w:bCs/>
                <w:i/>
                <w:iCs/>
                <w:sz w:val="18"/>
                <w:szCs w:val="18"/>
                <w:lang w:eastAsia="zh-Hans"/>
              </w:rPr>
              <w:t>1</w:t>
            </w:r>
            <w:r>
              <w:rPr>
                <w:rFonts w:hint="eastAsia" w:ascii="宋体" w:hAnsi="宋体" w:cs="宋体"/>
                <w:bCs/>
                <w:i/>
                <w:iCs/>
                <w:sz w:val="18"/>
                <w:szCs w:val="18"/>
              </w:rPr>
              <w:t>5</w:t>
            </w:r>
            <w:r>
              <w:rPr>
                <w:rFonts w:hint="eastAsia" w:ascii="宋体" w:hAnsi="宋体" w:cs="宋体"/>
                <w:bCs/>
                <w:i/>
                <w:iCs/>
                <w:sz w:val="18"/>
                <w:szCs w:val="18"/>
                <w:lang w:eastAsia="zh-Hans"/>
              </w:rPr>
              <w:t>分</w:t>
            </w:r>
            <w:r>
              <w:rPr>
                <w:rFonts w:hint="eastAsia" w:ascii="宋体" w:hAnsi="宋体" w:cs="宋体"/>
                <w:bCs/>
                <w:i/>
                <w:iCs/>
                <w:sz w:val="18"/>
                <w:szCs w:val="18"/>
              </w:rPr>
              <w:t>，</w:t>
            </w:r>
            <w:r>
              <w:rPr>
                <w:rFonts w:hint="eastAsia" w:ascii="宋体" w:hAnsi="宋体" w:cs="宋体"/>
                <w:bCs/>
                <w:i/>
                <w:iCs/>
                <w:sz w:val="18"/>
                <w:szCs w:val="18"/>
                <w:lang w:eastAsia="zh-Hans"/>
              </w:rPr>
              <w:t>提供</w:t>
            </w:r>
            <w:r>
              <w:rPr>
                <w:rFonts w:hint="eastAsia" w:ascii="宋体" w:hAnsi="宋体" w:cs="宋体"/>
                <w:bCs/>
                <w:i/>
                <w:iCs/>
                <w:sz w:val="18"/>
                <w:szCs w:val="18"/>
              </w:rPr>
              <w:t>两</w:t>
            </w:r>
            <w:r>
              <w:rPr>
                <w:rFonts w:hint="eastAsia" w:ascii="宋体" w:hAnsi="宋体" w:cs="宋体"/>
                <w:bCs/>
                <w:i/>
                <w:iCs/>
                <w:sz w:val="18"/>
                <w:szCs w:val="18"/>
                <w:lang w:eastAsia="zh-Hans"/>
              </w:rPr>
              <w:t>份业绩证明，得</w:t>
            </w:r>
            <w:r>
              <w:rPr>
                <w:rFonts w:ascii="宋体" w:hAnsi="宋体" w:cs="宋体"/>
                <w:bCs/>
                <w:i/>
                <w:iCs/>
                <w:sz w:val="18"/>
                <w:szCs w:val="18"/>
                <w:lang w:eastAsia="zh-Hans"/>
              </w:rPr>
              <w:t>10</w:t>
            </w:r>
            <w:r>
              <w:rPr>
                <w:rFonts w:hint="eastAsia" w:ascii="宋体" w:hAnsi="宋体" w:cs="宋体"/>
                <w:bCs/>
                <w:i/>
                <w:iCs/>
                <w:sz w:val="18"/>
                <w:szCs w:val="18"/>
                <w:lang w:eastAsia="zh-Hans"/>
              </w:rPr>
              <w:t>分，提供</w:t>
            </w:r>
            <w:r>
              <w:rPr>
                <w:rFonts w:ascii="宋体" w:hAnsi="宋体" w:cs="宋体"/>
                <w:bCs/>
                <w:i/>
                <w:iCs/>
                <w:sz w:val="18"/>
                <w:szCs w:val="18"/>
                <w:lang w:eastAsia="zh-Hans"/>
              </w:rPr>
              <w:t>1</w:t>
            </w:r>
            <w:r>
              <w:rPr>
                <w:rFonts w:hint="eastAsia" w:ascii="宋体" w:hAnsi="宋体" w:cs="宋体"/>
                <w:bCs/>
                <w:i/>
                <w:iCs/>
                <w:sz w:val="18"/>
                <w:szCs w:val="18"/>
                <w:lang w:eastAsia="zh-Hans"/>
              </w:rPr>
              <w:t>条业绩证明，得</w:t>
            </w:r>
            <w:r>
              <w:rPr>
                <w:rFonts w:ascii="宋体" w:hAnsi="宋体" w:cs="宋体"/>
                <w:bCs/>
                <w:i/>
                <w:iCs/>
                <w:sz w:val="18"/>
                <w:szCs w:val="18"/>
                <w:lang w:eastAsia="zh-Hans"/>
              </w:rPr>
              <w:t>5</w:t>
            </w:r>
            <w:r>
              <w:rPr>
                <w:rFonts w:hint="eastAsia" w:ascii="宋体" w:hAnsi="宋体" w:cs="宋体"/>
                <w:bCs/>
                <w:i/>
                <w:iCs/>
                <w:sz w:val="18"/>
                <w:szCs w:val="18"/>
                <w:lang w:eastAsia="zh-Hans"/>
              </w:rPr>
              <w:t>分</w:t>
            </w:r>
            <w:r>
              <w:rPr>
                <w:rFonts w:hint="eastAsia" w:ascii="宋体" w:hAnsi="宋体" w:cs="宋体"/>
                <w:bCs/>
                <w:i/>
                <w:iCs/>
                <w:sz w:val="18"/>
                <w:szCs w:val="18"/>
              </w:rPr>
              <w:t>，不能提供，得0分</w:t>
            </w:r>
            <w:r>
              <w:rPr>
                <w:rFonts w:hint="eastAsia" w:ascii="宋体" w:hAnsi="宋体" w:cs="宋体"/>
                <w:bCs/>
                <w:i/>
                <w:iCs/>
                <w:sz w:val="18"/>
                <w:szCs w:val="1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661" w:type="dxa"/>
            <w:vMerge w:val="restart"/>
            <w:vAlign w:val="center"/>
          </w:tcPr>
          <w:p>
            <w:pPr>
              <w:spacing w:line="360" w:lineRule="auto"/>
              <w:jc w:val="center"/>
              <w:rPr>
                <w:rFonts w:ascii="宋体" w:hAnsi="宋体" w:cs="宋体"/>
                <w:kern w:val="0"/>
                <w:szCs w:val="21"/>
              </w:rPr>
            </w:pPr>
            <w:r>
              <w:rPr>
                <w:rFonts w:ascii="宋体" w:hAnsi="宋体" w:cs="宋体"/>
                <w:kern w:val="0"/>
                <w:szCs w:val="21"/>
              </w:rPr>
              <w:t>B</w:t>
            </w:r>
          </w:p>
        </w:tc>
        <w:tc>
          <w:tcPr>
            <w:tcW w:w="1134" w:type="dxa"/>
            <w:gridSpan w:val="2"/>
            <w:vMerge w:val="restart"/>
            <w:vAlign w:val="center"/>
          </w:tcPr>
          <w:p>
            <w:pPr>
              <w:spacing w:line="360" w:lineRule="auto"/>
              <w:jc w:val="center"/>
              <w:rPr>
                <w:rFonts w:ascii="宋体" w:hAnsi="宋体" w:cs="宋体"/>
                <w:kern w:val="0"/>
                <w:szCs w:val="21"/>
              </w:rPr>
            </w:pPr>
            <w:r>
              <w:rPr>
                <w:rFonts w:hint="eastAsia" w:ascii="宋体" w:hAnsi="宋体" w:cs="宋体"/>
                <w:kern w:val="0"/>
                <w:szCs w:val="21"/>
              </w:rPr>
              <w:t>技术部分</w:t>
            </w:r>
          </w:p>
        </w:tc>
        <w:tc>
          <w:tcPr>
            <w:tcW w:w="1701" w:type="dxa"/>
            <w:vMerge w:val="restart"/>
            <w:vAlign w:val="center"/>
          </w:tcPr>
          <w:p>
            <w:pPr>
              <w:spacing w:line="360" w:lineRule="auto"/>
              <w:jc w:val="center"/>
              <w:rPr>
                <w:rFonts w:ascii="宋体" w:hAnsi="宋体" w:cs="宋体"/>
                <w:kern w:val="0"/>
                <w:szCs w:val="21"/>
              </w:rPr>
            </w:pPr>
            <w:r>
              <w:rPr>
                <w:rFonts w:hint="eastAsia" w:ascii="宋体" w:hAnsi="宋体" w:cs="宋体"/>
                <w:kern w:val="0"/>
                <w:szCs w:val="21"/>
              </w:rPr>
              <w:t>技术方案</w:t>
            </w:r>
          </w:p>
          <w:p>
            <w:pPr>
              <w:spacing w:line="360" w:lineRule="auto"/>
              <w:jc w:val="center"/>
              <w:rPr>
                <w:rFonts w:ascii="宋体" w:hAnsi="宋体" w:cs="宋体"/>
                <w:kern w:val="0"/>
                <w:szCs w:val="21"/>
              </w:rPr>
            </w:pPr>
            <w:r>
              <w:rPr>
                <w:rFonts w:hint="eastAsia" w:ascii="宋体" w:hAnsi="宋体" w:cs="宋体"/>
                <w:kern w:val="0"/>
                <w:szCs w:val="21"/>
              </w:rPr>
              <w:t>（2</w:t>
            </w:r>
            <w:r>
              <w:rPr>
                <w:rFonts w:ascii="宋体" w:hAnsi="宋体" w:cs="宋体"/>
                <w:kern w:val="0"/>
                <w:szCs w:val="21"/>
              </w:rPr>
              <w:t>0</w:t>
            </w:r>
            <w:r>
              <w:rPr>
                <w:rFonts w:hint="eastAsia" w:ascii="宋体" w:hAnsi="宋体" w:cs="宋体"/>
                <w:kern w:val="0"/>
                <w:szCs w:val="21"/>
              </w:rPr>
              <w:t>分）</w:t>
            </w:r>
          </w:p>
        </w:tc>
        <w:tc>
          <w:tcPr>
            <w:tcW w:w="5024" w:type="dxa"/>
            <w:vAlign w:val="center"/>
          </w:tcPr>
          <w:p>
            <w:pPr>
              <w:spacing w:line="360" w:lineRule="auto"/>
              <w:jc w:val="left"/>
              <w:rPr>
                <w:rFonts w:ascii="宋体" w:hAnsi="宋体" w:cs="宋体"/>
                <w:bCs/>
                <w:szCs w:val="21"/>
              </w:rPr>
            </w:pPr>
            <w:r>
              <w:rPr>
                <w:rFonts w:hint="eastAsia" w:ascii="宋体" w:hAnsi="宋体" w:cs="宋体"/>
                <w:bCs/>
                <w:szCs w:val="21"/>
              </w:rPr>
              <w:t>至少包括详细设计方案，要求系统架构设计逻辑性强、扩展性好、可靠性高、具备技术先进性、实施方案、项目管理计划、质量保证计划、培训计划、售后服务承诺等内容（1</w:t>
            </w:r>
            <w:r>
              <w:rPr>
                <w:rFonts w:ascii="宋体" w:hAnsi="宋体" w:cs="宋体"/>
                <w:bCs/>
                <w:szCs w:val="21"/>
              </w:rPr>
              <w:t>0</w:t>
            </w:r>
            <w:r>
              <w:rPr>
                <w:rFonts w:hint="eastAsia" w:ascii="宋体" w:hAnsi="宋体" w:cs="宋体"/>
                <w:bCs/>
                <w:szCs w:val="21"/>
              </w:rPr>
              <w:t>分）。</w:t>
            </w:r>
          </w:p>
          <w:p>
            <w:pPr>
              <w:pStyle w:val="13"/>
              <w:spacing w:line="360" w:lineRule="auto"/>
              <w:jc w:val="left"/>
              <w:rPr>
                <w:rFonts w:ascii="宋体" w:hAnsi="宋体" w:cs="宋体"/>
                <w:bCs/>
                <w:color w:val="auto"/>
                <w:sz w:val="21"/>
                <w:szCs w:val="21"/>
              </w:rPr>
            </w:pPr>
            <w:r>
              <w:rPr>
                <w:rFonts w:hint="eastAsia" w:ascii="宋体" w:hAnsi="宋体" w:cs="宋体"/>
                <w:bCs/>
                <w:i/>
                <w:iCs/>
                <w:color w:val="auto"/>
                <w:sz w:val="18"/>
                <w:szCs w:val="18"/>
              </w:rPr>
              <w:t>方案内容完善，思路清晰，合理性高，并突出先进性得</w:t>
            </w:r>
            <w:r>
              <w:rPr>
                <w:rFonts w:ascii="宋体" w:hAnsi="宋体" w:cs="宋体"/>
                <w:bCs/>
                <w:i/>
                <w:iCs/>
                <w:color w:val="auto"/>
                <w:sz w:val="18"/>
                <w:szCs w:val="18"/>
              </w:rPr>
              <w:t>8</w:t>
            </w:r>
            <w:r>
              <w:rPr>
                <w:rFonts w:hint="eastAsia" w:ascii="宋体" w:hAnsi="宋体" w:cs="宋体"/>
                <w:bCs/>
                <w:i/>
                <w:iCs/>
                <w:color w:val="auto"/>
                <w:sz w:val="18"/>
                <w:szCs w:val="18"/>
              </w:rPr>
              <w:t>-</w:t>
            </w:r>
            <w:r>
              <w:rPr>
                <w:rFonts w:ascii="宋体" w:hAnsi="宋体" w:cs="宋体"/>
                <w:bCs/>
                <w:i/>
                <w:iCs/>
                <w:color w:val="auto"/>
                <w:sz w:val="18"/>
                <w:szCs w:val="18"/>
              </w:rPr>
              <w:t>10</w:t>
            </w:r>
            <w:r>
              <w:rPr>
                <w:rFonts w:hint="eastAsia" w:ascii="宋体" w:hAnsi="宋体" w:cs="宋体"/>
                <w:bCs/>
                <w:i/>
                <w:iCs/>
                <w:color w:val="auto"/>
                <w:sz w:val="18"/>
                <w:szCs w:val="18"/>
              </w:rPr>
              <w:t>分；相对完善得</w:t>
            </w:r>
            <w:r>
              <w:rPr>
                <w:rFonts w:ascii="宋体" w:hAnsi="宋体" w:cs="宋体"/>
                <w:bCs/>
                <w:i/>
                <w:iCs/>
                <w:color w:val="auto"/>
                <w:sz w:val="18"/>
                <w:szCs w:val="18"/>
              </w:rPr>
              <w:t>5</w:t>
            </w:r>
            <w:r>
              <w:rPr>
                <w:rFonts w:hint="eastAsia" w:ascii="宋体" w:hAnsi="宋体" w:cs="宋体"/>
                <w:bCs/>
                <w:i/>
                <w:iCs/>
                <w:color w:val="auto"/>
                <w:sz w:val="18"/>
                <w:szCs w:val="18"/>
              </w:rPr>
              <w:t>-</w:t>
            </w:r>
            <w:r>
              <w:rPr>
                <w:rFonts w:ascii="宋体" w:hAnsi="宋体" w:cs="宋体"/>
                <w:bCs/>
                <w:i/>
                <w:iCs/>
                <w:color w:val="auto"/>
                <w:sz w:val="18"/>
                <w:szCs w:val="18"/>
              </w:rPr>
              <w:t>8</w:t>
            </w:r>
            <w:r>
              <w:rPr>
                <w:rFonts w:hint="eastAsia" w:ascii="宋体" w:hAnsi="宋体" w:cs="宋体"/>
                <w:bCs/>
                <w:i/>
                <w:iCs/>
                <w:color w:val="auto"/>
                <w:sz w:val="18"/>
                <w:szCs w:val="18"/>
              </w:rPr>
              <w:t>分；简单或不提供得0-</w:t>
            </w:r>
            <w:r>
              <w:rPr>
                <w:rFonts w:ascii="宋体" w:hAnsi="宋体" w:cs="宋体"/>
                <w:bCs/>
                <w:i/>
                <w:iCs/>
                <w:color w:val="auto"/>
                <w:sz w:val="18"/>
                <w:szCs w:val="18"/>
              </w:rPr>
              <w:t>5</w:t>
            </w:r>
            <w:r>
              <w:rPr>
                <w:rFonts w:hint="eastAsia" w:ascii="宋体" w:hAnsi="宋体" w:cs="宋体"/>
                <w:bCs/>
                <w:i/>
                <w:iCs/>
                <w:color w:val="auto"/>
                <w:sz w:val="18"/>
                <w:szCs w:val="18"/>
              </w:rPr>
              <w:t>分，满分1</w:t>
            </w:r>
            <w:r>
              <w:rPr>
                <w:rFonts w:ascii="宋体" w:hAnsi="宋体" w:cs="宋体"/>
                <w:bCs/>
                <w:i/>
                <w:iCs/>
                <w:color w:val="auto"/>
                <w:sz w:val="18"/>
                <w:szCs w:val="18"/>
              </w:rPr>
              <w:t>0</w:t>
            </w:r>
            <w:r>
              <w:rPr>
                <w:rFonts w:hint="eastAsia" w:ascii="宋体" w:hAnsi="宋体" w:cs="宋体"/>
                <w:bCs/>
                <w:i/>
                <w:iCs/>
                <w:color w:val="auto"/>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spacing w:line="360" w:lineRule="auto"/>
              <w:rPr>
                <w:rFonts w:ascii="宋体" w:hAnsi="宋体" w:cs="宋体"/>
                <w:kern w:val="0"/>
                <w:szCs w:val="21"/>
              </w:rPr>
            </w:pPr>
          </w:p>
        </w:tc>
        <w:tc>
          <w:tcPr>
            <w:tcW w:w="1134" w:type="dxa"/>
            <w:gridSpan w:val="2"/>
            <w:vMerge w:val="continue"/>
            <w:vAlign w:val="center"/>
          </w:tcPr>
          <w:p>
            <w:pPr>
              <w:spacing w:line="360" w:lineRule="auto"/>
              <w:rPr>
                <w:rFonts w:ascii="宋体" w:hAnsi="宋体" w:cs="宋体"/>
                <w:kern w:val="0"/>
                <w:szCs w:val="21"/>
              </w:rPr>
            </w:pPr>
          </w:p>
        </w:tc>
        <w:tc>
          <w:tcPr>
            <w:tcW w:w="1701" w:type="dxa"/>
            <w:vMerge w:val="continue"/>
            <w:vAlign w:val="center"/>
          </w:tcPr>
          <w:p>
            <w:pPr>
              <w:spacing w:line="360" w:lineRule="auto"/>
              <w:rPr>
                <w:rFonts w:ascii="宋体" w:hAnsi="宋体" w:cs="宋体"/>
                <w:kern w:val="0"/>
                <w:szCs w:val="21"/>
              </w:rPr>
            </w:pPr>
          </w:p>
        </w:tc>
        <w:tc>
          <w:tcPr>
            <w:tcW w:w="5024" w:type="dxa"/>
            <w:vAlign w:val="center"/>
          </w:tcPr>
          <w:p>
            <w:pPr>
              <w:spacing w:line="360" w:lineRule="auto"/>
              <w:rPr>
                <w:rFonts w:ascii="宋体" w:hAnsi="宋体" w:cs="宋体"/>
              </w:rPr>
            </w:pPr>
            <w:r>
              <w:rPr>
                <w:rFonts w:hint="eastAsia" w:ascii="宋体" w:hAnsi="宋体" w:cs="宋体"/>
              </w:rPr>
              <w:t>针对本项目制定售后服务方案，售后服务方案详细、具体、科学可行、完全满足用户要求，开发单位提供理论培训方案及实际操作培训的得10分；提出售后服务方案，基本满足招标文件要求得1-5分；未提供售后服务方案或方案有缺失的得0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1" w:type="dxa"/>
            <w:vMerge w:val="continue"/>
            <w:vAlign w:val="center"/>
          </w:tcPr>
          <w:p>
            <w:pPr>
              <w:spacing w:line="360" w:lineRule="auto"/>
              <w:rPr>
                <w:rFonts w:ascii="宋体" w:hAnsi="宋体" w:cs="宋体"/>
                <w:kern w:val="0"/>
                <w:szCs w:val="21"/>
              </w:rPr>
            </w:pPr>
          </w:p>
        </w:tc>
        <w:tc>
          <w:tcPr>
            <w:tcW w:w="1134" w:type="dxa"/>
            <w:gridSpan w:val="2"/>
            <w:vMerge w:val="continue"/>
            <w:vAlign w:val="center"/>
          </w:tcPr>
          <w:p>
            <w:pPr>
              <w:spacing w:line="360" w:lineRule="auto"/>
              <w:rPr>
                <w:rFonts w:ascii="宋体" w:hAnsi="宋体" w:cs="宋体"/>
                <w:kern w:val="0"/>
                <w:szCs w:val="21"/>
              </w:rPr>
            </w:pPr>
          </w:p>
        </w:tc>
        <w:tc>
          <w:tcPr>
            <w:tcW w:w="1701" w:type="dxa"/>
            <w:vMerge w:val="continue"/>
            <w:vAlign w:val="center"/>
          </w:tcPr>
          <w:p>
            <w:pPr>
              <w:spacing w:line="360" w:lineRule="auto"/>
              <w:rPr>
                <w:rFonts w:ascii="宋体" w:hAnsi="宋体" w:cs="宋体"/>
                <w:kern w:val="0"/>
                <w:szCs w:val="21"/>
              </w:rPr>
            </w:pPr>
          </w:p>
        </w:tc>
        <w:tc>
          <w:tcPr>
            <w:tcW w:w="5024" w:type="dxa"/>
          </w:tcPr>
          <w:p>
            <w:pPr>
              <w:spacing w:line="360" w:lineRule="auto"/>
              <w:rPr>
                <w:rFonts w:ascii="宋体" w:hAnsi="宋体" w:cs="宋体"/>
              </w:rPr>
            </w:pPr>
            <w:r>
              <w:rPr>
                <w:rFonts w:hint="eastAsia"/>
                <w:szCs w:val="21"/>
              </w:rPr>
              <w:t>竞标价的确定：竞标价＝报价书文字报价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1" w:type="dxa"/>
            <w:vMerge w:val="restart"/>
            <w:vAlign w:val="center"/>
          </w:tcPr>
          <w:p>
            <w:pPr>
              <w:spacing w:line="360" w:lineRule="auto"/>
              <w:rPr>
                <w:rFonts w:ascii="宋体" w:hAnsi="宋体" w:cs="宋体"/>
                <w:kern w:val="0"/>
                <w:szCs w:val="21"/>
              </w:rPr>
            </w:pPr>
            <w:r>
              <w:rPr>
                <w:rFonts w:ascii="宋体" w:hAnsi="宋体" w:cs="宋体"/>
                <w:kern w:val="0"/>
                <w:szCs w:val="21"/>
              </w:rPr>
              <w:t>C</w:t>
            </w:r>
          </w:p>
        </w:tc>
        <w:tc>
          <w:tcPr>
            <w:tcW w:w="1134" w:type="dxa"/>
            <w:gridSpan w:val="2"/>
            <w:vMerge w:val="restart"/>
            <w:vAlign w:val="center"/>
          </w:tcPr>
          <w:p>
            <w:pPr>
              <w:spacing w:line="360" w:lineRule="auto"/>
              <w:rPr>
                <w:rFonts w:ascii="宋体" w:hAnsi="宋体" w:cs="宋体"/>
                <w:kern w:val="0"/>
                <w:szCs w:val="21"/>
              </w:rPr>
            </w:pPr>
            <w:r>
              <w:rPr>
                <w:rFonts w:hint="eastAsia"/>
                <w:szCs w:val="21"/>
              </w:rPr>
              <w:t>竞标总价得分</w:t>
            </w:r>
          </w:p>
        </w:tc>
        <w:tc>
          <w:tcPr>
            <w:tcW w:w="1701" w:type="dxa"/>
            <w:vMerge w:val="restart"/>
            <w:vAlign w:val="center"/>
          </w:tcPr>
          <w:p>
            <w:pPr>
              <w:spacing w:line="360" w:lineRule="auto"/>
              <w:jc w:val="center"/>
              <w:rPr>
                <w:rFonts w:ascii="宋体" w:hAnsi="宋体" w:cs="宋体"/>
                <w:kern w:val="0"/>
                <w:szCs w:val="21"/>
              </w:rPr>
            </w:pPr>
            <w:r>
              <w:rPr>
                <w:rFonts w:hint="eastAsia" w:ascii="宋体" w:hAnsi="宋体" w:cs="宋体"/>
                <w:kern w:val="0"/>
                <w:szCs w:val="21"/>
                <w:lang w:eastAsia="zh-Hans"/>
              </w:rPr>
              <w:t>（</w:t>
            </w:r>
            <w:r>
              <w:rPr>
                <w:rFonts w:ascii="宋体" w:hAnsi="宋体" w:cs="宋体"/>
                <w:kern w:val="0"/>
                <w:szCs w:val="21"/>
              </w:rPr>
              <w:t>50分</w:t>
            </w:r>
            <w:r>
              <w:rPr>
                <w:rFonts w:hint="eastAsia" w:ascii="宋体" w:hAnsi="宋体" w:cs="宋体"/>
                <w:kern w:val="0"/>
                <w:szCs w:val="21"/>
                <w:lang w:eastAsia="zh-Hans"/>
              </w:rPr>
              <w:t>）</w:t>
            </w:r>
          </w:p>
        </w:tc>
        <w:tc>
          <w:tcPr>
            <w:tcW w:w="5024" w:type="dxa"/>
          </w:tcPr>
          <w:p>
            <w:pPr>
              <w:pStyle w:val="8"/>
              <w:spacing w:line="360" w:lineRule="auto"/>
              <w:rPr>
                <w:rFonts w:ascii="Times New Roman"/>
              </w:rPr>
            </w:pPr>
            <w:r>
              <w:rPr>
                <w:rFonts w:hAnsi="宋体"/>
                <w:b/>
              </w:rPr>
              <w:t>A.</w:t>
            </w:r>
            <w:r>
              <w:rPr>
                <w:rFonts w:hint="eastAsia"/>
              </w:rPr>
              <w:t xml:space="preserve"> </w:t>
            </w:r>
            <w:r>
              <w:rPr>
                <w:rFonts w:hint="eastAsia" w:ascii="Times New Roman"/>
              </w:rPr>
              <w:t>重庆高速国储能源投资有限公司智慧加油站综合运营管理系统</w:t>
            </w:r>
            <w:r>
              <w:rPr>
                <w:rFonts w:hint="eastAsia" w:ascii="Times New Roman" w:hAnsi="Times New Roman"/>
              </w:rPr>
              <w:t>最高限价为</w:t>
            </w:r>
            <w:r>
              <w:rPr>
                <w:rFonts w:hint="eastAsia"/>
                <w:u w:val="single"/>
              </w:rPr>
              <w:t>90</w:t>
            </w:r>
            <w:r>
              <w:rPr>
                <w:u w:val="single"/>
              </w:rPr>
              <w:t>0000.00</w:t>
            </w:r>
            <w:r>
              <w:rPr>
                <w:rFonts w:hint="eastAsia" w:ascii="Times New Roman"/>
              </w:rPr>
              <w:t>元。</w:t>
            </w:r>
          </w:p>
          <w:p>
            <w:pPr>
              <w:pStyle w:val="8"/>
              <w:spacing w:line="360" w:lineRule="auto"/>
              <w:rPr>
                <w:rFonts w:hAnsi="宋体"/>
              </w:rPr>
            </w:pPr>
            <w:r>
              <w:rPr>
                <w:rFonts w:hAnsi="宋体"/>
                <w:b/>
              </w:rPr>
              <w:t>B、</w:t>
            </w:r>
            <w:r>
              <w:rPr>
                <w:rFonts w:hint="eastAsia" w:hAnsi="宋体"/>
              </w:rPr>
              <w:t>竞标价</w:t>
            </w:r>
            <w:r>
              <w:rPr>
                <w:rFonts w:hAnsi="宋体"/>
              </w:rPr>
              <w:t>得分的计算程序：</w:t>
            </w:r>
          </w:p>
          <w:p>
            <w:pPr>
              <w:pStyle w:val="8"/>
              <w:spacing w:line="360" w:lineRule="auto"/>
              <w:rPr>
                <w:rFonts w:hAnsi="宋体"/>
              </w:rPr>
            </w:pPr>
            <w:r>
              <w:rPr>
                <w:rFonts w:hint="eastAsia" w:hAnsi="宋体"/>
              </w:rPr>
              <w:t>（</w:t>
            </w:r>
            <w:r>
              <w:rPr>
                <w:rFonts w:hAnsi="宋体"/>
              </w:rPr>
              <w:t>1）有效竞标价的确定：不大于最高投标限价A的竞标报价，高于最高投标限价的竞标报价按否决处理，不予进一步评审，并不参与评标基准价的计算。</w:t>
            </w:r>
          </w:p>
          <w:p>
            <w:pPr>
              <w:spacing w:line="360"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投标基准价</w:t>
            </w:r>
            <w:r>
              <w:rPr>
                <w:rFonts w:ascii="宋体" w:hAnsi="宋体"/>
                <w:szCs w:val="21"/>
              </w:rPr>
              <w:t>（D）的计算：</w:t>
            </w:r>
          </w:p>
          <w:p>
            <w:pPr>
              <w:spacing w:line="360" w:lineRule="auto"/>
              <w:rPr>
                <w:rFonts w:ascii="宋体" w:hAnsi="宋体"/>
                <w:szCs w:val="21"/>
              </w:rPr>
            </w:pPr>
            <w:r>
              <w:rPr>
                <w:rFonts w:ascii="宋体" w:hAnsi="宋体"/>
                <w:szCs w:val="21"/>
              </w:rPr>
              <w:t>a．有效竞标价大于5家时：所有被宣读</w:t>
            </w:r>
            <w:r>
              <w:rPr>
                <w:rFonts w:hint="eastAsia" w:ascii="宋体" w:hAnsi="宋体"/>
                <w:szCs w:val="21"/>
              </w:rPr>
              <w:t>竞标价（应为经修正后的）在有效竞标价范围内</w:t>
            </w:r>
            <w:r>
              <w:rPr>
                <w:rFonts w:ascii="宋体" w:hAnsi="宋体"/>
                <w:szCs w:val="21"/>
              </w:rPr>
              <w:t>的投标</w:t>
            </w:r>
            <w:r>
              <w:rPr>
                <w:rFonts w:hint="eastAsia" w:ascii="宋体" w:hAnsi="宋体"/>
                <w:szCs w:val="21"/>
              </w:rPr>
              <w:t>人竞标价，去掉一个最高值和一个最低值后的算术平均值即为投标基准价（</w:t>
            </w:r>
            <w:r>
              <w:rPr>
                <w:rFonts w:ascii="宋体" w:hAnsi="宋体"/>
                <w:szCs w:val="21"/>
              </w:rPr>
              <w:t>D）；</w:t>
            </w:r>
          </w:p>
          <w:p>
            <w:pPr>
              <w:spacing w:line="360" w:lineRule="auto"/>
              <w:rPr>
                <w:rFonts w:ascii="宋体" w:hAnsi="宋体"/>
                <w:szCs w:val="21"/>
              </w:rPr>
            </w:pPr>
            <w:r>
              <w:rPr>
                <w:rFonts w:ascii="宋体" w:hAnsi="宋体"/>
                <w:szCs w:val="21"/>
              </w:rPr>
              <w:t>D．有效竞标价小于或等于5家时：所有被宣读竞标价在有效竞标价范围内的投标人</w:t>
            </w:r>
            <w:r>
              <w:rPr>
                <w:rFonts w:hint="eastAsia" w:ascii="宋体" w:hAnsi="宋体"/>
                <w:szCs w:val="21"/>
              </w:rPr>
              <w:t>竞标价</w:t>
            </w:r>
            <w:r>
              <w:rPr>
                <w:rFonts w:ascii="宋体" w:hAnsi="宋体"/>
                <w:szCs w:val="21"/>
              </w:rPr>
              <w:t>的算术平均值即为</w:t>
            </w:r>
            <w:r>
              <w:rPr>
                <w:rFonts w:hint="eastAsia" w:ascii="宋体" w:hAnsi="宋体"/>
                <w:szCs w:val="21"/>
              </w:rPr>
              <w:t>投标基准价</w:t>
            </w:r>
            <w:r>
              <w:rPr>
                <w:rFonts w:ascii="宋体" w:hAnsi="宋体"/>
                <w:szCs w:val="21"/>
              </w:rPr>
              <w:t>（D）</w:t>
            </w:r>
            <w:r>
              <w:rPr>
                <w:rFonts w:hint="eastAsia" w:ascii="宋体" w:hAnsi="宋体"/>
                <w:szCs w:val="21"/>
              </w:rPr>
              <w:t>；</w:t>
            </w:r>
          </w:p>
          <w:p>
            <w:pPr>
              <w:spacing w:line="360" w:lineRule="auto"/>
              <w:rPr>
                <w:rFonts w:ascii="宋体" w:hAnsi="宋体"/>
                <w:szCs w:val="21"/>
              </w:rPr>
            </w:pPr>
            <w:r>
              <w:rPr>
                <w:rFonts w:ascii="宋体" w:hAnsi="宋体"/>
                <w:szCs w:val="21"/>
              </w:rPr>
              <w:t>（3）当投标人</w:t>
            </w:r>
            <w:r>
              <w:rPr>
                <w:rFonts w:hint="eastAsia" w:ascii="宋体" w:hAnsi="宋体"/>
                <w:szCs w:val="21"/>
              </w:rPr>
              <w:t>竞标价</w:t>
            </w:r>
            <w:r>
              <w:rPr>
                <w:rFonts w:ascii="宋体" w:hAnsi="宋体"/>
                <w:szCs w:val="21"/>
              </w:rPr>
              <w:t>等于D时得满分（</w:t>
            </w:r>
            <w:r>
              <w:rPr>
                <w:rFonts w:hint="eastAsia" w:ascii="宋体" w:hAnsi="宋体"/>
                <w:szCs w:val="21"/>
                <w:lang w:val="en-US" w:eastAsia="zh-CN"/>
              </w:rPr>
              <w:t>5</w:t>
            </w:r>
            <w:r>
              <w:rPr>
                <w:rFonts w:ascii="宋体" w:hAnsi="宋体"/>
                <w:szCs w:val="21"/>
              </w:rPr>
              <w:t>0分），每高于D一个百分点扣0.2分，每低于D一个百分点扣0.1分，中间值按比例内插。</w:t>
            </w:r>
          </w:p>
          <w:p>
            <w:pPr>
              <w:spacing w:line="360" w:lineRule="auto"/>
              <w:ind w:firstLine="480"/>
              <w:rPr>
                <w:rFonts w:ascii="宋体" w:hAnsi="宋体"/>
                <w:szCs w:val="21"/>
              </w:rPr>
            </w:pPr>
            <w:r>
              <w:rPr>
                <w:rFonts w:hint="eastAsia" w:ascii="宋体" w:hAnsi="宋体"/>
                <w:szCs w:val="21"/>
              </w:rPr>
              <w:t>竞标价</w:t>
            </w:r>
            <w:r>
              <w:rPr>
                <w:rFonts w:ascii="宋体" w:hAnsi="宋体"/>
                <w:szCs w:val="21"/>
              </w:rPr>
              <w:t>得分用</w:t>
            </w:r>
            <w:r>
              <w:rPr>
                <w:rFonts w:hint="eastAsia" w:ascii="宋体" w:hAnsi="宋体"/>
                <w:szCs w:val="21"/>
              </w:rPr>
              <w:t>公</w:t>
            </w:r>
            <w:r>
              <w:rPr>
                <w:rFonts w:ascii="宋体" w:hAnsi="宋体"/>
                <w:szCs w:val="21"/>
              </w:rPr>
              <w:t>式表示如下：</w:t>
            </w:r>
          </w:p>
          <w:p>
            <w:pPr>
              <w:spacing w:line="360" w:lineRule="auto"/>
              <w:ind w:firstLine="480"/>
              <w:jc w:val="center"/>
              <w:rPr>
                <w:rFonts w:ascii="宋体" w:hAnsi="宋体"/>
                <w:szCs w:val="21"/>
              </w:rPr>
            </w:pPr>
            <w:r>
              <w:rPr>
                <w:rFonts w:ascii="宋体" w:hAnsi="宋体"/>
                <w:szCs w:val="21"/>
              </w:rPr>
              <w:object>
                <v:shape id="_x0000_i1025" o:spt="75" type="#_x0000_t75" style="height:32.25pt;width:140.25pt;" o:ole="t" fillcolor="#595959"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80"/>
              <w:rPr>
                <w:rFonts w:ascii="宋体" w:hAnsi="宋体"/>
                <w:szCs w:val="21"/>
              </w:rPr>
            </w:pPr>
            <w:r>
              <w:rPr>
                <w:rFonts w:ascii="宋体" w:hAnsi="宋体"/>
                <w:szCs w:val="21"/>
              </w:rPr>
              <w:t>式中：F</w:t>
            </w:r>
            <w:r>
              <w:rPr>
                <w:rFonts w:ascii="宋体" w:hAnsi="宋体"/>
                <w:szCs w:val="21"/>
                <w:vertAlign w:val="subscript"/>
              </w:rPr>
              <w:t>1</w:t>
            </w:r>
            <w:r>
              <w:rPr>
                <w:rFonts w:ascii="宋体" w:hAnsi="宋体"/>
                <w:szCs w:val="21"/>
              </w:rPr>
              <w:t>=</w:t>
            </w:r>
            <w:r>
              <w:rPr>
                <w:rFonts w:hint="eastAsia" w:ascii="宋体" w:hAnsi="宋体"/>
                <w:szCs w:val="21"/>
              </w:rPr>
              <w:t>竞标价</w:t>
            </w:r>
            <w:r>
              <w:rPr>
                <w:rFonts w:ascii="宋体" w:hAnsi="宋体"/>
                <w:szCs w:val="21"/>
              </w:rPr>
              <w:t>得分；</w:t>
            </w:r>
          </w:p>
          <w:p>
            <w:pPr>
              <w:tabs>
                <w:tab w:val="left" w:pos="5060"/>
              </w:tabs>
              <w:spacing w:line="360" w:lineRule="auto"/>
              <w:ind w:firstLine="480"/>
              <w:rPr>
                <w:rFonts w:ascii="宋体" w:hAnsi="宋体"/>
                <w:szCs w:val="21"/>
              </w:rPr>
            </w:pPr>
            <w:r>
              <w:rPr>
                <w:rFonts w:ascii="宋体" w:hAnsi="宋体"/>
                <w:szCs w:val="21"/>
              </w:rPr>
              <w:t>F=</w:t>
            </w:r>
            <w:r>
              <w:rPr>
                <w:rFonts w:hint="eastAsia" w:ascii="宋体" w:hAnsi="宋体"/>
                <w:szCs w:val="21"/>
                <w:lang w:val="en-US" w:eastAsia="zh-CN"/>
              </w:rPr>
              <w:t>5</w:t>
            </w:r>
            <w:r>
              <w:rPr>
                <w:rFonts w:ascii="宋体" w:hAnsi="宋体"/>
                <w:szCs w:val="21"/>
              </w:rPr>
              <w:t>0；</w:t>
            </w:r>
          </w:p>
          <w:p>
            <w:pPr>
              <w:spacing w:line="360" w:lineRule="auto"/>
              <w:ind w:firstLine="480"/>
              <w:rPr>
                <w:rFonts w:ascii="宋体" w:hAnsi="宋体"/>
                <w:szCs w:val="21"/>
              </w:rPr>
            </w:pPr>
            <w:r>
              <w:rPr>
                <w:rFonts w:ascii="宋体" w:hAnsi="宋体"/>
                <w:szCs w:val="21"/>
              </w:rPr>
              <w:t>D</w:t>
            </w:r>
            <w:r>
              <w:rPr>
                <w:rFonts w:ascii="宋体" w:hAnsi="宋体"/>
                <w:szCs w:val="21"/>
                <w:vertAlign w:val="subscript"/>
              </w:rPr>
              <w:t>1</w:t>
            </w:r>
            <w:r>
              <w:rPr>
                <w:rFonts w:ascii="宋体" w:hAnsi="宋体"/>
                <w:szCs w:val="21"/>
              </w:rPr>
              <w:t>=投标人的</w:t>
            </w:r>
            <w:r>
              <w:rPr>
                <w:rFonts w:hint="eastAsia" w:ascii="宋体" w:hAnsi="宋体"/>
                <w:szCs w:val="21"/>
              </w:rPr>
              <w:t>竞标价</w:t>
            </w:r>
            <w:r>
              <w:rPr>
                <w:rFonts w:ascii="宋体" w:hAnsi="宋体"/>
                <w:szCs w:val="21"/>
              </w:rPr>
              <w:t>；</w:t>
            </w:r>
          </w:p>
          <w:p>
            <w:pPr>
              <w:spacing w:line="360" w:lineRule="auto"/>
              <w:ind w:firstLine="480"/>
              <w:rPr>
                <w:rFonts w:ascii="宋体" w:hAnsi="宋体"/>
                <w:szCs w:val="21"/>
              </w:rPr>
            </w:pPr>
            <w:r>
              <w:rPr>
                <w:rFonts w:ascii="宋体" w:hAnsi="宋体"/>
                <w:szCs w:val="21"/>
              </w:rPr>
              <w:t>D=评标基准价。</w:t>
            </w:r>
          </w:p>
          <w:p>
            <w:pPr>
              <w:tabs>
                <w:tab w:val="left" w:pos="5920"/>
              </w:tabs>
              <w:snapToGrid w:val="0"/>
              <w:spacing w:line="360" w:lineRule="auto"/>
              <w:ind w:firstLine="480"/>
              <w:rPr>
                <w:rFonts w:ascii="宋体" w:hAnsi="宋体"/>
                <w:szCs w:val="21"/>
              </w:rPr>
            </w:pPr>
            <w:r>
              <w:rPr>
                <w:rFonts w:ascii="宋体" w:hAnsi="宋体"/>
                <w:szCs w:val="21"/>
              </w:rPr>
              <w:t>若D</w:t>
            </w:r>
            <w:r>
              <w:rPr>
                <w:rFonts w:ascii="宋体" w:hAnsi="宋体"/>
                <w:szCs w:val="21"/>
                <w:vertAlign w:val="subscript"/>
              </w:rPr>
              <w:t>1</w:t>
            </w:r>
            <w:r>
              <w:rPr>
                <w:rFonts w:ascii="宋体" w:hAnsi="宋体"/>
                <w:szCs w:val="21"/>
              </w:rPr>
              <w:sym w:font="Symbol" w:char="F0B3"/>
            </w:r>
            <w:r>
              <w:rPr>
                <w:rFonts w:ascii="宋体" w:hAnsi="宋体"/>
                <w:szCs w:val="21"/>
              </w:rPr>
              <w:t>D，则E=0.2；若D</w:t>
            </w:r>
            <w:r>
              <w:rPr>
                <w:rFonts w:ascii="宋体" w:hAnsi="宋体"/>
                <w:szCs w:val="21"/>
                <w:vertAlign w:val="subscript"/>
              </w:rPr>
              <w:t>1</w:t>
            </w:r>
            <w:r>
              <w:rPr>
                <w:rFonts w:ascii="宋体" w:hAnsi="宋体"/>
                <w:szCs w:val="21"/>
              </w:rPr>
              <w:t>&lt;D，则E=0.1。</w:t>
            </w:r>
          </w:p>
          <w:p>
            <w:pPr>
              <w:spacing w:line="360" w:lineRule="auto"/>
              <w:rPr>
                <w:rFonts w:ascii="宋体" w:hAnsi="宋体" w:cs="宋体"/>
                <w:kern w:val="0"/>
                <w:szCs w:val="21"/>
              </w:rPr>
            </w:pPr>
            <w:r>
              <w:rPr>
                <w:rFonts w:hint="eastAsia" w:ascii="宋体" w:hAnsi="宋体"/>
                <w:szCs w:val="21"/>
              </w:rPr>
              <w:t>即使某投标文件工程量清单及竞标报价未通过初步评审与响应性评审及资格审查，如其报价处于参与评标基准价的计算的竞标报价的有效范围以内，其报价仍应参与评标基准价的计算。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1" w:type="dxa"/>
            <w:vMerge w:val="continue"/>
            <w:vAlign w:val="center"/>
          </w:tcPr>
          <w:p>
            <w:pPr>
              <w:spacing w:line="360" w:lineRule="auto"/>
              <w:rPr>
                <w:rFonts w:ascii="宋体" w:hAnsi="宋体" w:cs="宋体"/>
                <w:kern w:val="0"/>
                <w:szCs w:val="21"/>
              </w:rPr>
            </w:pPr>
          </w:p>
        </w:tc>
        <w:tc>
          <w:tcPr>
            <w:tcW w:w="1134" w:type="dxa"/>
            <w:gridSpan w:val="2"/>
            <w:vMerge w:val="continue"/>
            <w:vAlign w:val="center"/>
          </w:tcPr>
          <w:p>
            <w:pPr>
              <w:spacing w:line="360" w:lineRule="auto"/>
              <w:rPr>
                <w:rFonts w:ascii="宋体" w:hAnsi="宋体" w:cs="宋体"/>
                <w:kern w:val="0"/>
                <w:szCs w:val="21"/>
              </w:rPr>
            </w:pPr>
          </w:p>
        </w:tc>
        <w:tc>
          <w:tcPr>
            <w:tcW w:w="1701" w:type="dxa"/>
            <w:vMerge w:val="continue"/>
            <w:vAlign w:val="center"/>
          </w:tcPr>
          <w:p>
            <w:pPr>
              <w:spacing w:line="360" w:lineRule="auto"/>
              <w:rPr>
                <w:rFonts w:ascii="宋体" w:hAnsi="宋体" w:cs="宋体"/>
                <w:kern w:val="0"/>
                <w:szCs w:val="21"/>
              </w:rPr>
            </w:pPr>
          </w:p>
        </w:tc>
        <w:tc>
          <w:tcPr>
            <w:tcW w:w="5024" w:type="dxa"/>
          </w:tcPr>
          <w:p>
            <w:pPr>
              <w:spacing w:line="36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795" w:type="dxa"/>
            <w:gridSpan w:val="3"/>
            <w:vAlign w:val="center"/>
          </w:tcPr>
          <w:p>
            <w:pPr>
              <w:spacing w:line="360" w:lineRule="auto"/>
              <w:rPr>
                <w:szCs w:val="21"/>
              </w:rPr>
            </w:pPr>
            <w:r>
              <w:rPr>
                <w:rFonts w:hint="eastAsia"/>
                <w:szCs w:val="21"/>
              </w:rPr>
              <w:t>候选人最终得分</w:t>
            </w:r>
          </w:p>
        </w:tc>
        <w:tc>
          <w:tcPr>
            <w:tcW w:w="6725" w:type="dxa"/>
            <w:gridSpan w:val="2"/>
            <w:vAlign w:val="center"/>
          </w:tcPr>
          <w:p>
            <w:pPr>
              <w:spacing w:line="360" w:lineRule="auto"/>
              <w:rPr>
                <w:rFonts w:ascii="宋体" w:hAnsi="宋体" w:cs="宋体"/>
                <w:kern w:val="0"/>
                <w:szCs w:val="21"/>
              </w:rPr>
            </w:pPr>
            <w:r>
              <w:rPr>
                <w:rFonts w:hint="eastAsia" w:ascii="宋体" w:hAnsi="宋体"/>
                <w:szCs w:val="21"/>
              </w:rPr>
              <w:t>投标人评标得分＝综合得分（商务得分</w:t>
            </w:r>
            <w:r>
              <w:rPr>
                <w:rFonts w:ascii="宋体" w:hAnsi="宋体"/>
                <w:szCs w:val="21"/>
              </w:rPr>
              <w:t>+技术得分+竞标总价得分）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3"/>
            <w:vAlign w:val="center"/>
          </w:tcPr>
          <w:p>
            <w:pPr>
              <w:spacing w:line="360" w:lineRule="auto"/>
              <w:rPr>
                <w:szCs w:val="21"/>
              </w:rPr>
            </w:pPr>
            <w:r>
              <w:rPr>
                <w:rFonts w:hint="eastAsia"/>
                <w:szCs w:val="21"/>
              </w:rPr>
              <w:t>成交候选人推荐办法</w:t>
            </w:r>
          </w:p>
        </w:tc>
        <w:tc>
          <w:tcPr>
            <w:tcW w:w="6725" w:type="dxa"/>
            <w:gridSpan w:val="2"/>
            <w:vAlign w:val="center"/>
          </w:tcPr>
          <w:p>
            <w:pPr>
              <w:spacing w:line="360" w:lineRule="auto"/>
              <w:rPr>
                <w:rFonts w:ascii="宋体" w:hAnsi="宋体"/>
                <w:szCs w:val="21"/>
              </w:rPr>
            </w:pPr>
            <w:r>
              <w:rPr>
                <w:rFonts w:hint="eastAsia" w:ascii="宋体" w:hAnsi="宋体"/>
                <w:szCs w:val="21"/>
              </w:rPr>
              <w:t>对通过评审的比选申请人按照综合得分（商务得分</w:t>
            </w:r>
            <w:r>
              <w:rPr>
                <w:rFonts w:ascii="宋体" w:hAnsi="宋体"/>
                <w:szCs w:val="21"/>
              </w:rPr>
              <w:t>+技术得分+竞标总价得分）由高到低的先后顺序，推荐三名成交候选人，若不足三名，则</w:t>
            </w:r>
            <w:r>
              <w:rPr>
                <w:rFonts w:hint="eastAsia" w:ascii="宋体" w:hAnsi="宋体"/>
                <w:szCs w:val="21"/>
              </w:rPr>
              <w:t>取实际数量。</w:t>
            </w:r>
          </w:p>
        </w:tc>
      </w:tr>
    </w:tbl>
    <w:p>
      <w:pPr>
        <w:spacing w:line="360" w:lineRule="auto"/>
        <w:rPr>
          <w:b/>
          <w:szCs w:val="21"/>
        </w:rPr>
      </w:pPr>
      <w:r>
        <w:rPr>
          <w:rFonts w:hint="eastAsia"/>
          <w:b/>
          <w:szCs w:val="21"/>
        </w:rPr>
        <w:t>四、</w:t>
      </w:r>
      <w:bookmarkStart w:id="30" w:name="_Hlk58758593"/>
      <w:r>
        <w:rPr>
          <w:rFonts w:hint="eastAsia"/>
          <w:b/>
          <w:szCs w:val="21"/>
        </w:rPr>
        <w:t>竞争性比选须知</w:t>
      </w:r>
      <w:bookmarkEnd w:id="30"/>
    </w:p>
    <w:p>
      <w:pPr>
        <w:spacing w:line="360" w:lineRule="auto"/>
        <w:ind w:firstLine="420" w:firstLineChars="200"/>
        <w:rPr>
          <w:rFonts w:ascii="宋体" w:hAnsi="宋体" w:cs="宋体"/>
          <w:szCs w:val="21"/>
        </w:rPr>
      </w:pPr>
      <w:bookmarkStart w:id="31" w:name="_Hlk58758608"/>
      <w:r>
        <w:rPr>
          <w:rFonts w:hint="eastAsia" w:ascii="宋体" w:hAnsi="宋体" w:cs="宋体"/>
          <w:szCs w:val="21"/>
        </w:rPr>
        <w:t>（一）竞争性比选文件发售时间：比选公告发布之日起至</w:t>
      </w:r>
      <w:r>
        <w:rPr>
          <w:rFonts w:ascii="宋体" w:hAnsi="宋体" w:cs="宋体"/>
          <w:szCs w:val="21"/>
        </w:rPr>
        <w:t>202</w:t>
      </w:r>
      <w:r>
        <w:rPr>
          <w:rFonts w:hint="eastAsia" w:ascii="宋体" w:hAnsi="宋体" w:cs="宋体"/>
          <w:szCs w:val="21"/>
        </w:rPr>
        <w:t>2年</w:t>
      </w:r>
      <w:r>
        <w:rPr>
          <w:rFonts w:ascii="宋体" w:hAnsi="宋体" w:cs="宋体"/>
          <w:szCs w:val="21"/>
          <w:u w:val="single"/>
        </w:rPr>
        <w:t xml:space="preserve">  </w:t>
      </w:r>
      <w:r>
        <w:rPr>
          <w:rFonts w:hint="eastAsia" w:ascii="宋体" w:hAnsi="宋体" w:cs="宋体"/>
          <w:szCs w:val="21"/>
          <w:u w:val="single"/>
          <w:lang w:val="en-US" w:eastAsia="zh-CN"/>
        </w:rPr>
        <w:t>4</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lang w:val="en-US" w:eastAsia="zh-CN"/>
        </w:rPr>
        <w:t>6</w:t>
      </w:r>
      <w:r>
        <w:rPr>
          <w:rFonts w:ascii="宋体" w:hAnsi="宋体" w:cs="宋体"/>
          <w:szCs w:val="21"/>
          <w:u w:val="single"/>
        </w:rPr>
        <w:t xml:space="preserve"> </w:t>
      </w:r>
      <w:r>
        <w:rPr>
          <w:rFonts w:hint="eastAsia" w:ascii="宋体" w:hAnsi="宋体" w:cs="宋体"/>
          <w:szCs w:val="21"/>
        </w:rPr>
        <w:t>日（9:</w:t>
      </w:r>
      <w:r>
        <w:rPr>
          <w:rFonts w:ascii="宋体" w:hAnsi="宋体" w:cs="宋体"/>
          <w:szCs w:val="21"/>
        </w:rPr>
        <w:t>00-17</w:t>
      </w:r>
      <w:r>
        <w:rPr>
          <w:rFonts w:hint="eastAsia" w:ascii="宋体" w:hAnsi="宋体" w:cs="宋体"/>
          <w:szCs w:val="21"/>
        </w:rPr>
        <w:t>:</w:t>
      </w:r>
      <w:r>
        <w:rPr>
          <w:rFonts w:ascii="宋体" w:hAnsi="宋体" w:cs="宋体"/>
          <w:szCs w:val="21"/>
        </w:rPr>
        <w:t>00</w:t>
      </w:r>
      <w:r>
        <w:rPr>
          <w:rFonts w:hint="eastAsia" w:ascii="宋体" w:hAnsi="宋体" w:cs="宋体"/>
          <w:szCs w:val="21"/>
        </w:rPr>
        <w:t>，北京时间，法定公休日、法定节假日除外。）</w:t>
      </w:r>
    </w:p>
    <w:p>
      <w:pPr>
        <w:spacing w:line="360" w:lineRule="auto"/>
        <w:ind w:firstLine="420" w:firstLineChars="200"/>
        <w:rPr>
          <w:rFonts w:ascii="宋体" w:hAnsi="宋体" w:cs="宋体"/>
          <w:szCs w:val="21"/>
        </w:rPr>
      </w:pPr>
      <w:r>
        <w:rPr>
          <w:rFonts w:hint="eastAsia" w:ascii="宋体" w:hAnsi="宋体" w:cs="宋体"/>
          <w:szCs w:val="21"/>
        </w:rPr>
        <w:t>（二）竞争性比选公告及公示发布媒介：在中国招标投标公共服务平台（</w:t>
      </w:r>
      <w:r>
        <w:rPr>
          <w:rFonts w:ascii="宋体" w:hAnsi="宋体" w:cs="宋体"/>
          <w:szCs w:val="21"/>
        </w:rPr>
        <w:t>www.cebpubservice.com）及重庆高速公路集团有限公司招投标管理平台（http://43.240.249.108:8088）</w:t>
      </w:r>
      <w:r>
        <w:rPr>
          <w:rFonts w:hint="eastAsia" w:ascii="宋体" w:hAnsi="宋体" w:cs="宋体"/>
          <w:szCs w:val="21"/>
        </w:rPr>
        <w:t>以及重庆高速公路集团官网</w:t>
      </w:r>
      <w:r>
        <w:rPr>
          <w:rFonts w:ascii="宋体" w:hAnsi="宋体" w:cs="宋体"/>
          <w:szCs w:val="21"/>
        </w:rPr>
        <w:t>上发布。</w:t>
      </w:r>
    </w:p>
    <w:p>
      <w:pPr>
        <w:spacing w:line="360" w:lineRule="auto"/>
        <w:ind w:firstLine="420" w:firstLineChars="200"/>
        <w:rPr>
          <w:rFonts w:ascii="宋体" w:hAnsi="宋体" w:cs="宋体"/>
          <w:szCs w:val="21"/>
        </w:rPr>
      </w:pPr>
      <w:r>
        <w:rPr>
          <w:rFonts w:hint="eastAsia" w:ascii="宋体" w:hAnsi="宋体" w:cs="宋体"/>
          <w:szCs w:val="21"/>
        </w:rPr>
        <w:t>（三）竞争性比选文件发售：</w:t>
      </w:r>
      <w:r>
        <w:fldChar w:fldCharType="begin"/>
      </w:r>
      <w:r>
        <w:instrText xml:space="preserve"> HYPERLINK "mailto:比选申请人把盖章的介绍信或者授权委托书的扫描件以电子邮件的形式发送至邮箱27065474@qq.com，标书费以转账形式转至以下账户，竞争性比选文件售价人民币1000元，售后不退。" </w:instrText>
      </w:r>
      <w:r>
        <w:fldChar w:fldCharType="separate"/>
      </w:r>
      <w:r>
        <w:fldChar w:fldCharType="end"/>
      </w:r>
      <w:r>
        <w:rPr>
          <w:rFonts w:hint="eastAsia" w:ascii="宋体" w:hAnsi="宋体" w:cs="宋体"/>
          <w:szCs w:val="21"/>
        </w:rPr>
        <w:t>比选申请人将授权委托书、授权代理身份证复印件的扫描件（加盖比选申请人单位公章）</w:t>
      </w:r>
      <w:r>
        <w:fldChar w:fldCharType="begin"/>
      </w:r>
      <w:r>
        <w:instrText xml:space="preserve"> HYPERLINK "mailto:以电子邮件的形式在发售时间内发送至邮箱892932798@qq.com" </w:instrText>
      </w:r>
      <w:r>
        <w:fldChar w:fldCharType="separate"/>
      </w:r>
      <w:r>
        <w:rPr>
          <w:rFonts w:hint="eastAsia"/>
        </w:rPr>
        <w:t>以电子邮件的形式在发售时间内发送至邮箱</w:t>
      </w:r>
      <w:r>
        <w:rPr>
          <w:rFonts w:hint="eastAsia"/>
        </w:rPr>
        <w:fldChar w:fldCharType="end"/>
      </w:r>
      <w:r>
        <w:rPr>
          <w:rFonts w:hint="eastAsia" w:ascii="宋体" w:hAnsi="宋体" w:cs="宋体"/>
          <w:szCs w:val="21"/>
        </w:rPr>
        <w:t>643932895@qq.com。</w:t>
      </w:r>
    </w:p>
    <w:p>
      <w:pPr>
        <w:spacing w:line="360" w:lineRule="auto"/>
        <w:ind w:firstLine="420" w:firstLineChars="200"/>
        <w:rPr>
          <w:rFonts w:ascii="宋体" w:hAnsi="宋体" w:cs="宋体"/>
          <w:szCs w:val="21"/>
        </w:rPr>
      </w:pPr>
      <w:r>
        <w:rPr>
          <w:rFonts w:hint="eastAsia" w:ascii="宋体" w:hAnsi="宋体" w:cs="宋体"/>
          <w:szCs w:val="21"/>
        </w:rPr>
        <w:t>（四）竞争性比选地点：重庆市渝北区龙山街道龙脊路248号附6号3-1</w:t>
      </w:r>
      <w:r>
        <w:rPr>
          <w:rFonts w:hint="eastAsia" w:ascii="宋体" w:hAnsi="宋体" w:cs="宋体"/>
          <w:szCs w:val="21"/>
          <w:lang w:eastAsia="zh-Hans"/>
        </w:rPr>
        <w:t>重庆高速国储能源投资有限公司会议室</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（五）竞争性比选截止时间：</w:t>
      </w:r>
      <w:r>
        <w:rPr>
          <w:rFonts w:ascii="宋体" w:hAnsi="宋体" w:cs="宋体"/>
          <w:szCs w:val="21"/>
        </w:rPr>
        <w:t>2021</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u w:val="single"/>
        </w:rPr>
        <w:t>0</w:t>
      </w:r>
      <w:r>
        <w:rPr>
          <w:rFonts w:ascii="宋体" w:hAnsi="宋体" w:cs="宋体"/>
          <w:szCs w:val="21"/>
          <w:u w:val="single"/>
        </w:rPr>
        <w:t xml:space="preserve">4 </w:t>
      </w:r>
      <w:r>
        <w:rPr>
          <w:rFonts w:hint="eastAsia" w:ascii="宋体" w:hAnsi="宋体" w:cs="宋体"/>
          <w:szCs w:val="21"/>
        </w:rPr>
        <w:t>月</w:t>
      </w:r>
      <w:r>
        <w:rPr>
          <w:rFonts w:hint="eastAsia" w:ascii="宋体" w:hAnsi="宋体" w:cs="宋体"/>
          <w:szCs w:val="21"/>
          <w:u w:val="single"/>
          <w:lang w:val="en-US" w:eastAsia="zh-CN"/>
        </w:rPr>
        <w:t xml:space="preserve">  7</w:t>
      </w:r>
      <w:r>
        <w:rPr>
          <w:rFonts w:ascii="宋体" w:hAnsi="宋体" w:cs="宋体"/>
          <w:szCs w:val="21"/>
          <w:u w:val="single"/>
        </w:rPr>
        <w:t xml:space="preserve">  </w:t>
      </w:r>
      <w:r>
        <w:rPr>
          <w:rFonts w:hint="eastAsia" w:ascii="宋体" w:hAnsi="宋体" w:cs="宋体"/>
          <w:szCs w:val="21"/>
        </w:rPr>
        <w:t>日</w:t>
      </w:r>
      <w:r>
        <w:rPr>
          <w:rFonts w:hint="eastAsia" w:ascii="宋体" w:hAnsi="宋体" w:cs="宋体"/>
          <w:szCs w:val="21"/>
          <w:lang w:val="en-US" w:eastAsia="zh-CN"/>
        </w:rPr>
        <w:t>9</w:t>
      </w:r>
      <w:r>
        <w:rPr>
          <w:rFonts w:hint="eastAsia" w:ascii="宋体" w:hAnsi="宋体" w:cs="宋体"/>
          <w:szCs w:val="21"/>
        </w:rPr>
        <w:t>时</w:t>
      </w:r>
      <w:r>
        <w:rPr>
          <w:rFonts w:hint="eastAsia" w:ascii="宋体" w:hAnsi="宋体" w:cs="宋体"/>
          <w:szCs w:val="21"/>
          <w:lang w:val="en-US" w:eastAsia="zh-CN"/>
        </w:rPr>
        <w:t>3</w:t>
      </w:r>
      <w:r>
        <w:rPr>
          <w:rFonts w:ascii="宋体" w:hAnsi="宋体" w:cs="宋体"/>
          <w:szCs w:val="21"/>
        </w:rPr>
        <w:t>0</w:t>
      </w:r>
      <w:r>
        <w:rPr>
          <w:rFonts w:hint="eastAsia" w:ascii="宋体" w:hAnsi="宋体" w:cs="宋体"/>
          <w:szCs w:val="21"/>
        </w:rPr>
        <w:t>分（北京时间）。</w:t>
      </w:r>
    </w:p>
    <w:p>
      <w:pPr>
        <w:spacing w:line="360" w:lineRule="auto"/>
        <w:ind w:firstLine="420" w:firstLineChars="200"/>
        <w:rPr>
          <w:rFonts w:ascii="宋体" w:hAnsi="宋体" w:cs="宋体"/>
          <w:szCs w:val="21"/>
        </w:rPr>
      </w:pPr>
      <w:r>
        <w:rPr>
          <w:rFonts w:hint="eastAsia" w:ascii="宋体" w:hAnsi="宋体" w:cs="宋体"/>
          <w:szCs w:val="21"/>
        </w:rPr>
        <w:t>（六）各比选申请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auto"/>
        <w:ind w:firstLine="420" w:firstLineChars="200"/>
        <w:rPr>
          <w:rFonts w:ascii="宋体" w:hAnsi="宋体" w:cs="宋体"/>
          <w:szCs w:val="21"/>
        </w:rPr>
      </w:pPr>
      <w:r>
        <w:rPr>
          <w:rFonts w:hint="eastAsia" w:ascii="宋体" w:hAnsi="宋体" w:cs="宋体"/>
          <w:szCs w:val="21"/>
        </w:rPr>
        <w:t>（七）密封要求</w:t>
      </w:r>
    </w:p>
    <w:p>
      <w:pPr>
        <w:spacing w:line="360" w:lineRule="auto"/>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pStyle w:val="29"/>
        <w:spacing w:line="360" w:lineRule="auto"/>
        <w:rPr>
          <w:color w:val="auto"/>
        </w:rPr>
      </w:pPr>
    </w:p>
    <w:p>
      <w:pPr>
        <w:spacing w:line="360" w:lineRule="auto"/>
        <w:ind w:firstLine="420" w:firstLineChars="200"/>
        <w:jc w:val="center"/>
        <w:rPr>
          <w:rFonts w:ascii="宋体" w:hAnsi="宋体" w:cs="宋体"/>
          <w:szCs w:val="21"/>
          <w:u w:val="single"/>
        </w:rPr>
      </w:pPr>
      <w:r>
        <w:rPr>
          <w:rFonts w:hint="eastAsia" w:ascii="宋体" w:hAnsi="宋体" w:cs="宋体"/>
          <w:szCs w:val="21"/>
          <w:u w:val="single"/>
        </w:rPr>
        <w:t>重庆高速国储能源投资有限公司综合运营管理系统第二期工程竞争性比选响应性文件</w:t>
      </w:r>
    </w:p>
    <w:p>
      <w:pPr>
        <w:spacing w:line="360" w:lineRule="auto"/>
        <w:ind w:firstLine="420" w:firstLineChars="200"/>
        <w:jc w:val="center"/>
        <w:rPr>
          <w:rFonts w:ascii="宋体" w:hAnsi="宋体" w:cs="宋体"/>
          <w:szCs w:val="21"/>
          <w:u w:val="single"/>
        </w:rPr>
      </w:pPr>
      <w:r>
        <w:rPr>
          <w:rFonts w:hint="eastAsia" w:ascii="宋体" w:hAnsi="宋体" w:cs="宋体"/>
          <w:szCs w:val="21"/>
          <w:u w:val="single"/>
        </w:rPr>
        <w:t>在</w:t>
      </w:r>
      <w:r>
        <w:rPr>
          <w:rFonts w:ascii="宋体" w:hAnsi="宋体" w:cs="宋体"/>
          <w:szCs w:val="21"/>
          <w:u w:val="single"/>
        </w:rPr>
        <w:t>202</w:t>
      </w:r>
      <w:r>
        <w:rPr>
          <w:rFonts w:hint="eastAsia" w:ascii="宋体" w:hAnsi="宋体" w:cs="宋体"/>
          <w:szCs w:val="21"/>
          <w:u w:val="single"/>
        </w:rPr>
        <w:t>2</w:t>
      </w:r>
      <w:r>
        <w:rPr>
          <w:rFonts w:ascii="宋体" w:hAnsi="宋体" w:cs="宋体"/>
          <w:szCs w:val="21"/>
          <w:u w:val="single"/>
        </w:rPr>
        <w:t xml:space="preserve">年 </w:t>
      </w:r>
      <w:r>
        <w:rPr>
          <w:rFonts w:hint="eastAsia" w:ascii="宋体" w:hAnsi="宋体" w:cs="宋体"/>
          <w:szCs w:val="21"/>
          <w:u w:val="single"/>
        </w:rPr>
        <w:t>04</w:t>
      </w:r>
      <w:r>
        <w:rPr>
          <w:rFonts w:ascii="宋体" w:hAnsi="宋体" w:cs="宋体"/>
          <w:szCs w:val="21"/>
          <w:u w:val="single"/>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7</w:t>
      </w:r>
      <w:r>
        <w:rPr>
          <w:rFonts w:ascii="宋体" w:hAnsi="宋体" w:cs="宋体"/>
          <w:szCs w:val="21"/>
          <w:u w:val="single"/>
        </w:rPr>
        <w:t xml:space="preserve">  </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时</w:t>
      </w:r>
      <w:r>
        <w:rPr>
          <w:rFonts w:hint="eastAsia" w:ascii="宋体" w:hAnsi="宋体" w:cs="宋体"/>
          <w:szCs w:val="21"/>
          <w:u w:val="single"/>
          <w:lang w:val="en-US" w:eastAsia="zh-CN"/>
        </w:rPr>
        <w:t>3</w:t>
      </w:r>
      <w:r>
        <w:rPr>
          <w:rFonts w:hint="eastAsia" w:ascii="宋体" w:hAnsi="宋体" w:cs="宋体"/>
          <w:szCs w:val="21"/>
          <w:u w:val="single"/>
        </w:rPr>
        <w:t>0分前不得开启</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rPr>
      </w:pPr>
      <w:r>
        <w:rPr>
          <w:rFonts w:hint="eastAsia" w:ascii="宋体" w:hAnsi="宋体" w:cs="宋体"/>
          <w:szCs w:val="21"/>
        </w:rPr>
        <w:t>（八）联系方式</w:t>
      </w:r>
    </w:p>
    <w:p>
      <w:pPr>
        <w:spacing w:line="360" w:lineRule="auto"/>
        <w:ind w:firstLine="420" w:firstLineChars="200"/>
        <w:jc w:val="left"/>
        <w:rPr>
          <w:rFonts w:ascii="宋体" w:hAnsi="宋体" w:cs="宋体"/>
          <w:szCs w:val="21"/>
        </w:rPr>
      </w:pPr>
      <w:r>
        <w:rPr>
          <w:rFonts w:hint="eastAsia" w:ascii="宋体" w:hAnsi="宋体" w:cs="宋体"/>
          <w:szCs w:val="21"/>
        </w:rPr>
        <w:t>询价人：</w:t>
      </w:r>
      <w:r>
        <w:rPr>
          <w:rFonts w:hint="eastAsia" w:ascii="宋体" w:hAnsi="宋体" w:cs="宋体"/>
          <w:szCs w:val="21"/>
          <w:u w:val="single"/>
        </w:rPr>
        <w:t>重庆高速国储能源投资有限公司</w:t>
      </w:r>
    </w:p>
    <w:p>
      <w:pPr>
        <w:spacing w:line="360" w:lineRule="auto"/>
        <w:ind w:firstLine="420" w:firstLineChars="200"/>
        <w:jc w:val="left"/>
        <w:rPr>
          <w:rFonts w:ascii="宋体" w:hAnsi="宋体" w:cs="宋体"/>
          <w:szCs w:val="21"/>
        </w:rPr>
      </w:pPr>
      <w:r>
        <w:rPr>
          <w:rFonts w:hint="eastAsia" w:ascii="宋体" w:hAnsi="宋体" w:cs="宋体"/>
          <w:szCs w:val="21"/>
        </w:rPr>
        <w:t>地</w:t>
      </w:r>
      <w:r>
        <w:rPr>
          <w:rFonts w:ascii="宋体" w:hAnsi="宋体" w:cs="宋体"/>
          <w:szCs w:val="21"/>
        </w:rPr>
        <w:t xml:space="preserve">  址： </w:t>
      </w:r>
      <w:r>
        <w:rPr>
          <w:rFonts w:hint="eastAsia" w:ascii="宋体" w:hAnsi="宋体" w:cs="宋体"/>
          <w:szCs w:val="21"/>
        </w:rPr>
        <w:t>重庆市渝北区龙山街道龙脊路248号附6号3-1</w:t>
      </w:r>
    </w:p>
    <w:p>
      <w:pPr>
        <w:spacing w:line="360" w:lineRule="auto"/>
        <w:ind w:firstLine="420" w:firstLineChars="200"/>
        <w:jc w:val="left"/>
        <w:rPr>
          <w:rFonts w:ascii="宋体" w:hAnsi="宋体" w:cs="宋体"/>
          <w:szCs w:val="21"/>
        </w:rPr>
      </w:pPr>
      <w:r>
        <w:rPr>
          <w:rFonts w:hint="eastAsia" w:ascii="宋体" w:hAnsi="宋体" w:cs="宋体"/>
          <w:szCs w:val="21"/>
        </w:rPr>
        <w:t>联系人：任先生</w:t>
      </w:r>
    </w:p>
    <w:p>
      <w:pPr>
        <w:spacing w:line="360" w:lineRule="auto"/>
        <w:ind w:firstLine="420" w:firstLineChars="200"/>
        <w:jc w:val="left"/>
        <w:rPr>
          <w:rFonts w:ascii="宋体" w:hAnsi="宋体" w:cs="宋体"/>
          <w:szCs w:val="21"/>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rPr>
        <w:t>19936011779</w:t>
      </w:r>
      <w:bookmarkEnd w:id="31"/>
    </w:p>
    <w:p>
      <w:pPr>
        <w:widowControl/>
        <w:jc w:val="left"/>
        <w:rPr>
          <w:rFonts w:ascii="宋体" w:hAnsi="宋体" w:cs="宋体"/>
          <w:b/>
          <w:sz w:val="24"/>
        </w:rPr>
      </w:pPr>
      <w:r>
        <w:rPr>
          <w:rFonts w:ascii="宋体" w:hAnsi="宋体" w:cs="宋体"/>
          <w:b/>
          <w:sz w:val="24"/>
        </w:rPr>
        <w:br w:type="page"/>
      </w:r>
    </w:p>
    <w:p>
      <w:pPr>
        <w:spacing w:line="400" w:lineRule="exact"/>
        <w:jc w:val="center"/>
        <w:rPr>
          <w:rFonts w:ascii="宋体" w:hAnsi="宋体" w:cs="宋体"/>
          <w:b/>
          <w:sz w:val="30"/>
          <w:szCs w:val="30"/>
        </w:rPr>
      </w:pPr>
      <w:bookmarkStart w:id="32" w:name="_Hlk58759188"/>
      <w:r>
        <w:rPr>
          <w:rFonts w:hint="eastAsia" w:ascii="宋体" w:hAnsi="宋体" w:cs="宋体"/>
          <w:b/>
          <w:sz w:val="30"/>
          <w:szCs w:val="30"/>
        </w:rPr>
        <w:t>竞争性比选响应文件格式</w:t>
      </w:r>
    </w:p>
    <w:p>
      <w:pPr>
        <w:spacing w:line="400" w:lineRule="exact"/>
        <w:jc w:val="center"/>
        <w:rPr>
          <w:rFonts w:ascii="宋体" w:hAnsi="宋体" w:cs="宋体"/>
          <w:b/>
          <w:sz w:val="30"/>
          <w:szCs w:val="30"/>
        </w:rPr>
      </w:pPr>
      <w:r>
        <w:rPr>
          <w:rFonts w:hint="eastAsia" w:ascii="宋体" w:hAnsi="宋体" w:cs="宋体"/>
          <w:b/>
          <w:sz w:val="30"/>
          <w:szCs w:val="30"/>
        </w:rPr>
        <w:t>（以下内容为示例）</w:t>
      </w:r>
      <w:bookmarkEnd w:id="32"/>
    </w:p>
    <w:p>
      <w:pPr>
        <w:ind w:right="480" w:firstLine="2849" w:firstLineChars="946"/>
        <w:rPr>
          <w:rFonts w:ascii="宋体" w:hAnsi="宋体" w:cs="宋体"/>
          <w:b/>
          <w:sz w:val="30"/>
          <w:szCs w:val="30"/>
        </w:rPr>
        <w:sectPr>
          <w:footerReference r:id="rId5"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4"/>
          <w:szCs w:val="44"/>
        </w:rPr>
      </w:pPr>
      <w:r>
        <w:rPr>
          <w:rFonts w:hint="eastAsia" w:ascii="宋体" w:hAnsi="宋体" w:cs="宋体"/>
          <w:b/>
          <w:sz w:val="44"/>
          <w:szCs w:val="44"/>
        </w:rPr>
        <w:t>重庆高速国储能源投资有限公司智慧加油站</w:t>
      </w:r>
    </w:p>
    <w:p>
      <w:pPr>
        <w:jc w:val="center"/>
        <w:rPr>
          <w:rFonts w:ascii="宋体" w:hAnsi="宋体" w:cs="宋体"/>
          <w:b/>
          <w:sz w:val="44"/>
          <w:szCs w:val="44"/>
        </w:rPr>
      </w:pPr>
      <w:r>
        <w:rPr>
          <w:rFonts w:hint="eastAsia" w:ascii="宋体" w:hAnsi="宋体" w:cs="宋体"/>
          <w:b/>
          <w:sz w:val="44"/>
          <w:szCs w:val="44"/>
        </w:rPr>
        <w:t>综合运营管理系统</w:t>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pStyle w:val="13"/>
        <w:rPr>
          <w:color w:val="auto"/>
        </w:rPr>
      </w:pPr>
    </w:p>
    <w:p>
      <w:pPr>
        <w:jc w:val="center"/>
        <w:rPr>
          <w:rFonts w:ascii="宋体" w:hAnsi="宋体" w:cs="宋体"/>
          <w:b/>
          <w:sz w:val="44"/>
          <w:szCs w:val="44"/>
        </w:rPr>
      </w:pPr>
      <w:r>
        <w:rPr>
          <w:rFonts w:hint="eastAsia" w:ascii="宋体" w:hAnsi="宋体" w:cs="宋体"/>
          <w:b/>
          <w:sz w:val="44"/>
          <w:szCs w:val="44"/>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bookmarkStart w:id="33" w:name="_Hlk58759277"/>
      <w:bookmarkStart w:id="34" w:name="_Hlk58759304"/>
      <w:r>
        <w:rPr>
          <w:rFonts w:hint="eastAsia" w:ascii="宋体" w:hAnsi="宋体" w:cs="宋体"/>
          <w:sz w:val="32"/>
          <w:szCs w:val="32"/>
        </w:rPr>
        <w:t>比选申请人：</w:t>
      </w:r>
      <w:r>
        <w:rPr>
          <w:rFonts w:hint="eastAsia" w:ascii="宋体" w:hAnsi="宋体" w:cs="宋体"/>
          <w:sz w:val="32"/>
          <w:szCs w:val="32"/>
          <w:u w:val="single"/>
        </w:rPr>
        <w:t xml:space="preserve"> </w:t>
      </w:r>
      <w:r>
        <w:rPr>
          <w:rFonts w:ascii="宋体" w:hAnsi="宋体" w:cs="宋体"/>
          <w:sz w:val="32"/>
          <w:szCs w:val="32"/>
          <w:u w:val="single"/>
        </w:rPr>
        <w:t xml:space="preserve">          </w:t>
      </w:r>
      <w:r>
        <w:rPr>
          <w:rFonts w:hint="eastAsia" w:ascii="宋体" w:hAnsi="宋体" w:cs="宋体"/>
          <w:sz w:val="32"/>
          <w:szCs w:val="32"/>
        </w:rPr>
        <w:t>（盖单位公章）</w:t>
      </w:r>
      <w:bookmarkEnd w:id="33"/>
    </w:p>
    <w:p>
      <w:pPr>
        <w:jc w:val="center"/>
        <w:rPr>
          <w:rFonts w:ascii="宋体" w:hAnsi="宋体" w:cs="宋体"/>
          <w:sz w:val="32"/>
          <w:szCs w:val="32"/>
        </w:rPr>
      </w:pPr>
      <w:r>
        <w:rPr>
          <w:rFonts w:ascii="宋体" w:hAnsi="宋体" w:cs="宋体"/>
          <w:sz w:val="32"/>
          <w:szCs w:val="32"/>
        </w:rPr>
        <w:t>202</w:t>
      </w:r>
      <w:r>
        <w:rPr>
          <w:rFonts w:hint="eastAsia" w:ascii="宋体" w:hAnsi="宋体" w:cs="宋体"/>
          <w:sz w:val="32"/>
          <w:szCs w:val="32"/>
        </w:rPr>
        <w:t>2年 3</w:t>
      </w:r>
      <w:r>
        <w:rPr>
          <w:rFonts w:ascii="宋体" w:hAnsi="宋体" w:cs="宋体"/>
          <w:sz w:val="32"/>
          <w:szCs w:val="32"/>
        </w:rPr>
        <w:t xml:space="preserve"> </w:t>
      </w:r>
      <w:r>
        <w:rPr>
          <w:rFonts w:hint="eastAsia" w:ascii="宋体" w:hAnsi="宋体" w:cs="宋体"/>
          <w:sz w:val="32"/>
          <w:szCs w:val="32"/>
        </w:rPr>
        <w:t xml:space="preserve">月 </w:t>
      </w:r>
      <w:r>
        <w:rPr>
          <w:rFonts w:ascii="宋体" w:hAnsi="宋体" w:cs="宋体"/>
          <w:sz w:val="32"/>
          <w:szCs w:val="32"/>
        </w:rPr>
        <w:t xml:space="preserve"> </w:t>
      </w:r>
      <w:r>
        <w:rPr>
          <w:rFonts w:hint="eastAsia" w:ascii="宋体" w:hAnsi="宋体" w:cs="宋体"/>
          <w:sz w:val="32"/>
          <w:szCs w:val="32"/>
        </w:rPr>
        <w:t>日</w:t>
      </w:r>
      <w:bookmarkEnd w:id="34"/>
    </w:p>
    <w:p>
      <w:pPr>
        <w:pStyle w:val="29"/>
        <w:rPr>
          <w:color w:val="auto"/>
        </w:rPr>
      </w:pPr>
    </w:p>
    <w:p>
      <w:pPr>
        <w:pStyle w:val="29"/>
        <w:rPr>
          <w:color w:val="auto"/>
        </w:rPr>
      </w:pPr>
    </w:p>
    <w:p>
      <w:pPr>
        <w:tabs>
          <w:tab w:val="left" w:pos="900"/>
          <w:tab w:val="left" w:pos="1080"/>
        </w:tabs>
        <w:spacing w:line="300" w:lineRule="auto"/>
        <w:jc w:val="center"/>
        <w:outlineLvl w:val="0"/>
        <w:rPr>
          <w:rFonts w:ascii="Arial" w:hAnsi="Arial" w:cs="Arial"/>
          <w:b/>
          <w:sz w:val="28"/>
          <w:szCs w:val="21"/>
        </w:rPr>
      </w:pPr>
      <w:bookmarkStart w:id="35" w:name="_Hlk58759363"/>
      <w:r>
        <w:rPr>
          <w:rFonts w:hint="eastAsia" w:ascii="Arial" w:hAnsi="Arial" w:cs="Arial"/>
          <w:b/>
          <w:sz w:val="28"/>
          <w:szCs w:val="21"/>
        </w:rPr>
        <w:t>目录</w:t>
      </w:r>
      <w:bookmarkEnd w:id="35"/>
    </w:p>
    <w:p>
      <w:pPr>
        <w:spacing w:line="360" w:lineRule="auto"/>
        <w:rPr>
          <w:b/>
          <w:sz w:val="24"/>
          <w:szCs w:val="24"/>
        </w:rPr>
      </w:pPr>
      <w:r>
        <w:rPr>
          <w:rFonts w:hint="eastAsia"/>
          <w:b/>
          <w:sz w:val="24"/>
          <w:szCs w:val="24"/>
        </w:rPr>
        <w:t>一、报价书</w:t>
      </w:r>
    </w:p>
    <w:p>
      <w:pPr>
        <w:spacing w:line="360" w:lineRule="auto"/>
        <w:rPr>
          <w:b/>
          <w:sz w:val="24"/>
          <w:szCs w:val="24"/>
        </w:rPr>
      </w:pPr>
      <w:r>
        <w:rPr>
          <w:rFonts w:hint="eastAsia"/>
          <w:b/>
          <w:sz w:val="24"/>
          <w:szCs w:val="24"/>
        </w:rPr>
        <w:t>二、法定代表人身份证明及授权委托书</w:t>
      </w:r>
    </w:p>
    <w:p>
      <w:pPr>
        <w:spacing w:line="360" w:lineRule="auto"/>
        <w:rPr>
          <w:b/>
          <w:sz w:val="24"/>
          <w:szCs w:val="24"/>
        </w:rPr>
      </w:pPr>
      <w:r>
        <w:rPr>
          <w:rFonts w:hint="eastAsia"/>
          <w:b/>
          <w:sz w:val="24"/>
          <w:szCs w:val="24"/>
        </w:rPr>
        <w:t>三、有效的营业执照复印件</w:t>
      </w:r>
    </w:p>
    <w:p>
      <w:pPr>
        <w:spacing w:line="360" w:lineRule="auto"/>
        <w:rPr>
          <w:b/>
          <w:sz w:val="24"/>
          <w:szCs w:val="24"/>
        </w:rPr>
      </w:pPr>
      <w:r>
        <w:rPr>
          <w:rFonts w:hint="eastAsia"/>
          <w:b/>
          <w:sz w:val="24"/>
          <w:szCs w:val="24"/>
        </w:rPr>
        <w:t>四、货物清单报价明细表</w:t>
      </w:r>
    </w:p>
    <w:p>
      <w:pPr>
        <w:spacing w:line="360" w:lineRule="auto"/>
        <w:rPr>
          <w:b/>
          <w:sz w:val="24"/>
          <w:szCs w:val="24"/>
        </w:rPr>
      </w:pPr>
      <w:r>
        <w:rPr>
          <w:rFonts w:hint="eastAsia"/>
          <w:b/>
          <w:sz w:val="24"/>
          <w:szCs w:val="24"/>
        </w:rPr>
        <w:t>五、承诺函</w:t>
      </w:r>
    </w:p>
    <w:p>
      <w:pPr>
        <w:spacing w:line="360" w:lineRule="auto"/>
        <w:rPr>
          <w:b/>
          <w:sz w:val="24"/>
          <w:szCs w:val="24"/>
        </w:rPr>
      </w:pPr>
      <w:r>
        <w:rPr>
          <w:rFonts w:hint="eastAsia"/>
          <w:b/>
          <w:sz w:val="24"/>
          <w:szCs w:val="24"/>
        </w:rPr>
        <w:t>六、技术方案</w:t>
      </w:r>
    </w:p>
    <w:p>
      <w:pPr>
        <w:spacing w:line="360" w:lineRule="auto"/>
        <w:rPr>
          <w:rFonts w:hint="eastAsia"/>
          <w:b/>
          <w:sz w:val="24"/>
          <w:szCs w:val="24"/>
        </w:rPr>
      </w:pPr>
      <w:r>
        <w:rPr>
          <w:rFonts w:hint="eastAsia"/>
          <w:b/>
          <w:sz w:val="24"/>
          <w:szCs w:val="24"/>
        </w:rPr>
        <w:t>七、其他资料</w:t>
      </w:r>
    </w:p>
    <w:p>
      <w:pPr>
        <w:pStyle w:val="2"/>
        <w:rPr>
          <w:rFonts w:hint="eastAsia"/>
        </w:rPr>
      </w:pPr>
    </w:p>
    <w:p>
      <w:pPr>
        <w:pStyle w:val="2"/>
        <w:rPr>
          <w:rFonts w:hint="default" w:eastAsia="宋体"/>
          <w:lang w:val="en-US" w:eastAsia="zh-CN"/>
        </w:rPr>
      </w:pPr>
      <w:r>
        <w:rPr>
          <w:rFonts w:hint="eastAsia"/>
          <w:b/>
          <w:sz w:val="24"/>
          <w:szCs w:val="24"/>
          <w:lang w:val="en-US" w:eastAsia="zh-CN"/>
        </w:rPr>
        <w:t>说明：格式文件不得删减，按格式要求准备以上文件。</w:t>
      </w:r>
    </w:p>
    <w:p>
      <w:pPr>
        <w:widowControl/>
        <w:jc w:val="left"/>
        <w:rPr>
          <w:rFonts w:hint="eastAsia" w:ascii="宋体" w:hAnsi="宋体" w:eastAsia="宋体" w:cs="宋体"/>
          <w:b/>
          <w:lang w:val="en-US" w:eastAsia="zh-CN"/>
        </w:rPr>
      </w:pPr>
      <w:r>
        <w:rPr>
          <w:rFonts w:ascii="宋体" w:hAnsi="宋体" w:cs="宋体"/>
          <w:b/>
        </w:rPr>
        <w:br w:type="page"/>
      </w:r>
    </w:p>
    <w:p>
      <w:pPr>
        <w:spacing w:line="440" w:lineRule="exact"/>
        <w:jc w:val="center"/>
        <w:outlineLvl w:val="1"/>
        <w:rPr>
          <w:rFonts w:ascii="宋体" w:hAnsi="宋体" w:cs="宋体"/>
          <w:b/>
          <w:sz w:val="28"/>
          <w:szCs w:val="28"/>
        </w:rPr>
      </w:pPr>
      <w:bookmarkStart w:id="36" w:name="_Toc265510122"/>
      <w:r>
        <w:rPr>
          <w:rFonts w:hint="eastAsia" w:ascii="宋体" w:hAnsi="宋体" w:cs="宋体"/>
          <w:b/>
          <w:sz w:val="28"/>
          <w:szCs w:val="28"/>
        </w:rPr>
        <w:t>一、报价书</w:t>
      </w:r>
      <w:bookmarkEnd w:id="36"/>
    </w:p>
    <w:p>
      <w:pPr>
        <w:pStyle w:val="9"/>
        <w:spacing w:line="360" w:lineRule="auto"/>
        <w:ind w:left="0" w:leftChars="0"/>
        <w:rPr>
          <w:rFonts w:ascii="宋体" w:hAnsi="宋体" w:cs="宋体"/>
          <w:b/>
          <w:sz w:val="30"/>
          <w:szCs w:val="30"/>
        </w:rPr>
      </w:pPr>
      <w:r>
        <w:rPr>
          <w:rFonts w:hint="eastAsia" w:ascii="宋体" w:hAnsi="宋体"/>
          <w:b/>
        </w:rPr>
        <w:t>致：</w:t>
      </w:r>
      <w:r>
        <w:rPr>
          <w:rFonts w:hint="eastAsia" w:ascii="宋体" w:hAnsi="宋体"/>
          <w:b/>
          <w:szCs w:val="22"/>
          <w:u w:val="single"/>
        </w:rPr>
        <w:t>重庆高速国储能源投资有限公司</w:t>
      </w:r>
    </w:p>
    <w:p>
      <w:pPr>
        <w:spacing w:line="440" w:lineRule="exact"/>
        <w:ind w:firstLine="420" w:firstLineChars="200"/>
        <w:rPr>
          <w:szCs w:val="21"/>
        </w:rPr>
      </w:pPr>
      <w:r>
        <w:rPr>
          <w:szCs w:val="21"/>
        </w:rPr>
        <w:t>1</w:t>
      </w:r>
      <w:r>
        <w:rPr>
          <w:rFonts w:hint="eastAsia"/>
          <w:szCs w:val="21"/>
        </w:rPr>
        <w:t>．我方已仔细研究了</w:t>
      </w:r>
      <w:r>
        <w:rPr>
          <w:rFonts w:hint="eastAsia"/>
          <w:szCs w:val="21"/>
          <w:u w:val="single"/>
        </w:rPr>
        <w:t>重庆高速国储能源投资有限公司智慧加油站综合运营管理系统</w:t>
      </w:r>
      <w:r>
        <w:rPr>
          <w:rFonts w:hint="eastAsia"/>
          <w:szCs w:val="21"/>
        </w:rPr>
        <w:t>项目竞争性比选文件的全部内容，愿意以竞标总报价</w:t>
      </w:r>
      <w:bookmarkStart w:id="37" w:name="_Hlk58759453"/>
      <w:r>
        <w:rPr>
          <w:rFonts w:hint="eastAsia"/>
          <w:szCs w:val="21"/>
        </w:rPr>
        <w:t>¥</w:t>
      </w:r>
      <w:bookmarkEnd w:id="37"/>
      <w:r>
        <w:rPr>
          <w:szCs w:val="21"/>
          <w:u w:val="single"/>
        </w:rPr>
        <w:t xml:space="preserve">      </w:t>
      </w:r>
      <w:r>
        <w:rPr>
          <w:rFonts w:hint="eastAsia"/>
          <w:szCs w:val="21"/>
        </w:rPr>
        <w:t>元（大写：</w:t>
      </w:r>
      <w:r>
        <w:rPr>
          <w:rFonts w:hint="eastAsia"/>
          <w:szCs w:val="21"/>
          <w:u w:val="single"/>
        </w:rPr>
        <w:t xml:space="preserve"> </w:t>
      </w:r>
      <w:r>
        <w:rPr>
          <w:szCs w:val="21"/>
          <w:u w:val="single"/>
        </w:rPr>
        <w:t xml:space="preserve">     </w:t>
      </w:r>
      <w:r>
        <w:rPr>
          <w:rFonts w:hint="eastAsia"/>
          <w:szCs w:val="21"/>
        </w:rPr>
        <w:t>），并按约定安装、调试、试运行、验收、维护维修、提供培训、实施服务等工作内容。服务周期：</w:t>
      </w:r>
      <w:r>
        <w:rPr>
          <w:szCs w:val="21"/>
          <w:u w:val="single"/>
        </w:rPr>
        <w:t xml:space="preserve">     </w:t>
      </w:r>
      <w:r>
        <w:rPr>
          <w:rFonts w:hint="eastAsia"/>
          <w:szCs w:val="21"/>
        </w:rPr>
        <w:t>日历天。</w:t>
      </w:r>
    </w:p>
    <w:p>
      <w:pPr>
        <w:spacing w:line="440" w:lineRule="exact"/>
        <w:ind w:firstLine="420" w:firstLineChars="200"/>
        <w:rPr>
          <w:szCs w:val="21"/>
        </w:rPr>
      </w:pPr>
      <w:bookmarkStart w:id="38" w:name="_Hlk58759493"/>
      <w:r>
        <w:rPr>
          <w:szCs w:val="21"/>
        </w:rPr>
        <w:t>2</w:t>
      </w:r>
      <w:r>
        <w:rPr>
          <w:rFonts w:hint="eastAsia"/>
          <w:szCs w:val="21"/>
        </w:rPr>
        <w:t>．我方承诺在投标有效期内不修改、撤销竞争性比选响应文件。</w:t>
      </w:r>
    </w:p>
    <w:p>
      <w:pPr>
        <w:spacing w:line="440" w:lineRule="exact"/>
        <w:ind w:firstLine="420" w:firstLineChars="200"/>
        <w:rPr>
          <w:szCs w:val="21"/>
        </w:rPr>
      </w:pPr>
      <w:r>
        <w:rPr>
          <w:szCs w:val="21"/>
        </w:rPr>
        <w:t>3</w:t>
      </w:r>
      <w:r>
        <w:rPr>
          <w:rFonts w:hint="eastAsia"/>
          <w:szCs w:val="21"/>
        </w:rPr>
        <w:t>．</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kern w:val="1"/>
          <w:shd w:val="clear" w:color="auto" w:fill="FFFFFF"/>
        </w:rPr>
      </w:pPr>
      <w:r>
        <w:rPr>
          <w:rFonts w:hint="eastAsia" w:ascii="宋体" w:hAnsi="宋体" w:cs="宋体"/>
          <w:kern w:val="1"/>
          <w:shd w:val="clear" w:color="auto" w:fill="FFFFFF"/>
        </w:rPr>
        <w:t>5．（其他补充说明）。</w:t>
      </w:r>
      <w:bookmarkEnd w:id="38"/>
    </w:p>
    <w:p>
      <w:pPr>
        <w:spacing w:line="440" w:lineRule="exact"/>
        <w:ind w:firstLine="420" w:firstLineChars="200"/>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竞标人：（盖单位章）</w:t>
      </w:r>
    </w:p>
    <w:p>
      <w:pPr>
        <w:spacing w:line="440" w:lineRule="exact"/>
        <w:ind w:firstLine="3675" w:firstLineChars="1750"/>
        <w:rPr>
          <w:szCs w:val="21"/>
        </w:rPr>
      </w:pPr>
      <w:r>
        <w:rPr>
          <w:rFonts w:hint="eastAsia"/>
          <w:szCs w:val="21"/>
        </w:rPr>
        <w:t>法定代表人或其委托代理人：（签字）</w:t>
      </w:r>
    </w:p>
    <w:p>
      <w:pPr>
        <w:spacing w:line="440" w:lineRule="exact"/>
        <w:ind w:firstLine="3675" w:firstLineChars="1750"/>
        <w:rPr>
          <w:szCs w:val="21"/>
        </w:rPr>
      </w:pPr>
      <w:r>
        <w:rPr>
          <w:rFonts w:hint="eastAsia"/>
          <w:szCs w:val="21"/>
        </w:rPr>
        <w:t>地址：</w:t>
      </w:r>
    </w:p>
    <w:p>
      <w:pPr>
        <w:spacing w:line="440" w:lineRule="exact"/>
        <w:ind w:firstLine="3675" w:firstLineChars="1750"/>
        <w:rPr>
          <w:szCs w:val="21"/>
        </w:rPr>
      </w:pPr>
      <w:r>
        <w:rPr>
          <w:rFonts w:hint="eastAsia"/>
          <w:szCs w:val="21"/>
        </w:rPr>
        <w:t>网址：</w:t>
      </w:r>
    </w:p>
    <w:p>
      <w:pPr>
        <w:spacing w:line="440" w:lineRule="exact"/>
        <w:ind w:firstLine="3675" w:firstLineChars="1750"/>
        <w:rPr>
          <w:szCs w:val="21"/>
        </w:rPr>
      </w:pPr>
      <w:r>
        <w:rPr>
          <w:rFonts w:hint="eastAsia"/>
          <w:szCs w:val="21"/>
        </w:rPr>
        <w:t>电话：</w:t>
      </w:r>
    </w:p>
    <w:p>
      <w:pPr>
        <w:spacing w:line="440" w:lineRule="exact"/>
        <w:ind w:firstLine="3675" w:firstLineChars="1750"/>
        <w:rPr>
          <w:szCs w:val="21"/>
        </w:rPr>
      </w:pPr>
      <w:r>
        <w:rPr>
          <w:rFonts w:hint="eastAsia"/>
          <w:szCs w:val="21"/>
        </w:rPr>
        <w:t>传真：</w:t>
      </w:r>
    </w:p>
    <w:p>
      <w:pPr>
        <w:spacing w:line="440" w:lineRule="exact"/>
        <w:ind w:firstLine="3675" w:firstLineChars="1750"/>
        <w:rPr>
          <w:szCs w:val="21"/>
        </w:rPr>
      </w:pPr>
      <w:r>
        <w:rPr>
          <w:rFonts w:hint="eastAsia"/>
          <w:szCs w:val="21"/>
        </w:rPr>
        <w:t>邮政编码：</w:t>
      </w:r>
    </w:p>
    <w:p>
      <w:pPr>
        <w:spacing w:line="440" w:lineRule="exact"/>
        <w:ind w:firstLine="3675" w:firstLineChars="1750"/>
        <w:rPr>
          <w:szCs w:val="21"/>
        </w:rPr>
      </w:pPr>
    </w:p>
    <w:p>
      <w:pPr>
        <w:widowControl/>
        <w:ind w:firstLine="7140" w:firstLineChars="3400"/>
        <w:jc w:val="left"/>
        <w:rPr>
          <w:rFonts w:ascii="宋体" w:hAnsi="宋体" w:cs="宋体"/>
          <w:b/>
        </w:rPr>
      </w:pPr>
      <w:r>
        <w:rPr>
          <w:rFonts w:hint="eastAsia"/>
          <w:szCs w:val="21"/>
        </w:rPr>
        <w:t>年月日</w:t>
      </w:r>
    </w:p>
    <w:p>
      <w:pPr>
        <w:spacing w:line="400" w:lineRule="atLeast"/>
        <w:jc w:val="right"/>
        <w:rPr>
          <w:rFonts w:ascii="宋体" w:hAnsi="宋体" w:cs="宋体"/>
          <w:b/>
        </w:rPr>
      </w:pPr>
    </w:p>
    <w:p>
      <w:pPr>
        <w:widowControl/>
        <w:jc w:val="left"/>
        <w:rPr>
          <w:rFonts w:ascii="宋体" w:hAnsi="宋体" w:cs="宋体"/>
          <w:b/>
          <w:sz w:val="28"/>
          <w:szCs w:val="28"/>
        </w:rPr>
      </w:pPr>
      <w:r>
        <w:rPr>
          <w:rFonts w:ascii="宋体" w:hAnsi="宋体" w:cs="宋体"/>
          <w:b/>
          <w:sz w:val="28"/>
          <w:szCs w:val="28"/>
        </w:rPr>
        <w:br w:type="page"/>
      </w: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9" w:name="_Toc262547328"/>
      <w:r>
        <w:rPr>
          <w:rFonts w:hint="eastAsia"/>
          <w:b/>
          <w:szCs w:val="21"/>
        </w:rPr>
        <w:t>（一）法定代表人身份证明</w:t>
      </w:r>
      <w:bookmarkEnd w:id="39"/>
    </w:p>
    <w:p>
      <w:pPr>
        <w:spacing w:line="440" w:lineRule="exact"/>
        <w:rPr>
          <w:szCs w:val="21"/>
        </w:rPr>
      </w:pPr>
      <w:r>
        <w:rPr>
          <w:rFonts w:hint="eastAsia"/>
          <w:szCs w:val="21"/>
        </w:rPr>
        <w:t>比选申请人名称：</w:t>
      </w:r>
    </w:p>
    <w:p>
      <w:pPr>
        <w:spacing w:line="440" w:lineRule="exact"/>
        <w:rPr>
          <w:szCs w:val="21"/>
        </w:rPr>
      </w:pPr>
      <w:r>
        <w:rPr>
          <w:rFonts w:hint="eastAsia"/>
          <w:szCs w:val="21"/>
        </w:rPr>
        <w:t>单位性质：</w:t>
      </w:r>
    </w:p>
    <w:p>
      <w:pPr>
        <w:spacing w:line="440" w:lineRule="exact"/>
        <w:rPr>
          <w:szCs w:val="21"/>
        </w:rPr>
      </w:pPr>
      <w:r>
        <w:rPr>
          <w:rFonts w:hint="eastAsia"/>
          <w:szCs w:val="21"/>
        </w:rPr>
        <w:t>地址：</w:t>
      </w:r>
    </w:p>
    <w:p>
      <w:pPr>
        <w:spacing w:line="440" w:lineRule="exact"/>
        <w:rPr>
          <w:szCs w:val="21"/>
        </w:rPr>
      </w:pPr>
      <w:r>
        <w:rPr>
          <w:rFonts w:hint="eastAsia"/>
          <w:szCs w:val="21"/>
        </w:rPr>
        <w:t>成立时间：年月日</w:t>
      </w:r>
    </w:p>
    <w:p>
      <w:pPr>
        <w:spacing w:line="440" w:lineRule="exact"/>
        <w:rPr>
          <w:szCs w:val="21"/>
        </w:rPr>
      </w:pPr>
      <w:r>
        <w:rPr>
          <w:rFonts w:hint="eastAsia"/>
          <w:szCs w:val="21"/>
        </w:rPr>
        <w:t>经营期限：</w:t>
      </w:r>
    </w:p>
    <w:p>
      <w:pPr>
        <w:spacing w:line="440" w:lineRule="exact"/>
        <w:rPr>
          <w:szCs w:val="21"/>
        </w:rPr>
      </w:pPr>
      <w:r>
        <w:rPr>
          <w:rFonts w:hint="eastAsia"/>
          <w:szCs w:val="21"/>
        </w:rPr>
        <w:t>姓名：</w:t>
      </w:r>
      <w:r>
        <w:rPr>
          <w:rFonts w:hint="eastAsia"/>
          <w:szCs w:val="21"/>
          <w:u w:val="single"/>
        </w:rPr>
        <w:t>（法定代表人亲笔签名）</w:t>
      </w:r>
      <w:r>
        <w:rPr>
          <w:rFonts w:hint="eastAsia"/>
          <w:szCs w:val="21"/>
        </w:rPr>
        <w:t>性别：年龄：职务：</w:t>
      </w:r>
    </w:p>
    <w:p>
      <w:pPr>
        <w:spacing w:line="440" w:lineRule="exact"/>
        <w:rPr>
          <w:szCs w:val="21"/>
        </w:rPr>
      </w:pPr>
      <w:r>
        <w:rPr>
          <w:rFonts w:hint="eastAsia"/>
          <w:szCs w:val="21"/>
        </w:rPr>
        <w:t>系（比选申请人名称）的法定代表人。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rFonts w:hint="eastAsia"/>
          <w:szCs w:val="21"/>
        </w:rPr>
        <w:t>比选申请人：（盖单位章）</w:t>
      </w:r>
    </w:p>
    <w:p>
      <w:pPr>
        <w:spacing w:line="440" w:lineRule="exact"/>
        <w:rPr>
          <w:szCs w:val="21"/>
        </w:rPr>
      </w:pPr>
      <w:r>
        <w:rPr>
          <w:rFonts w:hint="eastAsia"/>
          <w:szCs w:val="21"/>
        </w:rPr>
        <w:t>年月日</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topLinePunct/>
        <w:spacing w:line="440" w:lineRule="exact"/>
        <w:ind w:firstLine="400" w:firstLineChars="200"/>
        <w:jc w:val="center"/>
        <w:outlineLvl w:val="2"/>
        <w:rPr>
          <w:rFonts w:ascii="宋体" w:hAnsi="宋体" w:cs="宋体"/>
          <w:b/>
          <w:szCs w:val="21"/>
        </w:rPr>
      </w:pPr>
      <w:r>
        <w:rPr>
          <w:rFonts w:ascii="宋体" w:hAnsi="宋体" w:cs="宋体"/>
          <w:sz w:val="20"/>
        </w:rPr>
        <w:br w:type="page"/>
      </w:r>
      <w:bookmarkStart w:id="40" w:name="_Toc262547329"/>
      <w:r>
        <w:rPr>
          <w:rFonts w:hint="eastAsia" w:ascii="宋体" w:hAnsi="宋体" w:cs="宋体"/>
          <w:b/>
          <w:szCs w:val="21"/>
        </w:rPr>
        <w:t>（二）授权委托书</w:t>
      </w:r>
      <w:bookmarkEnd w:id="40"/>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ascii="宋体" w:hAnsi="宋体" w:cs="宋体"/>
          <w:kern w:val="0"/>
          <w:szCs w:val="21"/>
          <w:u w:val="single"/>
        </w:rPr>
        <w:tab/>
      </w:r>
      <w:r>
        <w:rPr>
          <w:rFonts w:hint="eastAsia" w:ascii="宋体" w:hAnsi="宋体" w:cs="宋体"/>
          <w:kern w:val="0"/>
          <w:szCs w:val="21"/>
        </w:rPr>
        <w:t>（姓名）系（比选申请人名称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人，现委托（姓名）为我方代理人。代理人根据授权，以我方名义签署、澄清、说明、补正、递交、撤回、修改</w:t>
      </w:r>
      <w:r>
        <w:rPr>
          <w:rFonts w:hint="eastAsia" w:ascii="宋体" w:hAnsi="宋体" w:cs="宋体"/>
          <w:kern w:val="0"/>
          <w:szCs w:val="21"/>
          <w:u w:val="single"/>
        </w:rPr>
        <w:t>重庆高速国储能源投资有限公司智慧加油站综合运营管理系统</w:t>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kern w:val="0"/>
          <w:szCs w:val="21"/>
        </w:rPr>
      </w:pPr>
      <w:r>
        <w:rPr>
          <w:rFonts w:hint="eastAsia" w:ascii="宋体" w:hAnsi="宋体" w:cs="宋体"/>
          <w:b/>
          <w:bCs/>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竞标人：</w:t>
      </w:r>
      <w:r>
        <w:rPr>
          <w:rFonts w:ascii="宋体" w:hAnsi="宋体" w:cs="宋体"/>
          <w:kern w:val="0"/>
          <w:szCs w:val="21"/>
          <w:u w:val="single"/>
        </w:rPr>
        <w:tab/>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单位公章）</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ascii="宋体" w:hAnsi="宋体" w:cs="宋体"/>
          <w:kern w:val="0"/>
          <w:szCs w:val="21"/>
          <w:u w:val="single"/>
        </w:rPr>
        <w:tab/>
      </w:r>
      <w:r>
        <w:rPr>
          <w:rFonts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ascii="宋体" w:hAnsi="宋体" w:cs="宋体"/>
          <w:kern w:val="0"/>
          <w:szCs w:val="21"/>
          <w:u w:val="single"/>
        </w:rPr>
        <w:tab/>
      </w:r>
      <w:r>
        <w:rPr>
          <w:rFonts w:hint="eastAsia" w:ascii="宋体" w:hAnsi="宋体" w:cs="宋体"/>
          <w:kern w:val="0"/>
          <w:szCs w:val="21"/>
        </w:rPr>
        <w:t>年</w:t>
      </w:r>
      <w:r>
        <w:rPr>
          <w:rFonts w:ascii="宋体" w:hAnsi="宋体" w:cs="宋体"/>
          <w:kern w:val="0"/>
          <w:szCs w:val="21"/>
          <w:u w:val="single"/>
        </w:rPr>
        <w:tab/>
      </w:r>
      <w:r>
        <w:rPr>
          <w:rFonts w:hint="eastAsia" w:ascii="宋体" w:hAnsi="宋体" w:cs="宋体"/>
          <w:kern w:val="0"/>
          <w:szCs w:val="21"/>
        </w:rPr>
        <w:t>月</w:t>
      </w:r>
      <w:r>
        <w:rPr>
          <w:rFonts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29"/>
        <w:rPr>
          <w:color w:val="auto"/>
        </w:rPr>
      </w:pPr>
    </w:p>
    <w:p>
      <w:pPr>
        <w:tabs>
          <w:tab w:val="left" w:pos="900"/>
          <w:tab w:val="left" w:pos="1080"/>
        </w:tabs>
        <w:spacing w:line="300" w:lineRule="auto"/>
        <w:jc w:val="left"/>
        <w:outlineLvl w:val="0"/>
        <w:rPr>
          <w:rFonts w:ascii="宋体" w:hAnsi="宋体" w:cs="宋体"/>
          <w:b/>
          <w:sz w:val="24"/>
        </w:rPr>
      </w:pPr>
    </w:p>
    <w:p>
      <w:pPr>
        <w:widowControl/>
        <w:jc w:val="center"/>
        <w:rPr>
          <w:rFonts w:ascii="宋体" w:hAnsi="宋体" w:cs="宋体"/>
          <w:b/>
          <w:sz w:val="28"/>
          <w:szCs w:val="28"/>
        </w:rPr>
      </w:pPr>
      <w:r>
        <w:rPr>
          <w:rFonts w:hint="eastAsia" w:ascii="宋体" w:hAnsi="宋体" w:cs="宋体"/>
          <w:b/>
          <w:sz w:val="28"/>
          <w:szCs w:val="28"/>
        </w:rPr>
        <w:t>三、有效的营业执照复印件</w:t>
      </w:r>
    </w:p>
    <w:p>
      <w:pPr>
        <w:pStyle w:val="13"/>
        <w:rPr>
          <w:color w:val="auto"/>
        </w:rPr>
      </w:pPr>
      <w:r>
        <w:rPr>
          <w:color w:val="auto"/>
        </w:rPr>
        <w:br w:type="page"/>
      </w:r>
    </w:p>
    <w:p>
      <w:pPr>
        <w:outlineLvl w:val="0"/>
        <w:rPr>
          <w:rFonts w:ascii="宋体" w:hAnsi="宋体" w:cs="宋体"/>
          <w:b/>
          <w:sz w:val="24"/>
        </w:rPr>
        <w:sectPr>
          <w:pgSz w:w="11906" w:h="16838"/>
          <w:pgMar w:top="1418" w:right="1361" w:bottom="1418" w:left="1361" w:header="851" w:footer="992" w:gutter="0"/>
          <w:cols w:space="720" w:num="1"/>
          <w:docGrid w:type="lines" w:linePitch="312" w:charSpace="0"/>
        </w:sectPr>
      </w:pPr>
    </w:p>
    <w:p>
      <w:pPr>
        <w:tabs>
          <w:tab w:val="left" w:pos="900"/>
          <w:tab w:val="left" w:pos="1080"/>
        </w:tabs>
        <w:spacing w:line="300" w:lineRule="auto"/>
        <w:jc w:val="center"/>
        <w:outlineLvl w:val="0"/>
        <w:rPr>
          <w:b/>
          <w:sz w:val="28"/>
          <w:szCs w:val="28"/>
        </w:rPr>
      </w:pPr>
      <w:r>
        <w:rPr>
          <w:rFonts w:hint="eastAsia"/>
          <w:b/>
          <w:sz w:val="28"/>
          <w:szCs w:val="28"/>
        </w:rPr>
        <w:t>四、货物清单报价明细表</w:t>
      </w:r>
    </w:p>
    <w:p>
      <w:pPr>
        <w:widowControl/>
        <w:jc w:val="left"/>
        <w:rPr>
          <w:b/>
          <w:sz w:val="28"/>
          <w:szCs w:val="28"/>
        </w:rPr>
      </w:pPr>
      <w:r>
        <w:rPr>
          <w:b/>
          <w:sz w:val="28"/>
          <w:szCs w:val="28"/>
        </w:rPr>
        <w:br w:type="page"/>
      </w:r>
    </w:p>
    <w:p>
      <w:pPr>
        <w:pStyle w:val="13"/>
        <w:rPr>
          <w:b/>
          <w:color w:val="auto"/>
          <w:sz w:val="28"/>
          <w:szCs w:val="28"/>
        </w:rPr>
      </w:pPr>
      <w:r>
        <w:rPr>
          <w:rFonts w:hint="eastAsia"/>
          <w:b/>
          <w:color w:val="auto"/>
          <w:sz w:val="28"/>
          <w:szCs w:val="28"/>
        </w:rPr>
        <w:t>五、承诺函</w:t>
      </w:r>
    </w:p>
    <w:p>
      <w:pPr>
        <w:widowControl/>
        <w:ind w:firstLine="420" w:firstLineChars="200"/>
        <w:jc w:val="left"/>
        <w:rPr>
          <w:sz w:val="20"/>
        </w:rPr>
      </w:pPr>
      <w:r>
        <w:rPr>
          <w:rFonts w:hint="eastAsia"/>
        </w:rPr>
        <w:t>（比选申请人须提供</w:t>
      </w:r>
      <w:r>
        <w:rPr>
          <w:rFonts w:hint="eastAsia"/>
          <w:szCs w:val="21"/>
        </w:rPr>
        <w:t>近三年没有处于被责令停业、财产被接管、冻结破产状态的承诺函，格式自拟）</w:t>
      </w:r>
    </w:p>
    <w:p>
      <w:pPr>
        <w:widowControl/>
        <w:jc w:val="left"/>
        <w:rPr>
          <w:b/>
          <w:sz w:val="28"/>
          <w:szCs w:val="28"/>
        </w:rPr>
      </w:pPr>
      <w:r>
        <w:rPr>
          <w:b/>
          <w:sz w:val="28"/>
          <w:szCs w:val="28"/>
        </w:rPr>
        <w:br w:type="page"/>
      </w:r>
    </w:p>
    <w:p>
      <w:pPr>
        <w:pStyle w:val="13"/>
        <w:rPr>
          <w:b/>
          <w:color w:val="auto"/>
          <w:sz w:val="28"/>
          <w:szCs w:val="28"/>
        </w:rPr>
      </w:pPr>
      <w:r>
        <w:rPr>
          <w:rFonts w:hint="eastAsia"/>
          <w:b/>
          <w:color w:val="auto"/>
          <w:sz w:val="28"/>
          <w:szCs w:val="28"/>
        </w:rPr>
        <w:t>六、技术方案</w:t>
      </w:r>
    </w:p>
    <w:p>
      <w:pPr>
        <w:pStyle w:val="13"/>
        <w:rPr>
          <w:color w:val="auto"/>
        </w:rPr>
      </w:pPr>
      <w:r>
        <w:rPr>
          <w:color w:val="auto"/>
        </w:rPr>
        <w:br w:type="page"/>
      </w:r>
    </w:p>
    <w:p>
      <w:pPr>
        <w:pStyle w:val="13"/>
        <w:rPr>
          <w:b/>
          <w:color w:val="auto"/>
          <w:sz w:val="28"/>
          <w:szCs w:val="28"/>
        </w:rPr>
      </w:pPr>
      <w:r>
        <w:rPr>
          <w:rFonts w:hint="eastAsia"/>
          <w:b/>
          <w:color w:val="auto"/>
          <w:sz w:val="28"/>
          <w:szCs w:val="28"/>
        </w:rPr>
        <w:t>七、业绩证明</w:t>
      </w:r>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fill on="f" focussize="0,0"/>
              <v:stroke on="f"/>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5580"/>
    <w:multiLevelType w:val="singleLevel"/>
    <w:tmpl w:val="99ED5580"/>
    <w:lvl w:ilvl="0" w:tentative="0">
      <w:start w:val="1"/>
      <w:numFmt w:val="chineseCounting"/>
      <w:suff w:val="nothing"/>
      <w:lvlText w:val="（%1）"/>
      <w:lvlJc w:val="left"/>
      <w:rPr>
        <w:rFonts w:hint="eastAsia"/>
      </w:rPr>
    </w:lvl>
  </w:abstractNum>
  <w:abstractNum w:abstractNumId="1">
    <w:nsid w:val="0000000F"/>
    <w:multiLevelType w:val="multilevel"/>
    <w:tmpl w:val="0000000F"/>
    <w:lvl w:ilvl="0" w:tentative="0">
      <w:start w:val="1"/>
      <w:numFmt w:val="decimal"/>
      <w:pStyle w:val="3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9AB4D9"/>
    <w:multiLevelType w:val="singleLevel"/>
    <w:tmpl w:val="589AB4D9"/>
    <w:lvl w:ilvl="0" w:tentative="0">
      <w:start w:val="4"/>
      <w:numFmt w:val="chineseCounting"/>
      <w:suff w:val="nothing"/>
      <w:lvlText w:val="%1、"/>
      <w:lvlJc w:val="left"/>
    </w:lvl>
  </w:abstractNum>
  <w:abstractNum w:abstractNumId="3">
    <w:nsid w:val="5ECCEDFB"/>
    <w:multiLevelType w:val="singleLevel"/>
    <w:tmpl w:val="5ECCEDFB"/>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C9E"/>
    <w:rsid w:val="0004584E"/>
    <w:rsid w:val="000534D2"/>
    <w:rsid w:val="0005356D"/>
    <w:rsid w:val="000C3FDD"/>
    <w:rsid w:val="000D6308"/>
    <w:rsid w:val="000F2A69"/>
    <w:rsid w:val="000F4C02"/>
    <w:rsid w:val="00114237"/>
    <w:rsid w:val="00143327"/>
    <w:rsid w:val="00160D17"/>
    <w:rsid w:val="00172A27"/>
    <w:rsid w:val="00193D5D"/>
    <w:rsid w:val="001D471B"/>
    <w:rsid w:val="001F33D4"/>
    <w:rsid w:val="00202E8C"/>
    <w:rsid w:val="00222732"/>
    <w:rsid w:val="002A5DA9"/>
    <w:rsid w:val="002F3EE4"/>
    <w:rsid w:val="00317256"/>
    <w:rsid w:val="00331E32"/>
    <w:rsid w:val="00394369"/>
    <w:rsid w:val="003A3F0C"/>
    <w:rsid w:val="00401781"/>
    <w:rsid w:val="004310FC"/>
    <w:rsid w:val="004357EF"/>
    <w:rsid w:val="00482599"/>
    <w:rsid w:val="004D2A25"/>
    <w:rsid w:val="004F3FDA"/>
    <w:rsid w:val="00505089"/>
    <w:rsid w:val="0052476A"/>
    <w:rsid w:val="00547810"/>
    <w:rsid w:val="00573486"/>
    <w:rsid w:val="00604CEF"/>
    <w:rsid w:val="006336F1"/>
    <w:rsid w:val="00670EE3"/>
    <w:rsid w:val="006779D6"/>
    <w:rsid w:val="00693455"/>
    <w:rsid w:val="006E0E99"/>
    <w:rsid w:val="00700028"/>
    <w:rsid w:val="00732661"/>
    <w:rsid w:val="007407CD"/>
    <w:rsid w:val="007723A2"/>
    <w:rsid w:val="008004B8"/>
    <w:rsid w:val="00895EF2"/>
    <w:rsid w:val="008D7893"/>
    <w:rsid w:val="008F58AA"/>
    <w:rsid w:val="00901AF2"/>
    <w:rsid w:val="00922F41"/>
    <w:rsid w:val="00930E68"/>
    <w:rsid w:val="00961514"/>
    <w:rsid w:val="00992A0A"/>
    <w:rsid w:val="009B06CE"/>
    <w:rsid w:val="009D6D8C"/>
    <w:rsid w:val="009D7B4E"/>
    <w:rsid w:val="009F4377"/>
    <w:rsid w:val="00A23FF7"/>
    <w:rsid w:val="00A70E51"/>
    <w:rsid w:val="00B054F7"/>
    <w:rsid w:val="00B1526D"/>
    <w:rsid w:val="00B4298A"/>
    <w:rsid w:val="00B72214"/>
    <w:rsid w:val="00BB594B"/>
    <w:rsid w:val="00BC4E9E"/>
    <w:rsid w:val="00C36452"/>
    <w:rsid w:val="00C66349"/>
    <w:rsid w:val="00C94873"/>
    <w:rsid w:val="00CE79C0"/>
    <w:rsid w:val="00CF6DDC"/>
    <w:rsid w:val="00D07D5E"/>
    <w:rsid w:val="00D16068"/>
    <w:rsid w:val="00D26571"/>
    <w:rsid w:val="00D3773A"/>
    <w:rsid w:val="00D557C7"/>
    <w:rsid w:val="00D62078"/>
    <w:rsid w:val="00D70848"/>
    <w:rsid w:val="00DC3016"/>
    <w:rsid w:val="00DD37E5"/>
    <w:rsid w:val="00E05BF1"/>
    <w:rsid w:val="00EE5172"/>
    <w:rsid w:val="00EF0057"/>
    <w:rsid w:val="00F1095F"/>
    <w:rsid w:val="00F1336D"/>
    <w:rsid w:val="00F34890"/>
    <w:rsid w:val="00F91447"/>
    <w:rsid w:val="00F95D00"/>
    <w:rsid w:val="00FA3657"/>
    <w:rsid w:val="00FC3744"/>
    <w:rsid w:val="00FE3D25"/>
    <w:rsid w:val="02445E66"/>
    <w:rsid w:val="0282713E"/>
    <w:rsid w:val="043E1B08"/>
    <w:rsid w:val="04827293"/>
    <w:rsid w:val="04D01847"/>
    <w:rsid w:val="05794765"/>
    <w:rsid w:val="07081BB0"/>
    <w:rsid w:val="07A57A63"/>
    <w:rsid w:val="07B94B50"/>
    <w:rsid w:val="07E949D8"/>
    <w:rsid w:val="09FA6DB6"/>
    <w:rsid w:val="0A5B12F0"/>
    <w:rsid w:val="0B613572"/>
    <w:rsid w:val="0BF77BF2"/>
    <w:rsid w:val="0E674D33"/>
    <w:rsid w:val="0E6D2C3E"/>
    <w:rsid w:val="0EA52E2B"/>
    <w:rsid w:val="0F6B5B23"/>
    <w:rsid w:val="110B431B"/>
    <w:rsid w:val="11DD6A5D"/>
    <w:rsid w:val="12CE1422"/>
    <w:rsid w:val="13051255"/>
    <w:rsid w:val="13D82A4B"/>
    <w:rsid w:val="146D70B2"/>
    <w:rsid w:val="157122E7"/>
    <w:rsid w:val="15B21DA3"/>
    <w:rsid w:val="168A588C"/>
    <w:rsid w:val="16AE48E6"/>
    <w:rsid w:val="173C0DA1"/>
    <w:rsid w:val="177E548D"/>
    <w:rsid w:val="18D015A8"/>
    <w:rsid w:val="19E47917"/>
    <w:rsid w:val="1A5B2237"/>
    <w:rsid w:val="1AF3365B"/>
    <w:rsid w:val="1BB795AF"/>
    <w:rsid w:val="1D3736E4"/>
    <w:rsid w:val="1E9F2FD8"/>
    <w:rsid w:val="1EC6473D"/>
    <w:rsid w:val="1FE37B67"/>
    <w:rsid w:val="206D66AE"/>
    <w:rsid w:val="20A0038A"/>
    <w:rsid w:val="20C334C1"/>
    <w:rsid w:val="21257359"/>
    <w:rsid w:val="2144119B"/>
    <w:rsid w:val="21EE059A"/>
    <w:rsid w:val="226E6322"/>
    <w:rsid w:val="2276131C"/>
    <w:rsid w:val="227B5F83"/>
    <w:rsid w:val="22CF00D5"/>
    <w:rsid w:val="2308766B"/>
    <w:rsid w:val="24563B90"/>
    <w:rsid w:val="247F1428"/>
    <w:rsid w:val="25DF62B6"/>
    <w:rsid w:val="260B0910"/>
    <w:rsid w:val="26173B59"/>
    <w:rsid w:val="26B11EF7"/>
    <w:rsid w:val="28E3364C"/>
    <w:rsid w:val="29332221"/>
    <w:rsid w:val="2B5462F1"/>
    <w:rsid w:val="2CF206CE"/>
    <w:rsid w:val="2D724D11"/>
    <w:rsid w:val="2E061257"/>
    <w:rsid w:val="30541EDB"/>
    <w:rsid w:val="308F5703"/>
    <w:rsid w:val="311A1FCF"/>
    <w:rsid w:val="312837A5"/>
    <w:rsid w:val="314A2049"/>
    <w:rsid w:val="368469E1"/>
    <w:rsid w:val="37657D77"/>
    <w:rsid w:val="3777593C"/>
    <w:rsid w:val="381F55BC"/>
    <w:rsid w:val="38C55C67"/>
    <w:rsid w:val="38F61C2F"/>
    <w:rsid w:val="39755F3E"/>
    <w:rsid w:val="39B0375A"/>
    <w:rsid w:val="3AF2199F"/>
    <w:rsid w:val="3C6D3BE2"/>
    <w:rsid w:val="3CAA0CB5"/>
    <w:rsid w:val="3FDD27D2"/>
    <w:rsid w:val="40EF5FFE"/>
    <w:rsid w:val="416E31BD"/>
    <w:rsid w:val="425A1A7E"/>
    <w:rsid w:val="427755DD"/>
    <w:rsid w:val="42E42D1F"/>
    <w:rsid w:val="435C3CCA"/>
    <w:rsid w:val="481D47CE"/>
    <w:rsid w:val="48446F8B"/>
    <w:rsid w:val="4A28785F"/>
    <w:rsid w:val="4B7740A5"/>
    <w:rsid w:val="4CDB7A4E"/>
    <w:rsid w:val="4CEA47A9"/>
    <w:rsid w:val="4E407033"/>
    <w:rsid w:val="4F23103E"/>
    <w:rsid w:val="52CA1F01"/>
    <w:rsid w:val="53C65804"/>
    <w:rsid w:val="54C91A93"/>
    <w:rsid w:val="54CD43E9"/>
    <w:rsid w:val="5578623D"/>
    <w:rsid w:val="56245260"/>
    <w:rsid w:val="58BE725C"/>
    <w:rsid w:val="5952265D"/>
    <w:rsid w:val="597B6065"/>
    <w:rsid w:val="59C4272B"/>
    <w:rsid w:val="5A1D05D7"/>
    <w:rsid w:val="5A69037F"/>
    <w:rsid w:val="5B666433"/>
    <w:rsid w:val="5B714FC5"/>
    <w:rsid w:val="5B796F3C"/>
    <w:rsid w:val="5C213C4F"/>
    <w:rsid w:val="5CF92D5A"/>
    <w:rsid w:val="5D7336BB"/>
    <w:rsid w:val="5DB60215"/>
    <w:rsid w:val="5E746985"/>
    <w:rsid w:val="5F257F7E"/>
    <w:rsid w:val="5F6A2617"/>
    <w:rsid w:val="603E15AD"/>
    <w:rsid w:val="60BF414D"/>
    <w:rsid w:val="61346DAC"/>
    <w:rsid w:val="61B43716"/>
    <w:rsid w:val="62493808"/>
    <w:rsid w:val="62806610"/>
    <w:rsid w:val="634B0274"/>
    <w:rsid w:val="64B16A8F"/>
    <w:rsid w:val="65A45331"/>
    <w:rsid w:val="65EB513E"/>
    <w:rsid w:val="661B4993"/>
    <w:rsid w:val="663033CB"/>
    <w:rsid w:val="66B845E7"/>
    <w:rsid w:val="66E150D4"/>
    <w:rsid w:val="677C266D"/>
    <w:rsid w:val="689E14E3"/>
    <w:rsid w:val="696C1C91"/>
    <w:rsid w:val="69EE301F"/>
    <w:rsid w:val="6B231032"/>
    <w:rsid w:val="6C60728B"/>
    <w:rsid w:val="6F2F1336"/>
    <w:rsid w:val="6F3972E1"/>
    <w:rsid w:val="6F3F3C03"/>
    <w:rsid w:val="6F4010B6"/>
    <w:rsid w:val="720E592A"/>
    <w:rsid w:val="73BA3B04"/>
    <w:rsid w:val="73D8246D"/>
    <w:rsid w:val="76900598"/>
    <w:rsid w:val="76A95F29"/>
    <w:rsid w:val="76C00760"/>
    <w:rsid w:val="77143903"/>
    <w:rsid w:val="77585E7F"/>
    <w:rsid w:val="77AC25E6"/>
    <w:rsid w:val="77B623F2"/>
    <w:rsid w:val="782A35A0"/>
    <w:rsid w:val="786477C9"/>
    <w:rsid w:val="787C2CA3"/>
    <w:rsid w:val="7A2479FB"/>
    <w:rsid w:val="7ACE41AA"/>
    <w:rsid w:val="7AF53C17"/>
    <w:rsid w:val="7B112BF1"/>
    <w:rsid w:val="7B2722CE"/>
    <w:rsid w:val="7C507D74"/>
    <w:rsid w:val="7CD51442"/>
    <w:rsid w:val="7D453655"/>
    <w:rsid w:val="7E6E1231"/>
    <w:rsid w:val="7FC36F6B"/>
    <w:rsid w:val="7FDEA6A3"/>
    <w:rsid w:val="97FFB3C6"/>
    <w:rsid w:val="BFFEA852"/>
    <w:rsid w:val="EEBF844B"/>
    <w:rsid w:val="FFF79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adjustRightInd w:val="0"/>
      <w:snapToGrid w:val="0"/>
      <w:spacing w:line="360" w:lineRule="auto"/>
      <w:ind w:firstLine="420"/>
    </w:pPr>
    <w:rPr>
      <w:sz w:val="24"/>
    </w:rPr>
  </w:style>
  <w:style w:type="paragraph" w:styleId="5">
    <w:name w:val="Document Map"/>
    <w:basedOn w:val="1"/>
    <w:link w:val="21"/>
    <w:qFormat/>
    <w:uiPriority w:val="0"/>
    <w:rPr>
      <w:rFonts w:ascii="宋体"/>
      <w:sz w:val="18"/>
      <w:szCs w:val="18"/>
    </w:rPr>
  </w:style>
  <w:style w:type="paragraph" w:styleId="6">
    <w:name w:val="annotation text"/>
    <w:basedOn w:val="1"/>
    <w:link w:val="23"/>
    <w:unhideWhenUsed/>
    <w:qFormat/>
    <w:uiPriority w:val="99"/>
    <w:pPr>
      <w:jc w:val="left"/>
    </w:pPr>
  </w:style>
  <w:style w:type="paragraph" w:styleId="7">
    <w:name w:val="Body Text Indent"/>
    <w:basedOn w:val="1"/>
    <w:qFormat/>
    <w:uiPriority w:val="0"/>
    <w:pPr>
      <w:spacing w:line="700" w:lineRule="exact"/>
      <w:ind w:left="960"/>
    </w:pPr>
    <w:rPr>
      <w:sz w:val="44"/>
    </w:r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0"/>
    <w:pPr>
      <w:ind w:left="100" w:leftChars="2500"/>
    </w:pPr>
  </w:style>
  <w:style w:type="paragraph" w:styleId="10">
    <w:name w:val="Balloon Text"/>
    <w:basedOn w:val="1"/>
    <w:link w:val="26"/>
    <w:unhideWhenUsed/>
    <w:qFormat/>
    <w:uiPriority w:val="99"/>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805"/>
      </w:tabs>
      <w:spacing w:line="440" w:lineRule="exact"/>
      <w:jc w:val="center"/>
    </w:pPr>
    <w:rPr>
      <w:color w:val="000000"/>
      <w:sz w:val="20"/>
    </w:rPr>
  </w:style>
  <w:style w:type="paragraph" w:styleId="14">
    <w:name w:val="Normal (Web)"/>
    <w:basedOn w:val="1"/>
    <w:unhideWhenUsed/>
    <w:qFormat/>
    <w:uiPriority w:val="99"/>
    <w:pPr>
      <w:spacing w:beforeAutospacing="1" w:afterAutospacing="1"/>
      <w:jc w:val="left"/>
    </w:pPr>
    <w:rPr>
      <w:kern w:val="0"/>
      <w:sz w:val="24"/>
    </w:rPr>
  </w:style>
  <w:style w:type="paragraph" w:styleId="15">
    <w:name w:val="index 1"/>
    <w:basedOn w:val="1"/>
    <w:next w:val="1"/>
    <w:qFormat/>
    <w:uiPriority w:val="0"/>
    <w:pPr>
      <w:spacing w:line="360" w:lineRule="auto"/>
      <w:jc w:val="center"/>
    </w:pPr>
    <w:rPr>
      <w:rFonts w:ascii="宋体" w:hAnsi="Arial" w:cs="Arial"/>
      <w:b/>
      <w:color w:val="000000"/>
      <w:sz w:val="24"/>
      <w:szCs w:val="24"/>
    </w:rPr>
  </w:style>
  <w:style w:type="paragraph" w:styleId="16">
    <w:name w:val="annotation subject"/>
    <w:basedOn w:val="6"/>
    <w:next w:val="6"/>
    <w:link w:val="24"/>
    <w:unhideWhenUsed/>
    <w:qFormat/>
    <w:uiPriority w:val="99"/>
    <w:rPr>
      <w:b/>
      <w:bCs/>
    </w:rPr>
  </w:style>
  <w:style w:type="character" w:styleId="19">
    <w:name w:val="Hyperlink"/>
    <w:basedOn w:val="18"/>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文档结构图 字符"/>
    <w:link w:val="5"/>
    <w:qFormat/>
    <w:uiPriority w:val="0"/>
    <w:rPr>
      <w:rFonts w:ascii="宋体"/>
      <w:kern w:val="2"/>
      <w:sz w:val="18"/>
      <w:szCs w:val="18"/>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批注文字 字符"/>
    <w:link w:val="6"/>
    <w:qFormat/>
    <w:uiPriority w:val="99"/>
    <w:rPr>
      <w:kern w:val="2"/>
      <w:sz w:val="21"/>
    </w:rPr>
  </w:style>
  <w:style w:type="character" w:customStyle="1" w:styleId="24">
    <w:name w:val="批注主题 字符"/>
    <w:link w:val="16"/>
    <w:semiHidden/>
    <w:qFormat/>
    <w:uiPriority w:val="99"/>
    <w:rPr>
      <w:b/>
      <w:bCs/>
      <w:kern w:val="2"/>
      <w:sz w:val="21"/>
    </w:rPr>
  </w:style>
  <w:style w:type="character" w:customStyle="1" w:styleId="25">
    <w:name w:val="font01"/>
    <w:qFormat/>
    <w:uiPriority w:val="0"/>
    <w:rPr>
      <w:rFonts w:hint="eastAsia" w:ascii="宋体" w:hAnsi="宋体" w:eastAsia="宋体" w:cs="宋体"/>
      <w:color w:val="000000"/>
      <w:sz w:val="22"/>
      <w:szCs w:val="22"/>
      <w:u w:val="none"/>
    </w:rPr>
  </w:style>
  <w:style w:type="character" w:customStyle="1" w:styleId="26">
    <w:name w:val="批注框文本 字符"/>
    <w:link w:val="10"/>
    <w:semiHidden/>
    <w:qFormat/>
    <w:uiPriority w:val="99"/>
    <w:rPr>
      <w:kern w:val="2"/>
      <w:sz w:val="18"/>
      <w:szCs w:val="18"/>
    </w:rPr>
  </w:style>
  <w:style w:type="paragraph" w:customStyle="1" w:styleId="27">
    <w:name w:val="列出段落1"/>
    <w:basedOn w:val="1"/>
    <w:qFormat/>
    <w:uiPriority w:val="99"/>
    <w:pPr>
      <w:ind w:firstLine="420" w:firstLineChars="200"/>
    </w:pPr>
    <w:rPr>
      <w:rFonts w:ascii="Calibri" w:hAnsi="Calibri" w:cs="Calibri"/>
      <w:szCs w:val="21"/>
    </w:rPr>
  </w:style>
  <w:style w:type="paragraph" w:customStyle="1" w:styleId="28">
    <w:name w:val="彩色列表 - 强调文字颜色 11"/>
    <w:basedOn w:val="1"/>
    <w:qFormat/>
    <w:uiPriority w:val="0"/>
    <w:pPr>
      <w:widowControl/>
      <w:ind w:firstLine="420"/>
    </w:pPr>
    <w:rPr>
      <w:rFonts w:ascii="Calibri" w:hAnsi="Calibri" w:cs="Calibri"/>
      <w:kern w:val="0"/>
      <w:szCs w:val="21"/>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样式10"/>
    <w:basedOn w:val="1"/>
    <w:qFormat/>
    <w:uiPriority w:val="0"/>
    <w:pPr>
      <w:numPr>
        <w:ilvl w:val="0"/>
        <w:numId w:val="1"/>
      </w:numPr>
      <w:tabs>
        <w:tab w:val="left" w:pos="737"/>
        <w:tab w:val="clear" w:pos="360"/>
      </w:tabs>
      <w:spacing w:line="360" w:lineRule="auto"/>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22</Pages>
  <Words>6564</Words>
  <Characters>6816</Characters>
  <Lines>55</Lines>
  <Paragraphs>15</Paragraphs>
  <TotalTime>7</TotalTime>
  <ScaleCrop>false</ScaleCrop>
  <LinksUpToDate>false</LinksUpToDate>
  <CharactersWithSpaces>7007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2022-03-20T23:01:00Z</dcterms:created>
  <dc:creator>宋海涛</dc:creator>
  <cp:lastModifiedBy>运营部任炯</cp:lastModifiedBy>
  <cp:lastPrinted>2021-01-18T14:09:00Z</cp:lastPrinted>
  <dcterms:modified xsi:type="dcterms:W3CDTF">2022-04-01T01:52:31Z</dcterms:modified>
  <dc:title>永川、龙溪河服务区加油站项目设计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C879885BBD174EE7A68F003B671ADB2C</vt:lpwstr>
  </property>
</Properties>
</file>