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rPr>
      </w:pPr>
    </w:p>
    <w:p>
      <w:pPr>
        <w:rPr>
          <w:rFonts w:ascii="宋体" w:hAnsi="宋体" w:cs="宋体"/>
        </w:rPr>
      </w:pPr>
    </w:p>
    <w:p>
      <w:pPr>
        <w:jc w:val="center"/>
        <w:rPr>
          <w:rFonts w:ascii="宋体" w:hAnsi="宋体"/>
          <w:b/>
          <w:kern w:val="0"/>
          <w:sz w:val="86"/>
          <w:szCs w:val="86"/>
        </w:rPr>
      </w:pPr>
      <w:r>
        <w:rPr>
          <w:rFonts w:hint="eastAsia" w:ascii="宋体" w:hAnsi="宋体"/>
          <w:b/>
          <w:kern w:val="0"/>
          <w:sz w:val="86"/>
          <w:szCs w:val="86"/>
        </w:rPr>
        <w:t>竞争性比选文件</w:t>
      </w:r>
    </w:p>
    <w:p>
      <w:pPr>
        <w:jc w:val="center"/>
        <w:rPr>
          <w:rFonts w:ascii="宋体" w:hAnsi="宋体" w:cs="宋体"/>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spacing w:line="360" w:lineRule="auto"/>
        <w:ind w:left="1606" w:hanging="1606" w:hangingChars="500"/>
        <w:rPr>
          <w:rFonts w:ascii="宋体" w:hAnsi="宋体"/>
          <w:b/>
          <w:sz w:val="32"/>
          <w:szCs w:val="32"/>
        </w:rPr>
      </w:pPr>
    </w:p>
    <w:p>
      <w:pPr>
        <w:spacing w:line="360" w:lineRule="auto"/>
        <w:ind w:left="1606" w:hanging="1606" w:hangingChars="500"/>
        <w:rPr>
          <w:rFonts w:ascii="宋体" w:hAnsi="宋体"/>
          <w:b/>
          <w:sz w:val="32"/>
          <w:szCs w:val="32"/>
        </w:rPr>
      </w:pPr>
    </w:p>
    <w:p>
      <w:pPr>
        <w:spacing w:line="360" w:lineRule="auto"/>
        <w:ind w:left="1606" w:hanging="1606" w:hangingChars="500"/>
        <w:rPr>
          <w:rFonts w:ascii="仿宋_GB2312" w:hAnsi="仿宋_GB2312" w:cs="仿宋_GB2312"/>
          <w:bCs/>
          <w:sz w:val="32"/>
          <w:szCs w:val="32"/>
        </w:rPr>
      </w:pPr>
      <w:r>
        <w:rPr>
          <w:rFonts w:hint="eastAsia" w:ascii="宋体" w:hAnsi="宋体"/>
          <w:b/>
          <w:sz w:val="32"/>
          <w:szCs w:val="32"/>
        </w:rPr>
        <w:t>项目名称：</w:t>
      </w:r>
      <w:r>
        <w:rPr>
          <w:rFonts w:hint="eastAsia" w:ascii="宋体" w:hAnsi="宋体"/>
          <w:b/>
          <w:sz w:val="32"/>
          <w:szCs w:val="32"/>
          <w:lang w:eastAsia="zh-CN"/>
        </w:rPr>
        <w:t>安产集团砂石行业信息化平台建设项目</w:t>
      </w:r>
    </w:p>
    <w:p>
      <w:pPr>
        <w:spacing w:line="360" w:lineRule="auto"/>
        <w:rPr>
          <w:rFonts w:ascii="宋体" w:hAnsi="宋体"/>
          <w:b/>
          <w:sz w:val="32"/>
          <w:szCs w:val="32"/>
        </w:rPr>
      </w:pPr>
      <w:r>
        <w:rPr>
          <w:rFonts w:hint="eastAsia" w:ascii="宋体" w:hAnsi="宋体"/>
          <w:b/>
          <w:sz w:val="32"/>
          <w:szCs w:val="32"/>
        </w:rPr>
        <w:t>项目编号：</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b/>
          <w:kern w:val="0"/>
          <w:sz w:val="30"/>
          <w:szCs w:val="30"/>
        </w:rPr>
      </w:pPr>
    </w:p>
    <w:p>
      <w:pPr>
        <w:jc w:val="center"/>
      </w:pPr>
    </w:p>
    <w:p/>
    <w:p>
      <w:pPr>
        <w:spacing w:before="120" w:after="120"/>
        <w:ind w:firstLine="1503"/>
        <w:rPr>
          <w:rFonts w:ascii="宋体" w:hAnsi="宋体"/>
          <w:b/>
          <w:kern w:val="0"/>
          <w:sz w:val="30"/>
          <w:szCs w:val="30"/>
        </w:rPr>
      </w:pPr>
    </w:p>
    <w:p>
      <w:pPr>
        <w:spacing w:before="120" w:after="120"/>
        <w:ind w:firstLine="1503"/>
        <w:rPr>
          <w:rFonts w:ascii="仿宋_GB2312" w:hAnsi="仿宋_GB2312" w:eastAsia="仿宋_GB2312" w:cs="仿宋_GB2312"/>
          <w:szCs w:val="28"/>
        </w:rPr>
      </w:pPr>
      <w:r>
        <w:rPr>
          <w:rFonts w:hint="eastAsia" w:ascii="宋体" w:hAnsi="宋体"/>
          <w:b/>
          <w:kern w:val="0"/>
          <w:sz w:val="30"/>
          <w:szCs w:val="30"/>
        </w:rPr>
        <w:t>招 　标 　人：</w:t>
      </w:r>
      <w:r>
        <w:rPr>
          <w:rFonts w:hint="eastAsia" w:ascii="宋体" w:hAnsi="宋体"/>
          <w:b/>
          <w:kern w:val="0"/>
          <w:sz w:val="30"/>
          <w:szCs w:val="30"/>
          <w:u w:val="single"/>
        </w:rPr>
        <w:t xml:space="preserve">重庆安全产业发展集团有限公司 </w:t>
      </w:r>
    </w:p>
    <w:p>
      <w:pPr>
        <w:jc w:val="center"/>
        <w:rPr>
          <w:rFonts w:ascii="宋体" w:hAnsi="宋体"/>
          <w:b/>
          <w:kern w:val="0"/>
          <w:sz w:val="30"/>
          <w:szCs w:val="30"/>
        </w:rPr>
      </w:pPr>
      <w:r>
        <w:rPr>
          <w:rFonts w:hint="eastAsia" w:ascii="宋体" w:hAnsi="宋体"/>
          <w:b/>
          <w:kern w:val="0"/>
          <w:sz w:val="30"/>
          <w:szCs w:val="30"/>
        </w:rPr>
        <w:t>2020年</w:t>
      </w:r>
      <w:r>
        <w:rPr>
          <w:rFonts w:hint="eastAsia" w:ascii="宋体" w:hAnsi="宋体"/>
          <w:b/>
          <w:kern w:val="0"/>
          <w:sz w:val="30"/>
          <w:szCs w:val="30"/>
          <w:lang w:val="en-US" w:eastAsia="zh-CN"/>
        </w:rPr>
        <w:t>9</w:t>
      </w:r>
      <w:r>
        <w:rPr>
          <w:rFonts w:hint="eastAsia" w:ascii="宋体" w:hAnsi="宋体"/>
          <w:b/>
          <w:kern w:val="0"/>
          <w:sz w:val="30"/>
          <w:szCs w:val="30"/>
        </w:rPr>
        <w:t>月</w:t>
      </w:r>
    </w:p>
    <w:p>
      <w:pPr>
        <w:widowControl/>
        <w:jc w:val="left"/>
        <w:rPr>
          <w:rFonts w:ascii="宋体" w:hAnsi="宋体" w:cs="宋体"/>
          <w:sz w:val="44"/>
          <w:szCs w:val="28"/>
        </w:rPr>
      </w:pPr>
      <w:r>
        <w:rPr>
          <w:rFonts w:ascii="宋体" w:hAnsi="宋体" w:cs="宋体"/>
          <w:sz w:val="44"/>
          <w:szCs w:val="28"/>
        </w:rPr>
        <w:br w:type="page"/>
      </w:r>
    </w:p>
    <w:sdt>
      <w:sdtPr>
        <w:rPr>
          <w:rFonts w:ascii="宋体" w:hAnsi="宋体" w:eastAsia="宋体" w:cs="Times New Roman"/>
          <w:color w:val="auto"/>
          <w:kern w:val="2"/>
          <w:sz w:val="24"/>
          <w:szCs w:val="24"/>
          <w:lang w:val="zh-CN"/>
        </w:rPr>
        <w:id w:val="-936448869"/>
        <w:docPartObj>
          <w:docPartGallery w:val="Table of Contents"/>
          <w:docPartUnique/>
        </w:docPartObj>
      </w:sdtPr>
      <w:sdtEndPr>
        <w:rPr>
          <w:rFonts w:ascii="Times New Roman" w:hAnsi="Times New Roman" w:eastAsia="宋体" w:cs="Times New Roman"/>
          <w:b/>
          <w:bCs/>
          <w:color w:val="auto"/>
          <w:kern w:val="2"/>
          <w:sz w:val="28"/>
          <w:szCs w:val="20"/>
          <w:lang w:val="zh-CN"/>
        </w:rPr>
      </w:sdtEndPr>
      <w:sdtContent>
        <w:p>
          <w:pPr>
            <w:pStyle w:val="241"/>
            <w:spacing w:line="440" w:lineRule="exact"/>
            <w:jc w:val="center"/>
            <w:rPr>
              <w:rFonts w:ascii="宋体" w:hAnsi="宋体" w:eastAsia="宋体"/>
              <w:sz w:val="24"/>
              <w:szCs w:val="24"/>
            </w:rPr>
          </w:pPr>
          <w:r>
            <w:rPr>
              <w:rFonts w:ascii="宋体" w:hAnsi="宋体" w:eastAsia="宋体"/>
              <w:sz w:val="24"/>
              <w:szCs w:val="24"/>
              <w:lang w:val="zh-CN"/>
            </w:rPr>
            <w:t>目</w:t>
          </w:r>
          <w:r>
            <w:rPr>
              <w:rFonts w:hint="eastAsia" w:ascii="宋体" w:hAnsi="宋体" w:eastAsia="宋体"/>
              <w:sz w:val="24"/>
              <w:szCs w:val="24"/>
              <w:lang w:val="zh-CN"/>
            </w:rPr>
            <w:t xml:space="preserve"> </w:t>
          </w:r>
          <w:r>
            <w:rPr>
              <w:rFonts w:ascii="宋体" w:hAnsi="宋体" w:eastAsia="宋体"/>
              <w:sz w:val="24"/>
              <w:szCs w:val="24"/>
              <w:lang w:val="zh-CN"/>
            </w:rPr>
            <w:t xml:space="preserve"> 录</w:t>
          </w:r>
        </w:p>
        <w:p>
          <w:pPr>
            <w:pStyle w:val="45"/>
            <w:tabs>
              <w:tab w:val="right" w:leader="dot" w:pos="9402"/>
            </w:tabs>
            <w:spacing w:line="440" w:lineRule="exact"/>
            <w:rPr>
              <w:rFonts w:ascii="宋体" w:hAnsi="宋体" w:cstheme="minorBidi"/>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"_Toc49435914" </w:instrText>
          </w:r>
          <w:r>
            <w:fldChar w:fldCharType="separate"/>
          </w:r>
          <w:r>
            <w:rPr>
              <w:rStyle w:val="64"/>
              <w:rFonts w:ascii="宋体" w:hAnsi="宋体" w:cs="宋体"/>
              <w:sz w:val="24"/>
              <w:szCs w:val="24"/>
            </w:rPr>
            <w:t>第一篇  竞争性比选邀请书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_Toc49435914 \h </w:instrText>
          </w:r>
          <w:r>
            <w:rPr>
              <w:rFonts w:ascii="宋体" w:hAnsi="宋体"/>
              <w:sz w:val="24"/>
              <w:szCs w:val="24"/>
            </w:rPr>
            <w:fldChar w:fldCharType="separate"/>
          </w:r>
          <w:r>
            <w:rPr>
              <w:rFonts w:ascii="宋体" w:hAnsi="宋体"/>
              <w:sz w:val="24"/>
              <w:szCs w:val="24"/>
            </w:rPr>
            <w:t>- 3 -</w:t>
          </w:r>
          <w:r>
            <w:rPr>
              <w:rFonts w:ascii="宋体" w:hAnsi="宋体"/>
              <w:sz w:val="24"/>
              <w:szCs w:val="24"/>
            </w:rPr>
            <w:fldChar w:fldCharType="end"/>
          </w:r>
          <w:r>
            <w:rPr>
              <w:rFonts w:ascii="宋体" w:hAnsi="宋体"/>
              <w:sz w:val="24"/>
              <w:szCs w:val="24"/>
            </w:rPr>
            <w:fldChar w:fldCharType="end"/>
          </w:r>
        </w:p>
        <w:p>
          <w:pPr>
            <w:pStyle w:val="29"/>
            <w:tabs>
              <w:tab w:val="left" w:pos="1680"/>
              <w:tab w:val="right" w:leader="dot" w:pos="9402"/>
            </w:tabs>
            <w:spacing w:line="440" w:lineRule="exact"/>
            <w:rPr>
              <w:rFonts w:ascii="宋体" w:hAnsi="宋体" w:cstheme="minorBidi"/>
              <w:sz w:val="24"/>
              <w:szCs w:val="24"/>
            </w:rPr>
          </w:pPr>
          <w:r>
            <w:fldChar w:fldCharType="begin"/>
          </w:r>
          <w:r>
            <w:instrText xml:space="preserve"> HYPERLINK \l "_Toc49435915" </w:instrText>
          </w:r>
          <w:r>
            <w:fldChar w:fldCharType="separate"/>
          </w:r>
          <w:r>
            <w:rPr>
              <w:rStyle w:val="64"/>
              <w:rFonts w:ascii="宋体" w:hAnsi="宋体" w:cs="宋体"/>
              <w:sz w:val="24"/>
              <w:szCs w:val="24"/>
            </w:rPr>
            <w:t>一、</w:t>
          </w:r>
          <w:r>
            <w:rPr>
              <w:rFonts w:ascii="宋体" w:hAnsi="宋体" w:cstheme="minorBidi"/>
              <w:sz w:val="24"/>
              <w:szCs w:val="24"/>
            </w:rPr>
            <w:tab/>
          </w:r>
          <w:r>
            <w:rPr>
              <w:rStyle w:val="64"/>
              <w:rFonts w:ascii="宋体" w:hAnsi="宋体" w:cs="宋体"/>
              <w:sz w:val="24"/>
              <w:szCs w:val="24"/>
            </w:rPr>
            <w:t>竞争性比选内容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_Toc49435915 \h </w:instrText>
          </w:r>
          <w:r>
            <w:rPr>
              <w:rFonts w:ascii="宋体" w:hAnsi="宋体"/>
              <w:sz w:val="24"/>
              <w:szCs w:val="24"/>
            </w:rPr>
            <w:fldChar w:fldCharType="separate"/>
          </w:r>
          <w:r>
            <w:rPr>
              <w:rFonts w:ascii="宋体" w:hAnsi="宋体"/>
              <w:sz w:val="24"/>
              <w:szCs w:val="24"/>
            </w:rPr>
            <w:t>- 3 -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"_Toc49435916" </w:instrText>
          </w:r>
          <w:r>
            <w:fldChar w:fldCharType="separate"/>
          </w:r>
          <w:r>
            <w:rPr>
              <w:rStyle w:val="64"/>
              <w:rFonts w:ascii="宋体" w:hAnsi="宋体" w:cs="宋体"/>
              <w:sz w:val="24"/>
              <w:szCs w:val="24"/>
            </w:rPr>
            <w:t>二、资金来源：自筹资金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_Toc49435916 \h </w:instrText>
          </w:r>
          <w:r>
            <w:rPr>
              <w:rFonts w:ascii="宋体" w:hAnsi="宋体"/>
              <w:sz w:val="24"/>
              <w:szCs w:val="24"/>
            </w:rPr>
            <w:fldChar w:fldCharType="separate"/>
          </w:r>
          <w:r>
            <w:rPr>
              <w:rFonts w:ascii="宋体" w:hAnsi="宋体"/>
              <w:sz w:val="24"/>
              <w:szCs w:val="24"/>
            </w:rPr>
            <w:t>- 3 -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"_Toc49435917" </w:instrText>
          </w:r>
          <w:r>
            <w:fldChar w:fldCharType="separate"/>
          </w:r>
          <w:r>
            <w:rPr>
              <w:rStyle w:val="64"/>
              <w:rFonts w:ascii="宋体" w:hAnsi="宋体" w:cs="宋体"/>
              <w:sz w:val="24"/>
              <w:szCs w:val="24"/>
            </w:rPr>
            <w:t>三、投标、比选有关说明</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_Toc49435917 \h </w:instrText>
          </w:r>
          <w:r>
            <w:rPr>
              <w:rFonts w:ascii="宋体" w:hAnsi="宋体"/>
              <w:sz w:val="24"/>
              <w:szCs w:val="24"/>
            </w:rPr>
            <w:fldChar w:fldCharType="separate"/>
          </w:r>
          <w:r>
            <w:rPr>
              <w:rFonts w:ascii="宋体" w:hAnsi="宋体"/>
              <w:sz w:val="24"/>
              <w:szCs w:val="24"/>
            </w:rPr>
            <w:t>- 3 -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"_Toc49435918" </w:instrText>
          </w:r>
          <w:r>
            <w:fldChar w:fldCharType="separate"/>
          </w:r>
          <w:r>
            <w:rPr>
              <w:rStyle w:val="64"/>
              <w:rFonts w:ascii="宋体" w:hAnsi="宋体" w:cs="宋体"/>
              <w:sz w:val="24"/>
              <w:szCs w:val="24"/>
            </w:rPr>
            <w:t>四、投标有关规定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_Toc49435918 \h </w:instrText>
          </w:r>
          <w:r>
            <w:rPr>
              <w:rFonts w:ascii="宋体" w:hAnsi="宋体"/>
              <w:sz w:val="24"/>
              <w:szCs w:val="24"/>
            </w:rPr>
            <w:fldChar w:fldCharType="separate"/>
          </w:r>
          <w:r>
            <w:rPr>
              <w:rFonts w:ascii="宋体" w:hAnsi="宋体"/>
              <w:sz w:val="24"/>
              <w:szCs w:val="24"/>
            </w:rPr>
            <w:t>- 3 -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"_Toc49435919" </w:instrText>
          </w:r>
          <w:r>
            <w:fldChar w:fldCharType="separate"/>
          </w:r>
          <w:r>
            <w:rPr>
              <w:rStyle w:val="64"/>
              <w:rFonts w:ascii="宋体" w:hAnsi="宋体" w:cs="宋体"/>
              <w:sz w:val="24"/>
              <w:szCs w:val="24"/>
            </w:rPr>
            <w:t>五、联系方式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_Toc49435919 \h </w:instrText>
          </w:r>
          <w:r>
            <w:rPr>
              <w:rFonts w:ascii="宋体" w:hAnsi="宋体"/>
              <w:sz w:val="24"/>
              <w:szCs w:val="24"/>
            </w:rPr>
            <w:fldChar w:fldCharType="separate"/>
          </w:r>
          <w:r>
            <w:rPr>
              <w:rFonts w:ascii="宋体" w:hAnsi="宋体"/>
              <w:sz w:val="24"/>
              <w:szCs w:val="24"/>
            </w:rPr>
            <w:t>- 4 -</w:t>
          </w:r>
          <w:r>
            <w:rPr>
              <w:rFonts w:ascii="宋体" w:hAnsi="宋体"/>
              <w:sz w:val="24"/>
              <w:szCs w:val="24"/>
            </w:rPr>
            <w:fldChar w:fldCharType="end"/>
          </w:r>
          <w:r>
            <w:rPr>
              <w:rFonts w:ascii="宋体" w:hAnsi="宋体"/>
              <w:sz w:val="24"/>
              <w:szCs w:val="24"/>
            </w:rPr>
            <w:fldChar w:fldCharType="end"/>
          </w:r>
        </w:p>
        <w:p>
          <w:pPr>
            <w:pStyle w:val="45"/>
            <w:tabs>
              <w:tab w:val="right" w:leader="dot" w:pos="9402"/>
            </w:tabs>
            <w:spacing w:line="440" w:lineRule="exact"/>
            <w:rPr>
              <w:rFonts w:ascii="宋体" w:hAnsi="宋体" w:cstheme="minorBidi"/>
              <w:sz w:val="24"/>
              <w:szCs w:val="24"/>
            </w:rPr>
          </w:pPr>
          <w:r>
            <w:fldChar w:fldCharType="begin"/>
          </w:r>
          <w:r>
            <w:instrText xml:space="preserve"> HYPERLINK \l "_Toc49435920" </w:instrText>
          </w:r>
          <w:r>
            <w:fldChar w:fldCharType="separate"/>
          </w:r>
          <w:r>
            <w:rPr>
              <w:rStyle w:val="64"/>
              <w:rFonts w:ascii="宋体" w:hAnsi="宋体" w:cs="宋体"/>
              <w:sz w:val="24"/>
              <w:szCs w:val="24"/>
            </w:rPr>
            <w:t>第二篇  投标人须知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_Toc49435920 \h </w:instrText>
          </w:r>
          <w:r>
            <w:rPr>
              <w:rFonts w:ascii="宋体" w:hAnsi="宋体"/>
              <w:sz w:val="24"/>
              <w:szCs w:val="24"/>
            </w:rPr>
            <w:fldChar w:fldCharType="separate"/>
          </w:r>
          <w:r>
            <w:rPr>
              <w:rFonts w:ascii="宋体" w:hAnsi="宋体"/>
              <w:sz w:val="24"/>
              <w:szCs w:val="24"/>
            </w:rPr>
            <w:t>- 5 -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"_Toc49435921" </w:instrText>
          </w:r>
          <w:r>
            <w:fldChar w:fldCharType="separate"/>
          </w:r>
          <w:r>
            <w:rPr>
              <w:rStyle w:val="64"/>
              <w:rFonts w:ascii="宋体" w:hAnsi="宋体" w:cs="宋体"/>
              <w:sz w:val="24"/>
              <w:szCs w:val="24"/>
            </w:rPr>
            <w:t>一、投标费用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_Toc49435921 \h </w:instrText>
          </w:r>
          <w:r>
            <w:rPr>
              <w:rFonts w:ascii="宋体" w:hAnsi="宋体"/>
              <w:sz w:val="24"/>
              <w:szCs w:val="24"/>
            </w:rPr>
            <w:fldChar w:fldCharType="separate"/>
          </w:r>
          <w:r>
            <w:rPr>
              <w:rFonts w:ascii="宋体" w:hAnsi="宋体"/>
              <w:sz w:val="24"/>
              <w:szCs w:val="24"/>
            </w:rPr>
            <w:t>- 5 -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"_Toc49435922" </w:instrText>
          </w:r>
          <w:r>
            <w:fldChar w:fldCharType="separate"/>
          </w:r>
          <w:r>
            <w:rPr>
              <w:rStyle w:val="64"/>
              <w:rFonts w:ascii="宋体" w:hAnsi="宋体" w:cs="宋体"/>
              <w:sz w:val="24"/>
              <w:szCs w:val="24"/>
            </w:rPr>
            <w:t>二、投标资质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_Toc49435922 \h </w:instrText>
          </w:r>
          <w:r>
            <w:rPr>
              <w:rFonts w:ascii="宋体" w:hAnsi="宋体"/>
              <w:sz w:val="24"/>
              <w:szCs w:val="24"/>
            </w:rPr>
            <w:fldChar w:fldCharType="separate"/>
          </w:r>
          <w:r>
            <w:rPr>
              <w:rFonts w:ascii="宋体" w:hAnsi="宋体"/>
              <w:sz w:val="24"/>
              <w:szCs w:val="24"/>
            </w:rPr>
            <w:t>- 5 -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"_Toc49435923" </w:instrText>
          </w:r>
          <w:r>
            <w:fldChar w:fldCharType="separate"/>
          </w:r>
          <w:r>
            <w:rPr>
              <w:rStyle w:val="64"/>
              <w:rFonts w:ascii="宋体" w:hAnsi="宋体" w:cs="宋体"/>
              <w:sz w:val="24"/>
              <w:szCs w:val="24"/>
            </w:rPr>
            <w:t>三、竞争性比选文件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_Toc49435923 \h </w:instrText>
          </w:r>
          <w:r>
            <w:rPr>
              <w:rFonts w:ascii="宋体" w:hAnsi="宋体"/>
              <w:sz w:val="24"/>
              <w:szCs w:val="24"/>
            </w:rPr>
            <w:fldChar w:fldCharType="separate"/>
          </w:r>
          <w:r>
            <w:rPr>
              <w:rFonts w:ascii="宋体" w:hAnsi="宋体"/>
              <w:sz w:val="24"/>
              <w:szCs w:val="24"/>
            </w:rPr>
            <w:t>- 5 -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"_Toc49435924" </w:instrText>
          </w:r>
          <w:r>
            <w:fldChar w:fldCharType="separate"/>
          </w:r>
          <w:r>
            <w:rPr>
              <w:rStyle w:val="64"/>
              <w:rFonts w:ascii="宋体" w:hAnsi="宋体" w:cs="宋体"/>
              <w:sz w:val="24"/>
              <w:szCs w:val="24"/>
            </w:rPr>
            <w:t>四、招标要求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_Toc49435924 \h </w:instrText>
          </w:r>
          <w:r>
            <w:rPr>
              <w:rFonts w:ascii="宋体" w:hAnsi="宋体"/>
              <w:sz w:val="24"/>
              <w:szCs w:val="24"/>
            </w:rPr>
            <w:fldChar w:fldCharType="separate"/>
          </w:r>
          <w:r>
            <w:rPr>
              <w:rFonts w:ascii="宋体" w:hAnsi="宋体"/>
              <w:sz w:val="24"/>
              <w:szCs w:val="24"/>
            </w:rPr>
            <w:t>- 5 -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"_Toc49435925" </w:instrText>
          </w:r>
          <w:r>
            <w:fldChar w:fldCharType="separate"/>
          </w:r>
          <w:r>
            <w:rPr>
              <w:rStyle w:val="64"/>
              <w:rFonts w:ascii="宋体" w:hAnsi="宋体" w:cs="宋体"/>
              <w:sz w:val="24"/>
              <w:szCs w:val="24"/>
            </w:rPr>
            <w:t>五、投标报价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_Toc49435925 \h </w:instrText>
          </w:r>
          <w:r>
            <w:rPr>
              <w:rFonts w:ascii="宋体" w:hAnsi="宋体"/>
              <w:sz w:val="24"/>
              <w:szCs w:val="24"/>
            </w:rPr>
            <w:fldChar w:fldCharType="separate"/>
          </w:r>
          <w:r>
            <w:rPr>
              <w:rFonts w:ascii="宋体" w:hAnsi="宋体"/>
              <w:sz w:val="24"/>
              <w:szCs w:val="24"/>
            </w:rPr>
            <w:t>- 6 -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"_Toc49435926" </w:instrText>
          </w:r>
          <w:r>
            <w:fldChar w:fldCharType="separate"/>
          </w:r>
          <w:r>
            <w:rPr>
              <w:rStyle w:val="64"/>
              <w:rFonts w:ascii="宋体" w:hAnsi="宋体" w:cs="宋体"/>
              <w:sz w:val="24"/>
              <w:szCs w:val="24"/>
            </w:rPr>
            <w:t>六、开标程序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_Toc49435926 \h </w:instrText>
          </w:r>
          <w:r>
            <w:rPr>
              <w:rFonts w:ascii="宋体" w:hAnsi="宋体"/>
              <w:sz w:val="24"/>
              <w:szCs w:val="24"/>
            </w:rPr>
            <w:fldChar w:fldCharType="separate"/>
          </w:r>
          <w:r>
            <w:rPr>
              <w:rFonts w:ascii="宋体" w:hAnsi="宋体"/>
              <w:sz w:val="24"/>
              <w:szCs w:val="24"/>
            </w:rPr>
            <w:t>- 7 -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"_Toc49435927" </w:instrText>
          </w:r>
          <w:r>
            <w:fldChar w:fldCharType="separate"/>
          </w:r>
          <w:r>
            <w:rPr>
              <w:rStyle w:val="64"/>
              <w:rFonts w:ascii="宋体" w:hAnsi="宋体" w:cs="宋体"/>
              <w:sz w:val="24"/>
              <w:szCs w:val="24"/>
            </w:rPr>
            <w:t>七、评标办法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_Toc49435927 \h </w:instrText>
          </w:r>
          <w:r>
            <w:rPr>
              <w:rFonts w:ascii="宋体" w:hAnsi="宋体"/>
              <w:sz w:val="24"/>
              <w:szCs w:val="24"/>
            </w:rPr>
            <w:fldChar w:fldCharType="separate"/>
          </w:r>
          <w:r>
            <w:rPr>
              <w:rFonts w:ascii="宋体" w:hAnsi="宋体"/>
              <w:sz w:val="24"/>
              <w:szCs w:val="24"/>
            </w:rPr>
            <w:t>- 8 -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"_Toc49435928" </w:instrText>
          </w:r>
          <w:r>
            <w:fldChar w:fldCharType="separate"/>
          </w:r>
          <w:r>
            <w:rPr>
              <w:rStyle w:val="64"/>
              <w:rFonts w:ascii="宋体" w:hAnsi="宋体" w:cs="宋体"/>
              <w:sz w:val="24"/>
              <w:szCs w:val="24"/>
            </w:rPr>
            <w:t>八、投标文件组成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_Toc49435928 \h </w:instrText>
          </w:r>
          <w:r>
            <w:rPr>
              <w:rFonts w:ascii="宋体" w:hAnsi="宋体"/>
              <w:sz w:val="24"/>
              <w:szCs w:val="24"/>
            </w:rPr>
            <w:fldChar w:fldCharType="separate"/>
          </w:r>
          <w:r>
            <w:rPr>
              <w:rFonts w:ascii="宋体" w:hAnsi="宋体"/>
              <w:sz w:val="24"/>
              <w:szCs w:val="24"/>
            </w:rPr>
            <w:t>- 10 -</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"_Toc49435929" </w:instrText>
          </w:r>
          <w:r>
            <w:fldChar w:fldCharType="separate"/>
          </w:r>
          <w:r>
            <w:rPr>
              <w:rStyle w:val="64"/>
              <w:rFonts w:ascii="宋体" w:hAnsi="宋体" w:cs="宋体"/>
              <w:sz w:val="24"/>
              <w:szCs w:val="24"/>
            </w:rPr>
            <w:t>九、签订合同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_Toc49435929 \h </w:instrText>
          </w:r>
          <w:r>
            <w:rPr>
              <w:rFonts w:ascii="宋体" w:hAnsi="宋体"/>
              <w:sz w:val="24"/>
              <w:szCs w:val="24"/>
            </w:rPr>
            <w:fldChar w:fldCharType="separate"/>
          </w:r>
          <w:r>
            <w:rPr>
              <w:rFonts w:ascii="宋体" w:hAnsi="宋体"/>
              <w:sz w:val="24"/>
              <w:szCs w:val="24"/>
            </w:rPr>
            <w:t>- 10 -</w:t>
          </w:r>
          <w:r>
            <w:rPr>
              <w:rFonts w:ascii="宋体" w:hAnsi="宋体"/>
              <w:sz w:val="24"/>
              <w:szCs w:val="24"/>
            </w:rPr>
            <w:fldChar w:fldCharType="end"/>
          </w:r>
          <w:r>
            <w:rPr>
              <w:rFonts w:ascii="宋体" w:hAnsi="宋体"/>
              <w:sz w:val="24"/>
              <w:szCs w:val="24"/>
            </w:rPr>
            <w:fldChar w:fldCharType="end"/>
          </w:r>
        </w:p>
        <w:p>
          <w:pPr>
            <w:pStyle w:val="45"/>
            <w:tabs>
              <w:tab w:val="right" w:leader="dot" w:pos="9402"/>
            </w:tabs>
            <w:spacing w:line="440" w:lineRule="exact"/>
            <w:rPr>
              <w:rFonts w:ascii="宋体" w:hAnsi="宋体" w:cstheme="minorBidi"/>
              <w:sz w:val="24"/>
              <w:szCs w:val="24"/>
            </w:rPr>
          </w:pPr>
          <w:r>
            <w:fldChar w:fldCharType="begin"/>
          </w:r>
          <w:r>
            <w:instrText xml:space="preserve"> HYPERLINK \l "_Toc49435930" </w:instrText>
          </w:r>
          <w:r>
            <w:fldChar w:fldCharType="separate"/>
          </w:r>
          <w:r>
            <w:rPr>
              <w:rStyle w:val="64"/>
              <w:rFonts w:ascii="宋体" w:hAnsi="宋体" w:cs="宋体"/>
              <w:sz w:val="24"/>
              <w:szCs w:val="24"/>
            </w:rPr>
            <w:t>第三篇  比选项目服务要求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_Toc49435930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"_Toc49435931" </w:instrText>
          </w:r>
          <w:r>
            <w:fldChar w:fldCharType="separate"/>
          </w:r>
          <w:r>
            <w:rPr>
              <w:rStyle w:val="64"/>
              <w:rFonts w:ascii="宋体" w:hAnsi="宋体"/>
              <w:sz w:val="24"/>
              <w:szCs w:val="24"/>
            </w:rPr>
            <w:t>一、工期、项目地点及验收方式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"_Toc49435932" </w:instrText>
          </w:r>
          <w:r>
            <w:fldChar w:fldCharType="separate"/>
          </w:r>
          <w:r>
            <w:rPr>
              <w:rStyle w:val="64"/>
              <w:rFonts w:ascii="宋体" w:hAnsi="宋体"/>
              <w:sz w:val="24"/>
              <w:szCs w:val="24"/>
            </w:rPr>
            <w:t>二、项目基本概况介绍</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_Toc49435932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"_Toc49435933" </w:instrText>
          </w:r>
          <w:r>
            <w:fldChar w:fldCharType="separate"/>
          </w:r>
          <w:r>
            <w:rPr>
              <w:rStyle w:val="64"/>
              <w:rFonts w:ascii="宋体" w:hAnsi="宋体"/>
              <w:sz w:val="24"/>
              <w:szCs w:val="24"/>
            </w:rPr>
            <w:t>三、平台功能及质量要求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"_Toc49435934" </w:instrText>
          </w:r>
          <w:r>
            <w:fldChar w:fldCharType="separate"/>
          </w:r>
          <w:r>
            <w:rPr>
              <w:rStyle w:val="64"/>
              <w:rFonts w:ascii="宋体" w:hAnsi="宋体"/>
              <w:sz w:val="24"/>
              <w:szCs w:val="24"/>
            </w:rPr>
            <w:t>四、平台硬件需求清单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_Toc49435934 \h </w:instrText>
          </w:r>
          <w:r>
            <w:rPr>
              <w:rFonts w:ascii="宋体" w:hAnsi="宋体"/>
              <w:sz w:val="24"/>
              <w:szCs w:val="24"/>
            </w:rPr>
            <w:fldChar w:fldCharType="separate"/>
          </w:r>
          <w:r>
            <w:rPr>
              <w:rFonts w:ascii="宋体" w:hAnsi="宋体"/>
              <w:sz w:val="24"/>
              <w:szCs w:val="24"/>
            </w:rPr>
            <w:t>26</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"_Toc49435935" </w:instrText>
          </w:r>
          <w:r>
            <w:fldChar w:fldCharType="separate"/>
          </w:r>
          <w:r>
            <w:rPr>
              <w:rStyle w:val="64"/>
              <w:rFonts w:ascii="宋体" w:hAnsi="宋体"/>
              <w:sz w:val="24"/>
              <w:szCs w:val="24"/>
            </w:rPr>
            <w:t>五、报价要求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_Toc49435935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"_Toc49435936" </w:instrText>
          </w:r>
          <w:r>
            <w:fldChar w:fldCharType="separate"/>
          </w:r>
          <w:r>
            <w:rPr>
              <w:rStyle w:val="64"/>
              <w:rFonts w:ascii="宋体" w:hAnsi="宋体"/>
              <w:sz w:val="24"/>
              <w:szCs w:val="24"/>
            </w:rPr>
            <w:t>三、结算原则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_Toc49435936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"_Toc49435937" </w:instrText>
          </w:r>
          <w:r>
            <w:fldChar w:fldCharType="separate"/>
          </w:r>
          <w:r>
            <w:rPr>
              <w:rStyle w:val="64"/>
              <w:rFonts w:ascii="宋体" w:hAnsi="宋体"/>
              <w:sz w:val="24"/>
              <w:szCs w:val="24"/>
            </w:rPr>
            <w:t>四、工程质量保修期</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_Toc49435937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pPr>
            <w:pStyle w:val="45"/>
            <w:tabs>
              <w:tab w:val="right" w:leader="dot" w:pos="9402"/>
            </w:tabs>
            <w:spacing w:line="440" w:lineRule="exact"/>
            <w:rPr>
              <w:rFonts w:ascii="宋体" w:hAnsi="宋体" w:cstheme="minorBidi"/>
              <w:sz w:val="24"/>
              <w:szCs w:val="24"/>
            </w:rPr>
          </w:pPr>
          <w:r>
            <w:fldChar w:fldCharType="begin"/>
          </w:r>
          <w:r>
            <w:instrText xml:space="preserve"> HYPERLINK \l "_Toc49435938" </w:instrText>
          </w:r>
          <w:r>
            <w:fldChar w:fldCharType="separate"/>
          </w:r>
          <w:r>
            <w:rPr>
              <w:rStyle w:val="64"/>
              <w:rFonts w:ascii="宋体" w:hAnsi="宋体" w:cs="宋体"/>
              <w:sz w:val="24"/>
              <w:szCs w:val="24"/>
            </w:rPr>
            <w:t>第四篇  合同主要条款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_Toc49435938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45"/>
            <w:tabs>
              <w:tab w:val="right" w:leader="dot" w:pos="9402"/>
            </w:tabs>
            <w:spacing w:line="440" w:lineRule="exact"/>
            <w:rPr>
              <w:rFonts w:ascii="宋体" w:hAnsi="宋体" w:cstheme="minorBidi"/>
              <w:sz w:val="24"/>
              <w:szCs w:val="24"/>
            </w:rPr>
          </w:pPr>
          <w:r>
            <w:fldChar w:fldCharType="begin"/>
          </w:r>
          <w:r>
            <w:instrText xml:space="preserve"> HYPERLINK \l "_Toc49435939" </w:instrText>
          </w:r>
          <w:r>
            <w:fldChar w:fldCharType="separate"/>
          </w:r>
          <w:r>
            <w:rPr>
              <w:rStyle w:val="64"/>
              <w:rFonts w:ascii="宋体" w:hAnsi="宋体"/>
              <w:sz w:val="24"/>
              <w:szCs w:val="24"/>
            </w:rPr>
            <w:t>第五篇  投标文件格式要求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_Toc49435939 \h </w:instrText>
          </w:r>
          <w:r>
            <w:rPr>
              <w:rFonts w:ascii="宋体" w:hAnsi="宋体"/>
              <w:sz w:val="24"/>
              <w:szCs w:val="24"/>
            </w:rPr>
            <w:fldChar w:fldCharType="separate"/>
          </w:r>
          <w:r>
            <w:rPr>
              <w:rFonts w:ascii="宋体" w:hAnsi="宋体"/>
              <w:sz w:val="24"/>
              <w:szCs w:val="24"/>
            </w:rPr>
            <w:t>34</w:t>
          </w:r>
          <w:r>
            <w:rPr>
              <w:rFonts w:ascii="宋体" w:hAnsi="宋体"/>
              <w:sz w:val="24"/>
              <w:szCs w:val="24"/>
            </w:rPr>
            <w:fldChar w:fldCharType="end"/>
          </w:r>
          <w:r>
            <w:rPr>
              <w:rFonts w:ascii="宋体" w:hAnsi="宋体"/>
              <w:sz w:val="24"/>
              <w:szCs w:val="24"/>
            </w:rPr>
            <w:fldChar w:fldCharType="end"/>
          </w:r>
        </w:p>
        <w:p>
          <w:pPr>
            <w:pStyle w:val="29"/>
            <w:tabs>
              <w:tab w:val="left" w:pos="1680"/>
              <w:tab w:val="right" w:leader="dot" w:pos="9402"/>
            </w:tabs>
            <w:spacing w:line="440" w:lineRule="exact"/>
            <w:rPr>
              <w:rFonts w:ascii="宋体" w:hAnsi="宋体" w:cstheme="minorBidi"/>
              <w:sz w:val="24"/>
              <w:szCs w:val="24"/>
            </w:rPr>
          </w:pPr>
          <w:r>
            <w:fldChar w:fldCharType="begin"/>
          </w:r>
          <w:r>
            <w:instrText xml:space="preserve"> HYPERLINK \l "_Toc49435940" </w:instrText>
          </w:r>
          <w:r>
            <w:fldChar w:fldCharType="separate"/>
          </w:r>
          <w:r>
            <w:rPr>
              <w:rStyle w:val="64"/>
              <w:rFonts w:ascii="宋体" w:hAnsi="宋体" w:cs="宋体"/>
              <w:sz w:val="24"/>
              <w:szCs w:val="24"/>
            </w:rPr>
            <w:t>一、</w:t>
          </w:r>
          <w:r>
            <w:rPr>
              <w:rFonts w:ascii="宋体" w:hAnsi="宋体" w:cstheme="minorBidi"/>
              <w:sz w:val="24"/>
              <w:szCs w:val="24"/>
            </w:rPr>
            <w:tab/>
          </w:r>
          <w:r>
            <w:rPr>
              <w:rStyle w:val="64"/>
              <w:rFonts w:ascii="宋体" w:hAnsi="宋体" w:cs="宋体"/>
              <w:sz w:val="24"/>
              <w:szCs w:val="24"/>
            </w:rPr>
            <w:t>投标函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_Toc49435940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"_Toc49435941" </w:instrText>
          </w:r>
          <w:r>
            <w:fldChar w:fldCharType="separate"/>
          </w:r>
          <w:r>
            <w:rPr>
              <w:rStyle w:val="64"/>
              <w:rFonts w:ascii="宋体" w:hAnsi="宋体" w:cs="宋体"/>
              <w:sz w:val="24"/>
              <w:szCs w:val="24"/>
            </w:rPr>
            <w:t>二、投标函附录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_Toc49435941 \h </w:instrText>
          </w:r>
          <w:r>
            <w:rPr>
              <w:rFonts w:ascii="宋体" w:hAnsi="宋体"/>
              <w:sz w:val="24"/>
              <w:szCs w:val="24"/>
            </w:rPr>
            <w:fldChar w:fldCharType="separate"/>
          </w:r>
          <w:r>
            <w:rPr>
              <w:rFonts w:ascii="宋体" w:hAnsi="宋体"/>
              <w:sz w:val="24"/>
              <w:szCs w:val="24"/>
            </w:rPr>
            <w:t>38</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"_Toc49435942" </w:instrText>
          </w:r>
          <w:r>
            <w:fldChar w:fldCharType="separate"/>
          </w:r>
          <w:r>
            <w:rPr>
              <w:rStyle w:val="64"/>
              <w:rFonts w:ascii="宋体" w:hAnsi="宋体" w:cs="宋体"/>
              <w:sz w:val="24"/>
              <w:szCs w:val="24"/>
            </w:rPr>
            <w:t>三、法定代表人身份证明</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_Toc49435942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"_Toc49435943" </w:instrText>
          </w:r>
          <w:r>
            <w:fldChar w:fldCharType="separate"/>
          </w:r>
          <w:r>
            <w:rPr>
              <w:rStyle w:val="64"/>
              <w:rFonts w:ascii="宋体" w:hAnsi="宋体" w:cs="宋体"/>
              <w:sz w:val="24"/>
              <w:szCs w:val="24"/>
            </w:rPr>
            <w:t>四、投标报价清单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_Toc49435943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pPr>
            <w:pStyle w:val="29"/>
            <w:tabs>
              <w:tab w:val="right" w:leader="dot" w:pos="9402"/>
            </w:tabs>
            <w:spacing w:line="440" w:lineRule="exact"/>
            <w:rPr>
              <w:rFonts w:ascii="宋体" w:hAnsi="宋体" w:cstheme="minorBidi"/>
              <w:sz w:val="24"/>
              <w:szCs w:val="24"/>
            </w:rPr>
          </w:pPr>
          <w:r>
            <w:fldChar w:fldCharType="begin"/>
          </w:r>
          <w:r>
            <w:instrText xml:space="preserve"> HYPERLINK \l "_Toc49435944" </w:instrText>
          </w:r>
          <w:r>
            <w:fldChar w:fldCharType="separate"/>
          </w:r>
          <w:r>
            <w:rPr>
              <w:rStyle w:val="64"/>
              <w:rFonts w:ascii="宋体" w:hAnsi="宋体" w:cs="宋体"/>
              <w:sz w:val="24"/>
              <w:szCs w:val="24"/>
            </w:rPr>
            <w:t>五、资格审查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_Toc49435944 \h </w:instrText>
          </w:r>
          <w:r>
            <w:rPr>
              <w:rFonts w:ascii="宋体" w:hAnsi="宋体"/>
              <w:sz w:val="24"/>
              <w:szCs w:val="24"/>
            </w:rPr>
            <w:fldChar w:fldCharType="separate"/>
          </w:r>
          <w:r>
            <w:rPr>
              <w:rFonts w:ascii="宋体" w:hAnsi="宋体"/>
              <w:sz w:val="24"/>
              <w:szCs w:val="24"/>
            </w:rPr>
            <w:t>42</w:t>
          </w:r>
          <w:r>
            <w:rPr>
              <w:rFonts w:ascii="宋体" w:hAnsi="宋体"/>
              <w:sz w:val="24"/>
              <w:szCs w:val="24"/>
            </w:rPr>
            <w:fldChar w:fldCharType="end"/>
          </w:r>
          <w:r>
            <w:rPr>
              <w:rFonts w:ascii="宋体" w:hAnsi="宋体"/>
              <w:sz w:val="24"/>
              <w:szCs w:val="24"/>
            </w:rPr>
            <w:fldChar w:fldCharType="end"/>
          </w:r>
        </w:p>
        <w:p>
          <w:pPr>
            <w:spacing w:line="440" w:lineRule="exact"/>
          </w:pPr>
          <w:r>
            <w:rPr>
              <w:rFonts w:ascii="宋体" w:hAnsi="宋体"/>
              <w:b/>
              <w:bCs/>
              <w:sz w:val="24"/>
              <w:szCs w:val="24"/>
              <w:lang w:val="zh-CN"/>
            </w:rPr>
            <w:fldChar w:fldCharType="end"/>
          </w:r>
        </w:p>
      </w:sdtContent>
    </w:sdt>
    <w:p>
      <w:pPr>
        <w:pStyle w:val="45"/>
        <w:tabs>
          <w:tab w:val="right" w:leader="dot" w:pos="9402"/>
        </w:tabs>
        <w:spacing w:line="480" w:lineRule="exact"/>
        <w:ind w:left="560"/>
        <w:rPr>
          <w:rFonts w:ascii="宋体" w:hAnsi="宋体" w:cs="宋体"/>
          <w:sz w:val="18"/>
          <w:szCs w:val="22"/>
        </w:rPr>
        <w:sectPr>
          <w:pgSz w:w="11907" w:h="16840"/>
          <w:pgMar w:top="1134" w:right="1191" w:bottom="1134" w:left="1304" w:header="851" w:footer="992" w:gutter="0"/>
          <w:pgNumType w:start="1"/>
          <w:cols w:space="720" w:num="1"/>
          <w:docGrid w:linePitch="380" w:charSpace="-5735"/>
        </w:sectPr>
      </w:pPr>
    </w:p>
    <w:p>
      <w:pPr>
        <w:pStyle w:val="4"/>
        <w:spacing w:line="360" w:lineRule="auto"/>
        <w:jc w:val="center"/>
        <w:rPr>
          <w:rFonts w:ascii="宋体" w:hAnsi="宋体" w:eastAsia="宋体" w:cs="宋体"/>
          <w:b w:val="0"/>
          <w:szCs w:val="32"/>
        </w:rPr>
      </w:pPr>
      <w:bookmarkStart w:id="0" w:name="_Toc11641050"/>
      <w:bookmarkStart w:id="1" w:name="_Toc12789052"/>
      <w:bookmarkStart w:id="2" w:name="_Toc517784626"/>
      <w:bookmarkStart w:id="3" w:name="_Toc49435914"/>
      <w:r>
        <w:rPr>
          <w:rFonts w:hint="eastAsia" w:ascii="宋体" w:hAnsi="宋体" w:eastAsia="宋体" w:cs="宋体"/>
          <w:b w:val="0"/>
          <w:szCs w:val="32"/>
        </w:rPr>
        <w:t>第一篇  竞争性比选</w:t>
      </w:r>
      <w:bookmarkEnd w:id="0"/>
      <w:bookmarkEnd w:id="1"/>
      <w:bookmarkEnd w:id="2"/>
      <w:r>
        <w:rPr>
          <w:rFonts w:hint="eastAsia" w:ascii="宋体" w:hAnsi="宋体" w:eastAsia="宋体" w:cs="宋体"/>
          <w:b w:val="0"/>
          <w:szCs w:val="32"/>
        </w:rPr>
        <w:t>邀请书</w:t>
      </w:r>
      <w:bookmarkEnd w:id="3"/>
    </w:p>
    <w:p>
      <w:pPr>
        <w:tabs>
          <w:tab w:val="left" w:pos="1695"/>
          <w:tab w:val="left" w:pos="3370"/>
          <w:tab w:val="left" w:pos="5555"/>
        </w:tabs>
        <w:autoSpaceDE w:val="0"/>
        <w:autoSpaceDN w:val="0"/>
        <w:adjustRightInd w:val="0"/>
        <w:snapToGrid w:val="0"/>
        <w:spacing w:line="480" w:lineRule="exact"/>
        <w:ind w:firstLine="470"/>
        <w:rPr>
          <w:rFonts w:ascii="宋体" w:hAnsi="宋体"/>
          <w:b/>
          <w:sz w:val="32"/>
          <w:szCs w:val="32"/>
        </w:rPr>
      </w:pPr>
      <w:r>
        <w:rPr>
          <w:rFonts w:hint="eastAsia" w:ascii="宋体" w:hAnsi="宋体" w:cs="宋体"/>
          <w:sz w:val="24"/>
          <w:szCs w:val="24"/>
        </w:rPr>
        <w:t>本招标项目《</w:t>
      </w:r>
      <w:r>
        <w:rPr>
          <w:rFonts w:hint="eastAsia" w:ascii="宋体" w:hAnsi="宋体" w:cs="宋体"/>
          <w:sz w:val="24"/>
          <w:szCs w:val="24"/>
          <w:u w:val="single"/>
          <w:lang w:eastAsia="zh-CN"/>
        </w:rPr>
        <w:t>安产集团</w:t>
      </w:r>
      <w:r>
        <w:rPr>
          <w:rFonts w:hint="eastAsia" w:ascii="宋体" w:hAnsi="宋体" w:cs="宋体"/>
          <w:sz w:val="24"/>
          <w:szCs w:val="24"/>
          <w:u w:val="single"/>
        </w:rPr>
        <w:t>砂石行业信息化平台建设</w:t>
      </w:r>
      <w:r>
        <w:rPr>
          <w:rFonts w:hint="eastAsia" w:ascii="宋体" w:hAnsi="宋体" w:cs="宋体"/>
          <w:sz w:val="24"/>
          <w:szCs w:val="24"/>
          <w:u w:val="single"/>
          <w:lang w:eastAsia="zh-CN"/>
        </w:rPr>
        <w:t>项目</w:t>
      </w:r>
      <w:r>
        <w:rPr>
          <w:rFonts w:hint="eastAsia" w:ascii="宋体" w:hAnsi="宋体" w:cs="宋体"/>
          <w:sz w:val="24"/>
          <w:szCs w:val="24"/>
          <w:u w:val="single"/>
        </w:rPr>
        <w:t>比选方案》经重庆安全产业发展集团有限公司</w:t>
      </w:r>
      <w:r>
        <w:rPr>
          <w:rFonts w:hint="eastAsia" w:ascii="宋体" w:hAnsi="宋体" w:cs="宋体"/>
          <w:sz w:val="24"/>
          <w:szCs w:val="24"/>
          <w:u w:val="single"/>
          <w:lang w:val="en-US" w:eastAsia="zh-CN"/>
        </w:rPr>
        <w:t>16</w:t>
      </w:r>
      <w:r>
        <w:rPr>
          <w:rFonts w:hint="eastAsia" w:ascii="宋体" w:hAnsi="宋体" w:cs="宋体"/>
          <w:sz w:val="24"/>
          <w:szCs w:val="24"/>
          <w:u w:val="single"/>
        </w:rPr>
        <w:t>次总办公会审议通过</w:t>
      </w:r>
      <w:r>
        <w:rPr>
          <w:rFonts w:hint="eastAsia" w:ascii="宋体" w:hAnsi="宋体" w:cs="宋体"/>
          <w:sz w:val="24"/>
          <w:szCs w:val="24"/>
        </w:rPr>
        <w:t>，本工程招标人为：</w:t>
      </w:r>
      <w:bookmarkStart w:id="4" w:name="_Hlk49431685"/>
      <w:r>
        <w:rPr>
          <w:rFonts w:hint="eastAsia" w:ascii="宋体" w:hAnsi="宋体" w:cs="宋体"/>
          <w:sz w:val="24"/>
          <w:szCs w:val="24"/>
          <w:u w:val="single"/>
        </w:rPr>
        <w:t>重庆安全产业发展集团有限公司</w:t>
      </w:r>
      <w:bookmarkEnd w:id="4"/>
      <w:r>
        <w:rPr>
          <w:rFonts w:hint="eastAsia" w:ascii="宋体" w:hAnsi="宋体" w:cs="宋体"/>
          <w:sz w:val="24"/>
          <w:szCs w:val="24"/>
        </w:rPr>
        <w:t>；项目业主为</w:t>
      </w:r>
      <w:r>
        <w:rPr>
          <w:rFonts w:hint="eastAsia" w:ascii="宋体" w:hAnsi="宋体" w:cs="宋体"/>
          <w:sz w:val="24"/>
          <w:szCs w:val="24"/>
          <w:u w:val="single"/>
        </w:rPr>
        <w:t>重庆安全产业发展集团有限公司，</w:t>
      </w:r>
      <w:r>
        <w:rPr>
          <w:rFonts w:hint="eastAsia" w:ascii="宋体" w:hAnsi="宋体" w:cs="宋体"/>
          <w:sz w:val="24"/>
          <w:szCs w:val="24"/>
        </w:rPr>
        <w:t>该项目现已具备招标条件，现采用竞争性比选的方式进行招标，欢迎有资格的投标人参与投标。</w:t>
      </w:r>
    </w:p>
    <w:p>
      <w:pPr>
        <w:pStyle w:val="2"/>
        <w:numPr>
          <w:ilvl w:val="0"/>
          <w:numId w:val="13"/>
        </w:numPr>
        <w:spacing w:before="0" w:after="0" w:line="480" w:lineRule="exact"/>
        <w:rPr>
          <w:rFonts w:ascii="宋体" w:hAnsi="宋体" w:cs="宋体"/>
          <w:sz w:val="24"/>
          <w:szCs w:val="24"/>
        </w:rPr>
      </w:pPr>
      <w:bookmarkStart w:id="5" w:name="_Toc313893526"/>
      <w:bookmarkStart w:id="6" w:name="_Toc49435915"/>
      <w:bookmarkStart w:id="7" w:name="_Toc517784627"/>
      <w:bookmarkStart w:id="8" w:name="_Toc317775175"/>
      <w:r>
        <w:rPr>
          <w:rFonts w:hint="eastAsia" w:ascii="宋体" w:hAnsi="宋体" w:cs="宋体"/>
          <w:sz w:val="24"/>
          <w:szCs w:val="24"/>
        </w:rPr>
        <w:t>竞争性比选内容</w:t>
      </w:r>
      <w:bookmarkEnd w:id="5"/>
      <w:bookmarkEnd w:id="6"/>
      <w:bookmarkEnd w:id="7"/>
      <w:bookmarkEnd w:id="8"/>
    </w:p>
    <w:tbl>
      <w:tblPr>
        <w:tblStyle w:val="57"/>
        <w:tblpPr w:leftFromText="180" w:rightFromText="180" w:vertAnchor="text" w:horzAnchor="page" w:tblpX="1350" w:tblpY="7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4"/>
        <w:gridCol w:w="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951" w:type="pct"/>
            <w:tcBorders>
              <w:top w:val="single" w:color="auto" w:sz="4" w:space="0"/>
              <w:left w:val="single" w:color="auto" w:sz="4" w:space="0"/>
              <w:right w:val="single" w:color="auto" w:sz="4" w:space="0"/>
            </w:tcBorders>
            <w:vAlign w:val="center"/>
          </w:tcPr>
          <w:p>
            <w:pPr>
              <w:widowControl/>
              <w:spacing w:line="48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2048" w:type="pc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highlight w:val="yellow"/>
              </w:rPr>
            </w:pPr>
            <w:r>
              <w:rPr>
                <w:rFonts w:hint="eastAsia" w:ascii="宋体" w:hAnsi="宋体" w:cs="宋体"/>
                <w:b/>
                <w:bCs/>
                <w:kern w:val="0"/>
                <w:sz w:val="24"/>
                <w:szCs w:val="24"/>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951"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bookmarkStart w:id="9" w:name="_Hlk49431899"/>
            <w:bookmarkStart w:id="10" w:name="_Hlk344477914"/>
            <w:r>
              <w:rPr>
                <w:rFonts w:hint="eastAsia" w:ascii="宋体" w:hAnsi="宋体" w:cs="宋体"/>
                <w:sz w:val="24"/>
                <w:szCs w:val="24"/>
                <w:u w:val="single"/>
                <w:lang w:eastAsia="zh-CN"/>
              </w:rPr>
              <w:t>安产集团</w:t>
            </w:r>
            <w:r>
              <w:rPr>
                <w:rFonts w:hint="eastAsia" w:ascii="宋体" w:hAnsi="宋体" w:cs="宋体"/>
                <w:sz w:val="24"/>
                <w:szCs w:val="24"/>
                <w:u w:val="single"/>
              </w:rPr>
              <w:t>砂石行业信息化平台</w:t>
            </w:r>
            <w:bookmarkEnd w:id="9"/>
            <w:r>
              <w:rPr>
                <w:rFonts w:hint="eastAsia" w:ascii="宋体" w:hAnsi="宋体" w:cs="宋体"/>
                <w:sz w:val="24"/>
                <w:szCs w:val="24"/>
                <w:u w:val="single"/>
              </w:rPr>
              <w:t>建设</w:t>
            </w:r>
            <w:r>
              <w:rPr>
                <w:rFonts w:hint="eastAsia" w:ascii="宋体" w:hAnsi="宋体" w:cs="宋体"/>
                <w:sz w:val="24"/>
                <w:szCs w:val="24"/>
                <w:u w:val="single"/>
                <w:lang w:eastAsia="zh-CN"/>
              </w:rPr>
              <w:t>项目</w:t>
            </w:r>
          </w:p>
        </w:tc>
        <w:tc>
          <w:tcPr>
            <w:tcW w:w="2048" w:type="pct"/>
            <w:tcBorders>
              <w:top w:val="single" w:color="auto" w:sz="4" w:space="0"/>
              <w:left w:val="single" w:color="auto" w:sz="4" w:space="0"/>
              <w:right w:val="single" w:color="auto" w:sz="4" w:space="0"/>
            </w:tcBorders>
            <w:vAlign w:val="center"/>
          </w:tcPr>
          <w:p>
            <w:pPr>
              <w:widowControl/>
              <w:jc w:val="center"/>
              <w:rPr>
                <w:rFonts w:ascii="宋体" w:hAnsi="宋体" w:cs="宋体"/>
                <w:sz w:val="24"/>
                <w:szCs w:val="24"/>
                <w:u w:val="single"/>
              </w:rPr>
            </w:pPr>
            <w:r>
              <w:rPr>
                <w:rFonts w:hint="eastAsia" w:ascii="宋体" w:hAnsi="宋体" w:cs="宋体"/>
                <w:sz w:val="24"/>
                <w:szCs w:val="24"/>
                <w:u w:val="single"/>
              </w:rPr>
              <w:t>895</w:t>
            </w:r>
            <w:r>
              <w:rPr>
                <w:rFonts w:ascii="宋体" w:hAnsi="宋体" w:cs="宋体"/>
                <w:sz w:val="24"/>
                <w:szCs w:val="24"/>
                <w:u w:val="single"/>
              </w:rPr>
              <w:t>000</w:t>
            </w:r>
            <w:r>
              <w:rPr>
                <w:rFonts w:hint="eastAsia" w:ascii="宋体" w:hAnsi="宋体" w:cs="宋体"/>
                <w:sz w:val="24"/>
                <w:szCs w:val="24"/>
                <w:u w:val="single"/>
              </w:rPr>
              <w:t>元</w:t>
            </w:r>
          </w:p>
        </w:tc>
      </w:tr>
      <w:bookmarkEnd w:id="10"/>
    </w:tbl>
    <w:p>
      <w:pPr>
        <w:spacing w:line="360" w:lineRule="auto"/>
        <w:rPr>
          <w:rFonts w:hint="eastAsia" w:ascii="宋体" w:hAnsi="宋体" w:cs="宋体"/>
          <w:b/>
          <w:sz w:val="24"/>
          <w:szCs w:val="24"/>
        </w:rPr>
      </w:pPr>
      <w:bookmarkStart w:id="11" w:name="_Toc373860293"/>
      <w:bookmarkStart w:id="12" w:name="_Toc317775178"/>
    </w:p>
    <w:p>
      <w:pPr>
        <w:spacing w:line="360" w:lineRule="auto"/>
        <w:rPr>
          <w:rFonts w:ascii="宋体" w:hAnsi="宋体" w:cs="宋体"/>
          <w:sz w:val="24"/>
          <w:szCs w:val="24"/>
        </w:rPr>
      </w:pPr>
      <w:r>
        <w:rPr>
          <w:rFonts w:hint="eastAsia" w:ascii="宋体" w:hAnsi="宋体" w:cs="宋体"/>
          <w:b/>
          <w:sz w:val="24"/>
          <w:szCs w:val="24"/>
        </w:rPr>
        <w:t>招标范围</w:t>
      </w:r>
      <w:r>
        <w:rPr>
          <w:rFonts w:hint="eastAsia" w:ascii="宋体" w:hAnsi="宋体" w:cs="宋体"/>
          <w:sz w:val="24"/>
          <w:szCs w:val="24"/>
        </w:rPr>
        <w:t>：含</w:t>
      </w:r>
      <w:r>
        <w:rPr>
          <w:rFonts w:hint="eastAsia" w:ascii="宋体" w:hAnsi="宋体" w:cs="宋体"/>
          <w:sz w:val="24"/>
          <w:szCs w:val="24"/>
          <w:lang w:eastAsia="zh-CN"/>
        </w:rPr>
        <w:t>安产集团</w:t>
      </w:r>
      <w:r>
        <w:rPr>
          <w:rFonts w:hint="eastAsia" w:ascii="宋体" w:hAnsi="宋体" w:cs="宋体"/>
          <w:sz w:val="24"/>
          <w:szCs w:val="24"/>
        </w:rPr>
        <w:t>砂石行业信息化硬件设备采购及安装调试，以及平台软件开发与部署运行。（详见比选服务要求章节）</w:t>
      </w:r>
    </w:p>
    <w:p>
      <w:pPr>
        <w:pStyle w:val="2"/>
        <w:spacing w:before="0" w:after="0" w:line="480" w:lineRule="exact"/>
        <w:rPr>
          <w:rFonts w:ascii="宋体" w:hAnsi="宋体" w:cs="宋体"/>
          <w:sz w:val="24"/>
          <w:szCs w:val="24"/>
        </w:rPr>
      </w:pPr>
      <w:bookmarkStart w:id="13" w:name="_Toc517784628"/>
      <w:bookmarkStart w:id="14" w:name="_Toc49435916"/>
      <w:r>
        <w:rPr>
          <w:rFonts w:hint="eastAsia" w:ascii="宋体" w:hAnsi="宋体" w:cs="宋体"/>
          <w:sz w:val="24"/>
          <w:szCs w:val="24"/>
        </w:rPr>
        <w:t>二、资金来源：自筹资金</w:t>
      </w:r>
      <w:bookmarkEnd w:id="13"/>
      <w:bookmarkEnd w:id="14"/>
      <w:bookmarkStart w:id="128" w:name="_GoBack"/>
      <w:bookmarkEnd w:id="128"/>
    </w:p>
    <w:p>
      <w:pPr>
        <w:pStyle w:val="2"/>
        <w:spacing w:before="0" w:after="0" w:line="480" w:lineRule="exact"/>
        <w:rPr>
          <w:rFonts w:ascii="宋体" w:hAnsi="宋体" w:cs="宋体"/>
          <w:sz w:val="24"/>
          <w:szCs w:val="24"/>
        </w:rPr>
      </w:pPr>
      <w:bookmarkStart w:id="15" w:name="_Toc517784629"/>
      <w:bookmarkStart w:id="16" w:name="_Toc49435917"/>
      <w:r>
        <w:rPr>
          <w:rFonts w:hint="eastAsia" w:ascii="宋体" w:hAnsi="宋体" w:cs="宋体"/>
          <w:sz w:val="24"/>
          <w:szCs w:val="24"/>
        </w:rPr>
        <w:t>三、投标、比选有关说明</w:t>
      </w:r>
      <w:bookmarkEnd w:id="11"/>
      <w:bookmarkEnd w:id="15"/>
      <w:bookmarkEnd w:id="16"/>
    </w:p>
    <w:p>
      <w:pPr>
        <w:spacing w:line="480" w:lineRule="exact"/>
        <w:ind w:firstLine="360"/>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凡有意</w:t>
      </w:r>
      <w:r>
        <w:rPr>
          <w:rFonts w:hint="eastAsia" w:ascii="宋体" w:hAnsi="宋体" w:cs="宋体"/>
          <w:sz w:val="24"/>
          <w:szCs w:val="24"/>
        </w:rPr>
        <w:t>参加</w:t>
      </w:r>
      <w:r>
        <w:rPr>
          <w:rFonts w:hint="eastAsia" w:ascii="宋体" w:hAnsi="宋体" w:cs="宋体"/>
          <w:sz w:val="24"/>
          <w:szCs w:val="24"/>
          <w:lang w:eastAsia="zh-CN"/>
        </w:rPr>
        <w:t>的</w:t>
      </w:r>
      <w:r>
        <w:rPr>
          <w:rFonts w:hint="eastAsia" w:ascii="宋体" w:hAnsi="宋体" w:cs="宋体"/>
          <w:sz w:val="24"/>
          <w:szCs w:val="24"/>
        </w:rPr>
        <w:t>投标人请在重庆高速公路集团有限公司招投标管理平台（http://43.240.249.108:8088/PMS/）下载获取比选文件。</w:t>
      </w:r>
    </w:p>
    <w:p>
      <w:pPr>
        <w:spacing w:line="480" w:lineRule="exact"/>
        <w:ind w:firstLine="360"/>
        <w:rPr>
          <w:rFonts w:ascii="宋体" w:hAnsi="宋体" w:cs="宋体"/>
          <w:sz w:val="24"/>
          <w:szCs w:val="24"/>
        </w:rPr>
      </w:pPr>
      <w:r>
        <w:rPr>
          <w:rFonts w:hint="eastAsia" w:ascii="宋体" w:hAnsi="宋体" w:cs="宋体"/>
          <w:sz w:val="24"/>
          <w:szCs w:val="24"/>
        </w:rPr>
        <w:t>（二）投标人须满足以下三种要件，其投标文件才被接受：</w:t>
      </w:r>
    </w:p>
    <w:p>
      <w:pPr>
        <w:spacing w:line="480" w:lineRule="exact"/>
        <w:ind w:firstLine="1080"/>
        <w:rPr>
          <w:rFonts w:ascii="宋体" w:hAnsi="宋体" w:cs="宋体"/>
          <w:sz w:val="24"/>
          <w:szCs w:val="24"/>
        </w:rPr>
      </w:pPr>
      <w:r>
        <w:rPr>
          <w:rFonts w:hint="eastAsia" w:ascii="宋体" w:hAnsi="宋体" w:cs="宋体"/>
          <w:sz w:val="24"/>
          <w:szCs w:val="24"/>
        </w:rPr>
        <w:t>1、按时递交了投标文件；</w:t>
      </w:r>
    </w:p>
    <w:p>
      <w:pPr>
        <w:spacing w:line="480" w:lineRule="exact"/>
        <w:ind w:firstLine="1080"/>
        <w:rPr>
          <w:rFonts w:ascii="宋体" w:hAnsi="宋体" w:cs="宋体"/>
          <w:sz w:val="24"/>
          <w:szCs w:val="24"/>
        </w:rPr>
      </w:pPr>
      <w:r>
        <w:rPr>
          <w:rFonts w:hint="eastAsia" w:ascii="宋体" w:hAnsi="宋体" w:cs="宋体"/>
          <w:sz w:val="24"/>
          <w:szCs w:val="24"/>
        </w:rPr>
        <w:t>2、按时报名签到；</w:t>
      </w:r>
    </w:p>
    <w:p>
      <w:pPr>
        <w:spacing w:line="480" w:lineRule="exact"/>
        <w:ind w:firstLine="360"/>
        <w:rPr>
          <w:rFonts w:ascii="宋体" w:hAnsi="宋体"/>
          <w:szCs w:val="28"/>
          <w:u w:val="single"/>
        </w:rPr>
      </w:pPr>
      <w:r>
        <w:rPr>
          <w:rFonts w:hint="eastAsia" w:ascii="宋体" w:hAnsi="宋体" w:cs="宋体"/>
          <w:sz w:val="24"/>
          <w:szCs w:val="24"/>
        </w:rPr>
        <w:t>（三）开标地点：重庆安全产业发展集团有限公司</w:t>
      </w:r>
    </w:p>
    <w:p>
      <w:pPr>
        <w:spacing w:line="480" w:lineRule="exact"/>
        <w:ind w:firstLine="360"/>
        <w:rPr>
          <w:rFonts w:ascii="宋体" w:hAnsi="宋体" w:cs="宋体"/>
          <w:sz w:val="24"/>
          <w:szCs w:val="24"/>
        </w:rPr>
      </w:pPr>
      <w:r>
        <w:rPr>
          <w:rFonts w:hint="eastAsia" w:ascii="宋体" w:hAnsi="宋体" w:cs="宋体"/>
          <w:sz w:val="24"/>
          <w:szCs w:val="24"/>
        </w:rPr>
        <w:t>（四）递交投标文件截止时间：2020年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日北京时间</w:t>
      </w:r>
      <w:r>
        <w:rPr>
          <w:rFonts w:hint="eastAsia" w:ascii="宋体" w:hAnsi="宋体" w:cs="宋体"/>
          <w:sz w:val="24"/>
          <w:szCs w:val="24"/>
          <w:lang w:eastAsia="zh-CN"/>
        </w:rPr>
        <w:t>上午</w:t>
      </w:r>
      <w:r>
        <w:rPr>
          <w:rFonts w:hint="eastAsia" w:ascii="宋体" w:hAnsi="宋体" w:cs="宋体"/>
          <w:sz w:val="24"/>
          <w:szCs w:val="24"/>
        </w:rPr>
        <w:t>10:00时。</w:t>
      </w:r>
    </w:p>
    <w:p>
      <w:pPr>
        <w:spacing w:line="480" w:lineRule="exact"/>
        <w:ind w:firstLine="360"/>
        <w:rPr>
          <w:rFonts w:ascii="宋体" w:hAnsi="宋体" w:cs="宋体"/>
          <w:sz w:val="24"/>
          <w:szCs w:val="24"/>
        </w:rPr>
      </w:pPr>
      <w:r>
        <w:rPr>
          <w:rFonts w:hint="eastAsia" w:ascii="宋体" w:hAnsi="宋体" w:cs="宋体"/>
          <w:sz w:val="24"/>
          <w:szCs w:val="24"/>
        </w:rPr>
        <w:t xml:space="preserve">（五）开标时间：2020年 </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日北京时间</w:t>
      </w:r>
      <w:r>
        <w:rPr>
          <w:rFonts w:hint="eastAsia" w:ascii="宋体" w:hAnsi="宋体" w:cs="宋体"/>
          <w:sz w:val="24"/>
          <w:szCs w:val="24"/>
          <w:lang w:eastAsia="zh-CN"/>
        </w:rPr>
        <w:t>上午</w:t>
      </w:r>
      <w:r>
        <w:rPr>
          <w:rFonts w:hint="eastAsia" w:ascii="宋体" w:hAnsi="宋体" w:cs="宋体"/>
          <w:sz w:val="24"/>
          <w:szCs w:val="24"/>
        </w:rPr>
        <w:t>10:00时，同递交投标文件截止时间。</w:t>
      </w:r>
    </w:p>
    <w:p>
      <w:pPr>
        <w:pStyle w:val="2"/>
        <w:spacing w:before="0" w:after="0" w:line="480" w:lineRule="exact"/>
        <w:rPr>
          <w:rFonts w:ascii="宋体" w:hAnsi="宋体" w:cs="宋体"/>
          <w:sz w:val="24"/>
          <w:szCs w:val="24"/>
        </w:rPr>
      </w:pPr>
      <w:bookmarkStart w:id="17" w:name="_Toc49435918"/>
      <w:bookmarkStart w:id="18" w:name="_Toc517784631"/>
      <w:r>
        <w:rPr>
          <w:rFonts w:hint="eastAsia" w:ascii="宋体" w:hAnsi="宋体" w:cs="宋体"/>
          <w:sz w:val="24"/>
          <w:szCs w:val="24"/>
        </w:rPr>
        <w:t>四、</w:t>
      </w:r>
      <w:bookmarkEnd w:id="12"/>
      <w:r>
        <w:rPr>
          <w:rFonts w:hint="eastAsia" w:ascii="宋体" w:hAnsi="宋体" w:cs="宋体"/>
          <w:sz w:val="24"/>
          <w:szCs w:val="24"/>
        </w:rPr>
        <w:t>投标有关规定</w:t>
      </w:r>
      <w:bookmarkEnd w:id="17"/>
      <w:bookmarkEnd w:id="18"/>
    </w:p>
    <w:p>
      <w:pPr>
        <w:snapToGrid w:val="0"/>
        <w:spacing w:line="480" w:lineRule="exact"/>
        <w:ind w:firstLine="480"/>
        <w:rPr>
          <w:rFonts w:ascii="宋体" w:hAnsi="宋体" w:cs="宋体"/>
          <w:sz w:val="24"/>
          <w:szCs w:val="24"/>
        </w:rPr>
      </w:pPr>
      <w:r>
        <w:rPr>
          <w:rFonts w:hint="eastAsia" w:ascii="宋体" w:hAnsi="宋体" w:cs="宋体"/>
          <w:sz w:val="24"/>
          <w:szCs w:val="24"/>
        </w:rPr>
        <w:t>1、法定代表人为同一个人的两个及两个以上法人，母公司、全资子公司及其控股公司，都不得在同一项目中同时投标。</w:t>
      </w:r>
    </w:p>
    <w:p>
      <w:pPr>
        <w:snapToGrid w:val="0"/>
        <w:spacing w:line="480" w:lineRule="exact"/>
        <w:ind w:firstLine="480"/>
        <w:rPr>
          <w:rFonts w:ascii="宋体" w:hAnsi="宋体" w:cs="宋体"/>
          <w:sz w:val="24"/>
          <w:szCs w:val="24"/>
        </w:rPr>
      </w:pPr>
      <w:r>
        <w:rPr>
          <w:rFonts w:hint="eastAsia" w:ascii="宋体" w:hAnsi="宋体" w:cs="宋体"/>
          <w:sz w:val="24"/>
          <w:szCs w:val="24"/>
        </w:rPr>
        <w:t>2、超过投标截止时间递交的投标文件，恕不接收。</w:t>
      </w:r>
    </w:p>
    <w:p>
      <w:pPr>
        <w:snapToGrid w:val="0"/>
        <w:spacing w:line="480" w:lineRule="exact"/>
        <w:ind w:firstLine="480"/>
        <w:rPr>
          <w:rFonts w:ascii="宋体" w:hAnsi="宋体" w:cs="宋体"/>
          <w:sz w:val="24"/>
          <w:szCs w:val="24"/>
        </w:rPr>
      </w:pPr>
      <w:r>
        <w:rPr>
          <w:rFonts w:hint="eastAsia" w:ascii="宋体" w:hAnsi="宋体" w:cs="宋体"/>
          <w:sz w:val="24"/>
          <w:szCs w:val="24"/>
        </w:rPr>
        <w:t>3、投标费用：无论投标结果如何，投标人参与本项目投标的所有费用均应由投标人自行承担。</w:t>
      </w:r>
    </w:p>
    <w:p>
      <w:pPr>
        <w:snapToGrid w:val="0"/>
        <w:spacing w:line="480" w:lineRule="exact"/>
        <w:ind w:firstLine="480"/>
        <w:rPr>
          <w:rFonts w:ascii="宋体" w:hAnsi="宋体" w:cs="宋体"/>
          <w:sz w:val="24"/>
          <w:szCs w:val="24"/>
        </w:rPr>
      </w:pPr>
      <w:r>
        <w:rPr>
          <w:rFonts w:hint="eastAsia" w:ascii="宋体" w:hAnsi="宋体" w:cs="宋体"/>
          <w:sz w:val="24"/>
          <w:szCs w:val="24"/>
        </w:rPr>
        <w:t>4、本项目不接受联合体投标。</w:t>
      </w:r>
    </w:p>
    <w:p>
      <w:pPr>
        <w:pStyle w:val="2"/>
        <w:spacing w:before="0" w:after="0" w:line="480" w:lineRule="exact"/>
        <w:rPr>
          <w:rFonts w:ascii="宋体" w:hAnsi="宋体" w:cs="宋体"/>
          <w:sz w:val="24"/>
          <w:szCs w:val="24"/>
        </w:rPr>
      </w:pPr>
      <w:bookmarkStart w:id="19" w:name="_Toc49435919"/>
      <w:bookmarkStart w:id="20" w:name="_Toc517784632"/>
      <w:r>
        <w:rPr>
          <w:rFonts w:hint="eastAsia" w:ascii="宋体" w:hAnsi="宋体" w:cs="宋体"/>
          <w:sz w:val="24"/>
          <w:szCs w:val="24"/>
        </w:rPr>
        <w:t>五、联系方式</w:t>
      </w:r>
      <w:bookmarkEnd w:id="19"/>
      <w:bookmarkEnd w:id="20"/>
    </w:p>
    <w:p>
      <w:pPr>
        <w:snapToGrid w:val="0"/>
        <w:spacing w:line="480" w:lineRule="exact"/>
        <w:ind w:firstLine="480"/>
        <w:rPr>
          <w:rFonts w:ascii="宋体" w:hAnsi="宋体" w:cs="宋体"/>
          <w:sz w:val="24"/>
          <w:szCs w:val="24"/>
        </w:rPr>
      </w:pPr>
      <w:bookmarkStart w:id="21" w:name="_Toc102227313"/>
      <w:r>
        <w:rPr>
          <w:rFonts w:hint="eastAsia" w:ascii="宋体" w:hAnsi="宋体" w:cs="宋体"/>
          <w:sz w:val="24"/>
          <w:szCs w:val="24"/>
        </w:rPr>
        <w:t xml:space="preserve">招标人：重庆安全产业发展集团有限公司  </w:t>
      </w:r>
    </w:p>
    <w:p>
      <w:pPr>
        <w:snapToGrid w:val="0"/>
        <w:spacing w:line="480" w:lineRule="exact"/>
        <w:ind w:firstLine="480"/>
        <w:rPr>
          <w:rFonts w:ascii="宋体" w:hAnsi="宋体" w:cs="宋体"/>
          <w:sz w:val="24"/>
          <w:szCs w:val="24"/>
        </w:rPr>
      </w:pPr>
      <w:r>
        <w:rPr>
          <w:rFonts w:hint="eastAsia" w:ascii="宋体" w:hAnsi="宋体" w:cs="宋体"/>
          <w:sz w:val="24"/>
          <w:szCs w:val="24"/>
        </w:rPr>
        <w:t>地址：重庆渝北区洪湖西路26号软件园A栋25楼</w:t>
      </w:r>
    </w:p>
    <w:p>
      <w:pPr>
        <w:snapToGrid w:val="0"/>
        <w:spacing w:line="480" w:lineRule="exact"/>
        <w:ind w:firstLine="480"/>
        <w:rPr>
          <w:rFonts w:hint="default"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eastAsia="zh-CN"/>
        </w:rPr>
        <w:t>杨春飞</w:t>
      </w:r>
      <w:r>
        <w:rPr>
          <w:rFonts w:hint="eastAsia" w:ascii="宋体" w:hAnsi="宋体" w:cs="宋体"/>
          <w:sz w:val="24"/>
          <w:szCs w:val="24"/>
        </w:rPr>
        <w:t xml:space="preserve">    联系电话：</w:t>
      </w:r>
      <w:r>
        <w:rPr>
          <w:rFonts w:hint="eastAsia" w:ascii="宋体" w:hAnsi="宋体" w:cs="宋体"/>
          <w:sz w:val="24"/>
          <w:szCs w:val="24"/>
          <w:lang w:val="en-US" w:eastAsia="zh-CN"/>
        </w:rPr>
        <w:t>13158202396</w:t>
      </w:r>
    </w:p>
    <w:p>
      <w:pPr>
        <w:snapToGrid w:val="0"/>
        <w:spacing w:line="480" w:lineRule="exact"/>
        <w:ind w:firstLine="480"/>
        <w:rPr>
          <w:rFonts w:ascii="宋体" w:hAnsi="宋体" w:cs="宋体"/>
          <w:sz w:val="24"/>
          <w:szCs w:val="24"/>
        </w:rPr>
      </w:pPr>
      <w:r>
        <w:rPr>
          <w:rFonts w:hint="eastAsia" w:ascii="宋体" w:hAnsi="宋体" w:cs="宋体"/>
          <w:sz w:val="24"/>
          <w:szCs w:val="24"/>
        </w:rPr>
        <w:t xml:space="preserve">       </w:t>
      </w:r>
    </w:p>
    <w:p>
      <w:pPr>
        <w:snapToGrid w:val="0"/>
        <w:spacing w:line="480" w:lineRule="exact"/>
        <w:ind w:firstLine="480"/>
      </w:pPr>
      <w:r>
        <w:br w:type="page"/>
      </w:r>
    </w:p>
    <w:p>
      <w:pPr>
        <w:snapToGrid w:val="0"/>
        <w:spacing w:line="480" w:lineRule="exact"/>
        <w:ind w:firstLine="480"/>
        <w:rPr>
          <w:rFonts w:ascii="宋体" w:hAnsi="宋体" w:cs="宋体"/>
          <w:sz w:val="24"/>
          <w:szCs w:val="24"/>
        </w:rPr>
      </w:pPr>
    </w:p>
    <w:p>
      <w:pPr>
        <w:pStyle w:val="4"/>
        <w:spacing w:line="360" w:lineRule="auto"/>
        <w:ind w:firstLine="3200" w:firstLineChars="1000"/>
        <w:rPr>
          <w:rFonts w:ascii="宋体" w:hAnsi="宋体" w:cs="宋体"/>
          <w:b w:val="0"/>
          <w:sz w:val="24"/>
          <w:szCs w:val="24"/>
        </w:rPr>
      </w:pPr>
      <w:bookmarkStart w:id="22" w:name="_Toc49435920"/>
      <w:bookmarkStart w:id="23" w:name="_Toc517784633"/>
      <w:r>
        <w:rPr>
          <w:rFonts w:hint="eastAsia" w:ascii="宋体" w:hAnsi="宋体" w:eastAsia="宋体" w:cs="宋体"/>
          <w:b w:val="0"/>
          <w:szCs w:val="32"/>
        </w:rPr>
        <w:t>第二篇  投标人须知</w:t>
      </w:r>
      <w:bookmarkEnd w:id="21"/>
      <w:bookmarkEnd w:id="22"/>
      <w:bookmarkEnd w:id="23"/>
    </w:p>
    <w:p>
      <w:pPr>
        <w:pStyle w:val="2"/>
        <w:spacing w:before="0" w:after="0" w:line="480" w:lineRule="exact"/>
        <w:rPr>
          <w:rFonts w:ascii="宋体" w:hAnsi="宋体" w:cs="宋体"/>
          <w:sz w:val="24"/>
          <w:szCs w:val="24"/>
        </w:rPr>
      </w:pPr>
      <w:bookmarkStart w:id="24" w:name="_Toc49435921"/>
      <w:bookmarkStart w:id="25" w:name="_Toc517784634"/>
      <w:bookmarkStart w:id="26" w:name="_Toc342913389"/>
      <w:r>
        <w:rPr>
          <w:rFonts w:hint="eastAsia" w:ascii="宋体" w:hAnsi="宋体" w:cs="宋体"/>
          <w:sz w:val="24"/>
          <w:szCs w:val="24"/>
        </w:rPr>
        <w:t>一、投标费用</w:t>
      </w:r>
      <w:bookmarkEnd w:id="24"/>
      <w:bookmarkEnd w:id="25"/>
      <w:bookmarkEnd w:id="26"/>
    </w:p>
    <w:p>
      <w:pPr>
        <w:pStyle w:val="160"/>
        <w:spacing w:line="480" w:lineRule="exact"/>
        <w:ind w:firstLine="480"/>
        <w:rPr>
          <w:rFonts w:hAnsi="宋体" w:cs="宋体"/>
          <w:sz w:val="24"/>
          <w:szCs w:val="24"/>
        </w:rPr>
      </w:pPr>
      <w:r>
        <w:rPr>
          <w:rFonts w:hint="eastAsia" w:hAnsi="宋体" w:cs="宋体"/>
          <w:sz w:val="24"/>
          <w:szCs w:val="24"/>
        </w:rPr>
        <w:t>参与投标的投标人应承担其编制投标文件与递交投标文件所涉及的一切费用，不论投标结果如何，招标人和招标人在任何情况下既无义务也无责任承担这些费用。</w:t>
      </w:r>
    </w:p>
    <w:p>
      <w:pPr>
        <w:pStyle w:val="2"/>
        <w:spacing w:before="0" w:after="0" w:line="480" w:lineRule="exact"/>
        <w:rPr>
          <w:rFonts w:ascii="宋体" w:hAnsi="宋体" w:cs="宋体"/>
          <w:sz w:val="24"/>
          <w:szCs w:val="24"/>
        </w:rPr>
      </w:pPr>
      <w:bookmarkStart w:id="27" w:name="_Toc49435922"/>
      <w:bookmarkStart w:id="28" w:name="_Toc517784635"/>
      <w:bookmarkStart w:id="29" w:name="_Toc342913390"/>
      <w:r>
        <w:rPr>
          <w:rFonts w:hint="eastAsia" w:ascii="宋体" w:hAnsi="宋体" w:cs="宋体"/>
          <w:sz w:val="24"/>
          <w:szCs w:val="24"/>
        </w:rPr>
        <w:t>二、投标资质</w:t>
      </w:r>
      <w:bookmarkEnd w:id="27"/>
      <w:bookmarkEnd w:id="28"/>
      <w:bookmarkEnd w:id="29"/>
    </w:p>
    <w:p>
      <w:pPr>
        <w:pStyle w:val="160"/>
        <w:spacing w:line="480" w:lineRule="exact"/>
        <w:ind w:firstLine="480"/>
        <w:rPr>
          <w:rFonts w:hAnsi="宋体" w:cs="宋体"/>
          <w:sz w:val="24"/>
          <w:szCs w:val="24"/>
        </w:rPr>
      </w:pPr>
      <w:bookmarkStart w:id="30" w:name="_Toc342913391"/>
      <w:r>
        <w:rPr>
          <w:rFonts w:hint="eastAsia" w:hAnsi="宋体" w:cs="宋体"/>
          <w:sz w:val="24"/>
          <w:szCs w:val="24"/>
        </w:rPr>
        <w:t>1投标单位应具备以下资格条件</w:t>
      </w:r>
    </w:p>
    <w:p>
      <w:pPr>
        <w:pStyle w:val="160"/>
        <w:spacing w:line="480" w:lineRule="exact"/>
        <w:ind w:firstLine="480"/>
        <w:rPr>
          <w:rFonts w:hAnsi="宋体" w:cs="宋体"/>
          <w:sz w:val="24"/>
          <w:szCs w:val="24"/>
        </w:rPr>
      </w:pPr>
      <w:r>
        <w:rPr>
          <w:rFonts w:hint="eastAsia" w:hAnsi="宋体" w:cs="宋体"/>
          <w:sz w:val="24"/>
          <w:szCs w:val="24"/>
        </w:rPr>
        <w:t>（一）一般资格条件</w:t>
      </w:r>
    </w:p>
    <w:p>
      <w:pPr>
        <w:pStyle w:val="160"/>
        <w:spacing w:line="480" w:lineRule="exact"/>
        <w:ind w:firstLine="480"/>
        <w:rPr>
          <w:rFonts w:hAnsi="宋体" w:cs="宋体"/>
          <w:sz w:val="24"/>
          <w:szCs w:val="24"/>
        </w:rPr>
      </w:pPr>
      <w:r>
        <w:rPr>
          <w:rFonts w:hint="eastAsia" w:hAnsi="宋体" w:cs="宋体"/>
          <w:sz w:val="24"/>
          <w:szCs w:val="24"/>
        </w:rPr>
        <w:t>1.具有独立承担民事责任的能力；</w:t>
      </w:r>
    </w:p>
    <w:p>
      <w:pPr>
        <w:pStyle w:val="160"/>
        <w:spacing w:line="480" w:lineRule="exact"/>
        <w:ind w:firstLine="480"/>
        <w:rPr>
          <w:rFonts w:hAnsi="宋体" w:cs="宋体"/>
          <w:sz w:val="24"/>
          <w:szCs w:val="24"/>
        </w:rPr>
      </w:pPr>
      <w:r>
        <w:rPr>
          <w:rFonts w:hint="eastAsia" w:hAnsi="宋体" w:cs="宋体"/>
          <w:sz w:val="24"/>
          <w:szCs w:val="24"/>
        </w:rPr>
        <w:t>2.具有良好的商业信誉和健全的财务会计制度；</w:t>
      </w:r>
    </w:p>
    <w:p>
      <w:pPr>
        <w:pStyle w:val="160"/>
        <w:spacing w:line="480" w:lineRule="exact"/>
        <w:ind w:firstLine="480"/>
        <w:rPr>
          <w:rFonts w:hAnsi="宋体" w:cs="宋体"/>
          <w:sz w:val="24"/>
          <w:szCs w:val="24"/>
        </w:rPr>
      </w:pPr>
      <w:r>
        <w:rPr>
          <w:rFonts w:hint="eastAsia" w:hAnsi="宋体" w:cs="宋体"/>
          <w:sz w:val="24"/>
          <w:szCs w:val="24"/>
        </w:rPr>
        <w:t>3.具有履行合同所必需的设备和专业技术能力；</w:t>
      </w:r>
    </w:p>
    <w:p>
      <w:pPr>
        <w:pStyle w:val="160"/>
        <w:spacing w:line="480" w:lineRule="exact"/>
        <w:ind w:firstLine="480"/>
        <w:rPr>
          <w:rFonts w:hAnsi="宋体" w:cs="宋体"/>
          <w:sz w:val="24"/>
          <w:szCs w:val="24"/>
        </w:rPr>
      </w:pPr>
      <w:r>
        <w:rPr>
          <w:rFonts w:hint="eastAsia" w:hAnsi="宋体" w:cs="宋体"/>
          <w:sz w:val="24"/>
          <w:szCs w:val="24"/>
        </w:rPr>
        <w:t>4.有依法缴纳税收和社会保障资金的良好记录；</w:t>
      </w:r>
    </w:p>
    <w:p>
      <w:pPr>
        <w:pStyle w:val="160"/>
        <w:spacing w:line="480" w:lineRule="exact"/>
        <w:ind w:firstLine="480"/>
        <w:rPr>
          <w:rFonts w:hAnsi="宋体" w:cs="宋体"/>
          <w:sz w:val="24"/>
          <w:szCs w:val="24"/>
        </w:rPr>
      </w:pPr>
      <w:r>
        <w:rPr>
          <w:rFonts w:hint="eastAsia" w:hAnsi="宋体" w:cs="宋体"/>
          <w:sz w:val="24"/>
          <w:szCs w:val="24"/>
        </w:rPr>
        <w:t>5.参加政府采购活动前三年内，在经营活动中没有重大违法记录；</w:t>
      </w:r>
    </w:p>
    <w:p>
      <w:pPr>
        <w:pStyle w:val="160"/>
        <w:spacing w:line="480" w:lineRule="exact"/>
        <w:ind w:firstLine="480"/>
        <w:rPr>
          <w:rFonts w:hAnsi="宋体" w:cs="宋体"/>
          <w:sz w:val="24"/>
          <w:szCs w:val="24"/>
        </w:rPr>
      </w:pPr>
      <w:r>
        <w:rPr>
          <w:rFonts w:hint="eastAsia" w:hAnsi="宋体" w:cs="宋体"/>
          <w:sz w:val="24"/>
          <w:szCs w:val="24"/>
        </w:rPr>
        <w:t>6.法律、行政法规规定的其他条件。</w:t>
      </w:r>
    </w:p>
    <w:p>
      <w:pPr>
        <w:pStyle w:val="160"/>
        <w:spacing w:line="480" w:lineRule="exact"/>
        <w:ind w:firstLine="480"/>
        <w:rPr>
          <w:rFonts w:hAnsi="宋体" w:cs="宋体"/>
          <w:sz w:val="24"/>
          <w:szCs w:val="24"/>
        </w:rPr>
      </w:pPr>
      <w:bookmarkStart w:id="31" w:name="OLE_LINK2"/>
      <w:bookmarkStart w:id="32" w:name="OLE_LINK1"/>
      <w:r>
        <w:rPr>
          <w:rFonts w:hint="eastAsia" w:hAnsi="宋体" w:cs="宋体"/>
          <w:sz w:val="24"/>
          <w:szCs w:val="24"/>
        </w:rPr>
        <w:t>（二）特定资格条件</w:t>
      </w:r>
    </w:p>
    <w:p>
      <w:pPr>
        <w:pStyle w:val="160"/>
        <w:spacing w:line="480" w:lineRule="exact"/>
        <w:ind w:firstLine="480"/>
        <w:rPr>
          <w:rFonts w:hAnsi="宋体" w:cs="宋体"/>
          <w:sz w:val="24"/>
          <w:szCs w:val="24"/>
        </w:rPr>
      </w:pPr>
      <w:r>
        <w:rPr>
          <w:rFonts w:hint="eastAsia" w:hAnsi="宋体" w:cs="宋体"/>
          <w:sz w:val="24"/>
          <w:szCs w:val="24"/>
        </w:rPr>
        <w:t>无。</w:t>
      </w:r>
    </w:p>
    <w:bookmarkEnd w:id="31"/>
    <w:bookmarkEnd w:id="32"/>
    <w:p>
      <w:pPr>
        <w:pStyle w:val="2"/>
        <w:tabs>
          <w:tab w:val="left" w:pos="2640"/>
          <w:tab w:val="center" w:pos="4706"/>
        </w:tabs>
        <w:spacing w:before="0" w:after="0" w:line="480" w:lineRule="exact"/>
        <w:rPr>
          <w:rFonts w:ascii="宋体" w:hAnsi="宋体" w:cs="宋体"/>
          <w:sz w:val="24"/>
          <w:szCs w:val="24"/>
        </w:rPr>
      </w:pPr>
      <w:bookmarkStart w:id="33" w:name="_Toc49435923"/>
      <w:bookmarkStart w:id="34" w:name="_Toc517784636"/>
      <w:r>
        <w:rPr>
          <w:rFonts w:hint="eastAsia" w:ascii="宋体" w:hAnsi="宋体" w:cs="宋体"/>
          <w:sz w:val="24"/>
          <w:szCs w:val="24"/>
        </w:rPr>
        <w:t>三、竞争性比选文件</w:t>
      </w:r>
      <w:bookmarkEnd w:id="30"/>
      <w:bookmarkEnd w:id="33"/>
      <w:bookmarkEnd w:id="34"/>
      <w:r>
        <w:rPr>
          <w:rFonts w:hint="eastAsia" w:ascii="宋体" w:hAnsi="宋体" w:cs="宋体"/>
          <w:sz w:val="24"/>
          <w:szCs w:val="24"/>
        </w:rPr>
        <w:tab/>
      </w:r>
      <w:r>
        <w:rPr>
          <w:rFonts w:ascii="宋体" w:hAnsi="宋体" w:cs="宋体"/>
          <w:sz w:val="24"/>
          <w:szCs w:val="24"/>
        </w:rPr>
        <w:tab/>
      </w:r>
    </w:p>
    <w:p>
      <w:pPr>
        <w:snapToGrid w:val="0"/>
        <w:spacing w:line="480" w:lineRule="exact"/>
        <w:ind w:firstLine="480"/>
        <w:rPr>
          <w:rFonts w:ascii="宋体" w:hAnsi="宋体" w:cs="宋体"/>
          <w:sz w:val="24"/>
          <w:szCs w:val="24"/>
        </w:rPr>
      </w:pPr>
      <w:r>
        <w:rPr>
          <w:rFonts w:hint="eastAsia" w:ascii="宋体" w:hAnsi="宋体" w:cs="宋体"/>
          <w:sz w:val="24"/>
          <w:szCs w:val="24"/>
        </w:rPr>
        <w:t>1、竞争性比选文件由竞争性比选公告、投标人须知、比选项目服务要求、合同主要条款、投标文件格式要求五部分组成。</w:t>
      </w:r>
    </w:p>
    <w:p>
      <w:pPr>
        <w:snapToGrid w:val="0"/>
        <w:spacing w:line="480" w:lineRule="exact"/>
        <w:ind w:firstLine="480"/>
        <w:rPr>
          <w:rFonts w:ascii="宋体" w:hAnsi="宋体" w:cs="宋体"/>
          <w:sz w:val="24"/>
          <w:szCs w:val="24"/>
        </w:rPr>
      </w:pPr>
      <w:r>
        <w:rPr>
          <w:rFonts w:hint="eastAsia" w:ascii="宋体" w:hAnsi="宋体" w:cs="宋体"/>
          <w:sz w:val="24"/>
          <w:szCs w:val="24"/>
        </w:rPr>
        <w:t>2、招标人所作的一切有效的书面通知、修改及补充，都是竞争性比选文件不可分割的部分。</w:t>
      </w:r>
    </w:p>
    <w:p>
      <w:pPr>
        <w:snapToGrid w:val="0"/>
        <w:spacing w:line="480" w:lineRule="exact"/>
        <w:ind w:firstLine="480"/>
        <w:rPr>
          <w:rFonts w:ascii="宋体" w:hAnsi="宋体" w:cs="宋体"/>
          <w:sz w:val="24"/>
          <w:szCs w:val="24"/>
        </w:rPr>
      </w:pPr>
      <w:r>
        <w:rPr>
          <w:rFonts w:hint="eastAsia" w:ascii="宋体" w:hAnsi="宋体" w:cs="宋体"/>
          <w:sz w:val="24"/>
          <w:szCs w:val="24"/>
        </w:rPr>
        <w:t>3、竞争性比选文件的解释</w:t>
      </w:r>
    </w:p>
    <w:p>
      <w:pPr>
        <w:spacing w:line="480" w:lineRule="exact"/>
        <w:ind w:firstLine="840"/>
        <w:rPr>
          <w:rFonts w:ascii="宋体" w:hAnsi="宋体" w:cs="宋体"/>
          <w:sz w:val="24"/>
          <w:szCs w:val="24"/>
        </w:rPr>
      </w:pPr>
      <w:r>
        <w:rPr>
          <w:rFonts w:hint="eastAsia" w:ascii="宋体" w:hAnsi="宋体" w:cs="宋体"/>
          <w:sz w:val="24"/>
          <w:szCs w:val="24"/>
        </w:rPr>
        <w:t>投标人如对竞争性比选文件有疑问，必须以书面形式在投标截止时间一个工作日前向招标人要求澄清，招标人可视具体情况做出处理或答复。如投标人未提出疑问，视为完全理解并同意本竞争性比选文件。一经进入比选程序，即视为投标人已详细阅读全部文件资料，完全理解竞争性比选文件所有条款内容并同意放弃对这方面有不明白及误解的权利。</w:t>
      </w:r>
      <w:bookmarkStart w:id="35" w:name="_Toc318166429"/>
      <w:bookmarkStart w:id="36" w:name="_Toc318159780"/>
      <w:bookmarkStart w:id="37" w:name="_Toc318159349"/>
      <w:bookmarkStart w:id="38" w:name="_Toc318159160"/>
    </w:p>
    <w:bookmarkEnd w:id="35"/>
    <w:bookmarkEnd w:id="36"/>
    <w:bookmarkEnd w:id="37"/>
    <w:bookmarkEnd w:id="38"/>
    <w:p>
      <w:pPr>
        <w:pStyle w:val="2"/>
        <w:spacing w:before="0" w:after="0" w:line="480" w:lineRule="exact"/>
        <w:rPr>
          <w:rFonts w:ascii="宋体" w:hAnsi="宋体" w:cs="宋体"/>
          <w:sz w:val="24"/>
          <w:szCs w:val="24"/>
        </w:rPr>
      </w:pPr>
      <w:bookmarkStart w:id="39" w:name="_Toc49435924"/>
      <w:bookmarkStart w:id="40" w:name="_Toc517784637"/>
      <w:bookmarkStart w:id="41" w:name="_Toc342913392"/>
      <w:bookmarkStart w:id="42" w:name="_Toc102227318"/>
      <w:bookmarkStart w:id="43" w:name="_Toc179714297"/>
      <w:r>
        <w:rPr>
          <w:rFonts w:hint="eastAsia" w:ascii="宋体" w:hAnsi="宋体" w:cs="宋体"/>
          <w:sz w:val="24"/>
          <w:szCs w:val="24"/>
        </w:rPr>
        <w:t>四、招标要求</w:t>
      </w:r>
      <w:bookmarkEnd w:id="39"/>
      <w:bookmarkEnd w:id="40"/>
      <w:bookmarkEnd w:id="41"/>
      <w:bookmarkEnd w:id="42"/>
      <w:bookmarkEnd w:id="43"/>
    </w:p>
    <w:p>
      <w:pPr>
        <w:spacing w:line="480" w:lineRule="exact"/>
        <w:ind w:firstLine="480"/>
        <w:rPr>
          <w:rFonts w:ascii="宋体" w:hAnsi="宋体" w:cs="宋体"/>
          <w:sz w:val="24"/>
          <w:szCs w:val="24"/>
        </w:rPr>
      </w:pPr>
      <w:r>
        <w:rPr>
          <w:rFonts w:hint="eastAsia" w:ascii="宋体" w:hAnsi="宋体" w:cs="宋体"/>
          <w:sz w:val="24"/>
          <w:szCs w:val="24"/>
        </w:rPr>
        <w:t>1、投标人递交的投标文件由以下部分和投标人所作的一切有效补充、修改和承诺等文件组成。它包括：</w:t>
      </w:r>
    </w:p>
    <w:p>
      <w:pPr>
        <w:spacing w:line="480" w:lineRule="exact"/>
        <w:ind w:firstLine="480"/>
        <w:rPr>
          <w:rFonts w:ascii="宋体" w:hAnsi="宋体" w:cs="宋体"/>
          <w:sz w:val="24"/>
          <w:szCs w:val="24"/>
        </w:rPr>
      </w:pPr>
      <w:r>
        <w:rPr>
          <w:rFonts w:hint="eastAsia" w:ascii="宋体" w:hAnsi="宋体" w:cs="宋体"/>
          <w:sz w:val="24"/>
          <w:szCs w:val="24"/>
        </w:rPr>
        <w:t>1.1投标函部分</w:t>
      </w:r>
    </w:p>
    <w:p>
      <w:pPr>
        <w:spacing w:line="480" w:lineRule="exact"/>
        <w:ind w:firstLine="480"/>
        <w:rPr>
          <w:rFonts w:ascii="宋体" w:hAnsi="宋体" w:cs="宋体"/>
          <w:sz w:val="24"/>
          <w:szCs w:val="24"/>
        </w:rPr>
      </w:pPr>
      <w:r>
        <w:rPr>
          <w:rFonts w:hint="eastAsia" w:ascii="宋体" w:hAnsi="宋体" w:cs="宋体"/>
          <w:sz w:val="24"/>
          <w:szCs w:val="24"/>
        </w:rPr>
        <w:t>1.2商务部分</w:t>
      </w:r>
    </w:p>
    <w:p>
      <w:pPr>
        <w:spacing w:line="480" w:lineRule="exact"/>
        <w:ind w:firstLine="480"/>
        <w:rPr>
          <w:rFonts w:ascii="宋体" w:hAnsi="宋体" w:cs="宋体"/>
          <w:sz w:val="24"/>
          <w:szCs w:val="24"/>
        </w:rPr>
      </w:pPr>
      <w:r>
        <w:rPr>
          <w:rFonts w:hint="eastAsia" w:ascii="宋体" w:hAnsi="宋体" w:cs="宋体"/>
          <w:sz w:val="24"/>
          <w:szCs w:val="24"/>
        </w:rPr>
        <w:t>1.3资格条件及其他</w:t>
      </w:r>
    </w:p>
    <w:p>
      <w:pPr>
        <w:spacing w:line="480" w:lineRule="exact"/>
        <w:ind w:firstLine="480"/>
        <w:rPr>
          <w:rFonts w:ascii="宋体" w:hAnsi="宋体" w:cs="宋体"/>
          <w:sz w:val="24"/>
          <w:szCs w:val="24"/>
        </w:rPr>
      </w:pPr>
      <w:r>
        <w:rPr>
          <w:rFonts w:hint="eastAsia" w:ascii="宋体" w:hAnsi="宋体" w:cs="宋体"/>
          <w:sz w:val="24"/>
          <w:szCs w:val="24"/>
        </w:rPr>
        <w:t>以上条款基本格式见本竞争性比选文件第六篇“投标文件格式要求”，投标人也可在基本格式基础上对表格进行扩展。未规定格式的由投标人自定格式。</w:t>
      </w:r>
    </w:p>
    <w:p>
      <w:pPr>
        <w:spacing w:line="480" w:lineRule="exact"/>
        <w:ind w:firstLine="480"/>
        <w:rPr>
          <w:rFonts w:ascii="宋体" w:hAnsi="宋体" w:cs="宋体"/>
          <w:sz w:val="24"/>
          <w:szCs w:val="24"/>
        </w:rPr>
      </w:pPr>
      <w:r>
        <w:rPr>
          <w:rFonts w:hint="eastAsia" w:ascii="宋体" w:hAnsi="宋体" w:cs="宋体"/>
          <w:sz w:val="24"/>
          <w:szCs w:val="24"/>
        </w:rPr>
        <w:t>2、投标有效期：投标文件及有关承诺文件有效期为开标时间起90天。</w:t>
      </w:r>
    </w:p>
    <w:p>
      <w:pPr>
        <w:pStyle w:val="2"/>
        <w:spacing w:before="0" w:after="0" w:line="480" w:lineRule="exact"/>
        <w:rPr>
          <w:rFonts w:ascii="宋体" w:hAnsi="宋体" w:cs="宋体"/>
          <w:sz w:val="24"/>
          <w:szCs w:val="24"/>
        </w:rPr>
      </w:pPr>
      <w:bookmarkStart w:id="44" w:name="_Toc49435925"/>
      <w:bookmarkStart w:id="45" w:name="_Toc517784638"/>
      <w:r>
        <w:rPr>
          <w:rFonts w:hint="eastAsia" w:ascii="宋体" w:hAnsi="宋体" w:cs="宋体"/>
          <w:sz w:val="24"/>
          <w:szCs w:val="24"/>
        </w:rPr>
        <w:t>五、投标报价</w:t>
      </w:r>
      <w:bookmarkEnd w:id="44"/>
      <w:bookmarkEnd w:id="45"/>
    </w:p>
    <w:p>
      <w:pPr>
        <w:spacing w:line="480" w:lineRule="exact"/>
        <w:ind w:firstLine="480"/>
        <w:rPr>
          <w:rFonts w:ascii="宋体" w:hAnsi="宋体" w:cs="宋体"/>
          <w:sz w:val="24"/>
          <w:szCs w:val="24"/>
        </w:rPr>
      </w:pPr>
      <w:r>
        <w:rPr>
          <w:rFonts w:hint="eastAsia" w:ascii="宋体" w:hAnsi="宋体" w:cs="宋体"/>
          <w:sz w:val="24"/>
          <w:szCs w:val="24"/>
        </w:rPr>
        <w:t>1、报价</w:t>
      </w:r>
    </w:p>
    <w:p>
      <w:pPr>
        <w:spacing w:line="480" w:lineRule="exact"/>
        <w:ind w:firstLine="480"/>
        <w:rPr>
          <w:rFonts w:ascii="宋体" w:hAnsi="宋体" w:cs="宋体"/>
          <w:sz w:val="24"/>
          <w:szCs w:val="24"/>
        </w:rPr>
      </w:pPr>
      <w:r>
        <w:rPr>
          <w:rFonts w:hint="eastAsia" w:ascii="宋体" w:hAnsi="宋体" w:cs="宋体"/>
          <w:sz w:val="24"/>
          <w:szCs w:val="24"/>
        </w:rPr>
        <w:t>投标人应按比选文件及相关法律法规的规定自主报价，投标人所报投标报价均包括直接费，间接费、利润、安全文明施工费、各种措施费用、税金及风险费等费用。招标人除此以外不支付其他费用，除非合同中另有规定。投标报价不得高于招标人给定的招标控制价，否则定为废标。</w:t>
      </w:r>
    </w:p>
    <w:p>
      <w:pPr>
        <w:spacing w:line="480" w:lineRule="exact"/>
        <w:ind w:firstLine="480"/>
        <w:rPr>
          <w:rFonts w:ascii="宋体" w:hAnsi="宋体" w:cs="宋体"/>
          <w:sz w:val="24"/>
          <w:szCs w:val="24"/>
        </w:rPr>
      </w:pPr>
      <w:r>
        <w:rPr>
          <w:rFonts w:hint="eastAsia" w:ascii="宋体" w:hAnsi="宋体" w:cs="宋体"/>
          <w:sz w:val="24"/>
          <w:szCs w:val="24"/>
        </w:rPr>
        <w:t>1.1计价方式：清单综合单价。</w:t>
      </w:r>
    </w:p>
    <w:p>
      <w:pPr>
        <w:spacing w:line="480" w:lineRule="exact"/>
        <w:ind w:firstLine="480"/>
        <w:rPr>
          <w:rFonts w:ascii="宋体" w:hAnsi="宋体" w:cs="宋体"/>
          <w:sz w:val="24"/>
          <w:szCs w:val="24"/>
        </w:rPr>
      </w:pPr>
      <w:r>
        <w:rPr>
          <w:rFonts w:hint="eastAsia" w:ascii="宋体" w:hAnsi="宋体" w:cs="宋体"/>
          <w:sz w:val="24"/>
          <w:szCs w:val="24"/>
        </w:rPr>
        <w:t>1.1.1如投标人中标，该投标人的投标报价即被认为涵盖了招标范围中所有工程量的合同价。</w:t>
      </w:r>
    </w:p>
    <w:p>
      <w:pPr>
        <w:spacing w:line="480" w:lineRule="exact"/>
        <w:ind w:firstLine="480"/>
        <w:rPr>
          <w:rFonts w:ascii="宋体" w:hAnsi="宋体" w:cs="宋体"/>
          <w:sz w:val="24"/>
          <w:szCs w:val="24"/>
        </w:rPr>
      </w:pPr>
      <w:r>
        <w:rPr>
          <w:rFonts w:hint="eastAsia" w:ascii="宋体" w:hAnsi="宋体" w:cs="宋体"/>
          <w:sz w:val="24"/>
          <w:szCs w:val="24"/>
        </w:rPr>
        <w:t>1.1.2本报价的币种为人民币。</w:t>
      </w:r>
    </w:p>
    <w:p>
      <w:pPr>
        <w:spacing w:line="480" w:lineRule="exact"/>
        <w:ind w:firstLine="480"/>
        <w:rPr>
          <w:rFonts w:ascii="宋体" w:hAnsi="宋体" w:cs="宋体"/>
          <w:sz w:val="24"/>
          <w:szCs w:val="24"/>
        </w:rPr>
      </w:pPr>
      <w:r>
        <w:rPr>
          <w:rFonts w:hint="eastAsia" w:ascii="宋体" w:hAnsi="宋体" w:cs="宋体"/>
          <w:sz w:val="24"/>
          <w:szCs w:val="24"/>
        </w:rPr>
        <w:t>1.2工程结算</w:t>
      </w:r>
    </w:p>
    <w:p>
      <w:pPr>
        <w:spacing w:line="480" w:lineRule="exact"/>
        <w:ind w:firstLine="480"/>
        <w:rPr>
          <w:rFonts w:ascii="宋体" w:hAnsi="宋体" w:cs="宋体"/>
          <w:sz w:val="24"/>
          <w:szCs w:val="24"/>
        </w:rPr>
      </w:pPr>
      <w:r>
        <w:rPr>
          <w:rFonts w:hint="eastAsia" w:ascii="宋体" w:hAnsi="宋体" w:cs="宋体"/>
          <w:sz w:val="24"/>
          <w:szCs w:val="24"/>
        </w:rPr>
        <w:t>工程结算原则：报价包括完成本项目所需的服务费、人工费及提供服务所需的设备或货物购买（制造）费、辅材费、运输费、装卸费、安装调试费、培训费及各种应纳的税费。因成交供应商自身原因造成漏报、少报皆由其自行承担责任，采购人不再补偿。因采购人需求增减，双方确认后的变更按实际情况进行竣工结算。</w:t>
      </w:r>
    </w:p>
    <w:p>
      <w:pPr>
        <w:spacing w:line="480" w:lineRule="exact"/>
        <w:ind w:firstLine="480"/>
        <w:rPr>
          <w:rFonts w:ascii="宋体" w:hAnsi="宋体" w:cs="宋体"/>
          <w:sz w:val="24"/>
          <w:szCs w:val="24"/>
        </w:rPr>
      </w:pPr>
      <w:r>
        <w:rPr>
          <w:rFonts w:hint="eastAsia" w:ascii="宋体" w:hAnsi="宋体" w:cs="宋体"/>
          <w:sz w:val="24"/>
          <w:szCs w:val="24"/>
        </w:rPr>
        <w:t>具体结算办法如下：</w:t>
      </w:r>
    </w:p>
    <w:p>
      <w:pPr>
        <w:spacing w:line="480" w:lineRule="exact"/>
        <w:ind w:firstLine="480"/>
        <w:rPr>
          <w:rFonts w:ascii="宋体" w:hAnsi="宋体" w:cs="宋体"/>
          <w:sz w:val="24"/>
          <w:szCs w:val="24"/>
        </w:rPr>
      </w:pPr>
      <w:r>
        <w:rPr>
          <w:rFonts w:hint="eastAsia" w:ascii="宋体" w:hAnsi="宋体" w:cs="宋体"/>
          <w:sz w:val="24"/>
          <w:szCs w:val="24"/>
        </w:rPr>
        <w:t>1.2.1招标控制价中暂定价部分按实予以调整。</w:t>
      </w:r>
    </w:p>
    <w:p>
      <w:pPr>
        <w:spacing w:line="480" w:lineRule="exact"/>
        <w:ind w:firstLine="360"/>
        <w:rPr>
          <w:rFonts w:ascii="宋体" w:hAnsi="宋体" w:cs="宋体"/>
          <w:sz w:val="24"/>
          <w:szCs w:val="24"/>
        </w:rPr>
      </w:pPr>
      <w:r>
        <w:rPr>
          <w:rFonts w:hint="eastAsia" w:ascii="宋体" w:hAnsi="宋体" w:cs="宋体"/>
          <w:sz w:val="24"/>
          <w:szCs w:val="24"/>
        </w:rPr>
        <w:t xml:space="preserve"> 1.2.2若发生设计变更引起的工程项目增减，必须经招标人现场代表（监理工程师）签字认可后方可作为结算依据。</w:t>
      </w:r>
    </w:p>
    <w:p>
      <w:pPr>
        <w:snapToGrid w:val="0"/>
        <w:spacing w:line="480" w:lineRule="exact"/>
        <w:ind w:firstLine="480"/>
        <w:rPr>
          <w:rFonts w:ascii="宋体" w:hAnsi="宋体" w:cs="宋体"/>
          <w:sz w:val="24"/>
          <w:szCs w:val="24"/>
        </w:rPr>
      </w:pPr>
      <w:r>
        <w:rPr>
          <w:rFonts w:hint="eastAsia" w:ascii="宋体" w:hAnsi="宋体" w:cs="宋体"/>
          <w:sz w:val="24"/>
          <w:szCs w:val="24"/>
        </w:rPr>
        <w:t>2、提交投标文件的份数和签署</w:t>
      </w:r>
    </w:p>
    <w:p>
      <w:pPr>
        <w:snapToGrid w:val="0"/>
        <w:spacing w:line="480" w:lineRule="exact"/>
        <w:ind w:firstLine="720"/>
        <w:rPr>
          <w:rFonts w:ascii="宋体" w:hAnsi="宋体" w:cs="宋体"/>
          <w:sz w:val="24"/>
          <w:szCs w:val="24"/>
        </w:rPr>
      </w:pPr>
      <w:r>
        <w:rPr>
          <w:rFonts w:hint="eastAsia" w:ascii="宋体" w:hAnsi="宋体" w:cs="宋体"/>
          <w:sz w:val="24"/>
          <w:szCs w:val="24"/>
        </w:rPr>
        <w:t>（1）投标文件一式二份，其中正本一份，副本一份，副本可为正本的复印件，应与正本一致，如出现不一致情况以正本为准。</w:t>
      </w:r>
    </w:p>
    <w:p>
      <w:pPr>
        <w:snapToGrid w:val="0"/>
        <w:spacing w:line="480" w:lineRule="exact"/>
        <w:ind w:firstLine="720"/>
        <w:rPr>
          <w:rFonts w:ascii="宋体" w:hAnsi="宋体" w:cs="宋体"/>
          <w:sz w:val="24"/>
          <w:szCs w:val="24"/>
          <w:u w:val="single"/>
        </w:rPr>
      </w:pPr>
      <w:r>
        <w:rPr>
          <w:rFonts w:hint="eastAsia" w:ascii="宋体" w:hAnsi="宋体" w:cs="宋体"/>
          <w:sz w:val="24"/>
          <w:szCs w:val="24"/>
        </w:rPr>
        <w:t>（2）</w:t>
      </w:r>
      <w:r>
        <w:rPr>
          <w:rFonts w:hint="eastAsia" w:ascii="宋体" w:hAnsi="宋体" w:cs="宋体"/>
          <w:sz w:val="24"/>
        </w:rPr>
        <w:t>在</w:t>
      </w:r>
      <w:r>
        <w:rPr>
          <w:rFonts w:hint="eastAsia" w:ascii="宋体" w:hAnsi="宋体" w:cs="宋体"/>
          <w:sz w:val="24"/>
          <w:szCs w:val="24"/>
        </w:rPr>
        <w:t>投标</w:t>
      </w:r>
      <w:r>
        <w:rPr>
          <w:rFonts w:hint="eastAsia" w:ascii="宋体" w:hAnsi="宋体" w:cs="宋体"/>
          <w:sz w:val="24"/>
        </w:rPr>
        <w:t>文件正本中，竞争性比选文件第六篇</w:t>
      </w:r>
      <w:r>
        <w:rPr>
          <w:rFonts w:hint="eastAsia" w:ascii="宋体" w:hAnsi="宋体" w:cs="宋体"/>
          <w:sz w:val="24"/>
          <w:szCs w:val="24"/>
        </w:rPr>
        <w:t>投标</w:t>
      </w:r>
      <w:r>
        <w:rPr>
          <w:rFonts w:hint="eastAsia" w:ascii="宋体" w:hAnsi="宋体" w:cs="宋体"/>
          <w:sz w:val="24"/>
        </w:rPr>
        <w:t>文件格式中规定签字、盖章的地方必须按其规定签字、盖章。</w:t>
      </w:r>
    </w:p>
    <w:p>
      <w:pPr>
        <w:snapToGrid w:val="0"/>
        <w:spacing w:line="480" w:lineRule="exact"/>
        <w:ind w:firstLine="480"/>
        <w:rPr>
          <w:rFonts w:ascii="宋体" w:hAnsi="宋体" w:cs="宋体"/>
          <w:sz w:val="24"/>
          <w:szCs w:val="24"/>
        </w:rPr>
      </w:pPr>
      <w:r>
        <w:rPr>
          <w:rFonts w:hint="eastAsia" w:ascii="宋体" w:hAnsi="宋体" w:cs="宋体"/>
          <w:sz w:val="24"/>
          <w:szCs w:val="24"/>
        </w:rPr>
        <w:t>3、投标文件的递交</w:t>
      </w:r>
    </w:p>
    <w:p>
      <w:pPr>
        <w:snapToGrid w:val="0"/>
        <w:spacing w:line="480" w:lineRule="exact"/>
        <w:ind w:firstLine="720"/>
        <w:rPr>
          <w:rFonts w:ascii="宋体" w:hAnsi="宋体" w:cs="宋体"/>
          <w:sz w:val="24"/>
          <w:szCs w:val="24"/>
        </w:rPr>
      </w:pPr>
      <w:r>
        <w:rPr>
          <w:rFonts w:hint="eastAsia" w:ascii="宋体" w:hAnsi="宋体" w:cs="宋体"/>
          <w:sz w:val="24"/>
          <w:szCs w:val="24"/>
        </w:rPr>
        <w:t>（1）投标文件的密封与标记</w:t>
      </w:r>
    </w:p>
    <w:p>
      <w:pPr>
        <w:snapToGrid w:val="0"/>
        <w:spacing w:line="480" w:lineRule="exact"/>
        <w:ind w:firstLine="840"/>
        <w:rPr>
          <w:rFonts w:ascii="宋体" w:hAnsi="宋体" w:cs="宋体"/>
          <w:sz w:val="24"/>
          <w:szCs w:val="24"/>
        </w:rPr>
      </w:pPr>
      <w:r>
        <w:rPr>
          <w:rFonts w:hint="eastAsia" w:ascii="宋体" w:hAnsi="宋体" w:cs="宋体"/>
          <w:sz w:val="24"/>
          <w:szCs w:val="24"/>
        </w:rPr>
        <w:t>投标文件的正本、副本、均采用同一文件袋密封。信封上注明项目名称、投标人名称。信封的封口应加盖投标人公章或法人授权代表签字。</w:t>
      </w:r>
    </w:p>
    <w:p>
      <w:pPr>
        <w:snapToGrid w:val="0"/>
        <w:spacing w:line="480" w:lineRule="exact"/>
        <w:ind w:firstLine="720"/>
        <w:rPr>
          <w:rFonts w:ascii="宋体" w:hAnsi="宋体" w:cs="宋体"/>
          <w:sz w:val="24"/>
          <w:szCs w:val="24"/>
        </w:rPr>
      </w:pPr>
      <w:r>
        <w:rPr>
          <w:rFonts w:hint="eastAsia" w:ascii="宋体" w:hAnsi="宋体" w:cs="宋体"/>
          <w:sz w:val="24"/>
          <w:szCs w:val="24"/>
        </w:rPr>
        <w:t>（2）投标文件投递截止时间：同开标时间。</w:t>
      </w:r>
    </w:p>
    <w:p>
      <w:pPr>
        <w:snapToGrid w:val="0"/>
        <w:spacing w:line="480" w:lineRule="exact"/>
        <w:ind w:firstLine="480"/>
        <w:rPr>
          <w:rFonts w:ascii="宋体" w:hAnsi="宋体" w:cs="宋体"/>
          <w:sz w:val="24"/>
          <w:szCs w:val="24"/>
        </w:rPr>
      </w:pPr>
      <w:r>
        <w:rPr>
          <w:rFonts w:hint="eastAsia" w:ascii="宋体" w:hAnsi="宋体" w:cs="宋体"/>
          <w:sz w:val="24"/>
          <w:szCs w:val="24"/>
        </w:rPr>
        <w:t>4、投标文件语言：简体中文</w:t>
      </w:r>
    </w:p>
    <w:p>
      <w:pPr>
        <w:snapToGrid w:val="0"/>
        <w:spacing w:line="480" w:lineRule="exact"/>
        <w:ind w:firstLine="480"/>
        <w:rPr>
          <w:rFonts w:ascii="宋体" w:hAnsi="宋体" w:cs="宋体"/>
          <w:sz w:val="24"/>
          <w:szCs w:val="24"/>
        </w:rPr>
      </w:pPr>
      <w:r>
        <w:rPr>
          <w:rFonts w:hint="eastAsia" w:ascii="宋体" w:hAnsi="宋体" w:cs="宋体"/>
          <w:sz w:val="24"/>
          <w:szCs w:val="24"/>
        </w:rPr>
        <w:t>5、无效投标</w:t>
      </w:r>
    </w:p>
    <w:p>
      <w:pPr>
        <w:snapToGrid w:val="0"/>
        <w:spacing w:line="480" w:lineRule="exact"/>
        <w:ind w:firstLine="840"/>
        <w:rPr>
          <w:rFonts w:ascii="宋体" w:hAnsi="宋体" w:cs="宋体"/>
          <w:sz w:val="24"/>
          <w:szCs w:val="24"/>
        </w:rPr>
      </w:pPr>
      <w:r>
        <w:rPr>
          <w:rFonts w:hint="eastAsia" w:ascii="宋体" w:hAnsi="宋体" w:cs="宋体"/>
          <w:sz w:val="24"/>
          <w:szCs w:val="24"/>
        </w:rPr>
        <w:t>投标人发生以下条款情况之一者，视为无效投标，其投标文件将被拒绝：</w:t>
      </w:r>
    </w:p>
    <w:p>
      <w:pPr>
        <w:snapToGrid w:val="0"/>
        <w:spacing w:line="480" w:lineRule="exact"/>
        <w:ind w:firstLine="720"/>
        <w:rPr>
          <w:rFonts w:ascii="宋体" w:hAnsi="宋体" w:cs="宋体"/>
          <w:sz w:val="24"/>
          <w:szCs w:val="24"/>
        </w:rPr>
      </w:pPr>
      <w:r>
        <w:rPr>
          <w:rFonts w:hint="eastAsia" w:ascii="宋体" w:hAnsi="宋体" w:cs="宋体"/>
          <w:sz w:val="24"/>
          <w:szCs w:val="24"/>
        </w:rPr>
        <w:t>（1）投标人资格审查不合格；</w:t>
      </w:r>
    </w:p>
    <w:p>
      <w:pPr>
        <w:snapToGrid w:val="0"/>
        <w:spacing w:line="480" w:lineRule="exact"/>
        <w:ind w:firstLine="720"/>
        <w:rPr>
          <w:rFonts w:ascii="宋体" w:hAnsi="宋体" w:cs="宋体"/>
          <w:sz w:val="24"/>
          <w:szCs w:val="24"/>
        </w:rPr>
      </w:pPr>
      <w:r>
        <w:rPr>
          <w:rFonts w:hint="eastAsia" w:ascii="宋体" w:hAnsi="宋体" w:cs="宋体"/>
          <w:sz w:val="24"/>
          <w:szCs w:val="24"/>
        </w:rPr>
        <w:t>（2）法定代表人为同一个人的两个及两个以上法人，母公司、全资子公司及其控股公司，在同一项目中同时投标的；</w:t>
      </w:r>
    </w:p>
    <w:p>
      <w:pPr>
        <w:snapToGrid w:val="0"/>
        <w:spacing w:line="480" w:lineRule="exact"/>
        <w:ind w:firstLine="720"/>
        <w:rPr>
          <w:rFonts w:ascii="宋体" w:hAnsi="宋体" w:cs="宋体"/>
          <w:sz w:val="24"/>
          <w:szCs w:val="24"/>
        </w:rPr>
      </w:pPr>
      <w:r>
        <w:rPr>
          <w:rFonts w:hint="eastAsia" w:ascii="宋体" w:hAnsi="宋体" w:cs="宋体"/>
          <w:sz w:val="24"/>
          <w:szCs w:val="24"/>
        </w:rPr>
        <w:t>（3）投标文件不按规定签字、盖章；</w:t>
      </w:r>
    </w:p>
    <w:p>
      <w:pPr>
        <w:snapToGrid w:val="0"/>
        <w:spacing w:line="480" w:lineRule="exact"/>
        <w:ind w:firstLine="720"/>
        <w:rPr>
          <w:rFonts w:ascii="宋体" w:hAnsi="宋体" w:cs="宋体"/>
          <w:sz w:val="24"/>
          <w:szCs w:val="24"/>
        </w:rPr>
      </w:pPr>
      <w:r>
        <w:rPr>
          <w:rFonts w:hint="eastAsia" w:ascii="宋体" w:hAnsi="宋体" w:cs="宋体"/>
          <w:sz w:val="24"/>
          <w:szCs w:val="24"/>
        </w:rPr>
        <w:t>（4）投标文件未按规定的格式和要求填写，内容不全或者关键内容字迹模糊、无法辨认的；</w:t>
      </w:r>
    </w:p>
    <w:p>
      <w:pPr>
        <w:snapToGrid w:val="0"/>
        <w:spacing w:line="480" w:lineRule="exact"/>
        <w:ind w:firstLine="720"/>
        <w:rPr>
          <w:rFonts w:ascii="宋体" w:hAnsi="宋体" w:cs="宋体"/>
          <w:sz w:val="24"/>
          <w:szCs w:val="24"/>
        </w:rPr>
      </w:pPr>
      <w:r>
        <w:rPr>
          <w:rFonts w:hint="eastAsia" w:ascii="宋体" w:hAnsi="宋体" w:cs="宋体"/>
          <w:sz w:val="24"/>
          <w:szCs w:val="24"/>
        </w:rPr>
        <w:t>（5）存在比选文件规定的重大偏差的情形的；</w:t>
      </w:r>
    </w:p>
    <w:p>
      <w:pPr>
        <w:snapToGrid w:val="0"/>
        <w:spacing w:line="480" w:lineRule="exact"/>
        <w:ind w:firstLine="720"/>
        <w:rPr>
          <w:rFonts w:ascii="宋体" w:hAnsi="宋体" w:cs="宋体"/>
          <w:sz w:val="24"/>
          <w:szCs w:val="24"/>
        </w:rPr>
      </w:pPr>
      <w:r>
        <w:rPr>
          <w:rFonts w:hint="eastAsia" w:ascii="宋体" w:hAnsi="宋体" w:cs="宋体"/>
          <w:sz w:val="24"/>
          <w:szCs w:val="24"/>
        </w:rPr>
        <w:t>（6）投标文件含有违反国家法律、法规的内容，或附有招标人不能接受的条件的；</w:t>
      </w:r>
    </w:p>
    <w:p>
      <w:pPr>
        <w:snapToGrid w:val="0"/>
        <w:spacing w:line="480" w:lineRule="exact"/>
        <w:ind w:firstLine="720"/>
        <w:rPr>
          <w:rFonts w:ascii="宋体" w:hAnsi="宋体" w:cs="宋体"/>
          <w:sz w:val="24"/>
          <w:szCs w:val="24"/>
        </w:rPr>
      </w:pPr>
      <w:r>
        <w:rPr>
          <w:rFonts w:hint="eastAsia" w:ascii="宋体" w:hAnsi="宋体" w:cs="宋体"/>
          <w:sz w:val="24"/>
          <w:szCs w:val="24"/>
        </w:rPr>
        <w:t>（7）工期、履约担保、付款方式等任意一条服务条款不符合比选文件要求的。</w:t>
      </w:r>
    </w:p>
    <w:p>
      <w:pPr>
        <w:pStyle w:val="2"/>
        <w:spacing w:before="0" w:after="0" w:line="480" w:lineRule="exact"/>
        <w:rPr>
          <w:rFonts w:ascii="宋体" w:hAnsi="宋体" w:cs="宋体"/>
          <w:sz w:val="24"/>
          <w:szCs w:val="24"/>
        </w:rPr>
      </w:pPr>
      <w:bookmarkStart w:id="46" w:name="_Toc517784639"/>
      <w:bookmarkStart w:id="47" w:name="_Toc49435926"/>
      <w:r>
        <w:rPr>
          <w:rFonts w:hint="eastAsia" w:ascii="宋体" w:hAnsi="宋体" w:cs="宋体"/>
          <w:sz w:val="24"/>
          <w:szCs w:val="24"/>
        </w:rPr>
        <w:t>六、开标程序</w:t>
      </w:r>
      <w:bookmarkEnd w:id="46"/>
      <w:bookmarkEnd w:id="47"/>
    </w:p>
    <w:p>
      <w:pPr>
        <w:autoSpaceDE w:val="0"/>
        <w:autoSpaceDN w:val="0"/>
        <w:adjustRightInd w:val="0"/>
        <w:snapToGrid w:val="0"/>
        <w:spacing w:line="480" w:lineRule="exact"/>
        <w:ind w:firstLine="480"/>
        <w:jc w:val="left"/>
        <w:rPr>
          <w:rFonts w:ascii="宋体" w:hAnsi="宋体" w:cs="宋体"/>
          <w:sz w:val="24"/>
          <w:szCs w:val="24"/>
        </w:rPr>
      </w:pPr>
      <w:r>
        <w:rPr>
          <w:rFonts w:hint="eastAsia" w:ascii="宋体" w:hAnsi="宋体" w:cs="宋体"/>
          <w:sz w:val="24"/>
          <w:szCs w:val="24"/>
        </w:rPr>
        <w:t>主持人按下列程序进行开标：</w:t>
      </w:r>
    </w:p>
    <w:p>
      <w:pPr>
        <w:autoSpaceDE w:val="0"/>
        <w:autoSpaceDN w:val="0"/>
        <w:adjustRightInd w:val="0"/>
        <w:snapToGrid w:val="0"/>
        <w:spacing w:line="480" w:lineRule="exact"/>
        <w:ind w:firstLine="360"/>
        <w:jc w:val="left"/>
        <w:rPr>
          <w:rFonts w:ascii="宋体" w:hAnsi="宋体" w:cs="宋体"/>
          <w:b/>
          <w:bCs/>
          <w:sz w:val="24"/>
          <w:szCs w:val="24"/>
        </w:rPr>
      </w:pPr>
      <w:r>
        <w:rPr>
          <w:rFonts w:hint="eastAsia" w:ascii="宋体" w:hAnsi="宋体" w:cs="宋体"/>
          <w:sz w:val="24"/>
          <w:szCs w:val="24"/>
        </w:rPr>
        <w:t>（1）宣布开标纪律。</w:t>
      </w:r>
    </w:p>
    <w:p>
      <w:pPr>
        <w:autoSpaceDE w:val="0"/>
        <w:autoSpaceDN w:val="0"/>
        <w:adjustRightInd w:val="0"/>
        <w:snapToGrid w:val="0"/>
        <w:spacing w:line="480" w:lineRule="exact"/>
        <w:ind w:firstLine="360"/>
        <w:jc w:val="left"/>
        <w:rPr>
          <w:rFonts w:ascii="宋体" w:hAnsi="宋体" w:cs="宋体"/>
          <w:sz w:val="24"/>
          <w:szCs w:val="24"/>
        </w:rPr>
      </w:pPr>
      <w:r>
        <w:rPr>
          <w:rFonts w:hint="eastAsia" w:ascii="宋体" w:hAnsi="宋体" w:cs="宋体"/>
          <w:sz w:val="24"/>
          <w:szCs w:val="24"/>
        </w:rPr>
        <w:t>（2）公布在投标截止时间前递交投标文件的投标人名称。</w:t>
      </w:r>
    </w:p>
    <w:p>
      <w:pPr>
        <w:autoSpaceDE w:val="0"/>
        <w:autoSpaceDN w:val="0"/>
        <w:adjustRightInd w:val="0"/>
        <w:snapToGrid w:val="0"/>
        <w:spacing w:line="480" w:lineRule="exact"/>
        <w:ind w:firstLine="360"/>
        <w:jc w:val="left"/>
        <w:rPr>
          <w:rFonts w:ascii="宋体" w:hAnsi="宋体" w:cs="宋体"/>
          <w:sz w:val="24"/>
          <w:szCs w:val="24"/>
        </w:rPr>
      </w:pPr>
      <w:r>
        <w:rPr>
          <w:rFonts w:hint="eastAsia" w:ascii="宋体" w:hAnsi="宋体" w:cs="宋体"/>
          <w:sz w:val="24"/>
          <w:szCs w:val="24"/>
        </w:rPr>
        <w:t xml:space="preserve">（3）宣布开标人、唱标人、记录人、监标人等有关人员姓名。 </w:t>
      </w:r>
    </w:p>
    <w:p>
      <w:pPr>
        <w:autoSpaceDE w:val="0"/>
        <w:autoSpaceDN w:val="0"/>
        <w:adjustRightInd w:val="0"/>
        <w:snapToGrid w:val="0"/>
        <w:spacing w:line="480" w:lineRule="exact"/>
        <w:ind w:firstLine="360"/>
        <w:jc w:val="left"/>
        <w:rPr>
          <w:rFonts w:ascii="宋体" w:hAnsi="宋体" w:cs="宋体"/>
          <w:sz w:val="24"/>
          <w:szCs w:val="24"/>
        </w:rPr>
      </w:pPr>
      <w:r>
        <w:rPr>
          <w:rFonts w:hint="eastAsia" w:ascii="宋体" w:hAnsi="宋体" w:cs="宋体"/>
          <w:sz w:val="24"/>
          <w:szCs w:val="24"/>
        </w:rPr>
        <w:t>（4）工作人员对投标人的投标报价、安全文明施工费暂定金额、质量目标、工期及其他内容进行宣读，并记录在案，相关人员签字确认。</w:t>
      </w:r>
    </w:p>
    <w:p>
      <w:pPr>
        <w:autoSpaceDE w:val="0"/>
        <w:autoSpaceDN w:val="0"/>
        <w:adjustRightInd w:val="0"/>
        <w:snapToGrid w:val="0"/>
        <w:spacing w:line="480" w:lineRule="exact"/>
        <w:ind w:firstLine="360"/>
        <w:jc w:val="left"/>
        <w:rPr>
          <w:rFonts w:ascii="宋体" w:hAnsi="宋体" w:cs="宋体"/>
          <w:sz w:val="24"/>
          <w:szCs w:val="24"/>
        </w:rPr>
      </w:pPr>
      <w:r>
        <w:rPr>
          <w:rFonts w:hint="eastAsia" w:ascii="宋体" w:hAnsi="宋体" w:cs="宋体"/>
          <w:sz w:val="24"/>
          <w:szCs w:val="24"/>
        </w:rPr>
        <w:t>（5）对有效投标文件进行详细评审。</w:t>
      </w:r>
    </w:p>
    <w:p>
      <w:pPr>
        <w:autoSpaceDE w:val="0"/>
        <w:autoSpaceDN w:val="0"/>
        <w:adjustRightInd w:val="0"/>
        <w:snapToGrid w:val="0"/>
        <w:spacing w:line="480" w:lineRule="exact"/>
        <w:ind w:firstLine="360"/>
        <w:jc w:val="left"/>
        <w:rPr>
          <w:rFonts w:ascii="宋体" w:hAnsi="宋体" w:cs="宋体"/>
          <w:sz w:val="24"/>
          <w:szCs w:val="24"/>
        </w:rPr>
      </w:pPr>
      <w:r>
        <w:rPr>
          <w:rFonts w:hint="eastAsia" w:ascii="宋体" w:hAnsi="宋体" w:cs="宋体"/>
          <w:sz w:val="24"/>
          <w:szCs w:val="24"/>
        </w:rPr>
        <w:t>（6）宣布中标候选人。</w:t>
      </w:r>
    </w:p>
    <w:p>
      <w:pPr>
        <w:snapToGrid w:val="0"/>
        <w:spacing w:line="480" w:lineRule="exact"/>
        <w:ind w:firstLine="720"/>
      </w:pPr>
      <w:r>
        <w:br w:type="page"/>
      </w:r>
    </w:p>
    <w:p>
      <w:pPr>
        <w:autoSpaceDE w:val="0"/>
        <w:autoSpaceDN w:val="0"/>
        <w:adjustRightInd w:val="0"/>
        <w:snapToGrid w:val="0"/>
        <w:spacing w:line="480" w:lineRule="exact"/>
        <w:ind w:firstLine="360"/>
        <w:jc w:val="left"/>
        <w:rPr>
          <w:rFonts w:ascii="宋体" w:hAnsi="宋体" w:cs="宋体"/>
          <w:sz w:val="24"/>
          <w:szCs w:val="24"/>
        </w:rPr>
      </w:pPr>
    </w:p>
    <w:p>
      <w:pPr>
        <w:pStyle w:val="2"/>
        <w:spacing w:before="0" w:after="0" w:line="480" w:lineRule="exact"/>
        <w:rPr>
          <w:rFonts w:ascii="宋体" w:hAnsi="宋体" w:cs="宋体"/>
          <w:sz w:val="24"/>
          <w:szCs w:val="24"/>
        </w:rPr>
      </w:pPr>
      <w:bookmarkStart w:id="48" w:name="_Toc49435927"/>
      <w:bookmarkStart w:id="49" w:name="_Toc517784640"/>
      <w:bookmarkStart w:id="50" w:name="_Toc342913394"/>
      <w:bookmarkStart w:id="51" w:name="_Toc102227320"/>
      <w:r>
        <w:rPr>
          <w:rFonts w:hint="eastAsia" w:ascii="宋体" w:hAnsi="宋体" w:cs="宋体"/>
          <w:sz w:val="24"/>
          <w:szCs w:val="24"/>
        </w:rPr>
        <w:t>七、评标办法</w:t>
      </w:r>
      <w:bookmarkEnd w:id="48"/>
      <w:bookmarkEnd w:id="49"/>
    </w:p>
    <w:p>
      <w:pPr>
        <w:snapToGrid w:val="0"/>
        <w:spacing w:line="480" w:lineRule="exact"/>
        <w:ind w:firstLine="480"/>
        <w:rPr>
          <w:rFonts w:ascii="宋体" w:hAnsi="宋体" w:cs="宋体"/>
          <w:sz w:val="24"/>
          <w:szCs w:val="24"/>
        </w:rPr>
      </w:pPr>
      <w:r>
        <w:rPr>
          <w:rFonts w:hint="eastAsia" w:ascii="宋体" w:hAnsi="宋体" w:cs="宋体"/>
          <w:sz w:val="24"/>
          <w:szCs w:val="24"/>
        </w:rPr>
        <w:t xml:space="preserve"> 本次比选采用“采用综合评分法”进行评审，最高限价</w:t>
      </w:r>
      <w:r>
        <w:rPr>
          <w:rFonts w:hint="eastAsia" w:ascii="宋体" w:hAnsi="宋体" w:cs="宋体"/>
          <w:sz w:val="24"/>
          <w:szCs w:val="24"/>
          <w:lang w:val="en-US" w:eastAsia="zh-CN"/>
        </w:rPr>
        <w:t>895000</w:t>
      </w:r>
      <w:r>
        <w:rPr>
          <w:rFonts w:hint="eastAsia" w:ascii="宋体" w:hAnsi="宋体" w:cs="宋体"/>
          <w:sz w:val="24"/>
          <w:szCs w:val="24"/>
        </w:rPr>
        <w:t>元（人民币），其中：</w:t>
      </w:r>
    </w:p>
    <w:p>
      <w:pPr>
        <w:snapToGrid w:val="0"/>
        <w:spacing w:line="480" w:lineRule="exact"/>
        <w:ind w:firstLine="480"/>
        <w:rPr>
          <w:rFonts w:ascii="宋体" w:hAnsi="宋体" w:cs="宋体"/>
          <w:sz w:val="24"/>
          <w:szCs w:val="24"/>
        </w:rPr>
      </w:pPr>
      <w:r>
        <w:rPr>
          <w:rFonts w:hint="eastAsia" w:ascii="宋体" w:hAnsi="宋体" w:cs="宋体"/>
          <w:sz w:val="24"/>
          <w:szCs w:val="24"/>
        </w:rPr>
        <w:t>评标定标人员组成：由安产集团相关人员组成。</w:t>
      </w:r>
    </w:p>
    <w:p>
      <w:pPr>
        <w:spacing w:line="360" w:lineRule="auto"/>
        <w:ind w:firstLine="301" w:firstLineChars="100"/>
        <w:rPr>
          <w:rFonts w:ascii="宋体" w:hAnsi="宋体" w:cs="宋体"/>
          <w:b/>
          <w:kern w:val="0"/>
          <w:sz w:val="30"/>
          <w:szCs w:val="30"/>
        </w:rPr>
      </w:pPr>
    </w:p>
    <w:p>
      <w:pPr>
        <w:spacing w:line="360" w:lineRule="auto"/>
        <w:ind w:firstLine="301" w:firstLineChars="100"/>
        <w:rPr>
          <w:rFonts w:ascii="宋体" w:hAnsi="宋体" w:cs="宋体"/>
          <w:b/>
          <w:kern w:val="0"/>
          <w:sz w:val="30"/>
          <w:szCs w:val="30"/>
        </w:rPr>
      </w:pPr>
      <w:r>
        <w:rPr>
          <w:rFonts w:hint="eastAsia" w:ascii="宋体" w:hAnsi="宋体" w:cs="宋体"/>
          <w:b/>
          <w:kern w:val="0"/>
          <w:sz w:val="30"/>
          <w:szCs w:val="30"/>
        </w:rPr>
        <w:t>初步审查和比选评分细则</w:t>
      </w:r>
    </w:p>
    <w:p>
      <w:pPr>
        <w:snapToGrid w:val="0"/>
        <w:spacing w:line="480" w:lineRule="exact"/>
        <w:ind w:firstLine="480"/>
      </w:pPr>
      <w:r>
        <w:rPr>
          <w:rFonts w:hint="eastAsia" w:ascii="宋体" w:hAnsi="宋体" w:cs="宋体"/>
          <w:sz w:val="24"/>
          <w:szCs w:val="24"/>
        </w:rPr>
        <w:t>各申请人提供的资料必须真实有效，如在比选过程中发现申请人存在弄虚作假行为，则取消其比选资格；如在比选结束后发现已确定的设计单位存在弄虚作假行为，则取消其中选资格。</w:t>
      </w:r>
    </w:p>
    <w:p>
      <w:pPr>
        <w:snapToGrid w:val="0"/>
        <w:spacing w:line="480" w:lineRule="exact"/>
        <w:textAlignment w:val="baseline"/>
        <w:rPr>
          <w:rFonts w:ascii="宋体" w:hAnsi="宋体" w:cs="宋体"/>
          <w:b/>
          <w:sz w:val="24"/>
          <w:szCs w:val="24"/>
        </w:rPr>
      </w:pPr>
      <w:r>
        <w:rPr>
          <w:rFonts w:hint="eastAsia" w:ascii="宋体" w:hAnsi="宋体" w:cs="宋体"/>
          <w:b/>
          <w:sz w:val="24"/>
          <w:szCs w:val="24"/>
        </w:rPr>
        <w:t>7.1．初步评审</w:t>
      </w:r>
    </w:p>
    <w:p>
      <w:pPr>
        <w:snapToGrid w:val="0"/>
        <w:spacing w:line="480" w:lineRule="exact"/>
        <w:ind w:firstLine="118"/>
        <w:textAlignment w:val="baseline"/>
        <w:rPr>
          <w:rFonts w:ascii="宋体" w:hAnsi="宋体" w:cs="宋体"/>
          <w:b/>
          <w:sz w:val="24"/>
          <w:szCs w:val="24"/>
        </w:rPr>
      </w:pPr>
      <w:r>
        <w:rPr>
          <w:rFonts w:hint="eastAsia" w:ascii="宋体" w:hAnsi="宋体" w:cs="宋体"/>
          <w:b/>
          <w:sz w:val="24"/>
          <w:szCs w:val="24"/>
        </w:rPr>
        <w:t>7.1.1资格审查</w:t>
      </w:r>
    </w:p>
    <w:p>
      <w:pPr>
        <w:snapToGrid w:val="0"/>
        <w:spacing w:line="480" w:lineRule="exact"/>
        <w:ind w:firstLine="480"/>
        <w:rPr>
          <w:rFonts w:ascii="宋体" w:hAnsi="宋体" w:cs="宋体"/>
          <w:sz w:val="24"/>
          <w:szCs w:val="24"/>
        </w:rPr>
      </w:pPr>
      <w:r>
        <w:rPr>
          <w:rFonts w:hint="eastAsia" w:ascii="宋体" w:hAnsi="宋体" w:cs="宋体"/>
          <w:sz w:val="24"/>
          <w:szCs w:val="24"/>
        </w:rPr>
        <w:t>1.1 提供有效营业执照副本复印件。</w:t>
      </w:r>
    </w:p>
    <w:p>
      <w:pPr>
        <w:snapToGrid w:val="0"/>
        <w:spacing w:line="480" w:lineRule="exact"/>
        <w:ind w:firstLine="480" w:firstLineChars="200"/>
        <w:rPr>
          <w:rFonts w:ascii="宋体" w:hAnsi="宋体" w:cs="宋体"/>
          <w:sz w:val="24"/>
          <w:szCs w:val="24"/>
        </w:rPr>
      </w:pPr>
      <w:r>
        <w:rPr>
          <w:rFonts w:hint="eastAsia" w:ascii="宋体" w:hAnsi="宋体" w:cs="宋体"/>
          <w:sz w:val="24"/>
          <w:szCs w:val="24"/>
        </w:rPr>
        <w:t>备注：复印件需加盖单位鲜章。</w:t>
      </w:r>
    </w:p>
    <w:p>
      <w:pPr>
        <w:snapToGrid w:val="0"/>
        <w:spacing w:line="480" w:lineRule="exact"/>
        <w:textAlignment w:val="baseline"/>
        <w:rPr>
          <w:rFonts w:ascii="宋体" w:hAnsi="宋体" w:cs="宋体"/>
          <w:b/>
          <w:sz w:val="24"/>
          <w:szCs w:val="24"/>
        </w:rPr>
      </w:pPr>
      <w:r>
        <w:rPr>
          <w:rFonts w:hint="eastAsia" w:ascii="宋体" w:hAnsi="宋体" w:cs="宋体"/>
          <w:b/>
          <w:sz w:val="24"/>
          <w:szCs w:val="24"/>
        </w:rPr>
        <w:t>7.1.2形式审查</w:t>
      </w:r>
    </w:p>
    <w:p>
      <w:pPr>
        <w:snapToGrid w:val="0"/>
        <w:spacing w:line="480" w:lineRule="exact"/>
        <w:ind w:firstLine="360"/>
        <w:textAlignment w:val="baseline"/>
        <w:rPr>
          <w:rFonts w:ascii="宋体" w:hAnsi="宋体" w:cs="宋体"/>
          <w:sz w:val="24"/>
          <w:szCs w:val="24"/>
        </w:rPr>
      </w:pPr>
      <w:r>
        <w:rPr>
          <w:rFonts w:hint="eastAsia" w:ascii="宋体" w:hAnsi="宋体" w:cs="宋体"/>
          <w:sz w:val="24"/>
          <w:szCs w:val="24"/>
        </w:rPr>
        <w:t>参选文件签字、盖章是否齐全，是否清晰可辨，报价是否唯一。</w:t>
      </w:r>
    </w:p>
    <w:p>
      <w:pPr>
        <w:snapToGrid w:val="0"/>
        <w:spacing w:line="480" w:lineRule="exact"/>
        <w:ind w:firstLine="118"/>
        <w:textAlignment w:val="baseline"/>
        <w:rPr>
          <w:rFonts w:ascii="宋体" w:hAnsi="宋体" w:cs="宋体"/>
          <w:b/>
          <w:sz w:val="24"/>
          <w:szCs w:val="24"/>
        </w:rPr>
      </w:pPr>
      <w:r>
        <w:rPr>
          <w:rFonts w:hint="eastAsia" w:ascii="宋体" w:hAnsi="宋体" w:cs="宋体"/>
          <w:b/>
          <w:sz w:val="24"/>
          <w:szCs w:val="24"/>
        </w:rPr>
        <w:t>7.1.3响应性审查</w:t>
      </w:r>
    </w:p>
    <w:p>
      <w:pPr>
        <w:snapToGrid w:val="0"/>
        <w:spacing w:line="480" w:lineRule="exact"/>
        <w:ind w:firstLine="360"/>
        <w:textAlignment w:val="baseline"/>
        <w:rPr>
          <w:rFonts w:ascii="宋体" w:hAnsi="宋体" w:cs="宋体"/>
          <w:sz w:val="24"/>
          <w:szCs w:val="24"/>
        </w:rPr>
      </w:pPr>
      <w:r>
        <w:rPr>
          <w:rFonts w:hint="eastAsia" w:ascii="宋体" w:hAnsi="宋体" w:cs="宋体"/>
          <w:sz w:val="24"/>
          <w:szCs w:val="24"/>
        </w:rPr>
        <w:t>投标报价，工期，是否响应比选文件。</w:t>
      </w:r>
    </w:p>
    <w:p>
      <w:pPr>
        <w:snapToGrid w:val="0"/>
        <w:spacing w:line="480" w:lineRule="exact"/>
        <w:ind w:firstLine="118"/>
        <w:textAlignment w:val="baseline"/>
        <w:rPr>
          <w:rFonts w:ascii="宋体" w:hAnsi="宋体" w:cs="宋体"/>
          <w:b/>
          <w:sz w:val="24"/>
          <w:szCs w:val="24"/>
        </w:rPr>
      </w:pPr>
      <w:r>
        <w:rPr>
          <w:rFonts w:hint="eastAsia" w:ascii="宋体" w:hAnsi="宋体" w:cs="宋体"/>
          <w:b/>
          <w:sz w:val="24"/>
          <w:szCs w:val="24"/>
        </w:rPr>
        <w:t>7.2详细评审</w:t>
      </w:r>
    </w:p>
    <w:p>
      <w:pPr>
        <w:snapToGrid w:val="0"/>
        <w:spacing w:line="480" w:lineRule="exact"/>
        <w:ind w:firstLine="480"/>
        <w:textAlignment w:val="baseline"/>
        <w:rPr>
          <w:rFonts w:ascii="宋体" w:hAnsi="宋体" w:cs="宋体"/>
          <w:sz w:val="24"/>
          <w:szCs w:val="24"/>
        </w:rPr>
      </w:pPr>
      <w:r>
        <w:rPr>
          <w:rFonts w:hint="eastAsia" w:ascii="宋体" w:hAnsi="宋体" w:cs="宋体"/>
          <w:sz w:val="24"/>
          <w:szCs w:val="24"/>
        </w:rPr>
        <w:t>评标定标人员对初步评审合格的投标文件进行详细评审，经评标定标人员评审最高分为的投标为第一名、其次为第二名、…依次类推，最后由评审评比的最高分中标。经评审得分相同的，由招标人自行确定中标人。</w:t>
      </w:r>
    </w:p>
    <w:p>
      <w:pPr>
        <w:snapToGrid w:val="0"/>
        <w:spacing w:line="480" w:lineRule="exact"/>
        <w:ind w:firstLine="480"/>
        <w:textAlignment w:val="baseline"/>
        <w:rPr>
          <w:rFonts w:ascii="宋体" w:hAnsi="宋体" w:cs="宋体"/>
          <w:sz w:val="24"/>
          <w:szCs w:val="24"/>
        </w:rPr>
      </w:pPr>
      <w:r>
        <w:rPr>
          <w:rFonts w:hint="eastAsia" w:ascii="宋体" w:hAnsi="宋体" w:cs="宋体"/>
          <w:sz w:val="24"/>
          <w:szCs w:val="24"/>
        </w:rPr>
        <w:t>综合评分法，是指响应文件满足本比选文件全部实质性要求且按照评审因素的量化指标评审得分最高的供应商为成交候选供应商的评审方法。供应商总得分为价格、服务、商务等评定因素分别按照相应权重值计算分项得分后相加，满分为100分。评选细则如下：</w:t>
      </w:r>
    </w:p>
    <w:p>
      <w:pPr>
        <w:snapToGrid w:val="0"/>
        <w:spacing w:line="480" w:lineRule="exact"/>
        <w:ind w:firstLine="480"/>
        <w:textAlignment w:val="baseline"/>
      </w:pPr>
    </w:p>
    <w:tbl>
      <w:tblPr>
        <w:tblStyle w:val="57"/>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662"/>
        <w:gridCol w:w="839"/>
        <w:gridCol w:w="455"/>
        <w:gridCol w:w="4955"/>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序号</w:t>
            </w:r>
          </w:p>
        </w:tc>
        <w:tc>
          <w:tcPr>
            <w:tcW w:w="662" w:type="dxa"/>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评审</w:t>
            </w:r>
            <w:r>
              <w:rPr>
                <w:rFonts w:ascii="宋体" w:hAnsi="宋体"/>
                <w:sz w:val="21"/>
                <w:szCs w:val="21"/>
              </w:rPr>
              <w:t>项</w:t>
            </w:r>
          </w:p>
        </w:tc>
        <w:tc>
          <w:tcPr>
            <w:tcW w:w="839" w:type="dxa"/>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评分因素</w:t>
            </w:r>
          </w:p>
        </w:tc>
        <w:tc>
          <w:tcPr>
            <w:tcW w:w="0" w:type="auto"/>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分值</w:t>
            </w:r>
          </w:p>
        </w:tc>
        <w:tc>
          <w:tcPr>
            <w:tcW w:w="4956" w:type="dxa"/>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评分标准</w:t>
            </w:r>
          </w:p>
        </w:tc>
        <w:tc>
          <w:tcPr>
            <w:tcW w:w="2671" w:type="dxa"/>
            <w:shd w:val="clear" w:color="auto" w:fill="BEBEBE" w:themeFill="background1" w:themeFillShade="BF"/>
            <w:vAlign w:val="center"/>
          </w:tcPr>
          <w:p>
            <w:pPr>
              <w:snapToGrid w:val="0"/>
              <w:spacing w:line="360" w:lineRule="auto"/>
              <w:jc w:val="center"/>
              <w:rPr>
                <w:rFonts w:ascii="宋体" w:hAnsi="宋体"/>
                <w:sz w:val="21"/>
                <w:szCs w:val="21"/>
              </w:rPr>
            </w:pPr>
            <w:r>
              <w:rPr>
                <w:rFonts w:hint="eastAsia" w:ascii="宋体"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napToGrid w:val="0"/>
              <w:spacing w:line="360" w:lineRule="auto"/>
              <w:rPr>
                <w:rFonts w:ascii="宋体" w:hAnsi="宋体"/>
                <w:sz w:val="21"/>
                <w:szCs w:val="21"/>
              </w:rPr>
            </w:pPr>
            <w:r>
              <w:rPr>
                <w:rFonts w:ascii="宋体" w:hAnsi="宋体"/>
                <w:sz w:val="21"/>
                <w:szCs w:val="21"/>
              </w:rPr>
              <w:t>1</w:t>
            </w:r>
          </w:p>
        </w:tc>
        <w:tc>
          <w:tcPr>
            <w:tcW w:w="662" w:type="dxa"/>
            <w:tcBorders>
              <w:bottom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经济</w:t>
            </w:r>
          </w:p>
          <w:p>
            <w:pPr>
              <w:snapToGrid w:val="0"/>
              <w:spacing w:line="360" w:lineRule="auto"/>
              <w:jc w:val="center"/>
              <w:rPr>
                <w:rFonts w:ascii="宋体" w:hAnsi="宋体"/>
                <w:sz w:val="21"/>
                <w:szCs w:val="21"/>
              </w:rPr>
            </w:pPr>
            <w:r>
              <w:rPr>
                <w:rFonts w:hint="eastAsia" w:ascii="宋体" w:hAnsi="宋体"/>
                <w:sz w:val="21"/>
                <w:szCs w:val="21"/>
              </w:rPr>
              <w:t>部分</w:t>
            </w:r>
          </w:p>
          <w:p>
            <w:pPr>
              <w:snapToGrid w:val="0"/>
              <w:spacing w:line="360" w:lineRule="auto"/>
              <w:jc w:val="center"/>
              <w:rPr>
                <w:rFonts w:ascii="宋体" w:hAnsi="宋体"/>
                <w:sz w:val="21"/>
                <w:szCs w:val="21"/>
              </w:rPr>
            </w:pPr>
            <w:r>
              <w:rPr>
                <w:rFonts w:hint="eastAsia" w:ascii="宋体" w:hAnsi="宋体"/>
                <w:sz w:val="21"/>
                <w:szCs w:val="21"/>
              </w:rPr>
              <w:t>70分</w:t>
            </w:r>
          </w:p>
        </w:tc>
        <w:tc>
          <w:tcPr>
            <w:tcW w:w="839" w:type="dxa"/>
            <w:tcBorders>
              <w:bottom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投标报价</w:t>
            </w:r>
          </w:p>
        </w:tc>
        <w:tc>
          <w:tcPr>
            <w:tcW w:w="0" w:type="auto"/>
            <w:tcBorders>
              <w:bottom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70</w:t>
            </w:r>
          </w:p>
        </w:tc>
        <w:tc>
          <w:tcPr>
            <w:tcW w:w="4956" w:type="dxa"/>
            <w:tcBorders>
              <w:bottom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1、评标基准价：有效的投标报价中的平均价为评标基准价，按照下列公式计算每个投标人的投标价格得分：</w:t>
            </w:r>
          </w:p>
          <w:p>
            <w:pPr>
              <w:snapToGrid w:val="0"/>
              <w:spacing w:line="360" w:lineRule="auto"/>
              <w:rPr>
                <w:rFonts w:ascii="宋体" w:hAnsi="宋体"/>
                <w:sz w:val="21"/>
                <w:szCs w:val="21"/>
              </w:rPr>
            </w:pPr>
            <w:r>
              <w:rPr>
                <w:rFonts w:hint="eastAsia" w:ascii="宋体" w:hAnsi="宋体"/>
                <w:sz w:val="21"/>
                <w:szCs w:val="21"/>
              </w:rPr>
              <w:t>有效投标报价先得满分70分。在此基础上，投标总报价与评标基准价相比，每增加1％扣 1 分，每减少1％扣 0.5 分, 扣完为止。</w:t>
            </w:r>
          </w:p>
          <w:p>
            <w:pPr>
              <w:snapToGrid w:val="0"/>
              <w:spacing w:line="360" w:lineRule="auto"/>
              <w:rPr>
                <w:rFonts w:ascii="宋体" w:hAnsi="宋体"/>
                <w:sz w:val="21"/>
                <w:szCs w:val="21"/>
              </w:rPr>
            </w:pPr>
            <w:r>
              <w:rPr>
                <w:rFonts w:hint="eastAsia" w:ascii="宋体" w:hAnsi="宋体"/>
                <w:sz w:val="21"/>
                <w:szCs w:val="21"/>
              </w:rPr>
              <w:t>投标报价超预算的得分为0，且不得作为推荐中标候选人。</w:t>
            </w:r>
          </w:p>
        </w:tc>
        <w:tc>
          <w:tcPr>
            <w:tcW w:w="2671" w:type="dxa"/>
            <w:vAlign w:val="center"/>
          </w:tcPr>
          <w:p>
            <w:pPr>
              <w:snapToGrid w:val="0"/>
              <w:spacing w:line="360" w:lineRule="auto"/>
              <w:rPr>
                <w:rFonts w:ascii="宋体" w:hAnsi="宋体"/>
                <w:sz w:val="21"/>
                <w:szCs w:val="21"/>
              </w:rPr>
            </w:pPr>
            <w:r>
              <w:rPr>
                <w:rFonts w:hint="eastAsia" w:ascii="宋体" w:hAnsi="宋体"/>
                <w:sz w:val="21"/>
                <w:szCs w:val="21"/>
              </w:rPr>
              <w:t>在评审过程中，供应商报价低于采购预算的50%，有可能影响产品质量或者不能诚信履约的，评标小组应当要求其在谈判现场合理的时间内提供书面说明，并提交相关证明材料，供应商不能证明其报价合理性的，询价小组应当将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0" w:type="auto"/>
            <w:vMerge w:val="restart"/>
            <w:tcBorders>
              <w:right w:val="single" w:color="auto" w:sz="4" w:space="0"/>
            </w:tcBorders>
            <w:vAlign w:val="center"/>
          </w:tcPr>
          <w:p>
            <w:pPr>
              <w:snapToGrid w:val="0"/>
              <w:spacing w:line="360" w:lineRule="auto"/>
              <w:rPr>
                <w:rFonts w:ascii="宋体" w:hAnsi="宋体"/>
                <w:sz w:val="21"/>
                <w:szCs w:val="21"/>
              </w:rPr>
            </w:pPr>
            <w:r>
              <w:rPr>
                <w:rFonts w:ascii="宋体" w:hAnsi="宋体"/>
                <w:sz w:val="21"/>
                <w:szCs w:val="21"/>
              </w:rPr>
              <w:t>2</w:t>
            </w:r>
          </w:p>
        </w:tc>
        <w:tc>
          <w:tcPr>
            <w:tcW w:w="66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技术</w:t>
            </w:r>
          </w:p>
          <w:p>
            <w:pPr>
              <w:snapToGrid w:val="0"/>
              <w:spacing w:line="360" w:lineRule="auto"/>
              <w:jc w:val="center"/>
              <w:rPr>
                <w:rFonts w:ascii="宋体" w:hAnsi="宋体"/>
                <w:sz w:val="21"/>
                <w:szCs w:val="21"/>
              </w:rPr>
            </w:pPr>
            <w:r>
              <w:rPr>
                <w:rFonts w:hint="eastAsia" w:ascii="宋体" w:hAnsi="宋体"/>
                <w:sz w:val="21"/>
                <w:szCs w:val="21"/>
              </w:rPr>
              <w:t>部分</w:t>
            </w:r>
          </w:p>
          <w:p>
            <w:pPr>
              <w:snapToGrid w:val="0"/>
              <w:spacing w:line="360" w:lineRule="auto"/>
              <w:jc w:val="center"/>
              <w:rPr>
                <w:rFonts w:ascii="宋体" w:hAnsi="宋体"/>
                <w:sz w:val="21"/>
                <w:szCs w:val="21"/>
              </w:rPr>
            </w:pPr>
            <w:r>
              <w:rPr>
                <w:rFonts w:hint="eastAsia" w:ascii="宋体" w:hAnsi="宋体"/>
                <w:sz w:val="21"/>
                <w:szCs w:val="21"/>
              </w:rPr>
              <w:t>30分</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参数响应</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10</w:t>
            </w:r>
          </w:p>
        </w:tc>
        <w:tc>
          <w:tcPr>
            <w:tcW w:w="49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1、原厂服务2分：本文件中“平台建设硬件需求清单”章节内的所有产品，均有生产厂商（或服务提供商）提供针对本项目的原厂售后服务承诺函的2分，不提供或提供不全者不得分；</w:t>
            </w:r>
          </w:p>
          <w:p>
            <w:pPr>
              <w:snapToGrid w:val="0"/>
              <w:spacing w:line="360" w:lineRule="auto"/>
            </w:pPr>
            <w:r>
              <w:rPr>
                <w:rFonts w:hint="eastAsia" w:ascii="宋体" w:hAnsi="宋体"/>
                <w:sz w:val="21"/>
                <w:szCs w:val="21"/>
              </w:rPr>
              <w:t>2、关键参数响应8分：本文件中“平台建设硬件需求清单”章节内，供应商所投产品技术参数完全满足或优于参数要求的得8分；标“★”符号的技术参数，每有一项参数不满足的扣4分，直至本项分值扣完为止。</w:t>
            </w:r>
          </w:p>
        </w:tc>
        <w:tc>
          <w:tcPr>
            <w:tcW w:w="2671" w:type="dxa"/>
            <w:tcBorders>
              <w:left w:val="single" w:color="auto" w:sz="4" w:space="0"/>
            </w:tcBorders>
            <w:vAlign w:val="center"/>
          </w:tcPr>
          <w:p>
            <w:pPr>
              <w:snapToGrid w:val="0"/>
              <w:spacing w:line="360" w:lineRule="auto"/>
              <w:rPr>
                <w:rFonts w:ascii="宋体" w:hAnsi="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0" w:type="auto"/>
            <w:vMerge w:val="continue"/>
            <w:tcBorders>
              <w:right w:val="single" w:color="auto" w:sz="4" w:space="0"/>
            </w:tcBorders>
            <w:vAlign w:val="center"/>
          </w:tcPr>
          <w:p>
            <w:pPr>
              <w:snapToGrid w:val="0"/>
              <w:spacing w:line="360" w:lineRule="auto"/>
              <w:rPr>
                <w:rFonts w:ascii="宋体" w:hAnsi="宋体"/>
                <w:sz w:val="21"/>
                <w:szCs w:val="21"/>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业务需求</w:t>
            </w:r>
          </w:p>
          <w:p>
            <w:pPr>
              <w:snapToGrid w:val="0"/>
              <w:spacing w:line="360" w:lineRule="auto"/>
              <w:jc w:val="center"/>
              <w:rPr>
                <w:rFonts w:ascii="宋体" w:hAnsi="宋体"/>
                <w:sz w:val="21"/>
                <w:szCs w:val="21"/>
              </w:rPr>
            </w:pPr>
            <w:r>
              <w:rPr>
                <w:rFonts w:hint="eastAsia" w:ascii="宋体" w:hAnsi="宋体"/>
                <w:sz w:val="21"/>
                <w:szCs w:val="21"/>
              </w:rPr>
              <w:t>理解</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5</w:t>
            </w:r>
          </w:p>
        </w:tc>
        <w:tc>
          <w:tcPr>
            <w:tcW w:w="49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供应商须正确理解本招标文件要求及系统的功能定义，结合对本项目的理解进行陈述。需求分析应包含但不限于：用户角色需求分析、数据需求分析、运行环境需求分析、业务内容分析等内容。</w:t>
            </w:r>
          </w:p>
          <w:p>
            <w:pPr>
              <w:snapToGrid w:val="0"/>
              <w:spacing w:line="360" w:lineRule="auto"/>
              <w:rPr>
                <w:rFonts w:ascii="宋体" w:hAnsi="宋体"/>
                <w:sz w:val="21"/>
                <w:szCs w:val="21"/>
              </w:rPr>
            </w:pPr>
            <w:r>
              <w:rPr>
                <w:rFonts w:hint="eastAsia" w:ascii="宋体" w:hAnsi="宋体"/>
                <w:sz w:val="21"/>
                <w:szCs w:val="21"/>
              </w:rPr>
              <w:t>根据投标文件描述，由评委横向比较，综合打分。优得5分；一般得2分；差不得分。</w:t>
            </w:r>
          </w:p>
        </w:tc>
        <w:tc>
          <w:tcPr>
            <w:tcW w:w="2671" w:type="dxa"/>
            <w:tcBorders>
              <w:left w:val="single" w:color="auto" w:sz="4" w:space="0"/>
            </w:tcBorders>
            <w:vAlign w:val="center"/>
          </w:tcPr>
          <w:p>
            <w:pPr>
              <w:snapToGrid w:val="0"/>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0" w:type="auto"/>
            <w:vMerge w:val="continue"/>
            <w:tcBorders>
              <w:right w:val="single" w:color="auto" w:sz="4" w:space="0"/>
            </w:tcBorders>
            <w:vAlign w:val="center"/>
          </w:tcPr>
          <w:p>
            <w:pPr>
              <w:snapToGrid w:val="0"/>
              <w:spacing w:line="360" w:lineRule="auto"/>
              <w:rPr>
                <w:rFonts w:ascii="宋体" w:hAnsi="宋体"/>
                <w:sz w:val="21"/>
                <w:szCs w:val="21"/>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设计方案</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10</w:t>
            </w:r>
          </w:p>
        </w:tc>
        <w:tc>
          <w:tcPr>
            <w:tcW w:w="49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供应商须正确理解本招标文件要求及系统的功能定义，结合对本项目的理解编写设计方案，包含但不限于：业务现状分析、系统架构设计、系统功能结构设计、系统安全性设计、系统可用性设计、系统非功能设计、系统运行环境设计、系统部署设计、项目文档资料设计、系统界面设计、数据库设计【数据库定义、数据库建库规则、E-R关系、数据表清单、数据结构】、系统接口设计【接口规范、接口方式、系统接口设计】等内容；</w:t>
            </w:r>
          </w:p>
          <w:p>
            <w:pPr>
              <w:snapToGrid w:val="0"/>
              <w:spacing w:line="360" w:lineRule="auto"/>
              <w:rPr>
                <w:rFonts w:ascii="宋体" w:hAnsi="宋体"/>
                <w:sz w:val="21"/>
                <w:szCs w:val="21"/>
              </w:rPr>
            </w:pPr>
            <w:r>
              <w:rPr>
                <w:rFonts w:hint="eastAsia" w:ascii="宋体" w:hAnsi="宋体"/>
                <w:sz w:val="21"/>
                <w:szCs w:val="21"/>
              </w:rPr>
              <w:t>根据投标文件描述，由评委横向比较，综合打分。优得8-10分；良得4-6分；中得1-3分；差不得分。</w:t>
            </w:r>
          </w:p>
        </w:tc>
        <w:tc>
          <w:tcPr>
            <w:tcW w:w="2671" w:type="dxa"/>
            <w:tcBorders>
              <w:left w:val="single" w:color="auto" w:sz="4" w:space="0"/>
            </w:tcBorders>
            <w:vAlign w:val="center"/>
          </w:tcPr>
          <w:p>
            <w:pPr>
              <w:snapToGrid w:val="0"/>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0" w:type="auto"/>
            <w:vMerge w:val="continue"/>
            <w:tcBorders>
              <w:right w:val="single" w:color="auto" w:sz="4" w:space="0"/>
            </w:tcBorders>
            <w:vAlign w:val="center"/>
          </w:tcPr>
          <w:p>
            <w:pPr>
              <w:snapToGrid w:val="0"/>
              <w:spacing w:line="360" w:lineRule="auto"/>
              <w:rPr>
                <w:rFonts w:ascii="宋体" w:hAnsi="宋体"/>
                <w:sz w:val="21"/>
                <w:szCs w:val="21"/>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1"/>
                <w:szCs w:val="21"/>
              </w:rPr>
            </w:pPr>
          </w:p>
        </w:tc>
        <w:tc>
          <w:tcPr>
            <w:tcW w:w="839"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实施方案</w:t>
            </w:r>
          </w:p>
        </w:tc>
        <w:tc>
          <w:tcPr>
            <w:tcW w:w="0" w:type="auto"/>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1"/>
                <w:szCs w:val="21"/>
              </w:rPr>
            </w:pPr>
            <w:r>
              <w:rPr>
                <w:rFonts w:hint="eastAsia" w:ascii="宋体" w:hAnsi="宋体"/>
                <w:sz w:val="21"/>
                <w:szCs w:val="21"/>
              </w:rPr>
              <w:t>5</w:t>
            </w:r>
          </w:p>
        </w:tc>
        <w:tc>
          <w:tcPr>
            <w:tcW w:w="49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1"/>
                <w:szCs w:val="21"/>
              </w:rPr>
            </w:pPr>
            <w:r>
              <w:rPr>
                <w:rFonts w:hint="eastAsia" w:ascii="宋体" w:hAnsi="宋体"/>
                <w:sz w:val="21"/>
                <w:szCs w:val="21"/>
              </w:rPr>
              <w:t>供应商需详细提供项目实施管理方案，包括但不限于以下内容：</w:t>
            </w:r>
          </w:p>
          <w:p>
            <w:pPr>
              <w:snapToGrid w:val="0"/>
              <w:spacing w:line="360" w:lineRule="auto"/>
              <w:rPr>
                <w:rFonts w:ascii="宋体" w:hAnsi="宋体"/>
                <w:sz w:val="21"/>
                <w:szCs w:val="21"/>
              </w:rPr>
            </w:pPr>
            <w:r>
              <w:rPr>
                <w:rFonts w:hint="eastAsia" w:ascii="宋体" w:hAnsi="宋体"/>
                <w:sz w:val="21"/>
                <w:szCs w:val="21"/>
              </w:rPr>
              <w:t>1、代码编写开发方案（包含但不限于：软件开发过程、软件开发总体计划、硬件资源利用、记录原理、需方评审途径、软件测试计划）；</w:t>
            </w:r>
          </w:p>
          <w:p>
            <w:pPr>
              <w:snapToGrid w:val="0"/>
              <w:spacing w:line="360" w:lineRule="auto"/>
              <w:rPr>
                <w:rFonts w:ascii="宋体" w:hAnsi="宋体"/>
                <w:sz w:val="21"/>
                <w:szCs w:val="21"/>
              </w:rPr>
            </w:pPr>
            <w:r>
              <w:rPr>
                <w:rFonts w:hint="eastAsia" w:ascii="宋体" w:hAnsi="宋体"/>
                <w:sz w:val="21"/>
                <w:szCs w:val="21"/>
              </w:rPr>
              <w:t>2、系统软件测试方案（包含但不限于：系统测试目的、测试的质量属性、测试任务、测试流程、角色与职责、系统测试步骤、测试计划安排）；</w:t>
            </w:r>
          </w:p>
          <w:p>
            <w:pPr>
              <w:snapToGrid w:val="0"/>
              <w:spacing w:line="360" w:lineRule="auto"/>
              <w:rPr>
                <w:rFonts w:ascii="宋体" w:hAnsi="宋体"/>
                <w:sz w:val="21"/>
                <w:szCs w:val="21"/>
              </w:rPr>
            </w:pPr>
            <w:r>
              <w:rPr>
                <w:rFonts w:hint="eastAsia" w:ascii="宋体" w:hAnsi="宋体"/>
                <w:sz w:val="21"/>
                <w:szCs w:val="21"/>
              </w:rPr>
              <w:t>3、项目组织（包含但不限于：项目人员组织、项目开发及部署管理、运维服务、风险控制、培训措施）；从方案是否详尽、可行、全面等方面，由评委横向比较，综合打分。优得5分；一般得2分；差不得分。</w:t>
            </w:r>
          </w:p>
        </w:tc>
        <w:tc>
          <w:tcPr>
            <w:tcW w:w="2671" w:type="dxa"/>
            <w:tcBorders>
              <w:left w:val="single" w:color="auto" w:sz="4" w:space="0"/>
            </w:tcBorders>
            <w:vAlign w:val="center"/>
          </w:tcPr>
          <w:p>
            <w:pPr>
              <w:snapToGrid w:val="0"/>
              <w:spacing w:line="360" w:lineRule="auto"/>
              <w:rPr>
                <w:rFonts w:ascii="宋体" w:hAnsi="宋体"/>
                <w:sz w:val="21"/>
                <w:szCs w:val="21"/>
              </w:rPr>
            </w:pPr>
          </w:p>
        </w:tc>
      </w:tr>
    </w:tbl>
    <w:p>
      <w:pPr>
        <w:snapToGrid w:val="0"/>
        <w:spacing w:line="480" w:lineRule="exact"/>
        <w:ind w:firstLine="480"/>
        <w:textAlignment w:val="baseline"/>
      </w:pPr>
    </w:p>
    <w:bookmarkEnd w:id="50"/>
    <w:bookmarkEnd w:id="51"/>
    <w:p>
      <w:pPr>
        <w:pStyle w:val="2"/>
        <w:spacing w:before="0" w:after="0" w:line="480" w:lineRule="exact"/>
        <w:rPr>
          <w:rFonts w:ascii="宋体" w:hAnsi="宋体" w:cs="宋体"/>
          <w:sz w:val="24"/>
          <w:szCs w:val="24"/>
        </w:rPr>
      </w:pPr>
      <w:bookmarkStart w:id="52" w:name="_Toc517784641"/>
      <w:bookmarkStart w:id="53" w:name="_Toc49435928"/>
      <w:bookmarkStart w:id="54" w:name="_Toc102227322"/>
      <w:bookmarkStart w:id="55" w:name="_Toc342913396"/>
      <w:r>
        <w:rPr>
          <w:rFonts w:hint="eastAsia" w:ascii="宋体" w:hAnsi="宋体" w:cs="宋体"/>
          <w:sz w:val="24"/>
          <w:szCs w:val="24"/>
        </w:rPr>
        <w:t>八、投标文件组成</w:t>
      </w:r>
      <w:bookmarkEnd w:id="52"/>
      <w:bookmarkEnd w:id="53"/>
    </w:p>
    <w:p>
      <w:pPr>
        <w:snapToGrid w:val="0"/>
        <w:spacing w:line="480" w:lineRule="exact"/>
        <w:ind w:firstLine="472"/>
        <w:rPr>
          <w:rFonts w:ascii="宋体" w:hAnsi="宋体" w:cs="宋体"/>
          <w:b/>
          <w:sz w:val="24"/>
          <w:szCs w:val="24"/>
        </w:rPr>
      </w:pPr>
      <w:r>
        <w:rPr>
          <w:rFonts w:hint="eastAsia" w:ascii="宋体" w:hAnsi="宋体" w:cs="宋体"/>
          <w:b/>
          <w:sz w:val="24"/>
          <w:szCs w:val="24"/>
        </w:rPr>
        <w:t>8.1投标函部分</w:t>
      </w:r>
    </w:p>
    <w:p>
      <w:pPr>
        <w:snapToGrid w:val="0"/>
        <w:spacing w:line="480" w:lineRule="exact"/>
        <w:ind w:firstLine="480"/>
        <w:rPr>
          <w:rFonts w:ascii="宋体" w:hAnsi="宋体" w:cs="宋体"/>
          <w:sz w:val="24"/>
          <w:szCs w:val="24"/>
        </w:rPr>
      </w:pPr>
      <w:r>
        <w:rPr>
          <w:rFonts w:hint="eastAsia" w:ascii="宋体" w:hAnsi="宋体" w:cs="宋体"/>
          <w:sz w:val="24"/>
          <w:szCs w:val="24"/>
        </w:rPr>
        <w:t>8.1.1投标函及投标函附录</w:t>
      </w:r>
    </w:p>
    <w:p>
      <w:pPr>
        <w:snapToGrid w:val="0"/>
        <w:spacing w:line="480" w:lineRule="exact"/>
        <w:ind w:firstLine="480"/>
        <w:rPr>
          <w:rFonts w:ascii="宋体" w:hAnsi="宋体" w:cs="宋体"/>
          <w:sz w:val="24"/>
          <w:szCs w:val="24"/>
        </w:rPr>
      </w:pPr>
      <w:r>
        <w:rPr>
          <w:rFonts w:hint="eastAsia" w:ascii="宋体" w:hAnsi="宋体" w:cs="宋体"/>
          <w:sz w:val="24"/>
          <w:szCs w:val="24"/>
        </w:rPr>
        <w:t>8.1.2法定代表人身份证明及授权委托书</w:t>
      </w:r>
    </w:p>
    <w:p>
      <w:pPr>
        <w:snapToGrid w:val="0"/>
        <w:spacing w:line="480" w:lineRule="exact"/>
        <w:ind w:firstLine="472"/>
        <w:rPr>
          <w:rFonts w:ascii="宋体" w:hAnsi="宋体" w:cs="宋体"/>
          <w:b/>
          <w:sz w:val="24"/>
          <w:szCs w:val="24"/>
        </w:rPr>
      </w:pPr>
      <w:r>
        <w:rPr>
          <w:rFonts w:hint="eastAsia" w:ascii="宋体" w:hAnsi="宋体" w:cs="宋体"/>
          <w:b/>
          <w:sz w:val="24"/>
          <w:szCs w:val="24"/>
        </w:rPr>
        <w:t>8.2商务部分</w:t>
      </w:r>
    </w:p>
    <w:p>
      <w:pPr>
        <w:snapToGrid w:val="0"/>
        <w:spacing w:line="480" w:lineRule="exact"/>
        <w:ind w:firstLine="480"/>
        <w:rPr>
          <w:rFonts w:ascii="宋体" w:hAnsi="宋体" w:cs="宋体"/>
          <w:sz w:val="24"/>
          <w:szCs w:val="24"/>
        </w:rPr>
      </w:pPr>
      <w:r>
        <w:rPr>
          <w:rFonts w:hint="eastAsia" w:ascii="宋体" w:hAnsi="宋体" w:cs="宋体"/>
          <w:sz w:val="24"/>
          <w:szCs w:val="24"/>
        </w:rPr>
        <w:t>工程预算书（纸质版）</w:t>
      </w:r>
    </w:p>
    <w:p>
      <w:pPr>
        <w:snapToGrid w:val="0"/>
        <w:spacing w:line="480" w:lineRule="exact"/>
        <w:ind w:firstLine="472"/>
        <w:rPr>
          <w:rFonts w:ascii="宋体" w:hAnsi="宋体" w:cs="宋体"/>
          <w:b/>
          <w:sz w:val="24"/>
          <w:szCs w:val="24"/>
        </w:rPr>
      </w:pPr>
      <w:r>
        <w:rPr>
          <w:rFonts w:hint="eastAsia" w:ascii="宋体" w:hAnsi="宋体" w:cs="宋体"/>
          <w:b/>
          <w:sz w:val="24"/>
          <w:szCs w:val="24"/>
        </w:rPr>
        <w:t>8.3资格审查及其他</w:t>
      </w:r>
    </w:p>
    <w:p>
      <w:pPr>
        <w:snapToGrid w:val="0"/>
        <w:spacing w:line="480" w:lineRule="exact"/>
        <w:ind w:firstLine="480"/>
        <w:rPr>
          <w:rFonts w:ascii="宋体" w:hAnsi="宋体" w:cs="宋体"/>
          <w:sz w:val="24"/>
          <w:szCs w:val="24"/>
        </w:rPr>
      </w:pPr>
      <w:r>
        <w:rPr>
          <w:rFonts w:hint="eastAsia" w:ascii="宋体" w:hAnsi="宋体" w:cs="宋体"/>
          <w:sz w:val="24"/>
          <w:szCs w:val="24"/>
        </w:rPr>
        <w:t>8.3.1投标人基本情况表</w:t>
      </w:r>
    </w:p>
    <w:p>
      <w:pPr>
        <w:snapToGrid w:val="0"/>
        <w:spacing w:line="480" w:lineRule="exact"/>
        <w:ind w:firstLine="480"/>
        <w:rPr>
          <w:rFonts w:ascii="宋体" w:hAnsi="宋体" w:cs="宋体"/>
          <w:sz w:val="24"/>
          <w:szCs w:val="24"/>
        </w:rPr>
      </w:pPr>
      <w:r>
        <w:rPr>
          <w:rFonts w:hint="eastAsia" w:ascii="宋体" w:hAnsi="宋体" w:cs="宋体"/>
          <w:sz w:val="24"/>
          <w:szCs w:val="24"/>
        </w:rPr>
        <w:t>8.3.2其他应提供的资料</w:t>
      </w:r>
    </w:p>
    <w:p>
      <w:pPr>
        <w:pStyle w:val="2"/>
        <w:spacing w:before="0" w:after="0" w:line="480" w:lineRule="exact"/>
        <w:rPr>
          <w:rFonts w:ascii="宋体" w:hAnsi="宋体" w:cs="宋体"/>
          <w:sz w:val="24"/>
          <w:szCs w:val="24"/>
        </w:rPr>
      </w:pPr>
      <w:bookmarkStart w:id="56" w:name="_Toc517784642"/>
      <w:bookmarkStart w:id="57" w:name="_Toc49435929"/>
      <w:r>
        <w:rPr>
          <w:rFonts w:hint="eastAsia" w:ascii="宋体" w:hAnsi="宋体" w:cs="宋体"/>
          <w:sz w:val="24"/>
          <w:szCs w:val="24"/>
        </w:rPr>
        <w:t>九、签订</w:t>
      </w:r>
      <w:bookmarkEnd w:id="54"/>
      <w:r>
        <w:rPr>
          <w:rFonts w:hint="eastAsia" w:ascii="宋体" w:hAnsi="宋体" w:cs="宋体"/>
          <w:sz w:val="24"/>
          <w:szCs w:val="24"/>
        </w:rPr>
        <w:t>合同</w:t>
      </w:r>
      <w:bookmarkEnd w:id="55"/>
      <w:bookmarkEnd w:id="56"/>
      <w:bookmarkEnd w:id="57"/>
    </w:p>
    <w:p>
      <w:pPr>
        <w:snapToGrid w:val="0"/>
        <w:spacing w:line="480" w:lineRule="exact"/>
        <w:ind w:firstLine="480"/>
        <w:rPr>
          <w:rFonts w:ascii="宋体" w:hAnsi="宋体" w:cs="宋体"/>
          <w:sz w:val="24"/>
          <w:szCs w:val="24"/>
        </w:rPr>
      </w:pPr>
      <w:r>
        <w:rPr>
          <w:rFonts w:hint="eastAsia" w:ascii="宋体" w:hAnsi="宋体" w:cs="宋体"/>
          <w:sz w:val="24"/>
          <w:szCs w:val="24"/>
        </w:rPr>
        <w:t>1、招标人与中标人应当在中标通知书发出之日起</w:t>
      </w:r>
      <w:r>
        <w:rPr>
          <w:rFonts w:hint="eastAsia" w:ascii="宋体" w:hAnsi="宋体" w:cs="宋体"/>
          <w:b/>
          <w:sz w:val="24"/>
          <w:szCs w:val="24"/>
          <w:u w:val="single"/>
        </w:rPr>
        <w:t>15</w:t>
      </w:r>
      <w:r>
        <w:rPr>
          <w:rFonts w:hint="eastAsia" w:ascii="宋体" w:hAnsi="宋体" w:cs="宋体"/>
          <w:sz w:val="24"/>
          <w:szCs w:val="24"/>
        </w:rPr>
        <w:t>日内签订合同。</w:t>
      </w:r>
    </w:p>
    <w:p>
      <w:pPr>
        <w:snapToGrid w:val="0"/>
        <w:spacing w:line="480" w:lineRule="exact"/>
        <w:ind w:firstLine="480"/>
        <w:rPr>
          <w:rFonts w:ascii="宋体" w:hAnsi="宋体" w:cs="宋体"/>
          <w:sz w:val="24"/>
          <w:szCs w:val="24"/>
        </w:rPr>
      </w:pPr>
      <w:r>
        <w:rPr>
          <w:rFonts w:hint="eastAsia" w:ascii="宋体" w:hAnsi="宋体" w:cs="宋体"/>
          <w:sz w:val="24"/>
          <w:szCs w:val="24"/>
        </w:rPr>
        <w:t>2、竞争性比选文件、中标人的投标文件及有效承诺文件等，均为签订合同的依据。</w:t>
      </w:r>
    </w:p>
    <w:p>
      <w:pPr>
        <w:snapToGrid w:val="0"/>
        <w:spacing w:line="480" w:lineRule="exact"/>
        <w:ind w:firstLine="480"/>
        <w:rPr>
          <w:rFonts w:ascii="宋体" w:hAnsi="宋体" w:cs="宋体"/>
          <w:sz w:val="24"/>
          <w:szCs w:val="24"/>
        </w:rPr>
      </w:pPr>
      <w:r>
        <w:rPr>
          <w:rFonts w:hint="eastAsia" w:ascii="宋体" w:hAnsi="宋体" w:cs="宋体"/>
          <w:sz w:val="24"/>
          <w:szCs w:val="24"/>
        </w:rPr>
        <w:t>3、如中标人放弃中标项目或在签订合同时擅自改变中标状态的，招标人将按照相关法律法规处理。</w:t>
      </w:r>
    </w:p>
    <w:p>
      <w:pPr>
        <w:snapToGrid w:val="0"/>
        <w:spacing w:line="480" w:lineRule="exact"/>
        <w:ind w:firstLine="480"/>
        <w:rPr>
          <w:rFonts w:ascii="宋体" w:hAnsi="宋体" w:cs="宋体"/>
          <w:sz w:val="24"/>
          <w:szCs w:val="24"/>
        </w:rPr>
        <w:sectPr>
          <w:headerReference r:id="rId3" w:type="default"/>
          <w:footerReference r:id="rId4"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szCs w:val="24"/>
        </w:rPr>
        <w:t>4、招标人不得向中标人提出超出竞争性比选以外的任何要求作为签订合同的条件，不得与中标人订立背离竞争性比选确定的合同文本以外的要求等实质性内容的协议。</w:t>
      </w:r>
      <w:bookmarkStart w:id="58" w:name="_Toc12789058"/>
    </w:p>
    <w:p>
      <w:pPr>
        <w:pStyle w:val="4"/>
        <w:spacing w:line="360" w:lineRule="auto"/>
        <w:ind w:firstLine="3200" w:firstLineChars="1000"/>
        <w:rPr>
          <w:rFonts w:ascii="宋体" w:hAnsi="宋体" w:eastAsia="宋体" w:cs="宋体"/>
          <w:b w:val="0"/>
          <w:szCs w:val="32"/>
        </w:rPr>
      </w:pPr>
      <w:bookmarkStart w:id="59" w:name="_Toc517784644"/>
      <w:bookmarkStart w:id="60" w:name="_Toc49435930"/>
      <w:r>
        <w:rPr>
          <w:rFonts w:hint="eastAsia" w:ascii="宋体" w:hAnsi="宋体" w:eastAsia="宋体" w:cs="宋体"/>
          <w:b w:val="0"/>
          <w:szCs w:val="32"/>
        </w:rPr>
        <w:t>第三篇  比选项目服务要求</w:t>
      </w:r>
      <w:bookmarkEnd w:id="58"/>
      <w:bookmarkEnd w:id="59"/>
      <w:bookmarkEnd w:id="60"/>
    </w:p>
    <w:p>
      <w:pPr>
        <w:pStyle w:val="2"/>
        <w:spacing w:before="0" w:after="0" w:line="400" w:lineRule="exact"/>
        <w:rPr>
          <w:rFonts w:ascii="方正仿宋_GBK" w:eastAsia="方正仿宋_GBK"/>
          <w:sz w:val="24"/>
          <w:szCs w:val="24"/>
        </w:rPr>
      </w:pPr>
      <w:bookmarkStart w:id="61" w:name="_Toc27258"/>
      <w:bookmarkStart w:id="62" w:name="_Toc396501786"/>
      <w:bookmarkStart w:id="63" w:name="_Toc340223144"/>
      <w:bookmarkStart w:id="64" w:name="_Toc49435931"/>
      <w:bookmarkStart w:id="65" w:name="_Toc12789059"/>
      <w:bookmarkStart w:id="66" w:name="_Toc11641055"/>
      <w:r>
        <w:rPr>
          <w:rFonts w:hint="eastAsia" w:ascii="方正仿宋_GBK" w:eastAsia="方正仿宋_GBK"/>
          <w:sz w:val="24"/>
          <w:szCs w:val="24"/>
        </w:rPr>
        <w:t>一、工期、项目地点</w:t>
      </w:r>
      <w:bookmarkEnd w:id="61"/>
      <w:bookmarkEnd w:id="62"/>
      <w:bookmarkEnd w:id="63"/>
      <w:r>
        <w:rPr>
          <w:rFonts w:hint="eastAsia" w:ascii="方正仿宋_GBK" w:eastAsia="方正仿宋_GBK"/>
          <w:sz w:val="24"/>
          <w:szCs w:val="24"/>
        </w:rPr>
        <w:t>及验收方式</w:t>
      </w:r>
      <w:bookmarkEnd w:id="64"/>
    </w:p>
    <w:p>
      <w:pPr>
        <w:tabs>
          <w:tab w:val="center" w:pos="4333"/>
        </w:tabs>
        <w:snapToGrid w:val="0"/>
        <w:spacing w:line="480" w:lineRule="exact"/>
        <w:ind w:firstLine="360"/>
        <w:rPr>
          <w:rFonts w:ascii="宋体" w:hAnsi="宋体" w:cs="宋体"/>
          <w:kern w:val="0"/>
          <w:sz w:val="24"/>
          <w:szCs w:val="24"/>
        </w:rPr>
      </w:pPr>
      <w:r>
        <w:rPr>
          <w:rFonts w:hint="eastAsia" w:ascii="宋体" w:hAnsi="宋体" w:cs="宋体"/>
          <w:kern w:val="0"/>
          <w:sz w:val="24"/>
          <w:szCs w:val="24"/>
        </w:rPr>
        <w:t>（一）工期</w:t>
      </w:r>
      <w:r>
        <w:rPr>
          <w:rFonts w:ascii="宋体" w:hAnsi="宋体" w:cs="宋体"/>
          <w:kern w:val="0"/>
          <w:sz w:val="24"/>
          <w:szCs w:val="24"/>
        </w:rPr>
        <w:tab/>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施工合同签订后</w:t>
      </w:r>
      <w:r>
        <w:rPr>
          <w:rFonts w:hint="eastAsia" w:ascii="宋体" w:hAnsi="宋体" w:cs="宋体"/>
          <w:kern w:val="0"/>
          <w:sz w:val="24"/>
          <w:szCs w:val="24"/>
          <w:u w:val="single"/>
        </w:rPr>
        <w:t>120</w:t>
      </w:r>
      <w:r>
        <w:rPr>
          <w:rFonts w:hint="eastAsia" w:ascii="宋体" w:hAnsi="宋体" w:cs="宋体"/>
          <w:kern w:val="0"/>
          <w:sz w:val="24"/>
          <w:szCs w:val="24"/>
        </w:rPr>
        <w:t>个日历天内完工硬件安装调试，软件开发以及部署上线运行。</w:t>
      </w:r>
    </w:p>
    <w:p>
      <w:pPr>
        <w:snapToGrid w:val="0"/>
        <w:spacing w:line="480" w:lineRule="exact"/>
        <w:ind w:firstLine="360"/>
        <w:rPr>
          <w:rFonts w:ascii="宋体" w:hAnsi="宋体" w:cs="宋体"/>
          <w:kern w:val="0"/>
          <w:sz w:val="24"/>
          <w:szCs w:val="24"/>
        </w:rPr>
      </w:pPr>
      <w:r>
        <w:rPr>
          <w:rFonts w:hint="eastAsia" w:ascii="宋体" w:hAnsi="宋体" w:cs="宋体"/>
          <w:kern w:val="0"/>
          <w:sz w:val="24"/>
          <w:szCs w:val="24"/>
        </w:rPr>
        <w:t>（二）项目地点</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重庆渝北区洪湖西路26号软件园A栋25楼</w:t>
      </w:r>
    </w:p>
    <w:p>
      <w:pPr>
        <w:snapToGrid w:val="0"/>
        <w:spacing w:line="480" w:lineRule="exact"/>
        <w:ind w:firstLine="480"/>
        <w:rPr>
          <w:sz w:val="24"/>
          <w:szCs w:val="24"/>
        </w:rPr>
      </w:pPr>
      <w:r>
        <w:rPr>
          <w:rFonts w:hint="eastAsia"/>
          <w:sz w:val="24"/>
          <w:szCs w:val="24"/>
        </w:rPr>
        <w:t>（三）验收方式：</w:t>
      </w:r>
    </w:p>
    <w:p>
      <w:pPr>
        <w:snapToGrid w:val="0"/>
        <w:spacing w:line="480" w:lineRule="exact"/>
        <w:ind w:firstLine="480"/>
        <w:rPr>
          <w:sz w:val="24"/>
          <w:szCs w:val="24"/>
          <w:lang w:bidi="en-US"/>
        </w:rPr>
      </w:pPr>
      <w:r>
        <w:rPr>
          <w:rFonts w:hint="eastAsia"/>
          <w:sz w:val="24"/>
          <w:szCs w:val="24"/>
          <w:lang w:bidi="en-US"/>
        </w:rPr>
        <w:t>在验收阶段，系统将按照本比选文件的</w:t>
      </w:r>
      <w:r>
        <w:rPr>
          <w:rFonts w:hint="eastAsia"/>
          <w:sz w:val="24"/>
          <w:szCs w:val="24"/>
        </w:rPr>
        <w:t>技术参数及服务需求</w:t>
      </w:r>
      <w:r>
        <w:rPr>
          <w:rFonts w:hint="eastAsia"/>
          <w:sz w:val="24"/>
          <w:szCs w:val="24"/>
          <w:lang w:bidi="en-US"/>
        </w:rPr>
        <w:t>、供应商应答、合同条款，进行功能和性能的验收测试。</w:t>
      </w:r>
    </w:p>
    <w:p>
      <w:pPr>
        <w:snapToGrid w:val="0"/>
        <w:spacing w:line="480" w:lineRule="exact"/>
        <w:ind w:firstLine="480"/>
        <w:rPr>
          <w:sz w:val="24"/>
          <w:szCs w:val="24"/>
          <w:lang w:bidi="en-US"/>
        </w:rPr>
      </w:pPr>
      <w:r>
        <w:rPr>
          <w:rFonts w:hint="eastAsia"/>
          <w:sz w:val="24"/>
          <w:szCs w:val="24"/>
          <w:lang w:bidi="en-US"/>
        </w:rPr>
        <w:t>1.系统试运行</w:t>
      </w:r>
    </w:p>
    <w:p>
      <w:pPr>
        <w:snapToGrid w:val="0"/>
        <w:spacing w:line="480" w:lineRule="exact"/>
        <w:ind w:firstLine="480"/>
        <w:rPr>
          <w:sz w:val="24"/>
          <w:szCs w:val="24"/>
          <w:lang w:bidi="en-US"/>
        </w:rPr>
      </w:pPr>
      <w:r>
        <w:rPr>
          <w:rFonts w:hint="eastAsia"/>
          <w:sz w:val="24"/>
          <w:szCs w:val="24"/>
          <w:lang w:bidi="en-US"/>
        </w:rPr>
        <w:t>系统上线后，经采购人同意，系统进入试运行阶段，试运行周期1个月。在试运行期间，成交供应商须按采购人要求提供培训和技术支持，保证用户能够正确理解和使用系统；成交供应商必须对试运行中出现的任何问题及采购人提出的修改意见做出响应，并提交解决方案，在采购人确认后实施。试运行期间如出现重大故障，则试运行期从故障排除之日起重新计算。</w:t>
      </w:r>
    </w:p>
    <w:p>
      <w:pPr>
        <w:snapToGrid w:val="0"/>
        <w:spacing w:line="480" w:lineRule="exact"/>
        <w:ind w:firstLine="480"/>
        <w:rPr>
          <w:sz w:val="24"/>
          <w:szCs w:val="24"/>
          <w:lang w:bidi="en-US"/>
        </w:rPr>
      </w:pPr>
      <w:r>
        <w:rPr>
          <w:rFonts w:hint="eastAsia"/>
          <w:sz w:val="24"/>
          <w:szCs w:val="24"/>
          <w:lang w:bidi="en-US"/>
        </w:rPr>
        <w:t>2.系统验收</w:t>
      </w:r>
    </w:p>
    <w:p>
      <w:pPr>
        <w:snapToGrid w:val="0"/>
        <w:spacing w:line="480" w:lineRule="exact"/>
        <w:ind w:firstLine="480"/>
        <w:rPr>
          <w:sz w:val="24"/>
          <w:szCs w:val="24"/>
          <w:lang w:bidi="en-US"/>
        </w:rPr>
      </w:pPr>
      <w:r>
        <w:rPr>
          <w:rFonts w:hint="eastAsia"/>
          <w:sz w:val="24"/>
          <w:szCs w:val="24"/>
          <w:lang w:bidi="en-US"/>
        </w:rPr>
        <w:t>试运行期结束后，如系统无功能缺陷，能够正常运行，对项目进行全面验收。</w:t>
      </w:r>
    </w:p>
    <w:p>
      <w:pPr>
        <w:snapToGrid w:val="0"/>
        <w:spacing w:line="480" w:lineRule="exact"/>
        <w:ind w:firstLine="480"/>
        <w:rPr>
          <w:sz w:val="24"/>
          <w:szCs w:val="24"/>
          <w:lang w:bidi="en-US"/>
        </w:rPr>
      </w:pPr>
      <w:r>
        <w:rPr>
          <w:rFonts w:hint="eastAsia"/>
          <w:sz w:val="24"/>
          <w:szCs w:val="24"/>
          <w:lang w:bidi="en-US"/>
        </w:rPr>
        <w:t>3.系统终验内容</w:t>
      </w:r>
    </w:p>
    <w:p>
      <w:pPr>
        <w:snapToGrid w:val="0"/>
        <w:spacing w:line="480" w:lineRule="exact"/>
        <w:ind w:firstLine="480"/>
        <w:rPr>
          <w:sz w:val="24"/>
          <w:szCs w:val="24"/>
          <w:lang w:bidi="en-US"/>
        </w:rPr>
      </w:pPr>
      <w:r>
        <w:rPr>
          <w:rFonts w:hint="eastAsia"/>
          <w:sz w:val="24"/>
          <w:szCs w:val="24"/>
          <w:lang w:bidi="en-US"/>
        </w:rPr>
        <w:t>3</w:t>
      </w:r>
      <w:r>
        <w:rPr>
          <w:sz w:val="24"/>
          <w:szCs w:val="24"/>
          <w:lang w:bidi="en-US"/>
        </w:rPr>
        <w:t>.1</w:t>
      </w:r>
      <w:r>
        <w:rPr>
          <w:rFonts w:hint="eastAsia"/>
          <w:sz w:val="24"/>
          <w:szCs w:val="24"/>
          <w:lang w:bidi="en-US"/>
        </w:rPr>
        <w:t>系统实用性：项目验收最关键的指标，检查系统是否符合当前业务的需要，特别是业务流的整体性和数据流的一致性，并前瞻性提供未来业务接口。</w:t>
      </w:r>
    </w:p>
    <w:p>
      <w:pPr>
        <w:snapToGrid w:val="0"/>
        <w:spacing w:line="480" w:lineRule="exact"/>
        <w:ind w:firstLine="480"/>
        <w:rPr>
          <w:sz w:val="24"/>
          <w:szCs w:val="24"/>
          <w:lang w:bidi="en-US"/>
        </w:rPr>
      </w:pPr>
      <w:r>
        <w:rPr>
          <w:rFonts w:hint="eastAsia"/>
          <w:sz w:val="24"/>
          <w:szCs w:val="24"/>
          <w:lang w:bidi="en-US"/>
        </w:rPr>
        <w:t>3</w:t>
      </w:r>
      <w:r>
        <w:rPr>
          <w:sz w:val="24"/>
          <w:szCs w:val="24"/>
          <w:lang w:bidi="en-US"/>
        </w:rPr>
        <w:t>.2</w:t>
      </w:r>
      <w:r>
        <w:rPr>
          <w:rFonts w:hint="eastAsia"/>
          <w:sz w:val="24"/>
          <w:szCs w:val="24"/>
          <w:lang w:bidi="en-US"/>
        </w:rPr>
        <w:t>系统稳定性：软件运行异常处理和正常运行情况。</w:t>
      </w:r>
    </w:p>
    <w:p>
      <w:pPr>
        <w:snapToGrid w:val="0"/>
        <w:spacing w:line="480" w:lineRule="exact"/>
        <w:ind w:firstLine="480"/>
        <w:rPr>
          <w:sz w:val="24"/>
          <w:szCs w:val="24"/>
          <w:lang w:bidi="en-US"/>
        </w:rPr>
      </w:pPr>
      <w:r>
        <w:rPr>
          <w:rFonts w:hint="eastAsia"/>
          <w:sz w:val="24"/>
          <w:szCs w:val="24"/>
          <w:lang w:bidi="en-US"/>
        </w:rPr>
        <w:t>3</w:t>
      </w:r>
      <w:r>
        <w:rPr>
          <w:sz w:val="24"/>
          <w:szCs w:val="24"/>
          <w:lang w:bidi="en-US"/>
        </w:rPr>
        <w:t>.3</w:t>
      </w:r>
      <w:r>
        <w:rPr>
          <w:rFonts w:hint="eastAsia"/>
          <w:sz w:val="24"/>
          <w:szCs w:val="24"/>
          <w:lang w:bidi="en-US"/>
        </w:rPr>
        <w:t>系统可维护性：含网络系统管理与维护、操作系统管理与维护、应用系统软件管理与维护、数据库管理与维护以及数据库备份、应用系统备份，灾难事件处理与解决实施方案等。</w:t>
      </w:r>
    </w:p>
    <w:p>
      <w:pPr>
        <w:snapToGrid w:val="0"/>
        <w:spacing w:line="480" w:lineRule="exact"/>
        <w:ind w:firstLine="480"/>
        <w:rPr>
          <w:sz w:val="24"/>
          <w:szCs w:val="24"/>
          <w:lang w:bidi="en-US"/>
        </w:rPr>
      </w:pPr>
      <w:r>
        <w:rPr>
          <w:rFonts w:hint="eastAsia"/>
          <w:sz w:val="24"/>
          <w:szCs w:val="24"/>
          <w:lang w:bidi="en-US"/>
        </w:rPr>
        <w:t>3</w:t>
      </w:r>
      <w:r>
        <w:rPr>
          <w:sz w:val="24"/>
          <w:szCs w:val="24"/>
          <w:lang w:bidi="en-US"/>
        </w:rPr>
        <w:t>.4</w:t>
      </w:r>
      <w:r>
        <w:rPr>
          <w:rFonts w:hint="eastAsia"/>
          <w:sz w:val="24"/>
          <w:szCs w:val="24"/>
          <w:lang w:bidi="en-US"/>
        </w:rPr>
        <w:t>系统可操作性：界面是否友好性；是否实现傻瓜化操作和智能化数据检索功能。</w:t>
      </w:r>
    </w:p>
    <w:p>
      <w:pPr>
        <w:snapToGrid w:val="0"/>
        <w:spacing w:line="480" w:lineRule="exact"/>
        <w:ind w:firstLine="480"/>
        <w:rPr>
          <w:sz w:val="24"/>
          <w:szCs w:val="24"/>
        </w:rPr>
      </w:pPr>
      <w:r>
        <w:rPr>
          <w:rFonts w:hint="eastAsia"/>
          <w:sz w:val="24"/>
          <w:szCs w:val="24"/>
          <w:lang w:bidi="en-US"/>
        </w:rPr>
        <w:t>3</w:t>
      </w:r>
      <w:r>
        <w:rPr>
          <w:sz w:val="24"/>
          <w:szCs w:val="24"/>
          <w:lang w:bidi="en-US"/>
        </w:rPr>
        <w:t>.5</w:t>
      </w:r>
      <w:r>
        <w:rPr>
          <w:rFonts w:hint="eastAsia"/>
          <w:sz w:val="24"/>
          <w:szCs w:val="24"/>
          <w:lang w:bidi="en-US"/>
        </w:rPr>
        <w:t>系统安全性：是否有完善的安全机制保证系统的安全性，如软件方面的安全防范（加密措施、相关认证、数据库安全防范）的安全设置，符合信息安全和数据安全的要求。</w:t>
      </w:r>
    </w:p>
    <w:p>
      <w:pPr>
        <w:snapToGrid w:val="0"/>
        <w:spacing w:line="480" w:lineRule="exact"/>
        <w:ind w:firstLine="480"/>
      </w:pPr>
    </w:p>
    <w:p>
      <w:pPr>
        <w:pStyle w:val="2"/>
        <w:spacing w:before="0" w:after="0" w:line="400" w:lineRule="exact"/>
        <w:rPr>
          <w:rFonts w:ascii="方正仿宋_GBK" w:eastAsia="方正仿宋_GBK"/>
          <w:sz w:val="24"/>
          <w:szCs w:val="24"/>
        </w:rPr>
      </w:pPr>
      <w:bookmarkStart w:id="67" w:name="_Toc49435932"/>
      <w:r>
        <w:rPr>
          <w:rFonts w:hint="eastAsia" w:ascii="方正仿宋_GBK" w:eastAsia="方正仿宋_GBK"/>
          <w:sz w:val="24"/>
          <w:szCs w:val="24"/>
        </w:rPr>
        <w:t>二、项目基本概况介绍</w:t>
      </w:r>
      <w:bookmarkEnd w:id="67"/>
    </w:p>
    <w:p>
      <w:pPr>
        <w:snapToGrid w:val="0"/>
        <w:spacing w:line="480" w:lineRule="exact"/>
        <w:ind w:firstLine="480"/>
        <w:rPr>
          <w:sz w:val="24"/>
          <w:szCs w:val="24"/>
        </w:rPr>
      </w:pPr>
      <w:r>
        <w:rPr>
          <w:rFonts w:hint="eastAsia"/>
          <w:sz w:val="24"/>
          <w:szCs w:val="24"/>
        </w:rPr>
        <w:t>依照《关于推进机制砂石行业高质量发展的若干意见》指导，为进一步加快“稳价保供、绿色转型、安全品质”战略思想在砂石行业建设中的应用，高标准打造绿色矿山、智能矿山、安全矿山、经济矿山，助推高质量发展、高品质生活，为构建资源节约型、环境友好型、科技智慧型、生态宜居型的社会做出新的更大的贡献。构建“以商业矿为主骨架，以在建项目红线矿为辅”的砂石骨料保供稳价平台，集专业调研、科学运营、线上营销、在线监管的现代化服务综合体，更好开展砂石行业生产服务工作，紧紧围绕成渝地区双城经济圈建设和全市“一区两群”战略，为沿线高速公路、铁路、商业地产等提供砂石骨料服务，重点围绕渝湘复线、城开路以及巫云开的高速建设。以重庆安全产业发展集团有限公司下属的15座砂石矿场为试点示范，拟建设</w:t>
      </w:r>
      <w:r>
        <w:rPr>
          <w:rFonts w:hint="eastAsia"/>
          <w:sz w:val="24"/>
          <w:szCs w:val="24"/>
          <w:lang w:eastAsia="zh-CN"/>
        </w:rPr>
        <w:t>安产集团</w:t>
      </w:r>
      <w:r>
        <w:rPr>
          <w:rFonts w:hint="eastAsia"/>
          <w:sz w:val="24"/>
          <w:szCs w:val="24"/>
        </w:rPr>
        <w:t>砂石行业信息化平台，构建综合信息服务体系。</w:t>
      </w:r>
    </w:p>
    <w:p>
      <w:pPr>
        <w:snapToGrid w:val="0"/>
        <w:spacing w:line="480" w:lineRule="exact"/>
        <w:ind w:firstLine="480"/>
        <w:rPr>
          <w:sz w:val="24"/>
          <w:szCs w:val="24"/>
        </w:rPr>
      </w:pPr>
      <w:r>
        <w:rPr>
          <w:rFonts w:hint="eastAsia"/>
          <w:sz w:val="24"/>
          <w:szCs w:val="24"/>
        </w:rPr>
        <w:t>2020年2月，《</w:t>
      </w:r>
      <w:r>
        <w:rPr>
          <w:rFonts w:hint="eastAsia"/>
          <w:sz w:val="24"/>
          <w:szCs w:val="24"/>
          <w:lang w:eastAsia="zh-CN"/>
        </w:rPr>
        <w:t>安产集团</w:t>
      </w:r>
      <w:r>
        <w:rPr>
          <w:rFonts w:hint="eastAsia"/>
          <w:sz w:val="24"/>
          <w:szCs w:val="24"/>
        </w:rPr>
        <w:t>人民政府办公厅关于印发</w:t>
      </w:r>
      <w:r>
        <w:rPr>
          <w:rFonts w:hint="eastAsia"/>
          <w:sz w:val="24"/>
          <w:szCs w:val="24"/>
          <w:lang w:eastAsia="zh-CN"/>
        </w:rPr>
        <w:t>安产集团</w:t>
      </w:r>
      <w:r>
        <w:rPr>
          <w:rFonts w:hint="eastAsia"/>
          <w:sz w:val="24"/>
          <w:szCs w:val="24"/>
        </w:rPr>
        <w:t>近期建筑砂石保供稳价工作方案的通知》为重庆高速集团围绕高速公路建设红线内及周边为主要开发领域空间、发展砂石产业提供了政策支持。本次平台的建设，将深入实施以大数据智能化为引领的创新驱动发展战略行动计划，坚持数字化、网络化、智能化方向，坚持线上线下融合发展，坚持“网络+网格”和多方联动治理，坚持整体推进与重点突破，引导市场涌动的力量和激发蛰伏的潜能，创新模式、整合资源、突出重点、培育龙头、打造品牌、营造生态，大力培育新的经济增长点、拉动新的消费需求，为加快把重庆建设成为“智造重镇”“智慧名城”发挥重要的促进作用。</w:t>
      </w:r>
    </w:p>
    <w:p>
      <w:pPr>
        <w:snapToGrid w:val="0"/>
        <w:spacing w:line="480" w:lineRule="exact"/>
        <w:ind w:firstLine="480"/>
        <w:rPr>
          <w:sz w:val="24"/>
          <w:szCs w:val="24"/>
        </w:rPr>
      </w:pPr>
      <w:r>
        <w:rPr>
          <w:rFonts w:hint="eastAsia"/>
          <w:sz w:val="24"/>
          <w:szCs w:val="24"/>
        </w:rPr>
        <w:t>本平台围绕“稳价保供、绿色转型、安全品质”发展战略，以线上砂石服务为主线，以智能化管理为核心，充分利用重庆安全产业发展集团有限公司资源优势，采用移动互联、物联网、大数据、人工智能等新兴技术，加快推动数字经济高质量发展。</w:t>
      </w:r>
    </w:p>
    <w:p>
      <w:pPr>
        <w:snapToGrid w:val="0"/>
        <w:spacing w:line="480" w:lineRule="exact"/>
        <w:ind w:firstLine="480"/>
        <w:rPr>
          <w:sz w:val="24"/>
          <w:szCs w:val="24"/>
        </w:rPr>
      </w:pPr>
      <w:r>
        <w:rPr>
          <w:rFonts w:hint="eastAsia"/>
          <w:sz w:val="24"/>
          <w:szCs w:val="24"/>
        </w:rPr>
        <w:t>建设该信息化平台，将按照“一网统筹”的思想，推动砂业产业由传统经济向数字经济转型，补齐发展短板，破除数据共享壁垒，建立行业主管理部门与企业、网上与网下、网络与网格统筹机制，推进数据大融合业务大协同，更高效率促生产。</w:t>
      </w:r>
    </w:p>
    <w:p>
      <w:pPr>
        <w:snapToGrid w:val="0"/>
        <w:spacing w:line="480" w:lineRule="exact"/>
        <w:ind w:firstLine="480"/>
        <w:rPr>
          <w:sz w:val="24"/>
          <w:szCs w:val="24"/>
        </w:rPr>
      </w:pPr>
      <w:r>
        <w:rPr>
          <w:rFonts w:hint="eastAsia"/>
          <w:sz w:val="24"/>
          <w:szCs w:val="24"/>
        </w:rPr>
        <w:t>平台将采用“一个平台、两类入口、N项应用”的“12N”规划，做到规范开采、绿色生产、安全发展，为全市砂石企业、需求单位、行业主管部门提供安全、快捷、准确的产销信息服务，创建重庆矿业行业的服务品牌。</w:t>
      </w:r>
    </w:p>
    <w:p>
      <w:pPr>
        <w:snapToGrid w:val="0"/>
        <w:spacing w:line="480" w:lineRule="exact"/>
        <w:ind w:firstLine="480"/>
        <w:rPr>
          <w:sz w:val="24"/>
          <w:szCs w:val="24"/>
        </w:rPr>
      </w:pPr>
      <w:r>
        <w:rPr>
          <w:rFonts w:hint="eastAsia"/>
          <w:sz w:val="24"/>
          <w:szCs w:val="24"/>
        </w:rPr>
        <w:t>本项目平台的建设按照以下2个阶段分步推进：</w:t>
      </w:r>
    </w:p>
    <w:p>
      <w:pPr>
        <w:snapToGrid w:val="0"/>
        <w:spacing w:line="480" w:lineRule="exact"/>
        <w:ind w:firstLine="480"/>
        <w:rPr>
          <w:sz w:val="24"/>
          <w:szCs w:val="24"/>
        </w:rPr>
      </w:pPr>
      <w:r>
        <w:rPr>
          <w:rFonts w:hint="eastAsia"/>
          <w:sz w:val="24"/>
          <w:szCs w:val="24"/>
        </w:rPr>
        <w:t>第一阶段：完成砂石交易可视化管理信息平台建设，完成下属15座砂石矿场接入平台，监管其各类砂石的产销量及其价格变动趋势。逐步引导其它矿场及买卖双方资源进驻平台。实现在线论证、在线生产、在线监管、线上交易、价格信息披露等线上服务，做亮重庆砂业行业服务品牌，促进平台服务在线化、服务智能化，更高水平满足行业经济数字化升级的目标。</w:t>
      </w:r>
    </w:p>
    <w:p>
      <w:pPr>
        <w:snapToGrid w:val="0"/>
        <w:spacing w:line="480" w:lineRule="exact"/>
        <w:ind w:firstLine="480"/>
        <w:rPr>
          <w:sz w:val="24"/>
          <w:szCs w:val="24"/>
        </w:rPr>
      </w:pPr>
      <w:r>
        <w:rPr>
          <w:rFonts w:hint="eastAsia"/>
          <w:sz w:val="24"/>
          <w:szCs w:val="24"/>
        </w:rPr>
        <w:t>第二阶段：完成砂石交易平台数据仓库、安全生产管理系统、矿区安全管理系统、大数据AI智能可视化管理系统、沙石行业智能服务展厅展示系统、调度指挥系统、洽谈会商系统等建设，完善基础设施建设。实现对全市砂石产销量及其价格变动数据，对全市砂石市场的产销及价格做到市场监管、保供稳价的目标；制定科学管理制度及行业标准，为安全生产及矿区安全提供保障；通过AI智能分析，实现及时了解全国的砂石动态行情数据，及时掌握全国砂石产销及价格行情。发挥国有企业在国民经济中的“稳定器”、“压舱石”作用，推动全市砂石行业规模化、智能化、集约化、生态化发展，更好服务全市经济恢复性增长、高质量发展。</w:t>
      </w:r>
    </w:p>
    <w:p>
      <w:pPr>
        <w:snapToGrid w:val="0"/>
        <w:spacing w:line="480" w:lineRule="exact"/>
        <w:ind w:firstLine="480"/>
        <w:rPr>
          <w:sz w:val="24"/>
          <w:szCs w:val="24"/>
        </w:rPr>
      </w:pPr>
      <w:r>
        <w:rPr>
          <w:rFonts w:hint="eastAsia"/>
          <w:sz w:val="24"/>
          <w:szCs w:val="24"/>
        </w:rPr>
        <w:t>本次招标为第一阶段建设内容，要求各供应商充分考虑系统延展性与扩充性，实现第二阶段的平滑升级。</w:t>
      </w:r>
    </w:p>
    <w:p>
      <w:pPr>
        <w:pStyle w:val="2"/>
        <w:spacing w:before="0" w:after="0" w:line="400" w:lineRule="exact"/>
        <w:rPr>
          <w:rFonts w:ascii="方正仿宋_GBK" w:eastAsia="方正仿宋_GBK"/>
          <w:sz w:val="24"/>
          <w:szCs w:val="24"/>
        </w:rPr>
      </w:pPr>
      <w:bookmarkStart w:id="68" w:name="_Toc48989415"/>
      <w:bookmarkStart w:id="69" w:name="_Toc49435933"/>
      <w:bookmarkStart w:id="70" w:name="_Toc313536013"/>
      <w:bookmarkStart w:id="71" w:name="_Toc48642071"/>
      <w:bookmarkStart w:id="72" w:name="_Toc344475116"/>
      <w:r>
        <w:rPr>
          <w:rFonts w:hint="eastAsia" w:ascii="方正仿宋_GBK" w:eastAsia="方正仿宋_GBK"/>
          <w:sz w:val="24"/>
          <w:szCs w:val="24"/>
        </w:rPr>
        <w:t>三、平台功能及质量要求</w:t>
      </w:r>
      <w:bookmarkEnd w:id="68"/>
      <w:bookmarkEnd w:id="69"/>
      <w:bookmarkEnd w:id="70"/>
      <w:bookmarkEnd w:id="71"/>
      <w:bookmarkEnd w:id="72"/>
    </w:p>
    <w:p>
      <w:pPr>
        <w:ind w:firstLine="480" w:firstLineChars="200"/>
        <w:rPr>
          <w:rFonts w:ascii="方正仿宋_GBK" w:hAnsi="宋体" w:eastAsia="方正仿宋_GBK"/>
          <w:sz w:val="24"/>
          <w:szCs w:val="24"/>
        </w:rPr>
      </w:pP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142"/>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593" w:type="pct"/>
            <w:shd w:val="clear" w:color="auto" w:fill="D8D8D8" w:themeFill="background1" w:themeFillShade="D9"/>
            <w:vAlign w:val="center"/>
          </w:tcPr>
          <w:p>
            <w:pPr>
              <w:widowControl/>
              <w:jc w:val="center"/>
              <w:rPr>
                <w:rFonts w:ascii="方正仿宋_GBK" w:hAnsi="等线" w:eastAsia="方正仿宋_GBK" w:cs="宋体"/>
                <w:b/>
                <w:bCs/>
                <w:kern w:val="0"/>
                <w:sz w:val="21"/>
                <w:szCs w:val="21"/>
              </w:rPr>
            </w:pPr>
            <w:r>
              <w:rPr>
                <w:rFonts w:hint="eastAsia" w:ascii="方正仿宋_GBK" w:hAnsi="等线" w:eastAsia="方正仿宋_GBK" w:cs="宋体"/>
                <w:b/>
                <w:bCs/>
                <w:kern w:val="0"/>
                <w:sz w:val="21"/>
                <w:szCs w:val="21"/>
              </w:rPr>
              <w:t>产品</w:t>
            </w:r>
          </w:p>
        </w:tc>
        <w:tc>
          <w:tcPr>
            <w:tcW w:w="593" w:type="pct"/>
            <w:shd w:val="clear" w:color="auto" w:fill="D8D8D8" w:themeFill="background1" w:themeFillShade="D9"/>
            <w:vAlign w:val="center"/>
          </w:tcPr>
          <w:p>
            <w:pPr>
              <w:widowControl/>
              <w:jc w:val="center"/>
              <w:rPr>
                <w:rFonts w:ascii="方正仿宋_GBK" w:hAnsi="等线" w:eastAsia="方正仿宋_GBK" w:cs="宋体"/>
                <w:b/>
                <w:bCs/>
                <w:kern w:val="0"/>
                <w:sz w:val="21"/>
                <w:szCs w:val="21"/>
              </w:rPr>
            </w:pPr>
            <w:r>
              <w:rPr>
                <w:rFonts w:hint="eastAsia" w:ascii="方正仿宋_GBK" w:hAnsi="等线" w:eastAsia="方正仿宋_GBK" w:cs="宋体"/>
                <w:b/>
                <w:bCs/>
                <w:kern w:val="0"/>
                <w:sz w:val="21"/>
                <w:szCs w:val="21"/>
              </w:rPr>
              <w:t>业务功能</w:t>
            </w:r>
          </w:p>
        </w:tc>
        <w:tc>
          <w:tcPr>
            <w:tcW w:w="3813" w:type="pct"/>
            <w:shd w:val="clear" w:color="auto" w:fill="D8D8D8" w:themeFill="background1" w:themeFillShade="D9"/>
            <w:vAlign w:val="center"/>
          </w:tcPr>
          <w:p>
            <w:pPr>
              <w:widowControl/>
              <w:jc w:val="center"/>
              <w:rPr>
                <w:rFonts w:ascii="方正仿宋_GBK" w:hAnsi="等线" w:eastAsia="方正仿宋_GBK" w:cs="宋体"/>
                <w:b/>
                <w:bCs/>
                <w:kern w:val="0"/>
                <w:sz w:val="21"/>
                <w:szCs w:val="21"/>
              </w:rPr>
            </w:pPr>
            <w:r>
              <w:rPr>
                <w:rFonts w:hint="eastAsia" w:ascii="方正仿宋_GBK" w:hAnsi="等线" w:eastAsia="方正仿宋_GBK" w:cs="宋体"/>
                <w:b/>
                <w:bCs/>
                <w:kern w:val="0"/>
                <w:sz w:val="21"/>
                <w:szCs w:val="21"/>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交易平台</w:t>
            </w:r>
          </w:p>
        </w:tc>
        <w:tc>
          <w:tcPr>
            <w:tcW w:w="593" w:type="pct"/>
            <w:vAlign w:val="center"/>
          </w:tcPr>
          <w:p>
            <w:pPr>
              <w:widowControl/>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砂石周边</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服务市场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将砂石周边服务根据系统预设分类发布到平台中。服务信息发布后需要平台审核后方显示在服务市场中。系统显示最新服务、最受欢迎服务栏目将后台设置的最新服务和最受欢迎服务显示在相应的区域。服务内容包括价格、服务内容、服务方式、结算方式等，支持图片、文字或视频的组合。</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砂石设备</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预设砂石设备分类。销售方可根据系统分类发布砂石设备到平台。支持申请设备品牌，品牌申请后需要平台审核后方可使用。支持设置砂石设备库存、市场价、折扣价、设备介绍等。设备成交后支持对该设备进行评论，评论内容先由系统智能审核功能进行自动审核，审核通过后方才显示，也支持人工审核功能。</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二手市场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系统设置二手市场交易栏目，可发布二手设备、车辆等信息进行交易。系统预设部分二手市场分类栏目，仅可发布相应分类下的物品。二手设备交易后自动下架并关闭。</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历史成交记录</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对于服务市场、砂石设备等物品交易，系统支持直接查看交易记录。公共查看的交易记录需要对数据进行脱敏处理。系统默认显示最新的交易记录。</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平台认证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对于市场的交易物品，平台提供认证服务。发布物品时可申请平台认证。平台认证后在平台上显示“平台认证”图标，同时交易物品信息可修改。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砂石交易</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预设砂石商品分类、规格等属性。支持自主发布砂石商品，系统提供审核开关，当开启审核时发布的商品需要后台审核后方可架，否则发布后用户可自主上架。商品信息支持文字、图片、视频等多种形式的内容以及其组合。</w:t>
            </w:r>
          </w:p>
          <w:p>
            <w:pPr>
              <w:widowControl/>
              <w:jc w:val="left"/>
              <w:rPr>
                <w:rFonts w:ascii="方正仿宋_GBK" w:hAnsi="等线" w:eastAsia="方正仿宋_GBK" w:cs="宋体"/>
                <w:kern w:val="0"/>
                <w:sz w:val="21"/>
                <w:szCs w:val="21"/>
              </w:rPr>
            </w:pPr>
            <w:r>
              <w:rPr>
                <w:rFonts w:ascii="方正仿宋_GBK" w:hAnsi="等线" w:eastAsia="方正仿宋_GBK" w:cs="宋体"/>
                <w:kern w:val="0"/>
                <w:sz w:val="21"/>
                <w:szCs w:val="21"/>
              </w:rPr>
              <w:t>商品上下架管理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系统支持设置商品库存和警戒库存。当库存销售完毕后商品自动下架。当库存达到警戒库存时系统主动通过站内信、短信通知用户。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提供所订单查询、详情查看等。提供按订单状态进分类查询。订单详情显示交易双方信息、交易时间、数量、支付状态、电子合同等信息。</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保证金支付</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对于设置保证金的商品，系统支持先支付部分保证金。已支付保证金的订单其支付状态为“已支付保证金”。</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成本计算器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购买商品时系统自动根据卖家矿区位置和买家需求地址坐标（需要买家指定），支持取运输线路路况、过路通行费、历史运费等数据进行综合计算，最终得出估计运费值提示用户每单位的成本价。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订单状态跟踪</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系统自动跟踪每个订单状态 ，当订单状态发生变化时主动通知买卖双方。通知方式包含站内信、短信、邮件等多种方式。</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订单支付</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系统不提供在线支付功能。系统支持和银行系统对接以获取其对账信息。当用户提交订单支付凭据时系统自动根据对接的数据进行对账。当对账成功后则更新订单支付状态。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销售合同</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买卖双方在下单时需要签订购销合同。购销合同可以由其中某一方从系统模板中选择或自主编辑。合同进行在线签订，在线签订后自动进行合同保全，事后可作为法律举证。买卖双方随时可查看合同内容或下载其电子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砂石拍卖</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拍卖商品管理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用户可添加拍卖商品，拍买商品需要根据系统要求选择预设的拍卖区域。</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拍卖资格</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拍卖商品可定参与拍卖的买方资格。包括：是否认证、信用等级、保证金额度等。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起拍价与加价幅度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拍卖商品可设置起拍价和加价幅度，在未开拍卖前可以修改，开始拍卖后则由系统锁定并不能修改。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一口价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拍卖商品可设置一口价，此时买家不能加价，先到先得。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拍卖有效期</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拍卖商品可设置拍卖有效期，当达到有效期仍未获得出价或仍未售出时则自动下架处理。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砂石预购</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商品发布</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砂石预购信息在发布砂石商品时进行添加。可定预购期限、预购价格以及其他预购说明。添加了预购信息的商品在商品列表中会显示“可预购”标签，且显示预购价格。</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交付履约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用户下预购订单后，系统自动根据预购信息生成预约约束。当临近条件时系统会通过站内信、短信等多种方式通知交易双方履约。包括支付剩余金额、交付货物等。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预约合约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用户下预购订单时同样需要签订预约合同。预购合同与正式合同一样，则双方选择系统合同模板或自主编辑。双方签订后由平台进行数据保全。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砂石指数</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分类商品指数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根据不同的商品分类计算各个分类的商品价格指数。也支持计算所有砂石产品的价格指数。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地区指数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根据地区分别计算不同地区的砂石产品价格指数。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综合指数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将所有砂石产品根据预设权重值进行指数计算。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销量指数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计算平台所有砂石产品的销量指数，也支持根据分类计算不同分类的销量指数。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指数均线</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价格指数、销量指数等，都支持5日均线、15日均线、30日均线等多种数据展示。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矿区地图</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基于GIS的矿区展示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系统支持将矿区位置显示在地图上交进行标注。不同类型的矿区采用不同的图标显示。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矿区筛选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支持按照矿区规模、矿区标签、矿区产品进行筛选。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运费测算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支持随意选择地图上的某个矿区，然后指定目标位置来计算两地之间的估计运费。支持运费根据路况、通行费、历史运费等数据进行综合计算。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产能分布</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系统支持产能分布视图，系统根据产能情况采用热力图的形式显示产能分布情况，支持根据产品进行分类筛选。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质量检测</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质检申请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平台提供质检申请服务。卖家发布商品时可申请质量检测，经过专业机构对产品质量进行检测后提供检测报告，并将检测报告显示在商品描述中。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报告数据保全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检测报告出具后平台自动上传到数据保全平台进行数据保全以保证检测报告的不可篡改特性。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其他内容</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在线咨询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平台提供在线咨询入口，用户可以在线发起提问，后台服务人员随即收到信息并给予回复。</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商品评论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在商品成交后可以进行评论，评论显示在商品详情下方，同时评论的敏感信息需要进行脱敏。</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分类审核</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商品分类由平台进行统一管理。用户可申请商品分类，由平台审核后方使用。后台也可以由管理员直接添加。</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品牌审核</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品牌由平台进行统一管理。用户可申请品牌，由平台审核后方使用。后台也可以由管理员直接添加品牌。</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商品收藏</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平台提供商品收藏功能，已收藏的商品可以在用户收藏夹里查看。</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我的订单</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查看当前用户提交的所有订单，包含商品订单、服务订单等。可对订单进行进一步操作，包括撤销、支付、查看详情等。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站内公告</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系统提供站内公告功能，可由平台自动生成和发送。也可由管理员自主发送公告。</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广告位管理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支持对平所有广告位进行管理。包括指定广告内容、有效期、跳转地址等。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友情链接</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支持对友情链接进行管理。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热门商品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支持对热门商品进行指定，可指定热门商品有效期，过了有效期自动移除。</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问卷调查</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系统提供问卷调查功能。提供包括单选、多选、填空等类型的题目。支持对问卷调查结果进行统计分析和导出。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帮助内容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系统帮助内容管理。支持在后台自主更新和维护。</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操作日志</w:t>
            </w:r>
          </w:p>
          <w:p>
            <w:pPr>
              <w:widowControl/>
              <w:jc w:val="left"/>
              <w:rPr>
                <w:rFonts w:ascii="Arial" w:hAnsi="Arial" w:eastAsia="Arial" w:cs="Arial"/>
                <w:sz w:val="16"/>
                <w:szCs w:val="16"/>
                <w:shd w:val="clear" w:color="auto" w:fill="F2F2F2"/>
              </w:rPr>
            </w:pPr>
            <w:r>
              <w:rPr>
                <w:rFonts w:hint="eastAsia" w:ascii="方正仿宋_GBK" w:hAnsi="等线" w:eastAsia="方正仿宋_GBK" w:cs="宋体"/>
                <w:kern w:val="0"/>
                <w:sz w:val="21"/>
                <w:szCs w:val="21"/>
              </w:rPr>
              <w:t>系统自动记录包括后台管理员、所有用户的操作日志。操作日志默认保存1年。超过一年自动删除。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电子签约平台</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电子合同</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合同模板</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系统支持预设合同模板功能，合同模板可进行分类管理。在后台可以对合同模板内容进行维护。</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多方合同</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系统支持多方共同维护合同内容和共同签订同一份合同。</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合同分类</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合同根据使用场景自动进行分类。包含但不限于购销合同、预购合同、服务合同等。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用户可在合同管理功能里查询参与签订的合同。可以下载电子版合同内容。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司法举证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支持下载符合司法举证合同原始数据包，在发生纠纷时可采用此数据包进行司法举证。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合同保全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平台中所有电子合同一量签订，则由平台自动上传到数据保全平台进行数据保全。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电子签章</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CA证书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平台在对每个用户资格进行审核后会颁发CA证书，且颁发的CA证书是拥有法律许可的完整授权链的。CA证书以硬件加密狗的方式发放。该证书后期用于合同签订等具有法律效力的应用场景。</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签章日志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系统记录用户的所有签章日志。用户可在签章日志功能中进行查询。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签章验证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用户将拥有的合同或其他文件上传到系统中以验证文件中的签章是否有效并查看签章双方的信息。</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签章撤销</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当用户遗失签章CA证书时可以在系统中申请签章撤销，撤销后的证书随即作废不能再进行签章。</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文件签章</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用户可将多种文件上传到系统中进行签章。包括图片、文本、音频等。签章后的文件随即被签章双方认可，可用于司法举证等。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法律服务</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合同审核</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平台支持在线法律服务，交易双方拟定合同内容后可在平台中申请法律服务，由专业律师对合同内容进行审核。</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法律咨询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平台提供法律咨询服务，可通过在线联系方式联系到专业的律师进行咨询。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信用评级体系</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资质认证</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企业基本资质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平台用户注册时需要上传企业资质文件。包括营业执照、行业资质等电子版文件，平台审核后该用户方可进行交易。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资质有效期管理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平台审核时要求录入资质有效期。当临近资质到期时间时系统自动提醒用户和平台管理员。当超过有效期时资质自动作废。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交易评级</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基本面评级</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根据企业的注册资金、股权组成、企业过规模等属性进行评级。</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交易历史评估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根据用户的历史交易记录，如交易数量、频次、交易品种等进行评估。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交易金额评估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根据用户的历史交易金额进行评估。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交易履约评估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根据用户的历史交易履约情况进行评估。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交易评价评估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根据用户历史交易的评价得分进行评估。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风险评估</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授信金额评估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根据用户已经获得的授信金额和已经使用的授信金额进行评估。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金融风险评估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根据用户已经进行融资的情况进行金融风险评估。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外部风险评估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根据该企业的外部信息和行业信息进行综合风险评估。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数据保全平台</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数据监控</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数据统计</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对平台整体的数据保全数据进行统计和展示。包括数据保全数量、容量、频率、趋势、保全成本等进行展示。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已保全数据查询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查询平台所有已经保全的数据清单。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数字取证</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从平台查询下载指定合同或已上传到数据保全平台的司法举证数据包。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保险服务平台</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险种查询</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保险分类查询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查询平台支持的保险产品列表。可通过类别、关键词进行查询。可查看险种详情说明。</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保险服务商查询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可查询保险服务商详情。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在线投保</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在线快速投保</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在买卖双方交易时如果具有相应的保险产品，则可以选择快速投保来对交易双方的交易过程或产品本身进行投保。</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保单签属</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在交易过程中如果选择了快速投保，则需要在交易时签订相应的保单，保单由投保方和保险公司双方共同签订。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保单查询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查询当前用户已经投保的保单，可查看保单详情或下载电子版保单。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保险理陪</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理陪申请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当购买保单后需要进行保单理陪时可在系统中快速申请理陪。</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理陪资料</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申请理陪时可直接从系统中获取理陪资料，需要额外的资料则请单独上传。</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理陪进度查看</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已经进行理陪的保单可以随时跟踪理陪进度。当进度有更新时系统自动通知。</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理陪服务评价</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理陪结束后用户可对该保险产品进行评价。评价内容显示时需要进行脱敏处理。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金融服务平台</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金融产品介绍</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金融产品说明</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用户可查询系统提供的金融产品说明。可根据分类、关键词进行查询。可查看金额产品详情。 </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金融指南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用户可查看平提供金融产品的操作指南和相关说明。指南内容可由后台进行管理。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金融签约</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金融签约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当用户选择了金融服务，则需要签订金融服务合同。已签订的金融服务合同自动上传到数据保全平台进行数据保全。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我的金融</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查看用户已经签订的金融服务内容。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我的额度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查看我已经签金融服务内容的总额度、剩余额度等相关数据。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金融还款</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逾期提醒</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当用户享受了金融服务后，如果快到逾期时系统自动通过多种方式进行提醒。</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贷款查询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用户可查询所有贷款记录以及相关数据统计。</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金融还款</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用户可在平台中提供金融还款记录。金融机构在确认后自动恢复相应的额度。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restart"/>
            <w:vAlign w:val="center"/>
          </w:tcPr>
          <w:p>
            <w:pPr>
              <w:widowControl/>
              <w:jc w:val="center"/>
              <w:rPr>
                <w:rFonts w:hint="default" w:ascii="方正仿宋_GBK" w:hAnsi="等线" w:eastAsia="方正仿宋_GBK" w:cs="宋体"/>
                <w:kern w:val="0"/>
                <w:sz w:val="21"/>
                <w:szCs w:val="21"/>
                <w:lang w:val="en-US"/>
              </w:rPr>
            </w:pPr>
            <w:r>
              <w:rPr>
                <w:rFonts w:hint="eastAsia" w:ascii="方正仿宋_GBK" w:hAnsi="等线" w:eastAsia="方正仿宋_GBK" w:cs="宋体"/>
                <w:kern w:val="0"/>
                <w:sz w:val="21"/>
                <w:szCs w:val="21"/>
              </w:rPr>
              <w:t>大数据平台</w:t>
            </w:r>
            <w:r>
              <w:rPr>
                <w:rFonts w:hint="eastAsia" w:ascii="方正仿宋_GBK" w:hAnsi="等线" w:eastAsia="方正仿宋_GBK" w:cs="宋体"/>
                <w:kern w:val="0"/>
                <w:sz w:val="21"/>
                <w:szCs w:val="21"/>
                <w:lang w:val="en-US" w:eastAsia="zh-CN"/>
              </w:rPr>
              <w:t>(</w:t>
            </w:r>
            <w:r>
              <w:rPr>
                <w:rFonts w:hint="eastAsia" w:ascii="方正仿宋_GBK" w:hAnsi="等线" w:eastAsia="方正仿宋_GBK" w:cs="宋体"/>
                <w:color w:val="000000"/>
                <w:kern w:val="0"/>
                <w:sz w:val="21"/>
                <w:szCs w:val="21"/>
                <w:lang w:eastAsia="zh-CN"/>
              </w:rPr>
              <w:t>各矿山监控视频系统、安全管理系统</w:t>
            </w:r>
            <w:r>
              <w:rPr>
                <w:rFonts w:hint="eastAsia" w:ascii="方正仿宋_GBK" w:hAnsi="等线" w:eastAsia="方正仿宋_GBK" w:cs="宋体"/>
                <w:color w:val="000000"/>
                <w:kern w:val="0"/>
                <w:sz w:val="21"/>
                <w:szCs w:val="21"/>
                <w:lang w:val="en-US" w:eastAsia="zh-CN"/>
              </w:rPr>
              <w:t>)</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用户大数据</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用户活动率</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采集用户访问数据，统计用户活动率，包括日活动率、周活动率、月活动率等。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用户交易率</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采集用户数据、交易数据访问数据，统计用户参与交易的比例，包括日交易率、周交易率、月交易率等。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用户画像</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根据用户交易额、区域、注册资金、行业等多维度进行用户画像。</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用户关系</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采集用户交易数据、业务往来数据、股权关联数据，对用户交易关系、业务往来关系进行分析和展示。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产能大数据</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产能分布图</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采集矿区各类产品的产能数据和矿区地理位置，根据系统中的产能数据和矿区位置进行产能分布图展示。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产能趋势</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采集各类产品的产能数据并切片进行保存，展示一段时间的产能趋势。可分品种进行趋势统计和展示。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产能同比</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采集各类产品产能数据，将整体和分类产品的产能同比分析展示。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产能排行</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平台矿区产能排行榜展示，可分品种进行统计排行。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销售大数据</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成交区域分布</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采集交易数据以及交易双方的地理位置，根据交易量进行交易区域分布分析展示。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成交品种分布</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采集交易数据，根据交易品种进行分布比例展示。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成交量趋势</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采集交易数据，根据交易量进行交易趋势展示。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成交量指数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采集交易数据，展示系统成交量指数，包括整体指数和分类指数。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价格大数据</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采集所有交易数据的价格信息，计算砂石价格指数，可整体和分类进行价格指数计算。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价格走势</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采集所有交易数据的价格信息，计算砂石产品价格走势，可整体和分类进行价格走势计算。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行业平均价格</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通过和外部系统对接或自主导入、录入的方式采集行业相关数据，分析并显示外部采集的行业平均价格等数据。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流量大数据</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流量来源分析</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采集用户访问数据，对平台各渠道的访问流量来源进行分析展示。</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用户粘度分析</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采集用户访问数据以及相关注册、交易数据，根据流量、活动率等分析用户粘度。</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流量分布情况</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采集用户访问数据，统计和分析流量分布情况。</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用户转化率</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采集用户访问数据以及相关注册、交易数据，统计用户转化率。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砂石开放平台</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访问鉴权</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OAuth接口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在不提供用户保密信息前提下为第三方系统提供平台用户授权认证。</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权限管理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对接入开放平台的用户接口访问权限进行管理，允许部分接口授权。</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访问日志</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平台保存用户所有的接口访问日志记录，记录详细的参数、返回内容摘要等信息。日志至少保存1年以上。</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参数管理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管理接口用户相关调用参数，如果AppID、AppSecret等。</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Token获取</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获取接口调用需要的Token参数，以及定时更新Token接口。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参数签名</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平台和第三方系统约定的参数签校验，校验通过的方可调用接口并返回数据。</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数据加密</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平台和第三方系统约定的数据加密算法和KEY，双方通讯过程中需要进行加解密才能进行数据交互。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用户接口</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基本信息获取</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获取指定用户的基本信息接口。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用户信息修改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修改当用户的基本信息接口。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资质接口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获取当前用户的资质信息。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基本信息接口</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商品分类接口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获取平台的商品分类信息接口。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商品列表接口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获取平台的商品列表信息接口。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商品信息接口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获取平台的商品详情信息接口。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订单接口</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订单查询接口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查询当前用户的订单列表以及订单详情接口。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订单支付接口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更新指定订单的支付信息接口。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订单撤消接口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撤消指定的订单接口。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金融服务接口</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金融产品查询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查询系统支持的金额产品列表和金融产品详情接口。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金融签约查询</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查询已经签约的金融产品接口。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金融还款接口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提交金融还款信息接口。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93" w:type="pct"/>
            <w:vMerge w:val="continue"/>
            <w:vAlign w:val="center"/>
          </w:tcPr>
          <w:p>
            <w:pPr>
              <w:widowControl/>
              <w:jc w:val="center"/>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数据报表接口</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价格指数接口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获取平台支持的价格指数，包括整体指数和分类指数。</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价格趋势接口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获取平台商品的价格趋势数据。</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产能数据接口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获取平台的产能数据。</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行业数据接口</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获取平台支持的行业数据。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移动应用</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微信小程序</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系统除PC端功能外还支持为前端应用提供小程序端功能，包括供应商、需求方、金融机构。微信小程序端的功能应包含交易平台、金融服务平台的所有前端功能。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系统接口</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与银行系统对接</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实现统一身份认证单点登陆。</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实现系统人员基本信息、单位部门编码等组织机构信息的共享公用。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与保险系统对接</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支持与系统的数据中心对接，实现数据的双向共享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政府服务对接</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支持在行业主管部门开放接口的前提下，能实现相关信息的对接。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短信平台对接</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支持和短信平台对接，实现按需自动发送短信。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设置与维护</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基本信息</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系统需提供系统基本信息、运行参数等基础数据维护功能。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权限管理</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后台系统支持多角色管理，需提供基于角色的授权体系，能将用户的权限限制到具体功能和数据项目（如具体的某一个数据字段）的某一项或多项具体操作上（如添加、修改、删除、查看、打印），能准确授予用户职权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系统通知</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系统支持主管部门发送系统内部通知，通知支持强制弹出，支持按时段显示，通知内容支持附件上传、下载。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 xml:space="preserve"> 备份下载</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系统需每晚自动生成整库数据备份（非文件备份），系统管理员可自主进行备份下载，提高数据安全性。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jc w:val="center"/>
        </w:trPr>
        <w:tc>
          <w:tcPr>
            <w:tcW w:w="593" w:type="pct"/>
            <w:vMerge w:val="restar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技术要求</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系统架构</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系统采用三层B/S（浏览器/服务器模式）架构，系统基于Web技术开发，利用浏览器进行使用和管理。</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系统采用多层架构，各层之间互相独立并具有一定扩展性。</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采用业务流程驱动的设计思想，业务流程可根据系统实际业务自定义相关处理节点。</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系统采用分布式架构设计，系统可分布式部署，并按需将服务器进行分离部署；可将Web Server和Database Server分开部署。</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系统可以根据用户量的增大而扩充服务器数量并支持负载均衡；系统软件采用模块化的架构设计。</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系统采用高性能数据库，可支持平台运行10年的数据增长量而不必更换数据库产品。</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具备并开放二次开发整合接口，用于将后续开发的功能模块集成到系统中。信息交换方式应符合XML数据交换标准，交互操作服务接口应符合HTTP标准，系统交互模式支持同步与异步方式，交互数据应支持各种数据类型。</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系统使用不限用户数量。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系统安全性</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系统采用SSL传输协议，可以实现链路层的加密传输。</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系统提供基于角色的授权体系，能将用户的权限限制到具体功能和数据项目（如具体的某一个数据字段）的某一项或多项具体操作上（如添加、修改、删除、查看、打印），能准确授予用户职权范围。</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系统提供完整的用户访问日志审计功能。</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系统提供数据自动异地备份的机制（每天备份），确保数据安全。</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系统要求能满足3级等级保护相关要求。</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数据保全产品要求采用具有法律效力，具有知识产权且基于区块链的数据保全产品（本项目引入金融、保险业务，该业务开展必须对数据进行保全处理，采用的技术手段必须具备法律效力；区块链技术目前是行业公认的防篡改和可追溯的有效技术手段，故要求以区块链作为基本技术手段）。</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电子签章产品要求采用具有法律效力，经过国家保密局等相关机构认证的产品。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性能要求</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事务处理查询平均不高于3秒，最长不高于6秒。</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普通应用查询平均不高于6秒，最长不高于10秒。</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统计分析类查询平均不高于20秒，最长不高于40秒。</w:t>
            </w:r>
            <w:r>
              <w:rPr>
                <w:rFonts w:hint="eastAsia" w:ascii="方正仿宋_GBK" w:hAnsi="等线" w:eastAsia="方正仿宋_GBK" w:cs="宋体"/>
                <w:kern w:val="0"/>
                <w:sz w:val="21"/>
                <w:szCs w:val="21"/>
              </w:rPr>
              <w:br w:type="textWrapping"/>
            </w:r>
            <w:r>
              <w:rPr>
                <w:rFonts w:hint="eastAsia" w:ascii="方正仿宋_GBK" w:hAnsi="等线" w:eastAsia="方正仿宋_GBK" w:cs="宋体"/>
                <w:kern w:val="0"/>
                <w:sz w:val="21"/>
                <w:szCs w:val="21"/>
              </w:rPr>
              <w:t>系统支持在线用户数：2000人以上。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易用、便捷性要求</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系统保证客户端用Window 7、Window 8、Win10等常用操作系统（含家庭版、专业版、旗舰版等各种版本）的正常使用，浏览器支持IE10.0及以上版本，并支持Google Chrome、Firefox、360等主流浏览器。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93" w:type="pct"/>
            <w:vMerge w:val="restar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知识产权要求</w:t>
            </w: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开发组件</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系统开发所使用的所有开发组件和运行环境应不存在产权纠纷问题。</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所使用的组件应为投标人自主研发或已完全购买并具有相的权利。</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投标人在系统开发中所用到的自主研发子系统或开发组件中的关键组件应著作权或专利证书等证明文件。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Merge w:val="continue"/>
            <w:vAlign w:val="center"/>
          </w:tcPr>
          <w:p>
            <w:pPr>
              <w:widowControl/>
              <w:jc w:val="left"/>
              <w:rPr>
                <w:rFonts w:ascii="方正仿宋_GBK" w:hAnsi="等线" w:eastAsia="方正仿宋_GBK" w:cs="宋体"/>
                <w:kern w:val="0"/>
                <w:sz w:val="21"/>
                <w:szCs w:val="21"/>
              </w:rPr>
            </w:pPr>
          </w:p>
        </w:tc>
        <w:tc>
          <w:tcPr>
            <w:tcW w:w="593" w:type="pct"/>
            <w:vAlign w:val="center"/>
          </w:tcPr>
          <w:p>
            <w:pPr>
              <w:widowControl/>
              <w:jc w:val="center"/>
              <w:rPr>
                <w:rFonts w:ascii="方正仿宋_GBK" w:hAnsi="等线" w:eastAsia="方正仿宋_GBK" w:cs="宋体"/>
                <w:kern w:val="0"/>
                <w:sz w:val="21"/>
                <w:szCs w:val="21"/>
              </w:rPr>
            </w:pPr>
            <w:r>
              <w:rPr>
                <w:rFonts w:hint="eastAsia" w:ascii="方正仿宋_GBK" w:hAnsi="等线" w:eastAsia="方正仿宋_GBK" w:cs="宋体"/>
                <w:kern w:val="0"/>
                <w:sz w:val="21"/>
                <w:szCs w:val="21"/>
              </w:rPr>
              <w:t>项目成果</w:t>
            </w:r>
          </w:p>
        </w:tc>
        <w:tc>
          <w:tcPr>
            <w:tcW w:w="3813" w:type="pct"/>
            <w:vAlign w:val="center"/>
          </w:tcPr>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本项目的最终成果知识产权归需求方所有，且具有二次开发权利，投标人不得以本项目申请任何诸如软件著作权、专利、论文等知识产权内容。</w:t>
            </w:r>
          </w:p>
          <w:p>
            <w:pPr>
              <w:widowControl/>
              <w:jc w:val="left"/>
              <w:rPr>
                <w:rFonts w:ascii="方正仿宋_GBK" w:hAnsi="等线" w:eastAsia="方正仿宋_GBK" w:cs="宋体"/>
                <w:kern w:val="0"/>
                <w:sz w:val="21"/>
                <w:szCs w:val="21"/>
              </w:rPr>
            </w:pPr>
            <w:r>
              <w:rPr>
                <w:rFonts w:hint="eastAsia" w:ascii="方正仿宋_GBK" w:hAnsi="等线" w:eastAsia="方正仿宋_GBK" w:cs="宋体"/>
                <w:kern w:val="0"/>
                <w:sz w:val="21"/>
                <w:szCs w:val="21"/>
              </w:rPr>
              <w:t>项目中用到的投标人已具有知识产权的部分知识产权仍然归投标人所有。</w:t>
            </w:r>
          </w:p>
        </w:tc>
      </w:tr>
    </w:tbl>
    <w:p>
      <w:pPr>
        <w:snapToGrid w:val="0"/>
        <w:spacing w:line="480" w:lineRule="exact"/>
        <w:ind w:firstLine="480"/>
      </w:pPr>
    </w:p>
    <w:p>
      <w:pPr>
        <w:widowControl/>
        <w:jc w:val="left"/>
        <w:rPr>
          <w:b/>
          <w:sz w:val="32"/>
        </w:rPr>
      </w:pPr>
      <w:r>
        <w:br w:type="page"/>
      </w:r>
    </w:p>
    <w:p>
      <w:pPr>
        <w:pStyle w:val="2"/>
        <w:spacing w:before="0" w:after="0" w:line="400" w:lineRule="exact"/>
        <w:rPr>
          <w:rFonts w:ascii="方正仿宋_GBK" w:eastAsia="方正仿宋_GBK"/>
          <w:sz w:val="24"/>
          <w:szCs w:val="24"/>
        </w:rPr>
      </w:pPr>
      <w:bookmarkStart w:id="73" w:name="_Toc49435934"/>
      <w:bookmarkStart w:id="74" w:name="_Toc48989416"/>
      <w:r>
        <w:rPr>
          <w:rFonts w:hint="eastAsia" w:ascii="方正仿宋_GBK" w:eastAsia="方正仿宋_GBK"/>
          <w:sz w:val="24"/>
          <w:szCs w:val="24"/>
        </w:rPr>
        <w:t>四、</w:t>
      </w:r>
      <w:bookmarkStart w:id="75" w:name="_Hlk48985828"/>
      <w:r>
        <w:rPr>
          <w:rFonts w:hint="eastAsia" w:ascii="方正仿宋_GBK" w:eastAsia="方正仿宋_GBK"/>
          <w:sz w:val="24"/>
          <w:szCs w:val="24"/>
        </w:rPr>
        <w:t>平台需求清单</w:t>
      </w:r>
      <w:bookmarkEnd w:id="73"/>
      <w:bookmarkEnd w:id="74"/>
      <w:bookmarkEnd w:id="75"/>
    </w:p>
    <w:p>
      <w:pPr>
        <w:widowControl/>
        <w:jc w:val="left"/>
        <w:rPr>
          <w:rFonts w:ascii="方正仿宋_GBK" w:hAnsi="宋体" w:eastAsia="方正仿宋_GBK"/>
          <w:sz w:val="24"/>
          <w:szCs w:val="24"/>
        </w:rPr>
      </w:pPr>
    </w:p>
    <w:tbl>
      <w:tblPr>
        <w:tblStyle w:val="57"/>
        <w:tblW w:w="5117" w:type="pct"/>
        <w:tblInd w:w="0" w:type="dxa"/>
        <w:tblLayout w:type="autofit"/>
        <w:tblCellMar>
          <w:top w:w="0" w:type="dxa"/>
          <w:left w:w="108" w:type="dxa"/>
          <w:bottom w:w="0" w:type="dxa"/>
          <w:right w:w="108" w:type="dxa"/>
        </w:tblCellMar>
      </w:tblPr>
      <w:tblGrid>
        <w:gridCol w:w="658"/>
        <w:gridCol w:w="4206"/>
        <w:gridCol w:w="3892"/>
        <w:gridCol w:w="438"/>
        <w:gridCol w:w="659"/>
      </w:tblGrid>
      <w:tr>
        <w:tblPrEx>
          <w:tblCellMar>
            <w:top w:w="0" w:type="dxa"/>
            <w:left w:w="108" w:type="dxa"/>
            <w:bottom w:w="0" w:type="dxa"/>
            <w:right w:w="108" w:type="dxa"/>
          </w:tblCellMar>
        </w:tblPrEx>
        <w:trPr>
          <w:trHeight w:val="621"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平台建设软件需求清单</w:t>
            </w:r>
          </w:p>
        </w:tc>
      </w:tr>
      <w:tr>
        <w:tblPrEx>
          <w:tblCellMar>
            <w:top w:w="0" w:type="dxa"/>
            <w:left w:w="108" w:type="dxa"/>
            <w:bottom w:w="0" w:type="dxa"/>
            <w:right w:w="108" w:type="dxa"/>
          </w:tblCellMar>
        </w:tblPrEx>
        <w:trPr>
          <w:trHeight w:val="353" w:hRule="atLeast"/>
        </w:trPr>
        <w:tc>
          <w:tcPr>
            <w:tcW w:w="431" w:type="pct"/>
            <w:tcBorders>
              <w:top w:val="nil"/>
              <w:left w:val="single" w:color="auto" w:sz="4" w:space="0"/>
              <w:bottom w:val="single" w:color="auto" w:sz="4" w:space="0"/>
              <w:right w:val="single" w:color="auto" w:sz="4" w:space="0"/>
            </w:tcBorders>
            <w:shd w:val="clear" w:color="000000" w:fill="BFBFBF"/>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218" w:type="pct"/>
            <w:tcBorders>
              <w:top w:val="nil"/>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2482" w:type="pct"/>
            <w:tcBorders>
              <w:top w:val="nil"/>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主要工作内容</w:t>
            </w:r>
          </w:p>
        </w:tc>
        <w:tc>
          <w:tcPr>
            <w:tcW w:w="434" w:type="pct"/>
            <w:tcBorders>
              <w:top w:val="nil"/>
              <w:left w:val="nil"/>
              <w:bottom w:val="single" w:color="auto" w:sz="4" w:space="0"/>
              <w:right w:val="single" w:color="auto" w:sz="4" w:space="0"/>
            </w:tcBorders>
            <w:shd w:val="clear" w:color="000000" w:fill="BFBFB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431"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tblPrEx>
          <w:tblCellMar>
            <w:top w:w="0" w:type="dxa"/>
            <w:left w:w="108" w:type="dxa"/>
            <w:bottom w:w="0" w:type="dxa"/>
            <w:right w:w="108" w:type="dxa"/>
          </w:tblCellMar>
        </w:tblPrEx>
        <w:trPr>
          <w:trHeight w:val="36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一、砂石交易可视化管理信息系统</w:t>
            </w:r>
          </w:p>
        </w:tc>
      </w:tr>
      <w:tr>
        <w:tblPrEx>
          <w:tblCellMar>
            <w:top w:w="0" w:type="dxa"/>
            <w:left w:w="108" w:type="dxa"/>
            <w:bottom w:w="0" w:type="dxa"/>
            <w:right w:w="108" w:type="dxa"/>
          </w:tblCellMar>
        </w:tblPrEx>
        <w:trPr>
          <w:trHeight w:val="745"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hint="eastAsia" w:ascii="方正仿宋_GBK" w:hAnsi="等线" w:eastAsia="方正仿宋_GBK" w:cs="宋体"/>
                <w:color w:val="000000"/>
                <w:kern w:val="0"/>
                <w:sz w:val="21"/>
                <w:szCs w:val="21"/>
                <w:lang w:eastAsia="zh-CN"/>
              </w:rPr>
            </w:pPr>
            <w:r>
              <w:rPr>
                <w:rFonts w:hint="eastAsia" w:ascii="方正仿宋_GBK" w:hAnsi="等线" w:eastAsia="方正仿宋_GBK" w:cs="宋体"/>
                <w:color w:val="000000"/>
                <w:kern w:val="0"/>
                <w:sz w:val="21"/>
                <w:szCs w:val="21"/>
              </w:rPr>
              <w:t>交易平台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实现砂石交易平台开发和实施，包括：砂石周边、砂石交易、砂石拍卖、砂石预购、砂石指数、矿区地图、质量检测等内容。</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587"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电子签约平台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实现电子合同管理、电子签章、法律服务功能开发和实施。</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553"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信用评级体系</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实现资质认证、交易评级、风险评估的功能开发和实施。</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689"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数据保全平台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实现数据临近、数字取证的开发和实施。</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557"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保险服务平台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实现险种查询、在线投保、保险理陪的功能开发和实施。</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537"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金融服务平台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实现金融产品介绍、金融签约、金融还款的功能开发和实施。</w:t>
            </w:r>
          </w:p>
        </w:tc>
        <w:tc>
          <w:tcPr>
            <w:tcW w:w="434"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517"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hint="eastAsia"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大数据平台</w:t>
            </w:r>
          </w:p>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lang w:eastAsia="zh-CN"/>
              </w:rPr>
              <w:t>（各矿山监监控视频系统、安全管理系统）</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实现用户大数据、产能大数据、销售大数据、价格大数据、流量 大数据的功能开发和实施。</w:t>
            </w:r>
          </w:p>
        </w:tc>
        <w:tc>
          <w:tcPr>
            <w:tcW w:w="434" w:type="pct"/>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653"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砂石开放平台</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实现访问鉴权、用户接口、基本信息接口、订单接口、金融服务接口、数据报表接口的功能开发和实施。</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288"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218" w:type="pct"/>
            <w:tcBorders>
              <w:top w:val="nil"/>
              <w:left w:val="nil"/>
              <w:bottom w:val="single" w:color="auto" w:sz="4" w:space="0"/>
              <w:right w:val="single" w:color="auto" w:sz="4" w:space="0"/>
            </w:tcBorders>
            <w:shd w:val="clear" w:color="000000" w:fill="FFFFFF"/>
            <w:noWrap/>
            <w:vAlign w:val="center"/>
          </w:tcPr>
          <w:p>
            <w:pPr>
              <w:widowControl/>
              <w:rPr>
                <w:rFonts w:ascii="方正仿宋_GBK" w:hAnsi="等线" w:eastAsia="方正仿宋_GBK" w:cs="宋体"/>
                <w:color w:val="000000"/>
                <w:kern w:val="0"/>
                <w:sz w:val="21"/>
                <w:szCs w:val="21"/>
              </w:rPr>
            </w:pPr>
            <w:r>
              <w:rPr>
                <w:rFonts w:hint="eastAsia" w:ascii="方正仿宋_GBK" w:hAnsi="等线" w:eastAsia="方正仿宋_GBK" w:cs="宋体"/>
                <w:color w:val="000000"/>
                <w:kern w:val="0"/>
                <w:sz w:val="21"/>
                <w:szCs w:val="21"/>
              </w:rPr>
              <w:t>平台部署</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平台的安装部署</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CellMar>
            <w:top w:w="0" w:type="dxa"/>
            <w:left w:w="108" w:type="dxa"/>
            <w:bottom w:w="0" w:type="dxa"/>
            <w:right w:w="108" w:type="dxa"/>
          </w:tblCellMar>
        </w:tblPrEx>
        <w:trPr>
          <w:trHeight w:val="288" w:hRule="atLeast"/>
        </w:trPr>
        <w:tc>
          <w:tcPr>
            <w:tcW w:w="431"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218"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平台运维</w:t>
            </w:r>
          </w:p>
        </w:tc>
        <w:tc>
          <w:tcPr>
            <w:tcW w:w="248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提供1年的运维服务</w:t>
            </w:r>
          </w:p>
        </w:tc>
        <w:tc>
          <w:tcPr>
            <w:tcW w:w="434"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p>
        </w:tc>
        <w:tc>
          <w:tcPr>
            <w:tcW w:w="431"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bl>
    <w:p>
      <w:pPr>
        <w:widowControl/>
        <w:jc w:val="left"/>
        <w:rPr>
          <w:rFonts w:ascii="方正仿宋_GBK" w:hAnsi="宋体" w:eastAsia="方正仿宋_GBK"/>
          <w:sz w:val="24"/>
          <w:szCs w:val="24"/>
        </w:rPr>
      </w:pPr>
    </w:p>
    <w:p>
      <w:pPr>
        <w:widowControl/>
        <w:jc w:val="left"/>
        <w:rPr>
          <w:rFonts w:ascii="方正仿宋_GBK" w:hAnsi="宋体" w:eastAsia="方正仿宋_GBK"/>
          <w:sz w:val="24"/>
          <w:szCs w:val="24"/>
        </w:rPr>
      </w:pPr>
      <w:r>
        <w:rPr>
          <w:rFonts w:ascii="方正仿宋_GBK" w:hAnsi="宋体" w:eastAsia="方正仿宋_GBK"/>
          <w:sz w:val="24"/>
          <w:szCs w:val="24"/>
        </w:rPr>
        <w:br w:type="page"/>
      </w:r>
    </w:p>
    <w:p>
      <w:pPr>
        <w:ind w:firstLine="480" w:firstLineChars="200"/>
        <w:rPr>
          <w:rFonts w:ascii="方正仿宋_GBK" w:hAnsi="宋体" w:eastAsia="方正仿宋_GBK"/>
          <w:sz w:val="24"/>
          <w:szCs w:val="24"/>
        </w:rPr>
      </w:pPr>
    </w:p>
    <w:tbl>
      <w:tblPr>
        <w:tblStyle w:val="57"/>
        <w:tblW w:w="0" w:type="auto"/>
        <w:tblInd w:w="0" w:type="dxa"/>
        <w:tblLayout w:type="autofit"/>
        <w:tblCellMar>
          <w:top w:w="0" w:type="dxa"/>
          <w:left w:w="108" w:type="dxa"/>
          <w:bottom w:w="0" w:type="dxa"/>
          <w:right w:w="108" w:type="dxa"/>
        </w:tblCellMar>
      </w:tblPr>
      <w:tblGrid>
        <w:gridCol w:w="658"/>
        <w:gridCol w:w="1262"/>
        <w:gridCol w:w="5894"/>
        <w:gridCol w:w="498"/>
        <w:gridCol w:w="658"/>
        <w:gridCol w:w="658"/>
      </w:tblGrid>
      <w:tr>
        <w:tblPrEx>
          <w:tblCellMar>
            <w:top w:w="0" w:type="dxa"/>
            <w:left w:w="108" w:type="dxa"/>
            <w:bottom w:w="0" w:type="dxa"/>
            <w:right w:w="108" w:type="dxa"/>
          </w:tblCellMar>
        </w:tblPrEx>
        <w:trPr>
          <w:trHeight w:val="348" w:hRule="atLeast"/>
          <w:tblHeader/>
        </w:trPr>
        <w:tc>
          <w:tcPr>
            <w:tcW w:w="0" w:type="auto"/>
            <w:gridSpan w:val="6"/>
            <w:tcBorders>
              <w:top w:val="nil"/>
              <w:left w:val="nil"/>
              <w:bottom w:val="single" w:color="auto" w:sz="4" w:space="0"/>
              <w:right w:val="nil"/>
            </w:tcBorders>
            <w:shd w:val="clear" w:color="000000" w:fill="FFFFFF"/>
            <w:noWrap/>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平台建设硬件需求清单</w:t>
            </w:r>
          </w:p>
        </w:tc>
      </w:tr>
      <w:tr>
        <w:tblPrEx>
          <w:tblCellMar>
            <w:top w:w="0" w:type="dxa"/>
            <w:left w:w="108" w:type="dxa"/>
            <w:bottom w:w="0" w:type="dxa"/>
            <w:right w:w="108" w:type="dxa"/>
          </w:tblCellMar>
        </w:tblPrEx>
        <w:trPr>
          <w:trHeight w:val="864" w:hRule="atLeast"/>
          <w:tblHeader/>
        </w:trPr>
        <w:tc>
          <w:tcPr>
            <w:tcW w:w="0" w:type="auto"/>
            <w:tcBorders>
              <w:top w:val="nil"/>
              <w:left w:val="single" w:color="auto" w:sz="4" w:space="0"/>
              <w:bottom w:val="single" w:color="auto" w:sz="4" w:space="0"/>
              <w:right w:val="single" w:color="auto" w:sz="4" w:space="0"/>
            </w:tcBorders>
            <w:shd w:val="clear" w:color="000000" w:fill="80808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0" w:type="auto"/>
            <w:tcBorders>
              <w:top w:val="nil"/>
              <w:left w:val="nil"/>
              <w:bottom w:val="single" w:color="auto" w:sz="4" w:space="0"/>
              <w:right w:val="single" w:color="auto" w:sz="4" w:space="0"/>
            </w:tcBorders>
            <w:shd w:val="clear" w:color="000000" w:fill="80808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0" w:type="auto"/>
            <w:tcBorders>
              <w:top w:val="nil"/>
              <w:left w:val="nil"/>
              <w:bottom w:val="single" w:color="auto" w:sz="4" w:space="0"/>
              <w:right w:val="single" w:color="auto" w:sz="4" w:space="0"/>
            </w:tcBorders>
            <w:shd w:val="clear" w:color="000000" w:fill="80808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主要工作内容</w:t>
            </w:r>
          </w:p>
        </w:tc>
        <w:tc>
          <w:tcPr>
            <w:tcW w:w="0" w:type="auto"/>
            <w:tcBorders>
              <w:top w:val="nil"/>
              <w:left w:val="nil"/>
              <w:bottom w:val="single" w:color="auto" w:sz="4" w:space="0"/>
              <w:right w:val="single" w:color="auto" w:sz="4" w:space="0"/>
            </w:tcBorders>
            <w:shd w:val="clear" w:color="000000" w:fill="80808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0" w:type="auto"/>
            <w:tcBorders>
              <w:top w:val="nil"/>
              <w:left w:val="nil"/>
              <w:bottom w:val="single" w:color="auto" w:sz="4" w:space="0"/>
              <w:right w:val="single" w:color="auto" w:sz="4" w:space="0"/>
            </w:tcBorders>
            <w:shd w:val="clear" w:color="000000" w:fill="80808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0" w:type="auto"/>
            <w:tcBorders>
              <w:top w:val="nil"/>
              <w:left w:val="nil"/>
              <w:bottom w:val="single" w:color="auto" w:sz="4" w:space="0"/>
              <w:right w:val="single" w:color="auto" w:sz="4" w:space="0"/>
            </w:tcBorders>
            <w:shd w:val="clear" w:color="000000" w:fill="808080"/>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288" w:hRule="atLeast"/>
        </w:trPr>
        <w:tc>
          <w:tcPr>
            <w:tcW w:w="0" w:type="auto"/>
            <w:gridSpan w:val="6"/>
            <w:tcBorders>
              <w:top w:val="single" w:color="auto" w:sz="4" w:space="0"/>
              <w:left w:val="single" w:color="auto" w:sz="4" w:space="0"/>
              <w:bottom w:val="single" w:color="auto" w:sz="4" w:space="0"/>
              <w:right w:val="nil"/>
            </w:tcBorders>
            <w:shd w:val="clear" w:color="000000" w:fill="BFBFBF"/>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一、后端支撑云平台/设备</w:t>
            </w:r>
          </w:p>
        </w:tc>
      </w:tr>
      <w:tr>
        <w:tblPrEx>
          <w:tblCellMar>
            <w:top w:w="0" w:type="dxa"/>
            <w:left w:w="108" w:type="dxa"/>
            <w:bottom w:w="0" w:type="dxa"/>
            <w:right w:w="108" w:type="dxa"/>
          </w:tblCellMar>
        </w:tblPrEx>
        <w:trPr>
          <w:trHeight w:val="576"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云服务器</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根据应用需求为基础，以满足应用为目标，但配置不低于8CPU 内存32GB 硬盘1TB  带宽10M 的基本配置。</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76"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数据库云服务</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根据应用需求为基础，以满足应用为目标，但配置不低于2CPU 内存8GB 空间150的基本配置。</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域名</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1年有效</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微信公众号认证</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1年有效</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微信小程序认证</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1年有效</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0" w:type="auto"/>
            <w:gridSpan w:val="6"/>
            <w:tcBorders>
              <w:top w:val="single" w:color="auto" w:sz="4" w:space="0"/>
              <w:left w:val="single" w:color="auto" w:sz="4" w:space="0"/>
              <w:bottom w:val="single" w:color="auto" w:sz="4" w:space="0"/>
              <w:right w:val="nil"/>
            </w:tcBorders>
            <w:shd w:val="clear" w:color="000000" w:fill="BFBFBF"/>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二、网络安全【三级等保合规项】</w:t>
            </w:r>
          </w:p>
        </w:tc>
      </w:tr>
      <w:tr>
        <w:tblPrEx>
          <w:tblCellMar>
            <w:top w:w="0" w:type="dxa"/>
            <w:left w:w="108" w:type="dxa"/>
            <w:bottom w:w="0" w:type="dxa"/>
            <w:right w:w="108" w:type="dxa"/>
          </w:tblCellMar>
        </w:tblPrEx>
        <w:trPr>
          <w:trHeight w:val="1452"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VPC</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1、应对等保合规对应要求：根据业务特点，根据等保要求，对边界设置网络隔离与严格的访问控制策略；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2、用户在云上申请的隔离的、私密的虚拟网络环境（利用VxLAN协议使得VPC之间严格的逻辑隔离）。用户可以自由配置VPC内的IP地址段、子网、安全组等子服务。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152"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网络ACL</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1、应对等保合规对应要求：根据业务特点，根据等保要求，对边界设置网络隔离与严格的访问控制策略；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2、对一个或多个子网的访问控制策略系统，根据与子网关联的入站/出站规则，判断数据包是否被允许流入/流出关联子网。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4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企业主机安全（HSS）</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1、应对等保合规对应要求：网络安全等级保护制度是国家网络安全法的重要内容。企业主机安全服务提供的入侵检测功能是等保合规的关键项目，保护企业云服务器账户、系统的安全；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2、提升主机整体安全性的服务，提供资产管理、漏洞管理、入侵检测、基线检查等功能，帮助企业降低主机安全风险。</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87"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堡垒机</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1、应对等保合规对应要求：满足等保对用户身份鉴别、访问控制、安全审计等条款服务；</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2、在登录资源、实时监控资源、上传/下载文件时无需安装客户端软件。</w:t>
            </w:r>
            <w:r>
              <w:rPr>
                <w:rFonts w:hint="eastAsia" w:ascii="宋体" w:hAnsi="宋体" w:cs="宋体"/>
                <w:color w:val="000000"/>
                <w:kern w:val="0"/>
                <w:sz w:val="22"/>
                <w:szCs w:val="22"/>
              </w:rPr>
              <w:br w:type="page"/>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3、集中账号管理，统一维护主机、网络设备和应用发布等资源。</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4、支持访问历史记录回放以及操作指令搜索等功能，可随时查看用户对主机和网络设备的访问情况。</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5、细粒度的权限划分及对用户的动态授权功能。</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6、对云堡垒机所管控的主机进行实时命令拦截，管控敏感命令的使用。</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7、可邀请其他运维人员或专家进行协同运维，对同一会话进行协同操作或问题定位。</w:t>
            </w:r>
          </w:p>
          <w:p>
            <w:pPr>
              <w:widowControl/>
              <w:jc w:val="left"/>
            </w:pPr>
            <w:r>
              <w:rPr>
                <w:rFonts w:hint="eastAsia" w:ascii="宋体" w:hAnsi="宋体" w:cs="宋体"/>
                <w:color w:val="000000"/>
                <w:kern w:val="0"/>
                <w:sz w:val="22"/>
                <w:szCs w:val="22"/>
              </w:rPr>
              <w:t>8、本设备要求投标产品必须完全达到或优于上述要求，否则作废标处理。</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152"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云日志</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1、应对等保合规对应要求：满足等保对日志存储6个月以上；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2、云日志服务（Log Tank Service）提供日志收集、实时查询、存储等功能，无需开发即可利用日志做实时决策分析，提升日志处理效率，帮助用户轻松应对日志实时采集、查询分析等日常运营、运维场景。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4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云审计</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1、应对等保合规对应要求：满足等保对云上用户操作的行为审计；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2、云审计服务（Cloud Trace Service）为您提供云账户下资源的操作记录，通过操作记录您可以实现安全分析、资源变更、合规审计、问题定位等场景。您可以通过配置OBS对象存储服务，将操作记录实时同步保存至OBS，以便保存更长时间的操作记录。</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440"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云监控</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1、应对等保合规对应要求：满足等保对云上用户操作的行为审计；满足等保对云主机资源监控（CPU、MEM、磁盘）；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2、云监控服务（Cloud Eye）为用户提供一个针对弹性云服务器、带宽等资源的立体化监控平台。使您全面了解华为云上的资源使用情况、业务的运行状况，并及时收到异常报警做出反应，保证业务顺畅运行。</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76"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SSL证书</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1、应对等保合规对应要求：满足等保要求中数据完整性和数据保密性的要求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2、通配符证书 1年有效，为HTTP网站提供转向HTTPS，加密应用层数据；</w:t>
            </w:r>
          </w:p>
          <w:p>
            <w:pPr>
              <w:widowControl/>
              <w:jc w:val="left"/>
            </w:pPr>
            <w:r>
              <w:rPr>
                <w:rFonts w:hint="eastAsia" w:ascii="宋体" w:hAnsi="宋体" w:cs="宋体"/>
                <w:color w:val="000000"/>
                <w:kern w:val="0"/>
                <w:sz w:val="22"/>
                <w:szCs w:val="22"/>
              </w:rPr>
              <w:t>3、安全性要求：支持通过API的方式调用SSL证书管理的能力，包括证书申请、查询、吊销灯。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3" w:hRule="atLeast"/>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Web应用防火墙（WAF）</w:t>
            </w:r>
          </w:p>
        </w:tc>
        <w:tc>
          <w:tcPr>
            <w:tcW w:w="0" w:type="auto"/>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1、应对等保合规对应要求：应具有根据云服务客户业务需求提供通信传输、边界防护、入侵防范等安全机制的能力；</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2、对网站业务流量进行全方位检测和防护，智能识别恶意请求特征和防御未知威胁，避免源站被黑客恶意攻击和入侵，防止核心资产遭窃取，为网站业务提供安全保障；</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3、安全性特别要求：支持防逃逸，至少支持对web攻击的url_escape，hex，unicode，xml encode，html encode，C OCT，base64 7种编码还原；</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4、本设备要求投标产品必须完全达到或优于上述要求，否则作废标处理。</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项/年</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0" w:type="auto"/>
            <w:gridSpan w:val="6"/>
            <w:tcBorders>
              <w:top w:val="single" w:color="auto" w:sz="4" w:space="0"/>
              <w:left w:val="single" w:color="auto" w:sz="4" w:space="0"/>
              <w:bottom w:val="single" w:color="auto" w:sz="4" w:space="0"/>
              <w:right w:val="nil"/>
            </w:tcBorders>
            <w:shd w:val="clear" w:color="000000" w:fill="BFBFBF"/>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三、可视化展示平台</w:t>
            </w:r>
          </w:p>
        </w:tc>
      </w:tr>
      <w:tr>
        <w:tblPrEx>
          <w:tblCellMar>
            <w:top w:w="0" w:type="dxa"/>
            <w:left w:w="108" w:type="dxa"/>
            <w:bottom w:w="0" w:type="dxa"/>
            <w:right w:w="108" w:type="dxa"/>
          </w:tblCellMar>
        </w:tblPrEx>
        <w:trPr>
          <w:trHeight w:val="2308"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展厅显示大屏</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1、100寸液晶交互式平板，图像物理分辨率达3840*2160；</w:t>
            </w:r>
            <w:r>
              <w:rPr>
                <w:rFonts w:hint="eastAsia" w:ascii="宋体" w:hAnsi="宋体" w:cs="宋体"/>
                <w:color w:val="000000"/>
                <w:kern w:val="0"/>
                <w:sz w:val="22"/>
                <w:szCs w:val="22"/>
              </w:rPr>
              <w:br w:type="page"/>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2、触摸交互：采用非接触式红外十点或以上触控技术；</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3、配主流配置的OPS主机，带会议批注软件；</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4、实现无线传屏，多平台自由切换控制；</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br w:type="page"/>
            </w:r>
            <w:r>
              <w:rPr>
                <w:rFonts w:hint="eastAsia" w:ascii="宋体" w:hAnsi="宋体" w:cs="宋体"/>
                <w:color w:val="000000"/>
                <w:kern w:val="0"/>
                <w:sz w:val="22"/>
                <w:szCs w:val="22"/>
              </w:rPr>
              <w:t>5、配挂墙安装支架，承重不低于80KG.</w:t>
            </w:r>
          </w:p>
          <w:p>
            <w:pPr>
              <w:widowControl/>
              <w:jc w:val="left"/>
              <w:rPr>
                <w:rFonts w:ascii="宋体" w:hAnsi="宋体" w:cs="宋体"/>
                <w:color w:val="000000"/>
                <w:kern w:val="0"/>
                <w:sz w:val="22"/>
                <w:szCs w:val="22"/>
              </w:rPr>
            </w:pPr>
            <w:r>
              <w:rPr>
                <w:rFonts w:hint="eastAsia" w:ascii="宋体" w:hAnsi="宋体" w:cs="仿宋"/>
                <w:sz w:val="22"/>
                <w:szCs w:val="22"/>
              </w:rPr>
              <w:t>★</w:t>
            </w:r>
            <w:r>
              <w:rPr>
                <w:rFonts w:hint="eastAsia" w:ascii="宋体" w:hAnsi="宋体" w:cs="宋体"/>
                <w:color w:val="000000"/>
                <w:kern w:val="0"/>
                <w:sz w:val="22"/>
                <w:szCs w:val="22"/>
              </w:rPr>
              <w:t>6、本设备要求投标产品必须完全达到或优于上述要求，否则作废标处理。</w:t>
            </w:r>
          </w:p>
          <w:p>
            <w:pPr>
              <w:pStyle w:val="2"/>
            </w:pP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308"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仿宋"/>
                <w:sz w:val="22"/>
                <w:szCs w:val="22"/>
              </w:rPr>
              <w:t>多融合通信平台</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1.能够实现集团总部、分公司、各分支机构、移动端、4G手机、PSTN电话全融合通信，实现音视频全双工互联互通；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包括硬件与软件，交钥匙布署，硬件平台配置应不低于同时接入90个接入点的吐吞量，中心网络带宽由用户解决；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视频质量要求不低于1080P；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配置不低于可录制90个接入点同时接入时，至少200小时的1080P图像及音频实时录制存储；</w:t>
            </w:r>
          </w:p>
          <w:p>
            <w:pPr>
              <w:widowControl/>
              <w:jc w:val="left"/>
              <w:rPr>
                <w:sz w:val="22"/>
                <w:szCs w:val="22"/>
              </w:rPr>
            </w:pPr>
            <w:r>
              <w:rPr>
                <w:rFonts w:hint="eastAsia" w:ascii="宋体" w:hAnsi="宋体" w:cs="宋体"/>
                <w:color w:val="000000"/>
                <w:kern w:val="0"/>
                <w:sz w:val="22"/>
                <w:szCs w:val="22"/>
              </w:rPr>
              <w:t>5．本设备要求投标产品必须完全达到或优于上述要求，否则作废标处理。</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仿宋"/>
                <w:sz w:val="22"/>
                <w:szCs w:val="22"/>
              </w:rPr>
              <w:t>项</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仿宋"/>
                <w:sz w:val="24"/>
              </w:rPr>
              <w:t>1</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308"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仿宋"/>
                <w:sz w:val="22"/>
                <w:szCs w:val="22"/>
              </w:rPr>
              <w:t>综合操作面板</w:t>
            </w:r>
          </w:p>
        </w:tc>
        <w:tc>
          <w:tcPr>
            <w:tcW w:w="0" w:type="auto"/>
            <w:tcBorders>
              <w:top w:val="single" w:color="auto" w:sz="4" w:space="0"/>
              <w:left w:val="nil"/>
              <w:bottom w:val="single" w:color="auto" w:sz="4" w:space="0"/>
              <w:right w:val="single" w:color="auto" w:sz="4" w:space="0"/>
            </w:tcBorders>
            <w:shd w:val="clear" w:color="000000" w:fill="FFFFFF"/>
            <w:vAlign w:val="center"/>
          </w:tcPr>
          <w:p>
            <w:pPr>
              <w:pStyle w:val="22"/>
              <w:jc w:val="left"/>
              <w:rPr>
                <w:rFonts w:ascii="宋体" w:hAnsi="宋体" w:eastAsia="宋体" w:cs="仿宋"/>
                <w:sz w:val="22"/>
                <w:szCs w:val="22"/>
              </w:rPr>
            </w:pPr>
            <w:r>
              <w:rPr>
                <w:rFonts w:hint="eastAsia" w:ascii="宋体" w:hAnsi="宋体" w:eastAsia="宋体" w:cs="仿宋"/>
                <w:sz w:val="22"/>
                <w:szCs w:val="22"/>
              </w:rPr>
              <w:t>1. 支持连接模拟电话线路（PSTN）+IP网络双链路接入；实现领导办公室快速接入整个网格化系统进行音视频互联互通与调度；</w:t>
            </w:r>
            <w:r>
              <w:rPr>
                <w:rFonts w:hint="eastAsia" w:ascii="宋体" w:hAnsi="宋体" w:eastAsia="宋体" w:cs="仿宋"/>
                <w:sz w:val="22"/>
                <w:szCs w:val="22"/>
              </w:rPr>
              <w:br w:type="textWrapping"/>
            </w:r>
            <w:r>
              <w:rPr>
                <w:rFonts w:ascii="宋体" w:hAnsi="宋体" w:eastAsia="宋体" w:cs="仿宋"/>
                <w:sz w:val="22"/>
                <w:szCs w:val="22"/>
              </w:rPr>
              <w:t>2</w:t>
            </w:r>
            <w:r>
              <w:rPr>
                <w:rFonts w:hint="eastAsia" w:ascii="宋体" w:hAnsi="宋体" w:eastAsia="宋体" w:cs="仿宋"/>
                <w:sz w:val="22"/>
                <w:szCs w:val="22"/>
              </w:rPr>
              <w:t>. 设备支持HDMI接口用于扩展屏显示，自带8英寸1280x800像素触摸屏，支持多点触控；</w:t>
            </w:r>
            <w:r>
              <w:rPr>
                <w:rFonts w:hint="eastAsia" w:ascii="宋体" w:hAnsi="宋体" w:eastAsia="宋体" w:cs="仿宋"/>
                <w:sz w:val="22"/>
                <w:szCs w:val="22"/>
              </w:rPr>
              <w:br w:type="textWrapping"/>
            </w:r>
            <w:r>
              <w:rPr>
                <w:rFonts w:ascii="宋体" w:hAnsi="宋体" w:eastAsia="宋体" w:cs="仿宋"/>
                <w:sz w:val="22"/>
                <w:szCs w:val="22"/>
              </w:rPr>
              <w:t>3</w:t>
            </w:r>
            <w:r>
              <w:rPr>
                <w:rFonts w:hint="eastAsia" w:ascii="宋体" w:hAnsi="宋体" w:eastAsia="宋体" w:cs="仿宋"/>
                <w:sz w:val="22"/>
                <w:szCs w:val="22"/>
              </w:rPr>
              <w:t>. 支持1080p@30fps高清视频，采用不少于200万像素并带挡板全高清摄像头；</w:t>
            </w:r>
            <w:r>
              <w:rPr>
                <w:rFonts w:hint="eastAsia" w:ascii="宋体" w:hAnsi="宋体" w:eastAsia="宋体" w:cs="仿宋"/>
                <w:sz w:val="22"/>
                <w:szCs w:val="22"/>
              </w:rPr>
              <w:br w:type="textWrapping"/>
            </w:r>
            <w:r>
              <w:rPr>
                <w:rFonts w:ascii="宋体" w:hAnsi="宋体" w:eastAsia="宋体" w:cs="仿宋"/>
                <w:sz w:val="22"/>
                <w:szCs w:val="22"/>
              </w:rPr>
              <w:t>4</w:t>
            </w:r>
            <w:r>
              <w:rPr>
                <w:rFonts w:hint="eastAsia" w:ascii="宋体" w:hAnsi="宋体" w:eastAsia="宋体" w:cs="仿宋"/>
                <w:sz w:val="22"/>
                <w:szCs w:val="22"/>
              </w:rPr>
              <w:t>.支持蓝牙4.0 以上版本、无线双频WiFi (2.4GHz &amp; 5GHz)；</w:t>
            </w:r>
          </w:p>
          <w:p>
            <w:pPr>
              <w:widowControl/>
              <w:jc w:val="left"/>
              <w:rPr>
                <w:rFonts w:ascii="宋体" w:hAnsi="宋体" w:cs="仿宋"/>
                <w:sz w:val="22"/>
                <w:szCs w:val="22"/>
              </w:rPr>
            </w:pPr>
            <w:r>
              <w:rPr>
                <w:rFonts w:ascii="宋体" w:hAnsi="宋体" w:cs="仿宋"/>
                <w:sz w:val="22"/>
                <w:szCs w:val="22"/>
              </w:rPr>
              <w:t>5</w:t>
            </w:r>
            <w:r>
              <w:rPr>
                <w:rFonts w:hint="eastAsia" w:ascii="宋体" w:hAnsi="宋体" w:cs="仿宋"/>
                <w:sz w:val="22"/>
                <w:szCs w:val="22"/>
              </w:rPr>
              <w:t>．确保系统兼容性，要求此设备与“多融合通信平台”为相同品牌产品。</w:t>
            </w:r>
          </w:p>
          <w:p>
            <w:pPr>
              <w:widowControl/>
              <w:jc w:val="left"/>
            </w:pPr>
            <w:r>
              <w:rPr>
                <w:rFonts w:ascii="宋体" w:hAnsi="宋体" w:cs="仿宋"/>
                <w:sz w:val="22"/>
                <w:szCs w:val="22"/>
              </w:rPr>
              <w:t>6</w:t>
            </w:r>
            <w:r>
              <w:rPr>
                <w:rFonts w:hint="eastAsia" w:ascii="宋体" w:hAnsi="宋体" w:cs="仿宋"/>
                <w:sz w:val="22"/>
                <w:szCs w:val="22"/>
              </w:rPr>
              <w:t>．本设备要求投标产品必须完全达到或优于上述要求，否则作废标处理。</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仿宋"/>
                <w:sz w:val="22"/>
                <w:szCs w:val="22"/>
              </w:rPr>
              <w:t>套</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仿宋"/>
                <w:sz w:val="24"/>
              </w:rPr>
              <w:t>1</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012"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仿宋"/>
                <w:sz w:val="22"/>
                <w:szCs w:val="22"/>
              </w:rPr>
            </w:pPr>
            <w:r>
              <w:rPr>
                <w:rFonts w:hint="eastAsia" w:ascii="宋体" w:hAnsi="宋体" w:cs="仿宋"/>
                <w:sz w:val="22"/>
                <w:szCs w:val="22"/>
              </w:rPr>
              <w:t>音视频双向交互系统</w:t>
            </w:r>
          </w:p>
        </w:tc>
        <w:tc>
          <w:tcPr>
            <w:tcW w:w="0" w:type="auto"/>
            <w:tcBorders>
              <w:top w:val="single" w:color="auto" w:sz="4" w:space="0"/>
              <w:left w:val="nil"/>
              <w:bottom w:val="single" w:color="auto" w:sz="4" w:space="0"/>
              <w:right w:val="single" w:color="auto" w:sz="4" w:space="0"/>
            </w:tcBorders>
            <w:shd w:val="clear" w:color="000000" w:fill="FFFFFF"/>
            <w:vAlign w:val="center"/>
          </w:tcPr>
          <w:p>
            <w:pPr>
              <w:pStyle w:val="22"/>
              <w:jc w:val="left"/>
              <w:rPr>
                <w:rFonts w:ascii="宋体" w:hAnsi="宋体" w:eastAsia="宋体" w:cs="仿宋"/>
                <w:sz w:val="22"/>
                <w:szCs w:val="22"/>
              </w:rPr>
            </w:pPr>
            <w:r>
              <w:rPr>
                <w:rFonts w:hint="eastAsia" w:ascii="宋体" w:hAnsi="宋体" w:eastAsia="宋体" w:cs="仿宋"/>
                <w:sz w:val="22"/>
                <w:szCs w:val="22"/>
              </w:rPr>
              <w:t>1、包含摄像机与处理主机（摄像机配置不低于12倍光学变焦/1080P60帧），实现接入多融合通信平台，进行实时音视频交互；</w:t>
            </w:r>
          </w:p>
          <w:p>
            <w:pPr>
              <w:pStyle w:val="22"/>
              <w:jc w:val="left"/>
              <w:rPr>
                <w:rFonts w:ascii="宋体" w:hAnsi="宋体" w:eastAsia="宋体" w:cs="仿宋"/>
                <w:sz w:val="22"/>
                <w:szCs w:val="22"/>
              </w:rPr>
            </w:pPr>
            <w:r>
              <w:rPr>
                <w:rFonts w:hint="eastAsia" w:ascii="宋体" w:hAnsi="宋体" w:eastAsia="宋体" w:cs="仿宋"/>
                <w:sz w:val="22"/>
                <w:szCs w:val="22"/>
              </w:rPr>
              <w:t>★2、系统支持不少于6个摄像机同时接入，不需要额外的视频矩阵可以对多摄像机画面进行拼接，主流最大可以达到1080p60fps（须提供第三方权威机构检测报告证明并加盖原厂鲜章）；</w:t>
            </w:r>
          </w:p>
          <w:p>
            <w:pPr>
              <w:pStyle w:val="22"/>
              <w:jc w:val="left"/>
              <w:rPr>
                <w:rFonts w:ascii="宋体" w:hAnsi="宋体" w:eastAsia="宋体" w:cs="仿宋"/>
                <w:sz w:val="22"/>
                <w:szCs w:val="22"/>
              </w:rPr>
            </w:pPr>
            <w:r>
              <w:rPr>
                <w:rFonts w:hint="eastAsia" w:ascii="宋体" w:hAnsi="宋体" w:eastAsia="宋体" w:cs="仿宋"/>
                <w:sz w:val="22"/>
                <w:szCs w:val="22"/>
              </w:rPr>
              <w:t>★3、具备网络丢包恢复机制，在网络出现30%丢包情况下，视频清晰流畅，不影响视频通话；在网络出现70%丢包情况下，语音较清晰，语义可理解（须提供第三方权威机构检测报告证明并加盖原厂鲜章）；</w:t>
            </w:r>
          </w:p>
          <w:p>
            <w:pPr>
              <w:pStyle w:val="22"/>
              <w:jc w:val="left"/>
              <w:rPr>
                <w:rFonts w:ascii="宋体" w:hAnsi="宋体" w:eastAsia="宋体" w:cs="仿宋"/>
                <w:sz w:val="22"/>
                <w:szCs w:val="22"/>
              </w:rPr>
            </w:pPr>
            <w:r>
              <w:rPr>
                <w:rFonts w:hint="eastAsia" w:ascii="宋体" w:hAnsi="宋体" w:eastAsia="宋体" w:cs="仿宋"/>
                <w:sz w:val="22"/>
                <w:szCs w:val="22"/>
              </w:rPr>
              <w:t>★4、支持通过USB接口录制，图像分辨率不低于720P，（须提供第三方权威机构检测报告证明并加盖原厂鲜章）；</w:t>
            </w:r>
          </w:p>
          <w:p>
            <w:pPr>
              <w:pStyle w:val="22"/>
              <w:jc w:val="left"/>
              <w:rPr>
                <w:rFonts w:ascii="宋体" w:hAnsi="宋体" w:eastAsia="宋体" w:cs="仿宋"/>
                <w:sz w:val="22"/>
                <w:szCs w:val="22"/>
              </w:rPr>
            </w:pPr>
            <w:r>
              <w:rPr>
                <w:rFonts w:hint="eastAsia" w:ascii="宋体" w:hAnsi="宋体" w:eastAsia="宋体" w:cs="仿宋"/>
                <w:sz w:val="22"/>
                <w:szCs w:val="22"/>
              </w:rPr>
              <w:t>★5、能够满足不少于6路视频会场同时接入（须提供第三方权威机构检测报告证明并加盖原厂鲜章）</w:t>
            </w:r>
          </w:p>
          <w:p>
            <w:pPr>
              <w:pStyle w:val="22"/>
              <w:jc w:val="left"/>
              <w:rPr>
                <w:rFonts w:ascii="宋体" w:hAnsi="宋体" w:eastAsia="宋体" w:cs="仿宋"/>
                <w:sz w:val="22"/>
                <w:szCs w:val="22"/>
              </w:rPr>
            </w:pPr>
            <w:r>
              <w:rPr>
                <w:rFonts w:hint="eastAsia" w:ascii="宋体" w:hAnsi="宋体" w:eastAsia="宋体" w:cs="仿宋"/>
                <w:sz w:val="22"/>
                <w:szCs w:val="22"/>
              </w:rPr>
              <w:t>6、确保系统兼容性，要求此设备与“多融合通信平台”为相同品牌产品;</w:t>
            </w:r>
          </w:p>
          <w:p>
            <w:pPr>
              <w:pStyle w:val="22"/>
              <w:jc w:val="left"/>
              <w:rPr>
                <w:rFonts w:ascii="宋体" w:hAnsi="宋体" w:eastAsia="宋体" w:cs="仿宋"/>
                <w:sz w:val="22"/>
                <w:szCs w:val="22"/>
              </w:rPr>
            </w:pPr>
            <w:r>
              <w:rPr>
                <w:rFonts w:hint="eastAsia" w:ascii="宋体" w:hAnsi="宋体" w:eastAsia="宋体" w:cs="仿宋"/>
                <w:sz w:val="22"/>
                <w:szCs w:val="22"/>
              </w:rPr>
              <w:t>7、本设备不强制要求投标产品必须完全达到上述要求，允许负偏离。</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仿宋"/>
                <w:sz w:val="22"/>
                <w:szCs w:val="22"/>
              </w:rPr>
            </w:pPr>
            <w:r>
              <w:rPr>
                <w:rFonts w:hint="eastAsia" w:ascii="宋体" w:hAnsi="宋体" w:cs="仿宋"/>
                <w:sz w:val="22"/>
                <w:szCs w:val="22"/>
              </w:rPr>
              <w:t>1</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仿宋"/>
                <w:sz w:val="24"/>
              </w:rPr>
            </w:pPr>
            <w:r>
              <w:rPr>
                <w:rFonts w:hint="eastAsia" w:ascii="宋体" w:hAnsi="宋体" w:cs="仿宋"/>
                <w:sz w:val="24"/>
              </w:rPr>
              <w:t>套</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2"/>
                <w:szCs w:val="22"/>
              </w:rPr>
            </w:pPr>
          </w:p>
        </w:tc>
      </w:tr>
    </w:tbl>
    <w:p>
      <w:pPr>
        <w:jc w:val="center"/>
        <w:rPr>
          <w:rFonts w:ascii="宋体" w:hAnsi="宋体" w:cs="宋体"/>
          <w:kern w:val="0"/>
          <w:sz w:val="24"/>
          <w:szCs w:val="24"/>
        </w:rPr>
      </w:pPr>
    </w:p>
    <w:p>
      <w:pPr>
        <w:pStyle w:val="2"/>
        <w:spacing w:before="0" w:after="0" w:line="400" w:lineRule="exact"/>
        <w:rPr>
          <w:rFonts w:ascii="方正仿宋_GBK" w:eastAsia="方正仿宋_GBK"/>
          <w:sz w:val="24"/>
          <w:szCs w:val="24"/>
        </w:rPr>
      </w:pPr>
      <w:bookmarkStart w:id="76" w:name="_Toc340223145"/>
      <w:bookmarkStart w:id="77" w:name="_Toc396501787"/>
      <w:bookmarkStart w:id="78" w:name="_Toc49435935"/>
      <w:bookmarkStart w:id="79" w:name="_Toc12175"/>
      <w:r>
        <w:rPr>
          <w:rFonts w:hint="eastAsia" w:ascii="方正仿宋_GBK" w:eastAsia="方正仿宋_GBK"/>
          <w:sz w:val="24"/>
          <w:szCs w:val="24"/>
        </w:rPr>
        <w:t>五、报价要求</w:t>
      </w:r>
      <w:bookmarkEnd w:id="76"/>
      <w:bookmarkEnd w:id="77"/>
      <w:bookmarkEnd w:id="78"/>
      <w:bookmarkEnd w:id="79"/>
    </w:p>
    <w:p>
      <w:pPr>
        <w:spacing w:line="480" w:lineRule="exact"/>
        <w:ind w:firstLine="480"/>
        <w:rPr>
          <w:rFonts w:ascii="宋体" w:hAnsi="宋体" w:cs="宋体"/>
          <w:sz w:val="24"/>
          <w:szCs w:val="24"/>
        </w:rPr>
      </w:pPr>
      <w:bookmarkStart w:id="80" w:name="_Toc396501788"/>
      <w:bookmarkStart w:id="81" w:name="_Toc27808"/>
      <w:bookmarkStart w:id="82" w:name="_Toc340223146"/>
      <w:r>
        <w:rPr>
          <w:rFonts w:hint="eastAsia" w:ascii="宋体" w:hAnsi="宋体" w:cs="宋体"/>
          <w:sz w:val="24"/>
          <w:szCs w:val="24"/>
        </w:rPr>
        <w:t>投标人应按比选文件及相关法律法规的规定自主报价，投标人所报投标报价均包括直接费，间接费、利润、安全文明施工费、各种措施费用、税金及风险费等费用。招标人除此以外不支付其他费用，除非合同中另有规定。</w:t>
      </w:r>
    </w:p>
    <w:p>
      <w:pPr>
        <w:pStyle w:val="2"/>
        <w:spacing w:before="0" w:after="0" w:line="400" w:lineRule="exact"/>
        <w:rPr>
          <w:rFonts w:ascii="方正仿宋_GBK" w:eastAsia="方正仿宋_GBK"/>
          <w:sz w:val="24"/>
          <w:szCs w:val="24"/>
        </w:rPr>
      </w:pPr>
      <w:bookmarkStart w:id="83" w:name="_Toc49435936"/>
      <w:r>
        <w:rPr>
          <w:rFonts w:hint="eastAsia" w:ascii="方正仿宋_GBK" w:eastAsia="方正仿宋_GBK"/>
          <w:sz w:val="24"/>
          <w:szCs w:val="24"/>
        </w:rPr>
        <w:t>三、结算原则</w:t>
      </w:r>
      <w:bookmarkEnd w:id="80"/>
      <w:bookmarkEnd w:id="83"/>
      <w:bookmarkStart w:id="84" w:name="_Toc396501789"/>
      <w:r>
        <w:rPr>
          <w:rFonts w:ascii="方正仿宋_GBK" w:eastAsia="方正仿宋_GBK"/>
          <w:sz w:val="24"/>
          <w:szCs w:val="24"/>
        </w:rPr>
        <w:tab/>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1.1工程结算</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工程结算：本比选需求不变的情况下，实行一次性闭口报价。因采购人需求增减，双方确认后的变更按实际情况进行竣工结算。</w:t>
      </w:r>
    </w:p>
    <w:p>
      <w:pPr>
        <w:pStyle w:val="2"/>
        <w:spacing w:before="0" w:after="0" w:line="400" w:lineRule="exact"/>
        <w:rPr>
          <w:rFonts w:ascii="方正仿宋_GBK" w:eastAsia="方正仿宋_GBK"/>
          <w:sz w:val="24"/>
          <w:szCs w:val="24"/>
        </w:rPr>
      </w:pPr>
      <w:bookmarkStart w:id="85" w:name="_Toc49435937"/>
      <w:r>
        <w:rPr>
          <w:rFonts w:hint="eastAsia" w:ascii="方正仿宋_GBK" w:eastAsia="方正仿宋_GBK"/>
          <w:sz w:val="24"/>
          <w:szCs w:val="24"/>
        </w:rPr>
        <w:t>四、</w:t>
      </w:r>
      <w:bookmarkEnd w:id="81"/>
      <w:bookmarkEnd w:id="82"/>
      <w:bookmarkEnd w:id="84"/>
      <w:bookmarkStart w:id="86" w:name="_Toc396501790"/>
      <w:bookmarkStart w:id="87" w:name="_Toc21934"/>
      <w:bookmarkStart w:id="88" w:name="_Toc340223147"/>
      <w:r>
        <w:rPr>
          <w:rFonts w:hint="eastAsia" w:ascii="方正仿宋_GBK" w:eastAsia="方正仿宋_GBK"/>
          <w:sz w:val="24"/>
          <w:szCs w:val="24"/>
        </w:rPr>
        <w:t>工程质量保修期</w:t>
      </w:r>
      <w:bookmarkEnd w:id="85"/>
    </w:p>
    <w:bookmarkEnd w:id="86"/>
    <w:p>
      <w:pPr>
        <w:snapToGrid w:val="0"/>
        <w:spacing w:line="480" w:lineRule="exact"/>
        <w:rPr>
          <w:rFonts w:ascii="宋体" w:hAnsi="宋体"/>
          <w:sz w:val="24"/>
          <w:szCs w:val="24"/>
        </w:rPr>
      </w:pPr>
      <w:bookmarkStart w:id="89" w:name="_Toc396501791"/>
      <w:r>
        <w:rPr>
          <w:rFonts w:hint="eastAsia" w:ascii="宋体" w:hAnsi="宋体"/>
          <w:sz w:val="24"/>
          <w:szCs w:val="24"/>
        </w:rPr>
        <w:t>（一）质量保证期：自验收之日起，提供1年的免费服务质保期。</w:t>
      </w:r>
    </w:p>
    <w:p>
      <w:pPr>
        <w:snapToGrid w:val="0"/>
        <w:spacing w:line="480" w:lineRule="exact"/>
        <w:rPr>
          <w:rFonts w:ascii="宋体" w:hAnsi="宋体"/>
          <w:sz w:val="24"/>
          <w:szCs w:val="24"/>
        </w:rPr>
      </w:pPr>
      <w:r>
        <w:rPr>
          <w:rFonts w:hint="eastAsia" w:ascii="宋体" w:hAnsi="宋体"/>
          <w:sz w:val="24"/>
          <w:szCs w:val="24"/>
        </w:rPr>
        <w:t>（二）售后服务内容</w:t>
      </w:r>
    </w:p>
    <w:p>
      <w:pPr>
        <w:snapToGrid w:val="0"/>
        <w:spacing w:line="480" w:lineRule="exact"/>
        <w:rPr>
          <w:rFonts w:ascii="宋体" w:hAnsi="宋体"/>
          <w:sz w:val="24"/>
          <w:szCs w:val="24"/>
        </w:rPr>
      </w:pPr>
      <w:r>
        <w:rPr>
          <w:rFonts w:hint="eastAsia" w:ascii="宋体" w:hAnsi="宋体"/>
          <w:sz w:val="24"/>
          <w:szCs w:val="24"/>
        </w:rPr>
        <w:t>供应商在服务质保期内应当为采购人提供以下技术支持服务：</w:t>
      </w:r>
    </w:p>
    <w:p>
      <w:pPr>
        <w:snapToGrid w:val="0"/>
        <w:spacing w:line="480" w:lineRule="exact"/>
        <w:rPr>
          <w:rFonts w:ascii="宋体" w:hAnsi="宋体"/>
          <w:sz w:val="24"/>
          <w:szCs w:val="24"/>
        </w:rPr>
      </w:pPr>
      <w:r>
        <w:rPr>
          <w:rFonts w:hint="eastAsia" w:ascii="宋体" w:hAnsi="宋体"/>
          <w:sz w:val="24"/>
          <w:szCs w:val="24"/>
        </w:rPr>
        <w:t>1.质量保证期内服务要求</w:t>
      </w:r>
    </w:p>
    <w:p>
      <w:pPr>
        <w:snapToGrid w:val="0"/>
        <w:spacing w:line="480" w:lineRule="exact"/>
        <w:rPr>
          <w:rFonts w:ascii="宋体" w:hAnsi="宋体"/>
          <w:sz w:val="24"/>
          <w:szCs w:val="24"/>
        </w:rPr>
      </w:pPr>
      <w:r>
        <w:rPr>
          <w:rFonts w:hint="eastAsia" w:ascii="宋体" w:hAnsi="宋体"/>
          <w:sz w:val="24"/>
          <w:szCs w:val="24"/>
        </w:rPr>
        <w:t>1.1电话咨询</w:t>
      </w:r>
    </w:p>
    <w:p>
      <w:pPr>
        <w:snapToGrid w:val="0"/>
        <w:spacing w:line="480" w:lineRule="exact"/>
        <w:rPr>
          <w:rFonts w:ascii="宋体" w:hAnsi="宋体"/>
          <w:sz w:val="24"/>
          <w:szCs w:val="24"/>
        </w:rPr>
      </w:pPr>
      <w:r>
        <w:rPr>
          <w:rFonts w:hint="eastAsia" w:ascii="宋体" w:hAnsi="宋体"/>
          <w:sz w:val="24"/>
          <w:szCs w:val="24"/>
        </w:rPr>
        <w:t>成交供应商应当为用户提供技术援助电话，解答用户在使用中遇到的问题，及时为用户提出解决问题的建议。</w:t>
      </w:r>
    </w:p>
    <w:p>
      <w:pPr>
        <w:snapToGrid w:val="0"/>
        <w:spacing w:line="480" w:lineRule="exact"/>
        <w:rPr>
          <w:rFonts w:ascii="宋体" w:hAnsi="宋体"/>
          <w:sz w:val="24"/>
          <w:szCs w:val="24"/>
        </w:rPr>
      </w:pPr>
      <w:r>
        <w:rPr>
          <w:rFonts w:hint="eastAsia" w:ascii="宋体" w:hAnsi="宋体"/>
          <w:sz w:val="24"/>
          <w:szCs w:val="24"/>
        </w:rPr>
        <w:t>1.2现场响应</w:t>
      </w:r>
    </w:p>
    <w:p>
      <w:pPr>
        <w:snapToGrid w:val="0"/>
        <w:spacing w:line="480" w:lineRule="exact"/>
        <w:rPr>
          <w:rFonts w:ascii="宋体" w:hAnsi="宋体"/>
          <w:sz w:val="24"/>
          <w:szCs w:val="24"/>
        </w:rPr>
      </w:pPr>
      <w:r>
        <w:rPr>
          <w:rFonts w:hint="eastAsia" w:ascii="宋体" w:hAnsi="宋体"/>
          <w:sz w:val="24"/>
          <w:szCs w:val="24"/>
        </w:rPr>
        <w:t>用户遇到使用及技术问题，电话咨询不能解决的，成交供应商应在半小时内采取相应响应措施；无法在2小时内解决的，应在24小时内派出专业人员进行技术支持。</w:t>
      </w:r>
    </w:p>
    <w:p>
      <w:pPr>
        <w:snapToGrid w:val="0"/>
        <w:spacing w:line="480" w:lineRule="exact"/>
        <w:rPr>
          <w:rFonts w:ascii="宋体" w:hAnsi="宋体"/>
          <w:sz w:val="24"/>
          <w:szCs w:val="24"/>
        </w:rPr>
      </w:pPr>
      <w:r>
        <w:rPr>
          <w:rFonts w:hint="eastAsia" w:ascii="宋体" w:hAnsi="宋体"/>
          <w:sz w:val="24"/>
          <w:szCs w:val="24"/>
        </w:rPr>
        <w:t>2.质保期外服务要求</w:t>
      </w:r>
    </w:p>
    <w:p>
      <w:pPr>
        <w:snapToGrid w:val="0"/>
        <w:spacing w:line="480" w:lineRule="exact"/>
        <w:rPr>
          <w:rFonts w:ascii="宋体" w:hAnsi="宋体"/>
          <w:sz w:val="24"/>
          <w:szCs w:val="24"/>
        </w:rPr>
      </w:pPr>
      <w:r>
        <w:rPr>
          <w:rFonts w:hint="eastAsia" w:ascii="宋体" w:hAnsi="宋体"/>
          <w:sz w:val="24"/>
          <w:szCs w:val="24"/>
        </w:rPr>
        <w:t>2.1质量保证期过后，成交供应商应同样提供免费电话咨询服务，并应承诺提供上门维护服务。</w:t>
      </w:r>
    </w:p>
    <w:p>
      <w:pPr>
        <w:snapToGrid w:val="0"/>
        <w:spacing w:line="480" w:lineRule="exact"/>
        <w:rPr>
          <w:rFonts w:ascii="宋体" w:hAnsi="宋体"/>
          <w:sz w:val="24"/>
          <w:szCs w:val="24"/>
        </w:rPr>
      </w:pPr>
      <w:r>
        <w:rPr>
          <w:rFonts w:hint="eastAsia" w:ascii="宋体" w:hAnsi="宋体"/>
          <w:sz w:val="24"/>
          <w:szCs w:val="24"/>
        </w:rPr>
        <w:t>2.2质量保证期过后，采购人需要继续由原成交供应商提供售后服务的，成交供应商应以优惠价格提供售后服务。</w:t>
      </w:r>
    </w:p>
    <w:p>
      <w:pPr>
        <w:snapToGrid w:val="0"/>
        <w:spacing w:line="480" w:lineRule="exact"/>
        <w:rPr>
          <w:rFonts w:ascii="宋体" w:hAnsi="宋体"/>
          <w:sz w:val="24"/>
          <w:szCs w:val="24"/>
        </w:rPr>
      </w:pPr>
      <w:r>
        <w:rPr>
          <w:rFonts w:hint="eastAsia" w:ascii="宋体" w:hAnsi="宋体"/>
          <w:sz w:val="24"/>
          <w:szCs w:val="24"/>
        </w:rPr>
        <w:t>（三）故障响应时间要求</w:t>
      </w:r>
    </w:p>
    <w:p>
      <w:pPr>
        <w:snapToGrid w:val="0"/>
        <w:spacing w:line="480" w:lineRule="exact"/>
        <w:rPr>
          <w:rFonts w:ascii="宋体" w:hAnsi="宋体"/>
          <w:sz w:val="24"/>
          <w:szCs w:val="24"/>
        </w:rPr>
      </w:pPr>
      <w:r>
        <w:rPr>
          <w:rFonts w:hint="eastAsia" w:ascii="宋体" w:hAnsi="宋体"/>
          <w:sz w:val="24"/>
          <w:szCs w:val="24"/>
        </w:rPr>
        <w:t>供应商接到使用方出现问题的通知后立即作出响应，24小时内到达现场进行处理。</w:t>
      </w:r>
    </w:p>
    <w:p>
      <w:pPr>
        <w:snapToGrid w:val="0"/>
        <w:spacing w:line="480" w:lineRule="exact"/>
        <w:rPr>
          <w:rFonts w:ascii="宋体" w:hAnsi="宋体" w:cs="宋体"/>
          <w:b/>
          <w:kern w:val="0"/>
          <w:sz w:val="24"/>
          <w:szCs w:val="24"/>
        </w:rPr>
      </w:pPr>
      <w:r>
        <w:rPr>
          <w:rFonts w:hint="eastAsia" w:ascii="宋体" w:hAnsi="宋体" w:cs="宋体"/>
          <w:b/>
          <w:kern w:val="0"/>
          <w:sz w:val="24"/>
          <w:szCs w:val="24"/>
        </w:rPr>
        <w:t>五、付款方式</w:t>
      </w:r>
      <w:bookmarkEnd w:id="87"/>
      <w:bookmarkEnd w:id="88"/>
      <w:bookmarkEnd w:id="89"/>
    </w:p>
    <w:p>
      <w:pPr>
        <w:snapToGrid w:val="0"/>
        <w:spacing w:line="480" w:lineRule="exact"/>
        <w:ind w:firstLine="480"/>
        <w:rPr>
          <w:rFonts w:ascii="宋体" w:hAnsi="宋体" w:cs="宋体"/>
          <w:kern w:val="0"/>
          <w:sz w:val="24"/>
          <w:szCs w:val="24"/>
        </w:rPr>
      </w:pPr>
      <w:bookmarkStart w:id="90" w:name="_Toc396501792"/>
      <w:bookmarkStart w:id="91" w:name="_Toc340223150"/>
      <w:bookmarkStart w:id="92" w:name="_Toc23241"/>
      <w:r>
        <w:rPr>
          <w:rFonts w:hint="eastAsia" w:ascii="宋体" w:hAnsi="宋体" w:cs="宋体"/>
          <w:kern w:val="0"/>
          <w:sz w:val="24"/>
          <w:szCs w:val="24"/>
        </w:rPr>
        <w:t>①、付款方式：支票转账；</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②、签定合同5个工作日内支付乙方总工程款的</w:t>
      </w:r>
      <w:r>
        <w:rPr>
          <w:rFonts w:hint="eastAsia" w:ascii="宋体" w:hAnsi="宋体" w:cs="宋体"/>
          <w:kern w:val="0"/>
          <w:sz w:val="24"/>
          <w:szCs w:val="24"/>
          <w:lang w:val="en-US" w:eastAsia="zh-CN"/>
        </w:rPr>
        <w:t>10</w:t>
      </w:r>
      <w:r>
        <w:rPr>
          <w:rFonts w:hint="eastAsia" w:ascii="宋体" w:hAnsi="宋体" w:cs="宋体"/>
          <w:kern w:val="0"/>
          <w:sz w:val="24"/>
          <w:szCs w:val="24"/>
        </w:rPr>
        <w:t>%为预付款；工程竣工并完成验收合格之后5个工作日内支付至总工程款的97%；剩余总工程款的3%为缺陷责任保证金，缺陷责任期为1年。期满后经验收无质量缺陷或已经按照比选人要求对缺陷进行整改合格后15 天内，比选人支付乙方缺陷责任保证金。</w:t>
      </w:r>
    </w:p>
    <w:p>
      <w:pPr>
        <w:snapToGrid w:val="0"/>
        <w:spacing w:line="480" w:lineRule="exact"/>
        <w:rPr>
          <w:rFonts w:ascii="宋体" w:hAnsi="宋体" w:cs="宋体"/>
          <w:b/>
          <w:kern w:val="0"/>
          <w:sz w:val="24"/>
          <w:szCs w:val="24"/>
        </w:rPr>
      </w:pPr>
      <w:r>
        <w:rPr>
          <w:rFonts w:hint="eastAsia" w:ascii="宋体" w:hAnsi="宋体" w:cs="宋体"/>
          <w:b/>
          <w:kern w:val="0"/>
          <w:sz w:val="24"/>
          <w:szCs w:val="24"/>
        </w:rPr>
        <w:t>六、其他</w:t>
      </w:r>
      <w:bookmarkEnd w:id="90"/>
      <w:bookmarkEnd w:id="91"/>
      <w:bookmarkEnd w:id="92"/>
    </w:p>
    <w:p>
      <w:pPr>
        <w:snapToGrid w:val="0"/>
        <w:spacing w:line="480" w:lineRule="exact"/>
        <w:ind w:firstLine="360"/>
        <w:rPr>
          <w:rFonts w:ascii="宋体" w:hAnsi="宋体" w:cs="宋体"/>
          <w:kern w:val="0"/>
          <w:sz w:val="24"/>
          <w:szCs w:val="24"/>
        </w:rPr>
      </w:pPr>
      <w:r>
        <w:rPr>
          <w:rFonts w:hint="eastAsia" w:ascii="宋体" w:hAnsi="宋体" w:cs="宋体"/>
          <w:kern w:val="0"/>
          <w:sz w:val="24"/>
          <w:szCs w:val="24"/>
        </w:rPr>
        <w:t>（一）投标人必须在</w:t>
      </w:r>
      <w:r>
        <w:rPr>
          <w:rFonts w:hint="eastAsia" w:ascii="宋体" w:hAnsi="宋体" w:cs="宋体"/>
          <w:sz w:val="24"/>
          <w:szCs w:val="24"/>
        </w:rPr>
        <w:t>投标</w:t>
      </w:r>
      <w:r>
        <w:rPr>
          <w:rFonts w:hint="eastAsia" w:ascii="宋体" w:hAnsi="宋体" w:cs="宋体"/>
          <w:kern w:val="0"/>
          <w:sz w:val="24"/>
          <w:szCs w:val="24"/>
        </w:rPr>
        <w:t>文件中对以上条款和服务承诺明确列出，承诺内容必须达到本篇及比选文件其他条款的要求。</w:t>
      </w:r>
    </w:p>
    <w:p>
      <w:pPr>
        <w:snapToGrid w:val="0"/>
        <w:spacing w:line="480" w:lineRule="exact"/>
        <w:ind w:firstLine="360"/>
        <w:rPr>
          <w:rFonts w:ascii="宋体" w:hAnsi="宋体" w:cs="宋体"/>
          <w:kern w:val="0"/>
          <w:sz w:val="24"/>
          <w:szCs w:val="24"/>
        </w:rPr>
      </w:pPr>
      <w:r>
        <w:rPr>
          <w:rFonts w:hint="eastAsia" w:ascii="宋体" w:hAnsi="宋体" w:cs="宋体"/>
          <w:kern w:val="0"/>
          <w:sz w:val="24"/>
          <w:szCs w:val="24"/>
        </w:rPr>
        <w:t>（二）其他未尽事宜由双方在甲乙合同中详细约定。</w:t>
      </w:r>
    </w:p>
    <w:p>
      <w:pPr>
        <w:snapToGrid w:val="0"/>
        <w:spacing w:line="480" w:lineRule="exact"/>
        <w:ind w:firstLine="360"/>
      </w:pPr>
      <w:r>
        <w:br w:type="page"/>
      </w:r>
    </w:p>
    <w:p>
      <w:pPr>
        <w:snapToGrid w:val="0"/>
        <w:spacing w:line="480" w:lineRule="exact"/>
        <w:ind w:firstLine="360"/>
        <w:rPr>
          <w:rFonts w:ascii="宋体" w:hAnsi="宋体" w:cs="宋体"/>
          <w:kern w:val="0"/>
          <w:sz w:val="24"/>
          <w:szCs w:val="24"/>
        </w:rPr>
      </w:pPr>
    </w:p>
    <w:p>
      <w:pPr>
        <w:pStyle w:val="4"/>
        <w:spacing w:before="0" w:after="0" w:line="360" w:lineRule="auto"/>
        <w:jc w:val="center"/>
        <w:rPr>
          <w:rFonts w:ascii="宋体" w:hAnsi="宋体" w:eastAsia="宋体" w:cs="宋体"/>
          <w:b w:val="0"/>
          <w:sz w:val="36"/>
          <w:szCs w:val="30"/>
        </w:rPr>
      </w:pPr>
      <w:bookmarkStart w:id="93" w:name="_Toc517784645"/>
      <w:bookmarkStart w:id="94" w:name="_Toc49435938"/>
      <w:r>
        <w:rPr>
          <w:rFonts w:hint="eastAsia" w:ascii="宋体" w:hAnsi="宋体" w:eastAsia="宋体" w:cs="宋体"/>
          <w:b w:val="0"/>
          <w:sz w:val="36"/>
          <w:szCs w:val="30"/>
        </w:rPr>
        <w:t xml:space="preserve">第四篇  </w:t>
      </w:r>
      <w:bookmarkEnd w:id="65"/>
      <w:bookmarkEnd w:id="66"/>
      <w:r>
        <w:rPr>
          <w:rFonts w:hint="eastAsia" w:ascii="宋体" w:hAnsi="宋体" w:eastAsia="宋体" w:cs="宋体"/>
          <w:b w:val="0"/>
          <w:sz w:val="36"/>
          <w:szCs w:val="30"/>
        </w:rPr>
        <w:t>合同主要条款</w:t>
      </w:r>
      <w:bookmarkEnd w:id="93"/>
      <w:bookmarkEnd w:id="94"/>
    </w:p>
    <w:p>
      <w:pPr>
        <w:snapToGrid w:val="0"/>
        <w:spacing w:line="480" w:lineRule="exact"/>
        <w:ind w:firstLine="480"/>
        <w:rPr>
          <w:rFonts w:ascii="宋体" w:hAnsi="宋体" w:cs="宋体"/>
          <w:kern w:val="0"/>
          <w:sz w:val="24"/>
          <w:szCs w:val="24"/>
        </w:rPr>
      </w:pPr>
      <w:bookmarkStart w:id="95" w:name="_Toc277084870"/>
      <w:bookmarkStart w:id="96" w:name="_Toc396501811"/>
      <w:bookmarkStart w:id="97" w:name="_Toc285722712"/>
      <w:r>
        <w:rPr>
          <w:rFonts w:hint="eastAsia" w:ascii="宋体" w:hAnsi="宋体" w:cs="宋体"/>
          <w:kern w:val="0"/>
          <w:sz w:val="24"/>
          <w:szCs w:val="24"/>
        </w:rPr>
        <w:t>一、合同主要条款</w:t>
      </w:r>
      <w:bookmarkEnd w:id="95"/>
      <w:bookmarkEnd w:id="96"/>
      <w:bookmarkEnd w:id="97"/>
    </w:p>
    <w:p>
      <w:pPr>
        <w:snapToGrid w:val="0"/>
        <w:spacing w:line="480" w:lineRule="exact"/>
        <w:rPr>
          <w:rFonts w:ascii="宋体" w:hAnsi="宋体" w:cs="宋体"/>
          <w:kern w:val="0"/>
          <w:sz w:val="24"/>
          <w:szCs w:val="24"/>
        </w:rPr>
      </w:pPr>
      <w:r>
        <w:rPr>
          <w:rFonts w:hint="eastAsia" w:ascii="宋体" w:hAnsi="宋体" w:cs="宋体"/>
          <w:kern w:val="0"/>
          <w:sz w:val="24"/>
          <w:szCs w:val="24"/>
        </w:rPr>
        <w:t>1、定义</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（1）甲方（需方）即招标人，是指通过招标工程，接受合同工程的各级国家机关、事业单位和团体组织。</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（2）乙方（供方）即中标人，是指中标后提供合同工程的自然人、法人及其他组织。</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（3）合同是指由甲乙双方按照比选文件和投标文件的实质性内容，通过协商一致达成的书面协议。</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（4）合同价格指以中标价格为依据，在乙方全面履行合同义务后，甲方应支付给乙方的金额。</w:t>
      </w:r>
    </w:p>
    <w:p>
      <w:pPr>
        <w:snapToGrid w:val="0"/>
        <w:spacing w:line="480" w:lineRule="exact"/>
        <w:rPr>
          <w:rFonts w:ascii="宋体" w:hAnsi="宋体" w:cs="宋体"/>
          <w:kern w:val="0"/>
          <w:sz w:val="24"/>
          <w:szCs w:val="24"/>
        </w:rPr>
      </w:pPr>
      <w:r>
        <w:rPr>
          <w:rFonts w:hint="eastAsia" w:ascii="宋体" w:hAnsi="宋体" w:cs="宋体"/>
          <w:kern w:val="0"/>
          <w:sz w:val="24"/>
          <w:szCs w:val="24"/>
        </w:rPr>
        <w:t>2、合同内容</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合同包括以下内容：本比选文件第一篇所明确的工程内容。</w:t>
      </w:r>
    </w:p>
    <w:p>
      <w:pPr>
        <w:snapToGrid w:val="0"/>
        <w:spacing w:line="480" w:lineRule="exact"/>
        <w:rPr>
          <w:rFonts w:ascii="宋体" w:hAnsi="宋体" w:cs="宋体"/>
          <w:kern w:val="0"/>
          <w:sz w:val="24"/>
          <w:szCs w:val="24"/>
        </w:rPr>
      </w:pPr>
      <w:r>
        <w:rPr>
          <w:rFonts w:hint="eastAsia" w:ascii="宋体" w:hAnsi="宋体" w:cs="宋体"/>
          <w:kern w:val="0"/>
          <w:sz w:val="24"/>
          <w:szCs w:val="24"/>
        </w:rPr>
        <w:t>3、合同价格</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（1）合同价格即合同总价。</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（2）合同价格包括本工程招标范围内的全部工程，并以乙方人在工程预算书中提出的单价或总价为依据。</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（3）合同为固定总价。</w:t>
      </w:r>
    </w:p>
    <w:p>
      <w:pPr>
        <w:snapToGrid w:val="0"/>
        <w:spacing w:line="480" w:lineRule="exact"/>
        <w:rPr>
          <w:rFonts w:ascii="宋体" w:hAnsi="宋体" w:cs="宋体"/>
          <w:kern w:val="0"/>
          <w:sz w:val="24"/>
          <w:szCs w:val="24"/>
        </w:rPr>
      </w:pPr>
      <w:r>
        <w:rPr>
          <w:rFonts w:hint="eastAsia" w:ascii="宋体" w:hAnsi="宋体" w:cs="宋体"/>
          <w:kern w:val="0"/>
          <w:sz w:val="24"/>
          <w:szCs w:val="24"/>
        </w:rPr>
        <w:t>4、转包或分包</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（1）本项目不允许转包或分包。</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（2）如有转让和未经甲方同意的分包行为，甲方有权解除合同，没收履约保证金并追究乙方的违约责任。</w:t>
      </w:r>
    </w:p>
    <w:p>
      <w:pPr>
        <w:snapToGrid w:val="0"/>
        <w:spacing w:line="480" w:lineRule="exact"/>
        <w:rPr>
          <w:rFonts w:ascii="宋体" w:hAnsi="宋体" w:cs="宋体"/>
          <w:kern w:val="0"/>
          <w:sz w:val="24"/>
          <w:szCs w:val="24"/>
        </w:rPr>
      </w:pPr>
      <w:r>
        <w:rPr>
          <w:rFonts w:hint="eastAsia" w:ascii="宋体" w:hAnsi="宋体" w:cs="宋体"/>
          <w:kern w:val="0"/>
          <w:sz w:val="24"/>
          <w:szCs w:val="24"/>
        </w:rPr>
        <w:t>5、工程质量保修期：</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自验收之日起，提供1年的免费服务质保期。</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1、工程质量需满足工程质量保修书相关要求。</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2、保修期内，所有设备和施工质量缺陷的维护及维修（非人为损坏）均为免费。</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3、保修期内，所有设备维护和施工质量缺陷维修均为现场服务，由此产生的费用均不再收取。</w:t>
      </w:r>
    </w:p>
    <w:p>
      <w:pPr>
        <w:snapToGrid w:val="0"/>
        <w:spacing w:line="480" w:lineRule="exact"/>
        <w:rPr>
          <w:rFonts w:ascii="宋体" w:hAnsi="宋体" w:cs="宋体"/>
          <w:kern w:val="0"/>
          <w:sz w:val="24"/>
          <w:szCs w:val="24"/>
        </w:rPr>
      </w:pPr>
      <w:r>
        <w:rPr>
          <w:rFonts w:hint="eastAsia" w:ascii="宋体" w:hAnsi="宋体" w:cs="宋体"/>
          <w:kern w:val="0"/>
          <w:sz w:val="24"/>
          <w:szCs w:val="24"/>
        </w:rPr>
        <w:t>6、结算原则：见比选文件第四篇第三条约定。</w:t>
      </w:r>
    </w:p>
    <w:p>
      <w:pPr>
        <w:snapToGrid w:val="0"/>
        <w:spacing w:line="480" w:lineRule="exact"/>
        <w:rPr>
          <w:rFonts w:ascii="宋体" w:hAnsi="宋体" w:cs="宋体"/>
          <w:kern w:val="0"/>
          <w:sz w:val="24"/>
          <w:szCs w:val="24"/>
        </w:rPr>
      </w:pPr>
      <w:r>
        <w:rPr>
          <w:rFonts w:hint="eastAsia" w:ascii="宋体" w:hAnsi="宋体" w:cs="宋体"/>
          <w:kern w:val="0"/>
          <w:sz w:val="24"/>
          <w:szCs w:val="24"/>
        </w:rPr>
        <w:t>7、合同生效及其它</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（1）合同生效及其效力应符合《中华人民共和国合同法》有关规定。</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（2）合同应经当事人法定代表人或委托代理人签字，加盖双方合同专用章或公章。</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（3）合同所包括附件，是合同不可分割的一部分，具有同等法律效力。</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（4）合同需提供担保的，按《中华人民共和国担保法》规定执行。</w:t>
      </w:r>
    </w:p>
    <w:p>
      <w:pPr>
        <w:snapToGrid w:val="0"/>
        <w:spacing w:line="480" w:lineRule="exact"/>
        <w:ind w:firstLine="480"/>
        <w:rPr>
          <w:rFonts w:ascii="宋体" w:hAnsi="宋体" w:cs="宋体"/>
          <w:kern w:val="0"/>
          <w:sz w:val="24"/>
          <w:szCs w:val="24"/>
        </w:rPr>
      </w:pPr>
      <w:r>
        <w:rPr>
          <w:rFonts w:hint="eastAsia" w:ascii="宋体" w:hAnsi="宋体" w:cs="宋体"/>
          <w:kern w:val="0"/>
          <w:sz w:val="24"/>
          <w:szCs w:val="24"/>
        </w:rPr>
        <w:t>（5）本合同条件未尽事宜依照《中华人民共和国合同法》，由甲乙双方共同协商确定。</w:t>
      </w:r>
    </w:p>
    <w:p>
      <w:pPr>
        <w:snapToGrid w:val="0"/>
        <w:spacing w:line="480" w:lineRule="exact"/>
        <w:ind w:firstLine="480"/>
      </w:pPr>
      <w:r>
        <w:br w:type="page"/>
      </w:r>
    </w:p>
    <w:p>
      <w:pPr>
        <w:tabs>
          <w:tab w:val="left" w:pos="3395"/>
          <w:tab w:val="left" w:pos="5940"/>
        </w:tabs>
        <w:autoSpaceDE w:val="0"/>
        <w:autoSpaceDN w:val="0"/>
        <w:adjustRightInd w:val="0"/>
        <w:snapToGrid w:val="0"/>
        <w:spacing w:line="360" w:lineRule="auto"/>
        <w:jc w:val="left"/>
        <w:rPr>
          <w:rFonts w:ascii="宋体" w:hAnsi="宋体" w:cs="MingLiU"/>
          <w:snapToGrid w:val="0"/>
          <w:kern w:val="0"/>
          <w:position w:val="-2"/>
          <w:szCs w:val="21"/>
        </w:rPr>
      </w:pPr>
    </w:p>
    <w:p>
      <w:pPr>
        <w:pStyle w:val="4"/>
        <w:spacing w:before="0" w:after="0" w:line="360" w:lineRule="auto"/>
        <w:ind w:firstLine="2891"/>
        <w:rPr>
          <w:rFonts w:ascii="宋体" w:hAnsi="宋体" w:eastAsia="宋体" w:cs="宋体"/>
          <w:b w:val="0"/>
          <w:sz w:val="36"/>
          <w:szCs w:val="30"/>
        </w:rPr>
      </w:pPr>
      <w:bookmarkStart w:id="98" w:name="_Hlt41879464"/>
      <w:bookmarkEnd w:id="98"/>
      <w:bookmarkStart w:id="99" w:name="_Toc12789072"/>
      <w:bookmarkStart w:id="100" w:name="_Toc517784646"/>
      <w:bookmarkStart w:id="101" w:name="_Toc49435939"/>
      <w:r>
        <w:rPr>
          <w:rFonts w:hint="eastAsia" w:ascii="宋体" w:hAnsi="宋体" w:eastAsia="宋体"/>
        </w:rPr>
        <w:t>第五篇  投标文件格式要求</w:t>
      </w:r>
      <w:bookmarkEnd w:id="99"/>
      <w:bookmarkEnd w:id="100"/>
      <w:bookmarkEnd w:id="101"/>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bookmarkStart w:id="102" w:name="_Toc313008356"/>
      <w:bookmarkStart w:id="103" w:name="_Toc313888360"/>
      <w:bookmarkStart w:id="104" w:name="_Toc342913419"/>
      <w:bookmarkStart w:id="105" w:name="_Toc12789073"/>
      <w:bookmarkStart w:id="106" w:name="_Toc283382454"/>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spacing w:val="1"/>
          <w:w w:val="99"/>
          <w:kern w:val="0"/>
          <w:szCs w:val="28"/>
          <w:u w:val="single"/>
        </w:rPr>
      </w:pPr>
    </w:p>
    <w:p>
      <w:pPr>
        <w:tabs>
          <w:tab w:val="left" w:pos="3395"/>
          <w:tab w:val="left" w:pos="5940"/>
        </w:tabs>
        <w:autoSpaceDE w:val="0"/>
        <w:autoSpaceDN w:val="0"/>
        <w:adjustRightInd w:val="0"/>
        <w:snapToGrid w:val="0"/>
        <w:spacing w:line="360" w:lineRule="auto"/>
        <w:jc w:val="left"/>
        <w:rPr>
          <w:rFonts w:ascii="宋体" w:hAnsi="宋体" w:cs="MingLiU"/>
          <w:b/>
          <w:w w:val="99"/>
          <w:kern w:val="0"/>
          <w:szCs w:val="28"/>
        </w:rPr>
      </w:pPr>
      <w:r>
        <w:rPr>
          <w:rFonts w:hint="eastAsia" w:ascii="宋体" w:hAnsi="宋体" w:cs="MingLiU"/>
          <w:b/>
          <w:spacing w:val="1"/>
          <w:w w:val="99"/>
          <w:kern w:val="0"/>
          <w:szCs w:val="28"/>
          <w:u w:val="single"/>
        </w:rPr>
        <w:t xml:space="preserve">                                               </w:t>
      </w:r>
      <w:r>
        <w:rPr>
          <w:rFonts w:hint="eastAsia" w:ascii="宋体" w:hAnsi="宋体" w:cs="MingLiU"/>
          <w:b/>
          <w:w w:val="99"/>
          <w:kern w:val="0"/>
          <w:szCs w:val="28"/>
        </w:rPr>
        <w:t>（项目名称</w:t>
      </w:r>
      <w:r>
        <w:rPr>
          <w:rFonts w:hint="eastAsia" w:ascii="宋体" w:hAnsi="宋体" w:cs="MingLiU"/>
          <w:b/>
          <w:spacing w:val="1"/>
          <w:w w:val="99"/>
          <w:kern w:val="0"/>
          <w:szCs w:val="28"/>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投  标  文  件</w:t>
      </w: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tabs>
          <w:tab w:val="left" w:pos="6080"/>
          <w:tab w:val="left" w:pos="6640"/>
        </w:tabs>
        <w:autoSpaceDE w:val="0"/>
        <w:autoSpaceDN w:val="0"/>
        <w:adjustRightInd w:val="0"/>
        <w:snapToGrid w:val="0"/>
        <w:spacing w:line="360" w:lineRule="auto"/>
        <w:jc w:val="center"/>
        <w:rPr>
          <w:rFonts w:ascii="宋体" w:hAnsi="宋体"/>
          <w:b/>
          <w:w w:val="99"/>
          <w:kern w:val="0"/>
          <w:szCs w:val="28"/>
        </w:rPr>
      </w:pPr>
      <w:r>
        <w:rPr>
          <w:rFonts w:hint="eastAsia" w:ascii="宋体" w:hAnsi="宋体" w:cs="MingLiU"/>
          <w:b/>
          <w:w w:val="99"/>
          <w:kern w:val="0"/>
          <w:szCs w:val="28"/>
        </w:rPr>
        <w:t>投标人</w:t>
      </w:r>
      <w:r>
        <w:rPr>
          <w:rFonts w:hint="eastAsia" w:ascii="宋体" w:hAnsi="宋体" w:cs="MingLiU"/>
          <w:b/>
          <w:spacing w:val="1"/>
          <w:w w:val="99"/>
          <w:kern w:val="0"/>
          <w:szCs w:val="28"/>
        </w:rPr>
        <w:t>：</w:t>
      </w:r>
      <w:r>
        <w:rPr>
          <w:rFonts w:ascii="宋体" w:hAnsi="宋体" w:cs="MingLiU"/>
          <w:b/>
          <w:w w:val="198"/>
          <w:kern w:val="0"/>
          <w:szCs w:val="28"/>
          <w:u w:val="single"/>
        </w:rPr>
        <w:t xml:space="preserve"> </w:t>
      </w:r>
      <w:r>
        <w:rPr>
          <w:rFonts w:hint="eastAsia" w:ascii="宋体" w:hAnsi="宋体" w:cs="MingLiU"/>
          <w:b/>
          <w:w w:val="198"/>
          <w:kern w:val="0"/>
          <w:szCs w:val="28"/>
          <w:u w:val="single"/>
        </w:rPr>
        <w:t>　　　　 　　</w:t>
      </w:r>
      <w:r>
        <w:rPr>
          <w:rFonts w:hint="eastAsia" w:ascii="宋体" w:hAnsi="宋体" w:cs="MingLiU"/>
          <w:b/>
          <w:w w:val="99"/>
          <w:kern w:val="0"/>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kern w:val="0"/>
          <w:szCs w:val="28"/>
        </w:rPr>
      </w:pPr>
      <w:r>
        <w:rPr>
          <w:rFonts w:hint="eastAsia" w:ascii="宋体" w:hAnsi="宋体" w:cs="MingLiU"/>
          <w:b/>
          <w:w w:val="99"/>
          <w:kern w:val="0"/>
          <w:szCs w:val="28"/>
        </w:rPr>
        <w:t>法定代表人或其委托代理人：</w:t>
      </w:r>
      <w:r>
        <w:rPr>
          <w:rFonts w:ascii="宋体" w:hAnsi="宋体" w:cs="MingLiU"/>
          <w:b/>
          <w:w w:val="198"/>
          <w:kern w:val="0"/>
          <w:szCs w:val="28"/>
          <w:u w:val="single"/>
        </w:rPr>
        <w:t xml:space="preserve"> </w:t>
      </w:r>
      <w:r>
        <w:rPr>
          <w:rFonts w:hint="eastAsia" w:ascii="宋体" w:hAnsi="宋体" w:cs="MingLiU"/>
          <w:b/>
          <w:w w:val="198"/>
          <w:kern w:val="0"/>
          <w:szCs w:val="28"/>
          <w:u w:val="single"/>
        </w:rPr>
        <w:t>　　 　</w:t>
      </w:r>
      <w:r>
        <w:rPr>
          <w:rFonts w:hint="eastAsia" w:ascii="宋体" w:hAnsi="宋体" w:cs="MingLiU"/>
          <w:b/>
          <w:w w:val="99"/>
          <w:kern w:val="0"/>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Cs w:val="28"/>
        </w:rPr>
      </w:pPr>
      <w:r>
        <w:rPr>
          <w:rFonts w:hint="eastAsia" w:ascii="宋体" w:hAnsi="宋体" w:cs="MingLiU"/>
          <w:b/>
          <w:w w:val="99"/>
          <w:kern w:val="0"/>
          <w:szCs w:val="28"/>
          <w:u w:val="single"/>
        </w:rPr>
        <w:t xml:space="preserve">     　</w:t>
      </w:r>
      <w:r>
        <w:rPr>
          <w:rFonts w:hint="eastAsia" w:ascii="宋体" w:hAnsi="宋体" w:cs="MingLiU"/>
          <w:b/>
          <w:w w:val="99"/>
          <w:kern w:val="0"/>
          <w:szCs w:val="28"/>
        </w:rPr>
        <w:t>年</w:t>
      </w:r>
      <w:r>
        <w:rPr>
          <w:rFonts w:ascii="宋体" w:hAnsi="宋体" w:cs="MingLiU"/>
          <w:b/>
          <w:w w:val="198"/>
          <w:kern w:val="0"/>
          <w:szCs w:val="28"/>
          <w:u w:val="single"/>
        </w:rPr>
        <w:t xml:space="preserve"> </w:t>
      </w:r>
      <w:r>
        <w:rPr>
          <w:rFonts w:hint="eastAsia" w:ascii="宋体" w:hAnsi="宋体" w:cs="MingLiU"/>
          <w:b/>
          <w:w w:val="198"/>
          <w:kern w:val="0"/>
          <w:szCs w:val="28"/>
          <w:u w:val="single"/>
        </w:rPr>
        <w:t xml:space="preserve"> </w:t>
      </w:r>
      <w:r>
        <w:rPr>
          <w:rFonts w:hint="eastAsia" w:ascii="宋体" w:hAnsi="宋体" w:cs="MingLiU"/>
          <w:b/>
          <w:w w:val="99"/>
          <w:kern w:val="0"/>
          <w:szCs w:val="28"/>
        </w:rPr>
        <w:t>月</w:t>
      </w:r>
      <w:r>
        <w:rPr>
          <w:rFonts w:ascii="宋体" w:hAnsi="宋体" w:cs="MingLiU"/>
          <w:b/>
          <w:w w:val="198"/>
          <w:kern w:val="0"/>
          <w:szCs w:val="28"/>
          <w:u w:val="single"/>
        </w:rPr>
        <w:t xml:space="preserve"> </w:t>
      </w:r>
      <w:r>
        <w:rPr>
          <w:rFonts w:hint="eastAsia" w:ascii="宋体" w:hAnsi="宋体" w:cs="MingLiU"/>
          <w:b/>
          <w:w w:val="198"/>
          <w:kern w:val="0"/>
          <w:szCs w:val="28"/>
          <w:u w:val="single"/>
        </w:rPr>
        <w:t xml:space="preserve"> </w:t>
      </w:r>
      <w:r>
        <w:rPr>
          <w:rFonts w:hint="eastAsia" w:ascii="宋体" w:hAnsi="宋体" w:cs="MingLiU"/>
          <w:b/>
          <w:w w:val="99"/>
          <w:kern w:val="0"/>
          <w:szCs w:val="28"/>
        </w:rPr>
        <w:t>日</w:t>
      </w:r>
    </w:p>
    <w:p>
      <w:pPr>
        <w:spacing w:line="580" w:lineRule="exact"/>
        <w:ind w:firstLine="482"/>
        <w:rPr>
          <w:rFonts w:ascii="宋体" w:hAnsi="宋体" w:cs="宋体"/>
          <w:b/>
          <w:sz w:val="24"/>
          <w:szCs w:val="24"/>
        </w:rPr>
      </w:pPr>
    </w:p>
    <w:p>
      <w:pPr>
        <w:spacing w:line="580" w:lineRule="exact"/>
        <w:ind w:firstLine="482"/>
        <w:rPr>
          <w:rFonts w:ascii="宋体" w:hAnsi="宋体" w:cs="宋体"/>
          <w:b/>
          <w:sz w:val="24"/>
          <w:szCs w:val="24"/>
        </w:rPr>
      </w:pPr>
    </w:p>
    <w:p>
      <w:pPr>
        <w:spacing w:line="580" w:lineRule="exact"/>
        <w:ind w:firstLine="482"/>
        <w:rPr>
          <w:rFonts w:ascii="宋体" w:hAnsi="宋体" w:cs="宋体"/>
          <w:b/>
          <w:sz w:val="24"/>
          <w:szCs w:val="24"/>
        </w:rPr>
      </w:pPr>
    </w:p>
    <w:p>
      <w:pPr>
        <w:spacing w:line="580" w:lineRule="exact"/>
        <w:ind w:firstLine="883"/>
        <w:jc w:val="center"/>
        <w:rPr>
          <w:rFonts w:ascii="宋体" w:hAnsi="宋体" w:cs="宋体"/>
          <w:b/>
          <w:sz w:val="44"/>
          <w:szCs w:val="44"/>
        </w:rPr>
      </w:pPr>
    </w:p>
    <w:p>
      <w:pPr>
        <w:spacing w:line="580" w:lineRule="exact"/>
        <w:ind w:firstLine="883"/>
        <w:jc w:val="center"/>
        <w:rPr>
          <w:rFonts w:ascii="宋体" w:hAnsi="宋体" w:cs="宋体"/>
          <w:b/>
          <w:sz w:val="44"/>
          <w:szCs w:val="44"/>
        </w:rPr>
      </w:pPr>
      <w:r>
        <w:rPr>
          <w:rFonts w:hint="eastAsia" w:ascii="宋体" w:hAnsi="宋体" w:cs="宋体"/>
          <w:b/>
          <w:sz w:val="44"/>
          <w:szCs w:val="44"/>
        </w:rPr>
        <w:t>目    录</w:t>
      </w:r>
    </w:p>
    <w:p>
      <w:pPr>
        <w:spacing w:line="580" w:lineRule="exact"/>
        <w:rPr>
          <w:rFonts w:ascii="宋体" w:hAnsi="宋体" w:cs="宋体"/>
          <w:b/>
          <w:sz w:val="44"/>
          <w:szCs w:val="44"/>
        </w:rPr>
      </w:pPr>
    </w:p>
    <w:p>
      <w:pPr>
        <w:spacing w:line="580" w:lineRule="exact"/>
        <w:ind w:firstLine="883"/>
        <w:jc w:val="center"/>
        <w:rPr>
          <w:rFonts w:ascii="宋体" w:hAnsi="宋体" w:cs="宋体"/>
          <w:b/>
          <w:sz w:val="44"/>
          <w:szCs w:val="44"/>
        </w:rPr>
      </w:pPr>
    </w:p>
    <w:p>
      <w:pPr>
        <w:spacing w:line="480" w:lineRule="auto"/>
        <w:ind w:firstLine="975"/>
        <w:rPr>
          <w:rFonts w:ascii="宋体" w:hAnsi="宋体" w:cs="宋体"/>
          <w:b/>
          <w:szCs w:val="28"/>
        </w:rPr>
      </w:pPr>
      <w:r>
        <w:rPr>
          <w:rFonts w:hint="eastAsia" w:ascii="宋体" w:hAnsi="宋体" w:cs="宋体"/>
          <w:b/>
          <w:szCs w:val="28"/>
        </w:rPr>
        <w:t>一、投标函</w:t>
      </w:r>
    </w:p>
    <w:p>
      <w:pPr>
        <w:spacing w:line="480" w:lineRule="auto"/>
        <w:ind w:firstLine="975"/>
        <w:rPr>
          <w:rFonts w:ascii="宋体" w:hAnsi="宋体" w:cs="宋体"/>
          <w:b/>
          <w:szCs w:val="28"/>
        </w:rPr>
      </w:pPr>
      <w:r>
        <w:rPr>
          <w:rFonts w:hint="eastAsia" w:ascii="宋体" w:hAnsi="宋体" w:cs="宋体"/>
          <w:b/>
          <w:szCs w:val="28"/>
        </w:rPr>
        <w:t>二、投标函附录</w:t>
      </w:r>
    </w:p>
    <w:p>
      <w:pPr>
        <w:spacing w:line="480" w:lineRule="auto"/>
        <w:ind w:firstLine="975"/>
        <w:rPr>
          <w:rFonts w:ascii="宋体" w:hAnsi="宋体" w:cs="宋体"/>
          <w:b/>
          <w:szCs w:val="28"/>
        </w:rPr>
      </w:pPr>
      <w:r>
        <w:rPr>
          <w:rFonts w:hint="eastAsia" w:ascii="宋体" w:hAnsi="宋体" w:cs="宋体"/>
          <w:b/>
          <w:szCs w:val="28"/>
        </w:rPr>
        <w:t>三、法定代表人身份证明及法定代表人授权委托书</w:t>
      </w:r>
    </w:p>
    <w:p>
      <w:pPr>
        <w:spacing w:line="480" w:lineRule="auto"/>
        <w:ind w:firstLine="975"/>
        <w:rPr>
          <w:rFonts w:ascii="宋体" w:hAnsi="宋体" w:cs="宋体"/>
          <w:b/>
          <w:szCs w:val="28"/>
        </w:rPr>
      </w:pPr>
      <w:r>
        <w:rPr>
          <w:rFonts w:hint="eastAsia" w:ascii="宋体" w:hAnsi="宋体" w:cs="宋体"/>
          <w:b/>
          <w:szCs w:val="28"/>
        </w:rPr>
        <w:t>四、投标报价清单</w:t>
      </w:r>
    </w:p>
    <w:p>
      <w:pPr>
        <w:spacing w:line="480" w:lineRule="auto"/>
        <w:ind w:firstLine="975"/>
        <w:rPr>
          <w:rFonts w:ascii="宋体" w:hAnsi="宋体" w:cs="宋体"/>
          <w:b/>
          <w:szCs w:val="28"/>
        </w:rPr>
      </w:pPr>
      <w:r>
        <w:rPr>
          <w:rFonts w:hint="eastAsia" w:ascii="宋体" w:hAnsi="宋体" w:cs="宋体"/>
          <w:b/>
          <w:szCs w:val="28"/>
        </w:rPr>
        <w:t>五、资格条件及其他</w:t>
      </w:r>
    </w:p>
    <w:p>
      <w:pPr>
        <w:spacing w:line="480" w:lineRule="auto"/>
        <w:ind w:firstLine="1251"/>
        <w:rPr>
          <w:rFonts w:ascii="宋体" w:hAnsi="宋体" w:cs="宋体"/>
          <w:b/>
          <w:szCs w:val="28"/>
        </w:rPr>
      </w:pPr>
      <w:r>
        <w:rPr>
          <w:rFonts w:hint="eastAsia" w:ascii="宋体" w:hAnsi="宋体" w:cs="宋体"/>
          <w:b/>
          <w:szCs w:val="28"/>
        </w:rPr>
        <w:t>（一）投标人基本情况表</w:t>
      </w:r>
    </w:p>
    <w:p>
      <w:pPr>
        <w:spacing w:line="480" w:lineRule="auto"/>
        <w:ind w:firstLine="1251"/>
        <w:rPr>
          <w:rFonts w:ascii="宋体" w:hAnsi="宋体" w:cs="宋体"/>
          <w:b/>
          <w:szCs w:val="28"/>
        </w:rPr>
      </w:pPr>
      <w:r>
        <w:rPr>
          <w:rFonts w:hint="eastAsia" w:ascii="宋体" w:hAnsi="宋体" w:cs="宋体"/>
          <w:b/>
          <w:szCs w:val="28"/>
        </w:rPr>
        <w:t>（二）缴纳社会保障金的证明材料复印件</w:t>
      </w:r>
    </w:p>
    <w:p>
      <w:pPr>
        <w:spacing w:line="480" w:lineRule="auto"/>
        <w:ind w:firstLine="1251"/>
        <w:rPr>
          <w:rFonts w:ascii="宋体" w:hAnsi="宋体" w:cs="宋体"/>
          <w:b/>
          <w:szCs w:val="28"/>
        </w:rPr>
      </w:pPr>
      <w:r>
        <w:rPr>
          <w:rFonts w:hint="eastAsia" w:ascii="宋体" w:hAnsi="宋体" w:cs="宋体"/>
          <w:b/>
          <w:szCs w:val="28"/>
        </w:rPr>
        <w:t>(三）2019年度财务状况报告（表）或其基本开户银行出具的资信证明复印件，本年度新成立或成立不满一年的组织和自然人无法提供财务状况报告（表）的，可提供银行出具的资信证明复印件。</w:t>
      </w:r>
    </w:p>
    <w:p>
      <w:pPr>
        <w:spacing w:line="480" w:lineRule="auto"/>
        <w:ind w:firstLine="1251"/>
        <w:rPr>
          <w:rFonts w:ascii="宋体" w:hAnsi="宋体" w:cs="宋体"/>
          <w:b/>
          <w:szCs w:val="28"/>
        </w:rPr>
      </w:pPr>
    </w:p>
    <w:p>
      <w:pPr>
        <w:spacing w:line="480" w:lineRule="auto"/>
        <w:ind w:firstLine="480"/>
        <w:rPr>
          <w:rFonts w:ascii="宋体" w:hAnsi="宋体" w:cs="宋体"/>
          <w:sz w:val="24"/>
          <w:szCs w:val="24"/>
        </w:rPr>
      </w:pPr>
    </w:p>
    <w:p>
      <w:pPr>
        <w:spacing w:line="440" w:lineRule="exact"/>
        <w:ind w:firstLine="560"/>
        <w:rPr>
          <w:rFonts w:ascii="宋体" w:hAnsi="宋体" w:cs="宋体"/>
          <w:sz w:val="24"/>
          <w:szCs w:val="24"/>
        </w:rPr>
      </w:pPr>
      <w:r>
        <w:br w:type="page"/>
      </w:r>
    </w:p>
    <w:bookmarkEnd w:id="102"/>
    <w:bookmarkEnd w:id="103"/>
    <w:bookmarkEnd w:id="104"/>
    <w:bookmarkEnd w:id="105"/>
    <w:bookmarkEnd w:id="106"/>
    <w:p>
      <w:pPr>
        <w:pStyle w:val="2"/>
        <w:numPr>
          <w:ilvl w:val="0"/>
          <w:numId w:val="14"/>
        </w:numPr>
        <w:spacing w:before="0" w:after="0" w:line="360" w:lineRule="auto"/>
        <w:rPr>
          <w:rFonts w:ascii="宋体" w:hAnsi="宋体" w:cs="宋体"/>
          <w:sz w:val="24"/>
          <w:szCs w:val="24"/>
        </w:rPr>
      </w:pPr>
      <w:bookmarkStart w:id="107" w:name="_Toc517784647"/>
      <w:bookmarkStart w:id="108" w:name="_Toc49435940"/>
      <w:r>
        <w:rPr>
          <w:rFonts w:hint="eastAsia" w:ascii="宋体" w:hAnsi="宋体" w:cs="宋体"/>
          <w:sz w:val="24"/>
          <w:szCs w:val="24"/>
        </w:rPr>
        <w:t>投标函</w:t>
      </w:r>
      <w:bookmarkEnd w:id="107"/>
      <w:bookmarkEnd w:id="108"/>
    </w:p>
    <w:p>
      <w:r>
        <w:rPr>
          <w:rFonts w:hint="eastAsia"/>
        </w:rPr>
        <w:t xml:space="preserve">                              投标函</w:t>
      </w:r>
    </w:p>
    <w:p/>
    <w:p>
      <w:pPr>
        <w:tabs>
          <w:tab w:val="left" w:pos="2640"/>
        </w:tabs>
        <w:autoSpaceDE w:val="0"/>
        <w:autoSpaceDN w:val="0"/>
        <w:adjustRightInd w:val="0"/>
        <w:spacing w:line="360" w:lineRule="auto"/>
        <w:ind w:left="120" w:right="-20"/>
        <w:jc w:val="left"/>
        <w:rPr>
          <w:rFonts w:ascii="宋体" w:hAnsi="宋体" w:cs="MingLiU"/>
          <w:snapToGrid w:val="0"/>
          <w:kern w:val="0"/>
          <w:sz w:val="24"/>
          <w:szCs w:val="24"/>
        </w:rPr>
      </w:pPr>
      <w:r>
        <w:rPr>
          <w:rFonts w:hint="eastAsia" w:ascii="宋体" w:hAnsi="宋体" w:cs="宋体"/>
          <w:sz w:val="24"/>
          <w:szCs w:val="24"/>
          <w:u w:val="single"/>
        </w:rPr>
        <w:t xml:space="preserve">（招标人名称）                   </w:t>
      </w:r>
      <w:r>
        <w:rPr>
          <w:rFonts w:hint="eastAsia" w:ascii="宋体" w:hAnsi="宋体" w:cs="MingLiU"/>
          <w:snapToGrid w:val="0"/>
          <w:kern w:val="0"/>
          <w:sz w:val="24"/>
          <w:szCs w:val="24"/>
        </w:rPr>
        <w:t>：</w:t>
      </w:r>
    </w:p>
    <w:p>
      <w:pPr>
        <w:tabs>
          <w:tab w:val="left" w:pos="3520"/>
          <w:tab w:val="left" w:pos="4920"/>
          <w:tab w:val="left" w:pos="5715"/>
          <w:tab w:val="left" w:pos="6945"/>
          <w:tab w:val="left" w:pos="7980"/>
        </w:tabs>
        <w:autoSpaceDE w:val="0"/>
        <w:autoSpaceDN w:val="0"/>
        <w:adjustRightInd w:val="0"/>
        <w:spacing w:line="480" w:lineRule="exact"/>
        <w:ind w:left="160" w:right="94" w:firstLine="480"/>
        <w:rPr>
          <w:rFonts w:ascii="宋体" w:hAnsi="宋体" w:cs="MingLiU"/>
          <w:snapToGrid w:val="0"/>
          <w:kern w:val="0"/>
          <w:sz w:val="24"/>
          <w:szCs w:val="24"/>
        </w:rPr>
      </w:pPr>
      <w:r>
        <w:rPr>
          <w:rFonts w:ascii="宋体" w:hAnsi="宋体"/>
          <w:snapToGrid w:val="0"/>
          <w:kern w:val="0"/>
          <w:sz w:val="24"/>
          <w:szCs w:val="24"/>
        </w:rPr>
        <w:t>1</w:t>
      </w:r>
      <w:r>
        <w:rPr>
          <w:rFonts w:hint="eastAsia" w:ascii="宋体" w:hAnsi="宋体" w:cs="MingLiU"/>
          <w:snapToGrid w:val="0"/>
          <w:kern w:val="0"/>
          <w:sz w:val="24"/>
          <w:szCs w:val="24"/>
        </w:rPr>
        <w:t>．我方已仔细研究了</w:t>
      </w:r>
      <w:r>
        <w:rPr>
          <w:rFonts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ascii="宋体" w:hAnsi="宋体"/>
          <w:snapToGrid w:val="0"/>
          <w:kern w:val="0"/>
          <w:sz w:val="24"/>
          <w:szCs w:val="24"/>
          <w:u w:val="single"/>
        </w:rPr>
        <w:tab/>
      </w:r>
      <w:r>
        <w:rPr>
          <w:rFonts w:hint="eastAsia" w:ascii="宋体" w:hAnsi="宋体" w:cs="MingLiU"/>
          <w:snapToGrid w:val="0"/>
          <w:kern w:val="0"/>
          <w:sz w:val="24"/>
          <w:szCs w:val="24"/>
        </w:rPr>
        <w:t>（项目名称）施工比选文件的全部内容，愿意以人民币（大写）</w:t>
      </w:r>
      <w:r>
        <w:rPr>
          <w:rFonts w:ascii="宋体" w:hAnsi="宋体" w:cs="MingLiU"/>
          <w:snapToGrid w:val="0"/>
          <w:w w:val="200"/>
          <w:kern w:val="0"/>
          <w:sz w:val="24"/>
          <w:szCs w:val="24"/>
          <w:u w:val="single"/>
        </w:rPr>
        <w:t xml:space="preserve"> </w:t>
      </w:r>
      <w:r>
        <w:rPr>
          <w:rFonts w:hint="eastAsia"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hint="eastAsia" w:ascii="宋体" w:hAnsi="宋体" w:cs="MingLiU"/>
          <w:snapToGrid w:val="0"/>
          <w:kern w:val="0"/>
          <w:sz w:val="24"/>
          <w:szCs w:val="24"/>
        </w:rPr>
        <w:t>元（</w:t>
      </w:r>
      <w:r>
        <w:rPr>
          <w:rFonts w:ascii="宋体" w:hAnsi="宋体"/>
          <w:snapToGrid w:val="0"/>
          <w:kern w:val="0"/>
          <w:sz w:val="24"/>
          <w:szCs w:val="24"/>
        </w:rPr>
        <w:t>¥</w:t>
      </w:r>
      <w:r>
        <w:rPr>
          <w:rFonts w:ascii="宋体" w:hAnsi="宋体" w:cs="MingLiU"/>
          <w:snapToGrid w:val="0"/>
          <w:w w:val="200"/>
          <w:kern w:val="0"/>
          <w:sz w:val="24"/>
          <w:szCs w:val="24"/>
          <w:u w:val="single"/>
        </w:rPr>
        <w:t xml:space="preserve"> </w:t>
      </w:r>
      <w:r>
        <w:rPr>
          <w:rFonts w:hint="eastAsia"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hint="eastAsia" w:ascii="宋体" w:hAnsi="宋体" w:cs="MingLiU"/>
          <w:snapToGrid w:val="0"/>
          <w:kern w:val="0"/>
          <w:sz w:val="24"/>
          <w:szCs w:val="24"/>
        </w:rPr>
        <w:t>）的投标总报价，</w:t>
      </w:r>
      <w:r>
        <w:rPr>
          <w:rFonts w:hint="eastAsia" w:ascii="宋体" w:hAnsi="宋体" w:cs="宋体"/>
          <w:sz w:val="24"/>
          <w:szCs w:val="24"/>
        </w:rPr>
        <w:t>其中安全文明施工费暂定金额:</w:t>
      </w:r>
      <w:r>
        <w:rPr>
          <w:rFonts w:hint="eastAsia" w:ascii="宋体" w:hAnsi="宋体" w:cs="宋体"/>
          <w:b/>
          <w:sz w:val="24"/>
          <w:szCs w:val="24"/>
          <w:u w:val="single"/>
        </w:rPr>
        <w:t xml:space="preserve">          </w:t>
      </w:r>
      <w:r>
        <w:rPr>
          <w:rFonts w:hint="eastAsia" w:ascii="宋体" w:hAnsi="宋体" w:cs="宋体"/>
          <w:sz w:val="24"/>
          <w:szCs w:val="24"/>
        </w:rPr>
        <w:t>元，</w:t>
      </w:r>
      <w:r>
        <w:rPr>
          <w:rFonts w:hint="eastAsia" w:ascii="宋体" w:hAnsi="宋体" w:cs="MingLiU"/>
          <w:snapToGrid w:val="0"/>
          <w:kern w:val="0"/>
          <w:sz w:val="24"/>
          <w:szCs w:val="24"/>
        </w:rPr>
        <w:t>工期</w:t>
      </w:r>
      <w:r>
        <w:rPr>
          <w:rFonts w:ascii="宋体" w:hAnsi="宋体" w:cs="MingLiU"/>
          <w:snapToGrid w:val="0"/>
          <w:w w:val="200"/>
          <w:kern w:val="0"/>
          <w:sz w:val="24"/>
          <w:szCs w:val="24"/>
          <w:u w:val="single"/>
        </w:rPr>
        <w:t xml:space="preserve"> </w:t>
      </w:r>
      <w:r>
        <w:rPr>
          <w:rFonts w:hint="eastAsia"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hint="eastAsia" w:ascii="宋体" w:hAnsi="宋体" w:cs="MingLiU"/>
          <w:snapToGrid w:val="0"/>
          <w:kern w:val="0"/>
          <w:sz w:val="24"/>
          <w:szCs w:val="24"/>
        </w:rPr>
        <w:t>日历天，</w:t>
      </w:r>
      <w:r>
        <w:rPr>
          <w:rFonts w:ascii="宋体" w:hAnsi="宋体"/>
          <w:snapToGrid w:val="0"/>
          <w:kern w:val="0"/>
          <w:sz w:val="24"/>
          <w:szCs w:val="24"/>
        </w:rPr>
        <w:t xml:space="preserve"> </w:t>
      </w:r>
      <w:r>
        <w:rPr>
          <w:rFonts w:hint="eastAsia" w:ascii="宋体" w:hAnsi="宋体" w:cs="MingLiU"/>
          <w:snapToGrid w:val="0"/>
          <w:kern w:val="0"/>
          <w:sz w:val="24"/>
          <w:szCs w:val="24"/>
        </w:rPr>
        <w:t>按合同约定实施和完成承包工程，修补工程中的任何缺陷，工程质量达到</w:t>
      </w:r>
      <w:r>
        <w:rPr>
          <w:rFonts w:ascii="宋体" w:hAnsi="宋体" w:cs="MingLiU"/>
          <w:snapToGrid w:val="0"/>
          <w:w w:val="200"/>
          <w:kern w:val="0"/>
          <w:sz w:val="24"/>
          <w:szCs w:val="24"/>
          <w:u w:val="single"/>
        </w:rPr>
        <w:t xml:space="preserve"> </w:t>
      </w:r>
      <w:r>
        <w:rPr>
          <w:rFonts w:hint="eastAsia" w:ascii="宋体" w:hAnsi="宋体"/>
          <w:snapToGrid w:val="0"/>
          <w:kern w:val="0"/>
          <w:sz w:val="24"/>
          <w:szCs w:val="24"/>
          <w:u w:val="single"/>
        </w:rPr>
        <w:t xml:space="preserve">        </w:t>
      </w:r>
      <w:r>
        <w:rPr>
          <w:rFonts w:hint="eastAsia" w:ascii="宋体" w:hAnsi="宋体" w:cs="MingLiU"/>
          <w:snapToGrid w:val="0"/>
          <w:kern w:val="0"/>
          <w:sz w:val="24"/>
          <w:szCs w:val="24"/>
        </w:rPr>
        <w:t>。</w:t>
      </w:r>
    </w:p>
    <w:p>
      <w:pPr>
        <w:autoSpaceDE w:val="0"/>
        <w:autoSpaceDN w:val="0"/>
        <w:adjustRightInd w:val="0"/>
        <w:spacing w:before="15" w:line="480" w:lineRule="exact"/>
        <w:ind w:left="540" w:right="-20"/>
        <w:jc w:val="left"/>
        <w:rPr>
          <w:rFonts w:ascii="宋体" w:hAnsi="宋体" w:cs="MingLiU"/>
          <w:snapToGrid w:val="0"/>
          <w:kern w:val="0"/>
          <w:sz w:val="24"/>
          <w:szCs w:val="24"/>
        </w:rPr>
      </w:pPr>
      <w:r>
        <w:rPr>
          <w:rFonts w:ascii="宋体" w:hAnsi="宋体"/>
          <w:snapToGrid w:val="0"/>
          <w:kern w:val="0"/>
          <w:sz w:val="24"/>
          <w:szCs w:val="24"/>
        </w:rPr>
        <w:t>2</w:t>
      </w:r>
      <w:r>
        <w:rPr>
          <w:rFonts w:hint="eastAsia" w:ascii="宋体" w:hAnsi="宋体" w:cs="MingLiU"/>
          <w:snapToGrid w:val="0"/>
          <w:kern w:val="0"/>
          <w:sz w:val="24"/>
          <w:szCs w:val="24"/>
        </w:rPr>
        <w:t>．我方承诺在投标有效期内不修改、撤销</w:t>
      </w:r>
      <w:r>
        <w:rPr>
          <w:rFonts w:hint="eastAsia" w:ascii="宋体" w:hAnsi="宋体" w:cs="宋体"/>
          <w:sz w:val="24"/>
          <w:szCs w:val="24"/>
        </w:rPr>
        <w:t>投标</w:t>
      </w:r>
      <w:r>
        <w:rPr>
          <w:rFonts w:hint="eastAsia" w:ascii="宋体" w:hAnsi="宋体" w:cs="MingLiU"/>
          <w:snapToGrid w:val="0"/>
          <w:kern w:val="0"/>
          <w:sz w:val="24"/>
          <w:szCs w:val="24"/>
        </w:rPr>
        <w:t>文件。</w:t>
      </w:r>
    </w:p>
    <w:p>
      <w:pPr>
        <w:autoSpaceDE w:val="0"/>
        <w:autoSpaceDN w:val="0"/>
        <w:adjustRightInd w:val="0"/>
        <w:spacing w:line="480" w:lineRule="exact"/>
        <w:ind w:left="540" w:right="-20"/>
        <w:jc w:val="left"/>
        <w:rPr>
          <w:rFonts w:ascii="宋体" w:hAnsi="宋体" w:cs="MingLiU"/>
          <w:snapToGrid w:val="0"/>
          <w:kern w:val="0"/>
          <w:sz w:val="24"/>
          <w:szCs w:val="24"/>
        </w:rPr>
      </w:pPr>
      <w:r>
        <w:rPr>
          <w:rFonts w:hint="eastAsia" w:ascii="宋体" w:hAnsi="宋体" w:cs="MingLiU"/>
          <w:snapToGrid w:val="0"/>
          <w:kern w:val="0"/>
          <w:sz w:val="24"/>
          <w:szCs w:val="24"/>
        </w:rPr>
        <w:t>3．如我方中标：</w:t>
      </w:r>
    </w:p>
    <w:p>
      <w:pPr>
        <w:autoSpaceDE w:val="0"/>
        <w:autoSpaceDN w:val="0"/>
        <w:adjustRightInd w:val="0"/>
        <w:spacing w:line="480" w:lineRule="exact"/>
        <w:ind w:left="838" w:right="-80"/>
        <w:jc w:val="left"/>
        <w:rPr>
          <w:rFonts w:ascii="宋体" w:hAnsi="宋体" w:cs="MingLiU"/>
          <w:snapToGrid w:val="0"/>
          <w:kern w:val="0"/>
          <w:sz w:val="24"/>
          <w:szCs w:val="24"/>
        </w:rPr>
      </w:pPr>
      <w:r>
        <w:rPr>
          <w:rFonts w:hint="eastAsia" w:ascii="宋体" w:hAnsi="宋体" w:cs="MingLiU"/>
          <w:snapToGrid w:val="0"/>
          <w:kern w:val="0"/>
          <w:sz w:val="24"/>
          <w:szCs w:val="24"/>
        </w:rPr>
        <w:t>（</w:t>
      </w:r>
      <w:r>
        <w:rPr>
          <w:rFonts w:ascii="宋体" w:hAnsi="宋体"/>
          <w:snapToGrid w:val="0"/>
          <w:kern w:val="0"/>
          <w:sz w:val="24"/>
          <w:szCs w:val="24"/>
        </w:rPr>
        <w:t>1</w:t>
      </w:r>
      <w:r>
        <w:rPr>
          <w:rFonts w:hint="eastAsia" w:ascii="宋体" w:hAnsi="宋体" w:cs="MingLiU"/>
          <w:snapToGrid w:val="0"/>
          <w:kern w:val="0"/>
          <w:sz w:val="24"/>
          <w:szCs w:val="24"/>
        </w:rPr>
        <w:t>）我方承诺在收到中标通知书后，在中标通知书规定的期限内与你方签订合同。</w:t>
      </w:r>
    </w:p>
    <w:p>
      <w:pPr>
        <w:autoSpaceDE w:val="0"/>
        <w:autoSpaceDN w:val="0"/>
        <w:adjustRightInd w:val="0"/>
        <w:spacing w:line="480" w:lineRule="exact"/>
        <w:ind w:left="838" w:right="-20"/>
        <w:jc w:val="left"/>
        <w:rPr>
          <w:rFonts w:ascii="宋体" w:hAnsi="宋体" w:cs="MingLiU"/>
          <w:snapToGrid w:val="0"/>
          <w:kern w:val="0"/>
          <w:sz w:val="24"/>
          <w:szCs w:val="24"/>
        </w:rPr>
      </w:pPr>
      <w:r>
        <w:rPr>
          <w:rFonts w:hint="eastAsia" w:ascii="宋体" w:hAnsi="宋体" w:cs="MingLiU"/>
          <w:snapToGrid w:val="0"/>
          <w:kern w:val="0"/>
          <w:sz w:val="24"/>
          <w:szCs w:val="24"/>
        </w:rPr>
        <w:t>（</w:t>
      </w:r>
      <w:r>
        <w:rPr>
          <w:rFonts w:ascii="宋体" w:hAnsi="宋体"/>
          <w:snapToGrid w:val="0"/>
          <w:kern w:val="0"/>
          <w:sz w:val="24"/>
          <w:szCs w:val="24"/>
        </w:rPr>
        <w:t>2</w:t>
      </w:r>
      <w:r>
        <w:rPr>
          <w:rFonts w:hint="eastAsia" w:ascii="宋体" w:hAnsi="宋体" w:cs="MingLiU"/>
          <w:snapToGrid w:val="0"/>
          <w:kern w:val="0"/>
          <w:sz w:val="24"/>
          <w:szCs w:val="24"/>
        </w:rPr>
        <w:t>）随同本投标函递交的投标函附录属于合同文件的组成部分。</w:t>
      </w:r>
    </w:p>
    <w:p>
      <w:pPr>
        <w:autoSpaceDE w:val="0"/>
        <w:autoSpaceDN w:val="0"/>
        <w:adjustRightInd w:val="0"/>
        <w:spacing w:line="480" w:lineRule="exact"/>
        <w:ind w:left="838" w:right="-20"/>
        <w:jc w:val="left"/>
        <w:rPr>
          <w:rFonts w:ascii="宋体" w:hAnsi="宋体" w:cs="MingLiU"/>
          <w:snapToGrid w:val="0"/>
          <w:kern w:val="0"/>
          <w:sz w:val="24"/>
          <w:szCs w:val="24"/>
        </w:rPr>
      </w:pPr>
      <w:r>
        <w:rPr>
          <w:rFonts w:hint="eastAsia" w:ascii="宋体" w:hAnsi="宋体" w:cs="MingLiU"/>
          <w:snapToGrid w:val="0"/>
          <w:kern w:val="0"/>
          <w:sz w:val="24"/>
          <w:szCs w:val="24"/>
        </w:rPr>
        <w:t>（</w:t>
      </w:r>
      <w:r>
        <w:rPr>
          <w:rFonts w:hint="eastAsia" w:ascii="宋体" w:hAnsi="宋体"/>
          <w:snapToGrid w:val="0"/>
          <w:kern w:val="0"/>
          <w:sz w:val="24"/>
          <w:szCs w:val="24"/>
        </w:rPr>
        <w:t>3</w:t>
      </w:r>
      <w:r>
        <w:rPr>
          <w:rFonts w:hint="eastAsia" w:ascii="宋体" w:hAnsi="宋体" w:cs="MingLiU"/>
          <w:snapToGrid w:val="0"/>
          <w:kern w:val="0"/>
          <w:sz w:val="24"/>
          <w:szCs w:val="24"/>
        </w:rPr>
        <w:t>）我方承诺在合同约定的期限内完成并移交全部合同工程。</w:t>
      </w:r>
    </w:p>
    <w:p>
      <w:pPr>
        <w:tabs>
          <w:tab w:val="left" w:pos="4940"/>
        </w:tabs>
        <w:autoSpaceDE w:val="0"/>
        <w:autoSpaceDN w:val="0"/>
        <w:adjustRightInd w:val="0"/>
        <w:spacing w:line="480" w:lineRule="exact"/>
        <w:ind w:left="540" w:right="-20"/>
        <w:jc w:val="left"/>
        <w:rPr>
          <w:rFonts w:ascii="宋体" w:hAnsi="宋体" w:cs="MingLiU"/>
          <w:snapToGrid w:val="0"/>
          <w:kern w:val="0"/>
          <w:sz w:val="24"/>
          <w:szCs w:val="24"/>
        </w:rPr>
      </w:pPr>
      <w:r>
        <w:rPr>
          <w:rFonts w:hint="eastAsia" w:ascii="宋体" w:hAnsi="宋体"/>
          <w:snapToGrid w:val="0"/>
          <w:kern w:val="0"/>
          <w:sz w:val="24"/>
          <w:szCs w:val="24"/>
        </w:rPr>
        <w:t>4</w:t>
      </w:r>
      <w:r>
        <w:rPr>
          <w:rFonts w:hint="eastAsia" w:ascii="宋体" w:hAnsi="宋体" w:cs="MingLiU"/>
          <w:snapToGrid w:val="0"/>
          <w:kern w:val="0"/>
          <w:sz w:val="24"/>
          <w:szCs w:val="24"/>
        </w:rPr>
        <w:t>．</w:t>
      </w:r>
      <w:r>
        <w:rPr>
          <w:rFonts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hint="eastAsia" w:ascii="宋体" w:hAnsi="宋体" w:cs="MingLiU"/>
          <w:snapToGrid w:val="0"/>
          <w:kern w:val="0"/>
          <w:sz w:val="24"/>
          <w:szCs w:val="24"/>
        </w:rPr>
        <w:t>（其他补充说明）。</w:t>
      </w:r>
    </w:p>
    <w:p>
      <w:pPr>
        <w:tabs>
          <w:tab w:val="left" w:pos="7140"/>
          <w:tab w:val="left" w:pos="7560"/>
          <w:tab w:val="left" w:pos="8300"/>
        </w:tabs>
        <w:autoSpaceDE w:val="0"/>
        <w:autoSpaceDN w:val="0"/>
        <w:adjustRightInd w:val="0"/>
        <w:spacing w:line="480" w:lineRule="exact"/>
        <w:ind w:right="210" w:firstLine="1320"/>
        <w:rPr>
          <w:rFonts w:ascii="宋体" w:hAnsi="宋体"/>
          <w:snapToGrid w:val="0"/>
          <w:kern w:val="0"/>
          <w:sz w:val="24"/>
          <w:szCs w:val="24"/>
        </w:rPr>
      </w:pPr>
      <w:r>
        <w:rPr>
          <w:rFonts w:hint="eastAsia" w:ascii="宋体" w:hAnsi="宋体" w:cs="MingLiU"/>
          <w:snapToGrid w:val="0"/>
          <w:kern w:val="0"/>
          <w:sz w:val="24"/>
          <w:szCs w:val="24"/>
        </w:rPr>
        <w:t>投标人：</w:t>
      </w:r>
      <w:r>
        <w:rPr>
          <w:rFonts w:hint="eastAsia" w:ascii="宋体" w:hAnsi="宋体" w:cs="MingLiU"/>
          <w:snapToGrid w:val="0"/>
          <w:kern w:val="0"/>
          <w:sz w:val="24"/>
          <w:szCs w:val="24"/>
          <w:u w:val="single"/>
        </w:rPr>
        <w:t xml:space="preserve">                　　　　　     </w:t>
      </w:r>
      <w:r>
        <w:rPr>
          <w:rFonts w:hint="eastAsia" w:ascii="宋体" w:hAnsi="宋体" w:cs="MingLiU"/>
          <w:snapToGrid w:val="0"/>
          <w:kern w:val="0"/>
          <w:sz w:val="24"/>
          <w:szCs w:val="24"/>
        </w:rPr>
        <w:t>（盖单位章）</w:t>
      </w:r>
      <w:r>
        <w:rPr>
          <w:rFonts w:ascii="宋体" w:hAnsi="宋体"/>
          <w:snapToGrid w:val="0"/>
          <w:kern w:val="0"/>
          <w:sz w:val="24"/>
          <w:szCs w:val="24"/>
        </w:rPr>
        <w:t xml:space="preserve"> </w:t>
      </w:r>
    </w:p>
    <w:p>
      <w:pPr>
        <w:tabs>
          <w:tab w:val="left" w:pos="7140"/>
          <w:tab w:val="left" w:pos="7560"/>
          <w:tab w:val="left" w:pos="8300"/>
        </w:tabs>
        <w:autoSpaceDE w:val="0"/>
        <w:autoSpaceDN w:val="0"/>
        <w:adjustRightInd w:val="0"/>
        <w:spacing w:line="480" w:lineRule="exact"/>
        <w:ind w:right="210" w:firstLine="1320"/>
        <w:rPr>
          <w:rFonts w:ascii="宋体" w:hAnsi="宋体"/>
          <w:snapToGrid w:val="0"/>
          <w:kern w:val="0"/>
          <w:sz w:val="24"/>
          <w:szCs w:val="24"/>
        </w:rPr>
      </w:pPr>
      <w:r>
        <w:rPr>
          <w:rFonts w:hint="eastAsia" w:ascii="宋体" w:hAnsi="宋体" w:cs="MingLiU"/>
          <w:snapToGrid w:val="0"/>
          <w:kern w:val="0"/>
          <w:sz w:val="24"/>
          <w:szCs w:val="24"/>
        </w:rPr>
        <w:t>法定代表人或其委托代理人：</w:t>
      </w:r>
      <w:r>
        <w:rPr>
          <w:rFonts w:hint="eastAsia" w:ascii="宋体" w:hAnsi="宋体" w:cs="MingLiU"/>
          <w:snapToGrid w:val="0"/>
          <w:kern w:val="0"/>
          <w:sz w:val="24"/>
          <w:szCs w:val="24"/>
          <w:u w:val="single"/>
        </w:rPr>
        <w:t xml:space="preserve">             </w:t>
      </w:r>
      <w:r>
        <w:rPr>
          <w:rFonts w:hint="eastAsia" w:ascii="宋体" w:hAnsi="宋体" w:cs="MingLiU"/>
          <w:snapToGrid w:val="0"/>
          <w:kern w:val="0"/>
          <w:sz w:val="24"/>
          <w:szCs w:val="24"/>
        </w:rPr>
        <w:t>（签字）</w:t>
      </w:r>
      <w:r>
        <w:rPr>
          <w:rFonts w:ascii="宋体" w:hAnsi="宋体"/>
          <w:snapToGrid w:val="0"/>
          <w:kern w:val="0"/>
          <w:sz w:val="24"/>
          <w:szCs w:val="24"/>
        </w:rPr>
        <w:t xml:space="preserve"> </w:t>
      </w:r>
    </w:p>
    <w:p>
      <w:pPr>
        <w:tabs>
          <w:tab w:val="left" w:pos="7155"/>
          <w:tab w:val="left" w:pos="7560"/>
          <w:tab w:val="left" w:pos="8300"/>
        </w:tabs>
        <w:autoSpaceDE w:val="0"/>
        <w:autoSpaceDN w:val="0"/>
        <w:adjustRightInd w:val="0"/>
        <w:spacing w:line="480" w:lineRule="exact"/>
        <w:ind w:right="210" w:firstLine="1320"/>
        <w:rPr>
          <w:rFonts w:ascii="宋体" w:hAnsi="宋体" w:cs="MingLiU"/>
          <w:snapToGrid w:val="0"/>
          <w:kern w:val="0"/>
          <w:sz w:val="24"/>
          <w:szCs w:val="24"/>
        </w:rPr>
      </w:pPr>
      <w:r>
        <w:rPr>
          <w:rFonts w:hint="eastAsia" w:ascii="宋体" w:hAnsi="宋体" w:cs="MingLiU"/>
          <w:snapToGrid w:val="0"/>
          <w:kern w:val="0"/>
          <w:sz w:val="24"/>
          <w:szCs w:val="24"/>
        </w:rPr>
        <w:t>地址：</w:t>
      </w:r>
      <w:r>
        <w:rPr>
          <w:rFonts w:ascii="宋体" w:hAnsi="宋体" w:cs="MingLiU"/>
          <w:snapToGrid w:val="0"/>
          <w:w w:val="200"/>
          <w:kern w:val="0"/>
          <w:sz w:val="24"/>
          <w:szCs w:val="24"/>
          <w:u w:val="single"/>
        </w:rPr>
        <w:t xml:space="preserve"> </w:t>
      </w:r>
      <w:r>
        <w:rPr>
          <w:rFonts w:ascii="宋体" w:hAnsi="宋体"/>
          <w:snapToGrid w:val="0"/>
          <w:kern w:val="0"/>
          <w:sz w:val="24"/>
          <w:szCs w:val="24"/>
          <w:u w:val="single"/>
        </w:rPr>
        <w:tab/>
      </w:r>
    </w:p>
    <w:p>
      <w:pPr>
        <w:tabs>
          <w:tab w:val="left" w:pos="8300"/>
        </w:tabs>
        <w:autoSpaceDE w:val="0"/>
        <w:autoSpaceDN w:val="0"/>
        <w:adjustRightInd w:val="0"/>
        <w:spacing w:before="1" w:line="480" w:lineRule="exact"/>
        <w:ind w:right="-20" w:firstLine="1320"/>
        <w:jc w:val="left"/>
        <w:rPr>
          <w:rFonts w:ascii="宋体" w:hAnsi="宋体" w:cs="MingLiU"/>
          <w:snapToGrid w:val="0"/>
          <w:kern w:val="0"/>
          <w:sz w:val="24"/>
          <w:szCs w:val="24"/>
        </w:rPr>
      </w:pPr>
      <w:r>
        <w:rPr>
          <w:rFonts w:hint="eastAsia" w:ascii="宋体" w:hAnsi="宋体" w:cs="MingLiU"/>
          <w:snapToGrid w:val="0"/>
          <w:kern w:val="0"/>
          <w:sz w:val="24"/>
          <w:szCs w:val="24"/>
        </w:rPr>
        <w:t>网址：</w:t>
      </w:r>
      <w:r>
        <w:rPr>
          <w:rFonts w:ascii="宋体" w:hAnsi="宋体" w:cs="MingLiU"/>
          <w:snapToGrid w:val="0"/>
          <w:w w:val="200"/>
          <w:kern w:val="0"/>
          <w:sz w:val="24"/>
          <w:szCs w:val="24"/>
          <w:u w:val="single"/>
        </w:rPr>
        <w:t xml:space="preserve"> </w:t>
      </w:r>
      <w:r>
        <w:rPr>
          <w:rFonts w:hint="eastAsia" w:ascii="宋体" w:hAnsi="宋体"/>
          <w:snapToGrid w:val="0"/>
          <w:kern w:val="0"/>
          <w:sz w:val="24"/>
          <w:szCs w:val="24"/>
          <w:u w:val="single"/>
        </w:rPr>
        <w:t>　　　　　　　　　　　　　　　　　　　　</w:t>
      </w:r>
    </w:p>
    <w:p>
      <w:pPr>
        <w:tabs>
          <w:tab w:val="left" w:pos="8300"/>
        </w:tabs>
        <w:autoSpaceDE w:val="0"/>
        <w:autoSpaceDN w:val="0"/>
        <w:adjustRightInd w:val="0"/>
        <w:spacing w:line="480" w:lineRule="exact"/>
        <w:ind w:right="-20" w:firstLine="1320"/>
        <w:jc w:val="left"/>
        <w:rPr>
          <w:rFonts w:ascii="宋体" w:hAnsi="宋体" w:cs="MingLiU"/>
          <w:snapToGrid w:val="0"/>
          <w:kern w:val="0"/>
          <w:sz w:val="24"/>
          <w:szCs w:val="24"/>
        </w:rPr>
      </w:pPr>
      <w:r>
        <w:rPr>
          <w:rFonts w:hint="eastAsia" w:ascii="宋体" w:hAnsi="宋体" w:cs="MingLiU"/>
          <w:snapToGrid w:val="0"/>
          <w:kern w:val="0"/>
          <w:sz w:val="24"/>
          <w:szCs w:val="24"/>
        </w:rPr>
        <w:t>电话：</w:t>
      </w:r>
      <w:r>
        <w:rPr>
          <w:rFonts w:ascii="宋体" w:hAnsi="宋体" w:cs="MingLiU"/>
          <w:snapToGrid w:val="0"/>
          <w:w w:val="200"/>
          <w:kern w:val="0"/>
          <w:sz w:val="24"/>
          <w:szCs w:val="24"/>
          <w:u w:val="single"/>
        </w:rPr>
        <w:t xml:space="preserve"> </w:t>
      </w:r>
      <w:r>
        <w:rPr>
          <w:rFonts w:hint="eastAsia" w:ascii="宋体" w:hAnsi="宋体"/>
          <w:snapToGrid w:val="0"/>
          <w:kern w:val="0"/>
          <w:sz w:val="24"/>
          <w:szCs w:val="24"/>
          <w:u w:val="single"/>
        </w:rPr>
        <w:t>　　　　　　　　　　　　　　　　　　　　</w:t>
      </w:r>
    </w:p>
    <w:p>
      <w:pPr>
        <w:tabs>
          <w:tab w:val="left" w:pos="8300"/>
        </w:tabs>
        <w:autoSpaceDE w:val="0"/>
        <w:autoSpaceDN w:val="0"/>
        <w:adjustRightInd w:val="0"/>
        <w:spacing w:line="480" w:lineRule="exact"/>
        <w:ind w:right="-20" w:firstLine="1320"/>
        <w:jc w:val="left"/>
        <w:rPr>
          <w:rFonts w:ascii="宋体" w:hAnsi="宋体" w:cs="MingLiU"/>
          <w:snapToGrid w:val="0"/>
          <w:kern w:val="0"/>
          <w:sz w:val="24"/>
          <w:szCs w:val="24"/>
        </w:rPr>
      </w:pPr>
      <w:r>
        <w:rPr>
          <w:rFonts w:hint="eastAsia" w:ascii="宋体" w:hAnsi="宋体" w:cs="MingLiU"/>
          <w:snapToGrid w:val="0"/>
          <w:kern w:val="0"/>
          <w:sz w:val="24"/>
          <w:szCs w:val="24"/>
        </w:rPr>
        <w:t>传真：</w:t>
      </w:r>
      <w:r>
        <w:rPr>
          <w:rFonts w:ascii="宋体" w:hAnsi="宋体" w:cs="MingLiU"/>
          <w:snapToGrid w:val="0"/>
          <w:w w:val="200"/>
          <w:kern w:val="0"/>
          <w:sz w:val="24"/>
          <w:szCs w:val="24"/>
          <w:u w:val="single"/>
        </w:rPr>
        <w:t xml:space="preserve"> </w:t>
      </w:r>
      <w:r>
        <w:rPr>
          <w:rFonts w:hint="eastAsia" w:ascii="宋体" w:hAnsi="宋体"/>
          <w:snapToGrid w:val="0"/>
          <w:kern w:val="0"/>
          <w:sz w:val="24"/>
          <w:szCs w:val="24"/>
          <w:u w:val="single"/>
        </w:rPr>
        <w:t>　　　　　　　　　　　　　　　　　　　　</w:t>
      </w:r>
      <w:r>
        <w:rPr>
          <w:rFonts w:hint="eastAsia" w:ascii="宋体" w:hAnsi="宋体" w:cs="MingLiU"/>
          <w:snapToGrid w:val="0"/>
          <w:kern w:val="0"/>
          <w:sz w:val="24"/>
          <w:szCs w:val="24"/>
        </w:rPr>
        <w:t xml:space="preserve">  </w:t>
      </w:r>
    </w:p>
    <w:p>
      <w:pPr>
        <w:tabs>
          <w:tab w:val="left" w:pos="8300"/>
        </w:tabs>
        <w:autoSpaceDE w:val="0"/>
        <w:autoSpaceDN w:val="0"/>
        <w:adjustRightInd w:val="0"/>
        <w:spacing w:line="480" w:lineRule="exact"/>
        <w:ind w:right="-20" w:firstLine="1320"/>
        <w:jc w:val="left"/>
        <w:rPr>
          <w:rFonts w:ascii="宋体" w:hAnsi="宋体" w:cs="MingLiU"/>
          <w:snapToGrid w:val="0"/>
          <w:kern w:val="0"/>
          <w:sz w:val="24"/>
          <w:szCs w:val="24"/>
        </w:rPr>
      </w:pPr>
      <w:r>
        <w:rPr>
          <w:rFonts w:hint="eastAsia" w:ascii="宋体" w:hAnsi="宋体" w:cs="MingLiU"/>
          <w:snapToGrid w:val="0"/>
          <w:kern w:val="0"/>
          <w:sz w:val="24"/>
          <w:szCs w:val="24"/>
        </w:rPr>
        <w:t>邮政编码：</w:t>
      </w:r>
      <w:r>
        <w:rPr>
          <w:rFonts w:ascii="宋体" w:hAnsi="宋体" w:cs="MingLiU"/>
          <w:snapToGrid w:val="0"/>
          <w:w w:val="200"/>
          <w:kern w:val="0"/>
          <w:sz w:val="24"/>
          <w:szCs w:val="24"/>
          <w:u w:val="single"/>
        </w:rPr>
        <w:t xml:space="preserve"> </w:t>
      </w:r>
      <w:r>
        <w:rPr>
          <w:rFonts w:hint="eastAsia" w:ascii="宋体" w:hAnsi="宋体" w:cs="MingLiU"/>
          <w:snapToGrid w:val="0"/>
          <w:w w:val="200"/>
          <w:kern w:val="0"/>
          <w:sz w:val="24"/>
          <w:szCs w:val="24"/>
          <w:u w:val="single"/>
        </w:rPr>
        <w:t>　　　　　　　　　</w:t>
      </w:r>
    </w:p>
    <w:p>
      <w:pPr>
        <w:tabs>
          <w:tab w:val="left" w:pos="6000"/>
          <w:tab w:val="left" w:pos="7040"/>
          <w:tab w:val="left" w:pos="8100"/>
        </w:tabs>
        <w:autoSpaceDE w:val="0"/>
        <w:autoSpaceDN w:val="0"/>
        <w:adjustRightInd w:val="0"/>
        <w:spacing w:line="480" w:lineRule="exact"/>
        <w:ind w:right="-20"/>
        <w:jc w:val="left"/>
        <w:rPr>
          <w:rFonts w:ascii="宋体" w:hAnsi="宋体"/>
          <w:snapToGrid w:val="0"/>
          <w:kern w:val="0"/>
        </w:rPr>
      </w:pPr>
      <w:r>
        <w:rPr>
          <w:rFonts w:hint="eastAsia" w:ascii="宋体" w:hAnsi="宋体"/>
          <w:snapToGrid w:val="0"/>
          <w:kern w:val="0"/>
        </w:rPr>
        <w:t xml:space="preserve">                                       </w:t>
      </w:r>
    </w:p>
    <w:p>
      <w:pPr>
        <w:tabs>
          <w:tab w:val="left" w:pos="6000"/>
          <w:tab w:val="left" w:pos="7040"/>
          <w:tab w:val="left" w:pos="8100"/>
        </w:tabs>
        <w:autoSpaceDE w:val="0"/>
        <w:autoSpaceDN w:val="0"/>
        <w:adjustRightInd w:val="0"/>
        <w:spacing w:line="480" w:lineRule="exact"/>
        <w:ind w:right="-20"/>
        <w:jc w:val="left"/>
        <w:rPr>
          <w:rFonts w:ascii="宋体" w:hAnsi="宋体"/>
          <w:snapToGrid w:val="0"/>
          <w:kern w:val="0"/>
        </w:rPr>
      </w:pPr>
    </w:p>
    <w:p>
      <w:pPr>
        <w:tabs>
          <w:tab w:val="left" w:pos="6000"/>
          <w:tab w:val="left" w:pos="7040"/>
          <w:tab w:val="left" w:pos="8100"/>
        </w:tabs>
        <w:autoSpaceDE w:val="0"/>
        <w:autoSpaceDN w:val="0"/>
        <w:adjustRightInd w:val="0"/>
        <w:spacing w:line="480" w:lineRule="exact"/>
        <w:ind w:right="-20"/>
        <w:jc w:val="right"/>
        <w:rPr>
          <w:rFonts w:ascii="宋体" w:hAnsi="宋体"/>
          <w:snapToGrid w:val="0"/>
          <w:kern w:val="0"/>
          <w:sz w:val="24"/>
          <w:szCs w:val="24"/>
        </w:rPr>
      </w:pPr>
      <w:r>
        <w:rPr>
          <w:rFonts w:hint="eastAsia" w:ascii="宋体" w:hAnsi="宋体"/>
          <w:snapToGrid w:val="0"/>
          <w:kern w:val="0"/>
        </w:rPr>
        <w:t xml:space="preserve">   </w:t>
      </w:r>
      <w:r>
        <w:rPr>
          <w:rFonts w:hint="eastAsia" w:ascii="宋体" w:hAnsi="宋体"/>
          <w:snapToGrid w:val="0"/>
          <w:kern w:val="0"/>
          <w:sz w:val="24"/>
          <w:szCs w:val="24"/>
        </w:rPr>
        <w:t>年</w:t>
      </w:r>
      <w:r>
        <w:rPr>
          <w:rFonts w:ascii="宋体" w:hAnsi="宋体"/>
          <w:snapToGrid w:val="0"/>
          <w:w w:val="200"/>
          <w:kern w:val="0"/>
          <w:sz w:val="24"/>
          <w:szCs w:val="24"/>
        </w:rPr>
        <w:t xml:space="preserve"> </w:t>
      </w:r>
      <w:r>
        <w:rPr>
          <w:rFonts w:hint="eastAsia" w:ascii="宋体" w:hAnsi="宋体"/>
          <w:snapToGrid w:val="0"/>
          <w:w w:val="200"/>
          <w:kern w:val="0"/>
          <w:sz w:val="24"/>
          <w:szCs w:val="24"/>
        </w:rPr>
        <w:t xml:space="preserve"> </w:t>
      </w:r>
      <w:r>
        <w:rPr>
          <w:rFonts w:hint="eastAsia" w:ascii="宋体" w:hAnsi="宋体"/>
          <w:snapToGrid w:val="0"/>
          <w:kern w:val="0"/>
          <w:sz w:val="24"/>
          <w:szCs w:val="24"/>
        </w:rPr>
        <w:t>月</w:t>
      </w:r>
      <w:r>
        <w:rPr>
          <w:rFonts w:ascii="宋体" w:hAnsi="宋体"/>
          <w:snapToGrid w:val="0"/>
          <w:w w:val="200"/>
          <w:kern w:val="0"/>
          <w:sz w:val="24"/>
          <w:szCs w:val="24"/>
        </w:rPr>
        <w:t xml:space="preserve"> </w:t>
      </w:r>
      <w:r>
        <w:rPr>
          <w:rFonts w:hint="eastAsia" w:ascii="宋体" w:hAnsi="宋体"/>
          <w:snapToGrid w:val="0"/>
          <w:w w:val="200"/>
          <w:kern w:val="0"/>
          <w:sz w:val="24"/>
          <w:szCs w:val="24"/>
        </w:rPr>
        <w:t xml:space="preserve"> </w:t>
      </w:r>
      <w:r>
        <w:rPr>
          <w:rFonts w:hint="eastAsia" w:ascii="宋体" w:hAnsi="宋体"/>
          <w:snapToGrid w:val="0"/>
          <w:kern w:val="0"/>
          <w:sz w:val="24"/>
          <w:szCs w:val="24"/>
        </w:rPr>
        <w:t>日</w:t>
      </w:r>
      <w:bookmarkStart w:id="109" w:name="_Toc161727399"/>
    </w:p>
    <w:p>
      <w:pPr>
        <w:tabs>
          <w:tab w:val="left" w:pos="6000"/>
          <w:tab w:val="left" w:pos="7040"/>
          <w:tab w:val="left" w:pos="8100"/>
        </w:tabs>
        <w:autoSpaceDE w:val="0"/>
        <w:autoSpaceDN w:val="0"/>
        <w:adjustRightInd w:val="0"/>
        <w:spacing w:line="480" w:lineRule="auto"/>
        <w:ind w:right="-20"/>
        <w:jc w:val="left"/>
        <w:rPr>
          <w:rFonts w:ascii="宋体" w:hAnsi="宋体" w:cs="宋体"/>
          <w:sz w:val="24"/>
          <w:szCs w:val="24"/>
        </w:rPr>
      </w:pPr>
    </w:p>
    <w:p>
      <w:pPr>
        <w:spacing w:line="440" w:lineRule="exact"/>
        <w:ind w:firstLine="3855"/>
        <w:rPr>
          <w:rFonts w:ascii="宋体" w:hAnsi="宋体" w:cs="宋体"/>
          <w:b/>
          <w:sz w:val="24"/>
          <w:szCs w:val="24"/>
        </w:rPr>
      </w:pPr>
    </w:p>
    <w:p>
      <w:pPr>
        <w:spacing w:line="440" w:lineRule="exact"/>
        <w:rPr>
          <w:rFonts w:ascii="宋体" w:hAnsi="宋体" w:cs="宋体"/>
          <w:b/>
          <w:sz w:val="24"/>
          <w:szCs w:val="24"/>
        </w:rPr>
      </w:pPr>
    </w:p>
    <w:p>
      <w:pPr>
        <w:spacing w:line="440" w:lineRule="exact"/>
        <w:ind w:firstLine="3855"/>
        <w:rPr>
          <w:rFonts w:ascii="宋体" w:hAnsi="宋体" w:cs="宋体"/>
          <w:b/>
          <w:sz w:val="24"/>
          <w:szCs w:val="24"/>
        </w:rPr>
      </w:pPr>
    </w:p>
    <w:p>
      <w:pPr>
        <w:spacing w:line="440" w:lineRule="exact"/>
        <w:ind w:firstLine="3855"/>
        <w:rPr>
          <w:rFonts w:ascii="宋体" w:hAnsi="宋体" w:cs="宋体"/>
          <w:b/>
          <w:sz w:val="24"/>
          <w:szCs w:val="24"/>
        </w:rPr>
      </w:pPr>
    </w:p>
    <w:p>
      <w:pPr>
        <w:pStyle w:val="2"/>
        <w:spacing w:before="0" w:after="0" w:line="360" w:lineRule="auto"/>
        <w:rPr>
          <w:rFonts w:ascii="宋体" w:hAnsi="宋体" w:cs="宋体"/>
          <w:sz w:val="24"/>
          <w:szCs w:val="24"/>
        </w:rPr>
      </w:pPr>
      <w:bookmarkStart w:id="110" w:name="_Toc49435941"/>
      <w:bookmarkStart w:id="111" w:name="_Toc517784648"/>
      <w:r>
        <w:rPr>
          <w:rFonts w:hint="eastAsia" w:ascii="宋体" w:hAnsi="宋体" w:cs="宋体"/>
          <w:sz w:val="24"/>
          <w:szCs w:val="24"/>
        </w:rPr>
        <w:t>二</w:t>
      </w:r>
      <w:bookmarkEnd w:id="109"/>
      <w:bookmarkStart w:id="112" w:name="_Toc287607868"/>
      <w:bookmarkStart w:id="113" w:name="_Toc277082644"/>
      <w:bookmarkStart w:id="114" w:name="_Toc371275049"/>
      <w:bookmarkStart w:id="115" w:name="_Toc395603910"/>
      <w:bookmarkStart w:id="116" w:name="_Toc347847883"/>
      <w:r>
        <w:rPr>
          <w:rFonts w:hint="eastAsia" w:ascii="宋体" w:hAnsi="宋体" w:cs="宋体"/>
          <w:sz w:val="24"/>
          <w:szCs w:val="24"/>
        </w:rPr>
        <w:t>、投标函附录</w:t>
      </w:r>
      <w:bookmarkEnd w:id="110"/>
      <w:bookmarkEnd w:id="111"/>
      <w:bookmarkEnd w:id="112"/>
      <w:bookmarkEnd w:id="113"/>
      <w:bookmarkEnd w:id="114"/>
      <w:bookmarkEnd w:id="115"/>
      <w:bookmarkEnd w:id="116"/>
    </w:p>
    <w:p>
      <w:pPr>
        <w:tabs>
          <w:tab w:val="left" w:pos="6000"/>
          <w:tab w:val="left" w:pos="7040"/>
          <w:tab w:val="left" w:pos="8100"/>
        </w:tabs>
        <w:autoSpaceDE w:val="0"/>
        <w:autoSpaceDN w:val="0"/>
        <w:adjustRightInd w:val="0"/>
        <w:spacing w:line="220" w:lineRule="exact"/>
        <w:ind w:right="-20" w:firstLine="6566"/>
        <w:jc w:val="left"/>
        <w:rPr>
          <w:rFonts w:ascii="宋体" w:hAnsi="宋体" w:cs="MingLiU"/>
          <w:snapToGrid w:val="0"/>
          <w:kern w:val="0"/>
          <w:szCs w:val="21"/>
        </w:rPr>
      </w:pPr>
    </w:p>
    <w:p>
      <w:pPr>
        <w:tabs>
          <w:tab w:val="left" w:pos="6000"/>
          <w:tab w:val="left" w:pos="7040"/>
          <w:tab w:val="left" w:pos="8100"/>
        </w:tabs>
        <w:autoSpaceDE w:val="0"/>
        <w:autoSpaceDN w:val="0"/>
        <w:adjustRightInd w:val="0"/>
        <w:spacing w:line="220" w:lineRule="exact"/>
        <w:ind w:right="-20" w:firstLine="6566"/>
        <w:jc w:val="left"/>
        <w:rPr>
          <w:rFonts w:ascii="宋体" w:hAnsi="宋体" w:cs="MingLiU"/>
          <w:snapToGrid w:val="0"/>
          <w:kern w:val="0"/>
          <w:szCs w:val="21"/>
        </w:rPr>
      </w:pPr>
    </w:p>
    <w:tbl>
      <w:tblPr>
        <w:tblStyle w:val="57"/>
        <w:tblW w:w="0" w:type="auto"/>
        <w:tblInd w:w="0" w:type="dxa"/>
        <w:tblLayout w:type="fixed"/>
        <w:tblCellMar>
          <w:top w:w="0" w:type="dxa"/>
          <w:left w:w="0" w:type="dxa"/>
          <w:bottom w:w="0" w:type="dxa"/>
          <w:right w:w="0" w:type="dxa"/>
        </w:tblCellMar>
      </w:tblPr>
      <w:tblGrid>
        <w:gridCol w:w="971"/>
        <w:gridCol w:w="3473"/>
        <w:gridCol w:w="4018"/>
        <w:gridCol w:w="1065"/>
      </w:tblGrid>
      <w:tr>
        <w:tblPrEx>
          <w:tblCellMar>
            <w:top w:w="0" w:type="dxa"/>
            <w:left w:w="0" w:type="dxa"/>
            <w:bottom w:w="0" w:type="dxa"/>
            <w:right w:w="0" w:type="dxa"/>
          </w:tblCellMar>
        </w:tblPrEx>
        <w:trPr>
          <w:trHeight w:val="587" w:hRule="exact"/>
        </w:trPr>
        <w:tc>
          <w:tcPr>
            <w:tcW w:w="971" w:type="dxa"/>
            <w:tcBorders>
              <w:top w:val="single" w:color="000000" w:sz="4" w:space="0"/>
              <w:left w:val="single" w:color="000000" w:sz="4" w:space="0"/>
              <w:bottom w:val="single" w:color="000000" w:sz="6" w:space="0"/>
              <w:right w:val="single" w:color="000000" w:sz="6" w:space="0"/>
            </w:tcBorders>
          </w:tcPr>
          <w:p>
            <w:pPr>
              <w:autoSpaceDE w:val="0"/>
              <w:autoSpaceDN w:val="0"/>
              <w:adjustRightInd w:val="0"/>
              <w:spacing w:before="73"/>
              <w:ind w:left="109" w:right="-20"/>
              <w:jc w:val="left"/>
              <w:rPr>
                <w:rFonts w:ascii="宋体" w:hAnsi="宋体"/>
                <w:snapToGrid w:val="0"/>
                <w:kern w:val="0"/>
                <w:sz w:val="24"/>
                <w:szCs w:val="24"/>
              </w:rPr>
            </w:pPr>
            <w:r>
              <w:rPr>
                <w:rFonts w:hint="eastAsia" w:ascii="宋体" w:hAnsi="宋体" w:cs="MingLiU"/>
                <w:snapToGrid w:val="0"/>
                <w:kern w:val="0"/>
                <w:sz w:val="24"/>
                <w:szCs w:val="24"/>
              </w:rPr>
              <w:t>序号</w:t>
            </w:r>
          </w:p>
        </w:tc>
        <w:tc>
          <w:tcPr>
            <w:tcW w:w="3473" w:type="dxa"/>
            <w:tcBorders>
              <w:top w:val="single" w:color="000000" w:sz="4" w:space="0"/>
              <w:left w:val="single" w:color="000000" w:sz="6" w:space="0"/>
              <w:bottom w:val="single" w:color="000000" w:sz="6" w:space="0"/>
              <w:right w:val="single" w:color="000000" w:sz="6" w:space="0"/>
            </w:tcBorders>
          </w:tcPr>
          <w:p>
            <w:pPr>
              <w:autoSpaceDE w:val="0"/>
              <w:autoSpaceDN w:val="0"/>
              <w:adjustRightInd w:val="0"/>
              <w:spacing w:before="73"/>
              <w:ind w:left="741" w:right="-20"/>
              <w:jc w:val="left"/>
              <w:rPr>
                <w:rFonts w:ascii="宋体" w:hAnsi="宋体"/>
                <w:snapToGrid w:val="0"/>
                <w:kern w:val="0"/>
                <w:sz w:val="24"/>
                <w:szCs w:val="24"/>
              </w:rPr>
            </w:pPr>
            <w:r>
              <w:rPr>
                <w:rFonts w:hint="eastAsia" w:ascii="宋体" w:hAnsi="宋体" w:cs="MingLiU"/>
                <w:snapToGrid w:val="0"/>
                <w:kern w:val="0"/>
                <w:sz w:val="24"/>
                <w:szCs w:val="24"/>
              </w:rPr>
              <w:t>条款名称</w:t>
            </w:r>
          </w:p>
        </w:tc>
        <w:tc>
          <w:tcPr>
            <w:tcW w:w="4018" w:type="dxa"/>
            <w:tcBorders>
              <w:top w:val="single" w:color="000000" w:sz="4" w:space="0"/>
              <w:left w:val="single" w:color="000000" w:sz="6" w:space="0"/>
              <w:bottom w:val="single" w:color="000000" w:sz="6" w:space="0"/>
              <w:right w:val="single" w:color="000000" w:sz="6" w:space="0"/>
            </w:tcBorders>
          </w:tcPr>
          <w:p>
            <w:pPr>
              <w:autoSpaceDE w:val="0"/>
              <w:autoSpaceDN w:val="0"/>
              <w:adjustRightInd w:val="0"/>
              <w:spacing w:before="73"/>
              <w:ind w:left="914" w:right="894"/>
              <w:jc w:val="center"/>
              <w:rPr>
                <w:rFonts w:ascii="宋体" w:hAnsi="宋体"/>
                <w:snapToGrid w:val="0"/>
                <w:kern w:val="0"/>
                <w:sz w:val="24"/>
                <w:szCs w:val="24"/>
              </w:rPr>
            </w:pPr>
            <w:r>
              <w:rPr>
                <w:rFonts w:hint="eastAsia" w:ascii="宋体" w:hAnsi="宋体" w:cs="MingLiU"/>
                <w:snapToGrid w:val="0"/>
                <w:kern w:val="0"/>
                <w:sz w:val="24"/>
                <w:szCs w:val="24"/>
              </w:rPr>
              <w:t>约定内容</w:t>
            </w:r>
          </w:p>
        </w:tc>
        <w:tc>
          <w:tcPr>
            <w:tcW w:w="1065" w:type="dxa"/>
            <w:tcBorders>
              <w:top w:val="single" w:color="000000" w:sz="4" w:space="0"/>
              <w:left w:val="single" w:color="000000" w:sz="6" w:space="0"/>
              <w:bottom w:val="single" w:color="000000" w:sz="6" w:space="0"/>
              <w:right w:val="single" w:color="000000" w:sz="4" w:space="0"/>
            </w:tcBorders>
          </w:tcPr>
          <w:p>
            <w:pPr>
              <w:autoSpaceDE w:val="0"/>
              <w:autoSpaceDN w:val="0"/>
              <w:adjustRightInd w:val="0"/>
              <w:spacing w:before="73"/>
              <w:ind w:left="143" w:right="-20"/>
              <w:jc w:val="left"/>
              <w:rPr>
                <w:rFonts w:ascii="宋体" w:hAnsi="宋体"/>
                <w:snapToGrid w:val="0"/>
                <w:kern w:val="0"/>
                <w:sz w:val="24"/>
                <w:szCs w:val="24"/>
              </w:rPr>
            </w:pPr>
            <w:r>
              <w:rPr>
                <w:rFonts w:hint="eastAsia" w:ascii="宋体" w:hAnsi="宋体" w:cs="MingLiU"/>
                <w:snapToGrid w:val="0"/>
                <w:kern w:val="0"/>
                <w:sz w:val="24"/>
                <w:szCs w:val="24"/>
              </w:rPr>
              <w:t>备注</w:t>
            </w:r>
          </w:p>
        </w:tc>
      </w:tr>
      <w:tr>
        <w:tblPrEx>
          <w:tblCellMar>
            <w:top w:w="0" w:type="dxa"/>
            <w:left w:w="0" w:type="dxa"/>
            <w:bottom w:w="0" w:type="dxa"/>
            <w:right w:w="0" w:type="dxa"/>
          </w:tblCellMar>
        </w:tblPrEx>
        <w:trPr>
          <w:trHeight w:val="587" w:hRule="exact"/>
        </w:trPr>
        <w:tc>
          <w:tcPr>
            <w:tcW w:w="971"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ind w:right="246"/>
              <w:jc w:val="center"/>
              <w:rPr>
                <w:rFonts w:ascii="宋体" w:hAnsi="宋体"/>
                <w:snapToGrid w:val="0"/>
                <w:kern w:val="0"/>
                <w:sz w:val="24"/>
                <w:szCs w:val="24"/>
              </w:rPr>
            </w:pPr>
            <w:r>
              <w:rPr>
                <w:rFonts w:ascii="宋体" w:hAnsi="宋体"/>
                <w:snapToGrid w:val="0"/>
                <w:kern w:val="0"/>
                <w:sz w:val="24"/>
                <w:szCs w:val="24"/>
              </w:rPr>
              <w:t>1</w:t>
            </w:r>
          </w:p>
        </w:tc>
        <w:tc>
          <w:tcPr>
            <w:tcW w:w="3473"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before="73"/>
              <w:ind w:left="744" w:right="-20"/>
              <w:jc w:val="left"/>
              <w:rPr>
                <w:rFonts w:ascii="宋体" w:hAnsi="宋体"/>
                <w:snapToGrid w:val="0"/>
                <w:kern w:val="0"/>
                <w:sz w:val="24"/>
                <w:szCs w:val="24"/>
              </w:rPr>
            </w:pPr>
            <w:r>
              <w:rPr>
                <w:rFonts w:hint="eastAsia" w:ascii="宋体" w:hAnsi="宋体" w:cs="MingLiU"/>
                <w:snapToGrid w:val="0"/>
                <w:kern w:val="0"/>
                <w:sz w:val="24"/>
                <w:szCs w:val="24"/>
              </w:rPr>
              <w:t>项目经理</w:t>
            </w:r>
          </w:p>
        </w:tc>
        <w:tc>
          <w:tcPr>
            <w:tcW w:w="4018" w:type="dxa"/>
            <w:tcBorders>
              <w:top w:val="single" w:color="000000" w:sz="6" w:space="0"/>
              <w:left w:val="single" w:color="000000" w:sz="6" w:space="0"/>
              <w:bottom w:val="single" w:color="000000" w:sz="6" w:space="0"/>
              <w:right w:val="single" w:color="000000" w:sz="6" w:space="0"/>
            </w:tcBorders>
          </w:tcPr>
          <w:p>
            <w:pPr>
              <w:tabs>
                <w:tab w:val="left" w:pos="1880"/>
              </w:tabs>
              <w:autoSpaceDE w:val="0"/>
              <w:autoSpaceDN w:val="0"/>
              <w:adjustRightInd w:val="0"/>
              <w:spacing w:before="73"/>
              <w:ind w:left="103" w:right="-20"/>
              <w:jc w:val="left"/>
              <w:rPr>
                <w:rFonts w:ascii="宋体" w:hAnsi="宋体"/>
                <w:snapToGrid w:val="0"/>
                <w:kern w:val="0"/>
                <w:sz w:val="24"/>
                <w:szCs w:val="24"/>
              </w:rPr>
            </w:pPr>
            <w:r>
              <w:rPr>
                <w:rFonts w:hint="eastAsia" w:ascii="宋体" w:hAnsi="宋体" w:cs="MingLiU"/>
                <w:snapToGrid w:val="0"/>
                <w:kern w:val="0"/>
                <w:sz w:val="24"/>
                <w:szCs w:val="24"/>
              </w:rPr>
              <w:t>姓名：</w:t>
            </w:r>
            <w:r>
              <w:rPr>
                <w:rFonts w:ascii="宋体" w:hAnsi="宋体" w:cs="MingLiU"/>
                <w:snapToGrid w:val="0"/>
                <w:w w:val="200"/>
                <w:kern w:val="0"/>
                <w:sz w:val="24"/>
                <w:szCs w:val="24"/>
                <w:u w:val="single"/>
              </w:rPr>
              <w:t xml:space="preserve"> </w:t>
            </w:r>
            <w:r>
              <w:rPr>
                <w:rFonts w:ascii="宋体" w:hAnsi="宋体"/>
                <w:snapToGrid w:val="0"/>
                <w:kern w:val="0"/>
                <w:sz w:val="24"/>
                <w:szCs w:val="24"/>
                <w:u w:val="single"/>
              </w:rPr>
              <w:tab/>
            </w:r>
          </w:p>
        </w:tc>
        <w:tc>
          <w:tcPr>
            <w:tcW w:w="10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szCs w:val="24"/>
              </w:rPr>
            </w:pPr>
          </w:p>
        </w:tc>
      </w:tr>
      <w:tr>
        <w:tblPrEx>
          <w:tblCellMar>
            <w:top w:w="0" w:type="dxa"/>
            <w:left w:w="0" w:type="dxa"/>
            <w:bottom w:w="0" w:type="dxa"/>
            <w:right w:w="0" w:type="dxa"/>
          </w:tblCellMar>
        </w:tblPrEx>
        <w:trPr>
          <w:trHeight w:val="587" w:hRule="exact"/>
        </w:trPr>
        <w:tc>
          <w:tcPr>
            <w:tcW w:w="971"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ind w:right="246"/>
              <w:jc w:val="center"/>
              <w:rPr>
                <w:rFonts w:ascii="宋体" w:hAnsi="宋体"/>
                <w:snapToGrid w:val="0"/>
                <w:kern w:val="0"/>
                <w:sz w:val="24"/>
                <w:szCs w:val="24"/>
              </w:rPr>
            </w:pPr>
            <w:r>
              <w:rPr>
                <w:rFonts w:ascii="宋体" w:hAnsi="宋体"/>
                <w:snapToGrid w:val="0"/>
                <w:kern w:val="0"/>
                <w:sz w:val="24"/>
                <w:szCs w:val="24"/>
              </w:rPr>
              <w:t>2</w:t>
            </w:r>
          </w:p>
        </w:tc>
        <w:tc>
          <w:tcPr>
            <w:tcW w:w="3473"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before="73"/>
              <w:ind w:left="949" w:right="928"/>
              <w:rPr>
                <w:rFonts w:ascii="宋体" w:hAnsi="宋体"/>
                <w:snapToGrid w:val="0"/>
                <w:kern w:val="0"/>
                <w:sz w:val="24"/>
                <w:szCs w:val="24"/>
              </w:rPr>
            </w:pPr>
            <w:r>
              <w:rPr>
                <w:rFonts w:hint="eastAsia" w:ascii="宋体" w:hAnsi="宋体" w:cs="MingLiU"/>
                <w:snapToGrid w:val="0"/>
                <w:kern w:val="0"/>
                <w:sz w:val="24"/>
                <w:szCs w:val="24"/>
              </w:rPr>
              <w:t>工期</w:t>
            </w:r>
          </w:p>
        </w:tc>
        <w:tc>
          <w:tcPr>
            <w:tcW w:w="4018" w:type="dxa"/>
            <w:tcBorders>
              <w:top w:val="single" w:color="000000" w:sz="6" w:space="0"/>
              <w:left w:val="single" w:color="000000" w:sz="6" w:space="0"/>
              <w:bottom w:val="single" w:color="000000" w:sz="6" w:space="0"/>
              <w:right w:val="single" w:color="000000" w:sz="6" w:space="0"/>
            </w:tcBorders>
          </w:tcPr>
          <w:p>
            <w:pPr>
              <w:tabs>
                <w:tab w:val="left" w:pos="1560"/>
              </w:tabs>
              <w:autoSpaceDE w:val="0"/>
              <w:autoSpaceDN w:val="0"/>
              <w:adjustRightInd w:val="0"/>
              <w:spacing w:before="73"/>
              <w:ind w:left="103" w:right="-20"/>
              <w:jc w:val="left"/>
              <w:rPr>
                <w:rFonts w:ascii="宋体" w:hAnsi="宋体"/>
                <w:snapToGrid w:val="0"/>
                <w:kern w:val="0"/>
                <w:sz w:val="24"/>
                <w:szCs w:val="24"/>
              </w:rPr>
            </w:pPr>
            <w:r>
              <w:rPr>
                <w:rFonts w:hint="eastAsia" w:ascii="宋体" w:hAnsi="宋体" w:cs="MingLiU"/>
                <w:snapToGrid w:val="0"/>
                <w:kern w:val="0"/>
                <w:sz w:val="24"/>
                <w:szCs w:val="24"/>
              </w:rPr>
              <w:t>天数：</w:t>
            </w:r>
            <w:r>
              <w:rPr>
                <w:rFonts w:ascii="宋体" w:hAnsi="宋体" w:cs="MingLiU"/>
                <w:snapToGrid w:val="0"/>
                <w:w w:val="200"/>
                <w:kern w:val="0"/>
                <w:sz w:val="24"/>
                <w:szCs w:val="24"/>
                <w:u w:val="single"/>
              </w:rPr>
              <w:t xml:space="preserve"> </w:t>
            </w:r>
            <w:r>
              <w:rPr>
                <w:rFonts w:ascii="宋体" w:hAnsi="宋体"/>
                <w:snapToGrid w:val="0"/>
                <w:kern w:val="0"/>
                <w:sz w:val="24"/>
                <w:szCs w:val="24"/>
                <w:u w:val="single"/>
              </w:rPr>
              <w:tab/>
            </w:r>
            <w:r>
              <w:rPr>
                <w:rFonts w:hint="eastAsia" w:ascii="宋体" w:hAnsi="宋体" w:cs="MingLiU"/>
                <w:snapToGrid w:val="0"/>
                <w:kern w:val="0"/>
                <w:sz w:val="24"/>
                <w:szCs w:val="24"/>
              </w:rPr>
              <w:t>日历天</w:t>
            </w:r>
          </w:p>
        </w:tc>
        <w:tc>
          <w:tcPr>
            <w:tcW w:w="10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szCs w:val="24"/>
              </w:rPr>
            </w:pPr>
          </w:p>
        </w:tc>
      </w:tr>
      <w:tr>
        <w:tblPrEx>
          <w:tblCellMar>
            <w:top w:w="0" w:type="dxa"/>
            <w:left w:w="0" w:type="dxa"/>
            <w:bottom w:w="0" w:type="dxa"/>
            <w:right w:w="0" w:type="dxa"/>
          </w:tblCellMar>
        </w:tblPrEx>
        <w:trPr>
          <w:trHeight w:val="587" w:hRule="exact"/>
        </w:trPr>
        <w:tc>
          <w:tcPr>
            <w:tcW w:w="971"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ind w:right="246"/>
              <w:jc w:val="center"/>
              <w:rPr>
                <w:rFonts w:ascii="宋体" w:hAnsi="宋体"/>
                <w:snapToGrid w:val="0"/>
                <w:kern w:val="0"/>
                <w:sz w:val="24"/>
                <w:szCs w:val="24"/>
              </w:rPr>
            </w:pPr>
            <w:r>
              <w:rPr>
                <w:rFonts w:hint="eastAsia" w:ascii="宋体" w:hAnsi="宋体"/>
                <w:snapToGrid w:val="0"/>
                <w:kern w:val="0"/>
                <w:sz w:val="24"/>
                <w:szCs w:val="24"/>
              </w:rPr>
              <w:t xml:space="preserve"> </w:t>
            </w:r>
            <w:r>
              <w:rPr>
                <w:rFonts w:ascii="宋体" w:hAnsi="宋体"/>
                <w:snapToGrid w:val="0"/>
                <w:kern w:val="0"/>
                <w:sz w:val="24"/>
                <w:szCs w:val="24"/>
              </w:rPr>
              <w:t>…</w:t>
            </w:r>
          </w:p>
        </w:tc>
        <w:tc>
          <w:tcPr>
            <w:tcW w:w="3473"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spacing w:before="73"/>
              <w:ind w:left="949" w:right="928"/>
              <w:jc w:val="center"/>
              <w:rPr>
                <w:rFonts w:ascii="宋体" w:hAnsi="宋体"/>
                <w:snapToGrid w:val="0"/>
                <w:kern w:val="0"/>
                <w:sz w:val="24"/>
                <w:szCs w:val="24"/>
              </w:rPr>
            </w:pPr>
            <w:r>
              <w:rPr>
                <w:rFonts w:ascii="宋体" w:hAnsi="宋体"/>
                <w:snapToGrid w:val="0"/>
                <w:kern w:val="0"/>
                <w:sz w:val="24"/>
                <w:szCs w:val="24"/>
              </w:rPr>
              <w:t>……</w:t>
            </w:r>
          </w:p>
        </w:tc>
        <w:tc>
          <w:tcPr>
            <w:tcW w:w="4018" w:type="dxa"/>
            <w:tcBorders>
              <w:top w:val="single" w:color="000000" w:sz="6" w:space="0"/>
              <w:left w:val="single" w:color="000000" w:sz="6" w:space="0"/>
              <w:bottom w:val="single" w:color="000000" w:sz="6" w:space="0"/>
              <w:right w:val="single" w:color="000000" w:sz="6" w:space="0"/>
            </w:tcBorders>
          </w:tcPr>
          <w:p>
            <w:pPr>
              <w:autoSpaceDE w:val="0"/>
              <w:autoSpaceDN w:val="0"/>
              <w:adjustRightInd w:val="0"/>
              <w:ind w:firstLine="1800"/>
              <w:jc w:val="left"/>
              <w:rPr>
                <w:rFonts w:ascii="宋体" w:hAnsi="宋体"/>
                <w:snapToGrid w:val="0"/>
                <w:kern w:val="0"/>
                <w:sz w:val="24"/>
                <w:szCs w:val="24"/>
              </w:rPr>
            </w:pPr>
            <w:r>
              <w:rPr>
                <w:rFonts w:ascii="宋体" w:hAnsi="宋体"/>
                <w:snapToGrid w:val="0"/>
                <w:kern w:val="0"/>
                <w:sz w:val="24"/>
                <w:szCs w:val="24"/>
              </w:rPr>
              <w:t>……</w:t>
            </w:r>
          </w:p>
        </w:tc>
        <w:tc>
          <w:tcPr>
            <w:tcW w:w="1065" w:type="dxa"/>
            <w:tcBorders>
              <w:top w:val="single" w:color="000000" w:sz="6" w:space="0"/>
              <w:left w:val="single" w:color="000000" w:sz="6" w:space="0"/>
              <w:bottom w:val="single" w:color="000000" w:sz="6" w:space="0"/>
              <w:right w:val="single" w:color="000000" w:sz="4" w:space="0"/>
            </w:tcBorders>
          </w:tcPr>
          <w:p>
            <w:pPr>
              <w:autoSpaceDE w:val="0"/>
              <w:autoSpaceDN w:val="0"/>
              <w:adjustRightInd w:val="0"/>
              <w:jc w:val="left"/>
              <w:rPr>
                <w:rFonts w:ascii="宋体" w:hAnsi="宋体"/>
                <w:snapToGrid w:val="0"/>
                <w:kern w:val="0"/>
                <w:sz w:val="24"/>
                <w:szCs w:val="24"/>
              </w:rPr>
            </w:pPr>
          </w:p>
        </w:tc>
      </w:tr>
      <w:tr>
        <w:tblPrEx>
          <w:tblCellMar>
            <w:top w:w="0" w:type="dxa"/>
            <w:left w:w="0" w:type="dxa"/>
            <w:bottom w:w="0" w:type="dxa"/>
            <w:right w:w="0" w:type="dxa"/>
          </w:tblCellMar>
        </w:tblPrEx>
        <w:trPr>
          <w:trHeight w:val="587" w:hRule="exact"/>
        </w:trPr>
        <w:tc>
          <w:tcPr>
            <w:tcW w:w="97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ind w:left="213" w:right="110"/>
              <w:jc w:val="center"/>
              <w:rPr>
                <w:rFonts w:ascii="宋体" w:hAnsi="宋体"/>
                <w:snapToGrid w:val="0"/>
                <w:kern w:val="0"/>
                <w:sz w:val="24"/>
                <w:szCs w:val="24"/>
              </w:rPr>
            </w:pPr>
            <w:r>
              <w:rPr>
                <w:rFonts w:ascii="宋体" w:hAnsi="宋体"/>
                <w:snapToGrid w:val="0"/>
                <w:kern w:val="0"/>
                <w:sz w:val="24"/>
                <w:szCs w:val="24"/>
              </w:rPr>
              <w:t>…</w:t>
            </w:r>
          </w:p>
        </w:tc>
        <w:tc>
          <w:tcPr>
            <w:tcW w:w="3473"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ind w:left="213" w:right="110"/>
              <w:jc w:val="center"/>
              <w:rPr>
                <w:rFonts w:ascii="宋体" w:hAnsi="宋体"/>
                <w:snapToGrid w:val="0"/>
                <w:kern w:val="0"/>
                <w:sz w:val="24"/>
                <w:szCs w:val="24"/>
              </w:rPr>
            </w:pPr>
            <w:r>
              <w:rPr>
                <w:rFonts w:ascii="宋体" w:hAnsi="宋体"/>
                <w:snapToGrid w:val="0"/>
                <w:kern w:val="0"/>
                <w:sz w:val="24"/>
                <w:szCs w:val="24"/>
              </w:rPr>
              <w:t>……</w:t>
            </w:r>
          </w:p>
        </w:tc>
        <w:tc>
          <w:tcPr>
            <w:tcW w:w="401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ind w:right="110" w:firstLine="1920"/>
              <w:rPr>
                <w:rFonts w:ascii="宋体" w:hAnsi="宋体"/>
                <w:snapToGrid w:val="0"/>
                <w:kern w:val="0"/>
                <w:sz w:val="24"/>
                <w:szCs w:val="24"/>
              </w:rPr>
            </w:pPr>
            <w:r>
              <w:rPr>
                <w:rFonts w:ascii="宋体" w:hAnsi="宋体"/>
                <w:snapToGrid w:val="0"/>
                <w:kern w:val="0"/>
                <w:sz w:val="24"/>
                <w:szCs w:val="24"/>
              </w:rPr>
              <w:t>……</w:t>
            </w:r>
          </w:p>
        </w:tc>
        <w:tc>
          <w:tcPr>
            <w:tcW w:w="1065"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jc w:val="center"/>
              <w:rPr>
                <w:rFonts w:ascii="宋体" w:hAnsi="宋体"/>
                <w:snapToGrid w:val="0"/>
                <w:kern w:val="0"/>
                <w:sz w:val="24"/>
                <w:szCs w:val="24"/>
              </w:rPr>
            </w:pPr>
          </w:p>
        </w:tc>
      </w:tr>
      <w:tr>
        <w:tblPrEx>
          <w:tblCellMar>
            <w:top w:w="0" w:type="dxa"/>
            <w:left w:w="0" w:type="dxa"/>
            <w:bottom w:w="0" w:type="dxa"/>
            <w:right w:w="0" w:type="dxa"/>
          </w:tblCellMar>
        </w:tblPrEx>
        <w:trPr>
          <w:trHeight w:val="587" w:hRule="exact"/>
        </w:trPr>
        <w:tc>
          <w:tcPr>
            <w:tcW w:w="97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ind w:left="213" w:right="110"/>
              <w:jc w:val="center"/>
              <w:rPr>
                <w:rFonts w:ascii="宋体" w:hAnsi="宋体"/>
                <w:snapToGrid w:val="0"/>
                <w:kern w:val="0"/>
                <w:sz w:val="24"/>
                <w:szCs w:val="24"/>
              </w:rPr>
            </w:pPr>
            <w:r>
              <w:rPr>
                <w:rFonts w:ascii="宋体" w:hAnsi="宋体"/>
                <w:snapToGrid w:val="0"/>
                <w:kern w:val="0"/>
                <w:sz w:val="24"/>
                <w:szCs w:val="24"/>
              </w:rPr>
              <w:t>…</w:t>
            </w:r>
          </w:p>
        </w:tc>
        <w:tc>
          <w:tcPr>
            <w:tcW w:w="3473"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ind w:left="213" w:right="110"/>
              <w:jc w:val="center"/>
              <w:rPr>
                <w:rFonts w:ascii="宋体" w:hAnsi="宋体"/>
                <w:snapToGrid w:val="0"/>
                <w:kern w:val="0"/>
                <w:sz w:val="24"/>
                <w:szCs w:val="24"/>
              </w:rPr>
            </w:pPr>
            <w:r>
              <w:rPr>
                <w:rFonts w:ascii="宋体" w:hAnsi="宋体"/>
                <w:snapToGrid w:val="0"/>
                <w:kern w:val="0"/>
                <w:sz w:val="24"/>
                <w:szCs w:val="24"/>
              </w:rPr>
              <w:t>……</w:t>
            </w:r>
          </w:p>
        </w:tc>
        <w:tc>
          <w:tcPr>
            <w:tcW w:w="401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ind w:left="213" w:right="110"/>
              <w:jc w:val="center"/>
              <w:rPr>
                <w:rFonts w:ascii="宋体" w:hAnsi="宋体"/>
                <w:snapToGrid w:val="0"/>
                <w:kern w:val="0"/>
                <w:sz w:val="24"/>
                <w:szCs w:val="24"/>
              </w:rPr>
            </w:pPr>
            <w:r>
              <w:rPr>
                <w:rFonts w:ascii="宋体" w:hAnsi="宋体"/>
                <w:snapToGrid w:val="0"/>
                <w:kern w:val="0"/>
                <w:sz w:val="24"/>
                <w:szCs w:val="24"/>
              </w:rPr>
              <w:t>……</w:t>
            </w:r>
          </w:p>
        </w:tc>
        <w:tc>
          <w:tcPr>
            <w:tcW w:w="1065"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jc w:val="center"/>
              <w:rPr>
                <w:rFonts w:ascii="宋体" w:hAnsi="宋体"/>
                <w:snapToGrid w:val="0"/>
                <w:kern w:val="0"/>
                <w:sz w:val="24"/>
                <w:szCs w:val="24"/>
              </w:rPr>
            </w:pPr>
          </w:p>
        </w:tc>
      </w:tr>
    </w:tbl>
    <w:p>
      <w:pPr>
        <w:snapToGrid w:val="0"/>
        <w:spacing w:line="500" w:lineRule="exact"/>
        <w:ind w:firstLine="480"/>
        <w:rPr>
          <w:rFonts w:ascii="宋体" w:hAnsi="宋体" w:cs="宋体"/>
          <w:sz w:val="24"/>
          <w:szCs w:val="28"/>
        </w:rPr>
      </w:pPr>
    </w:p>
    <w:p>
      <w:pPr>
        <w:snapToGrid w:val="0"/>
        <w:spacing w:line="500" w:lineRule="exact"/>
        <w:ind w:firstLine="480"/>
        <w:rPr>
          <w:rFonts w:ascii="宋体" w:hAnsi="宋体" w:cs="宋体"/>
          <w:sz w:val="24"/>
          <w:szCs w:val="28"/>
        </w:rPr>
      </w:pPr>
    </w:p>
    <w:p>
      <w:pPr>
        <w:spacing w:line="440" w:lineRule="exact"/>
        <w:ind w:firstLine="3080"/>
        <w:rPr>
          <w:rFonts w:ascii="宋体" w:hAnsi="宋体"/>
          <w:szCs w:val="28"/>
        </w:rPr>
      </w:pPr>
      <w:r>
        <w:rPr>
          <w:rFonts w:ascii="宋体" w:hAnsi="宋体"/>
          <w:szCs w:val="28"/>
        </w:rPr>
        <w:br w:type="page"/>
      </w:r>
    </w:p>
    <w:p>
      <w:pPr>
        <w:pStyle w:val="2"/>
        <w:spacing w:before="0" w:after="0" w:line="360" w:lineRule="auto"/>
        <w:rPr>
          <w:rFonts w:ascii="宋体" w:hAnsi="宋体" w:cs="宋体"/>
          <w:sz w:val="24"/>
          <w:szCs w:val="24"/>
        </w:rPr>
      </w:pPr>
      <w:bookmarkStart w:id="117" w:name="_Toc517784649"/>
      <w:bookmarkStart w:id="118" w:name="_Toc49435942"/>
      <w:r>
        <w:rPr>
          <w:rFonts w:hint="eastAsia" w:ascii="宋体" w:hAnsi="宋体" w:cs="宋体"/>
          <w:sz w:val="24"/>
          <w:szCs w:val="24"/>
        </w:rPr>
        <w:t>三、法定代表人身份证明</w:t>
      </w:r>
      <w:bookmarkEnd w:id="117"/>
      <w:bookmarkEnd w:id="118"/>
    </w:p>
    <w:p>
      <w:pPr>
        <w:tabs>
          <w:tab w:val="left" w:pos="5565"/>
        </w:tabs>
        <w:autoSpaceDE w:val="0"/>
        <w:autoSpaceDN w:val="0"/>
        <w:adjustRightInd w:val="0"/>
        <w:snapToGrid w:val="0"/>
        <w:spacing w:line="360" w:lineRule="auto"/>
        <w:ind w:firstLine="420"/>
        <w:jc w:val="left"/>
        <w:rPr>
          <w:rFonts w:ascii="宋体" w:hAnsi="宋体" w:cs="MingLiU"/>
          <w:kern w:val="0"/>
          <w:szCs w:val="21"/>
        </w:rPr>
      </w:pPr>
    </w:p>
    <w:p>
      <w:pPr>
        <w:tabs>
          <w:tab w:val="left" w:pos="6920"/>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投标单位名称：</w:t>
      </w:r>
      <w:r>
        <w:rPr>
          <w:rFonts w:ascii="宋体" w:hAnsi="宋体" w:cs="MingLiU"/>
          <w:w w:val="200"/>
          <w:kern w:val="0"/>
          <w:szCs w:val="21"/>
          <w:u w:val="single"/>
        </w:rPr>
        <w:t xml:space="preserve"> </w:t>
      </w:r>
      <w:r>
        <w:rPr>
          <w:rFonts w:ascii="宋体" w:hAnsi="宋体"/>
          <w:kern w:val="0"/>
          <w:szCs w:val="21"/>
          <w:u w:val="single"/>
        </w:rPr>
        <w:tab/>
      </w:r>
    </w:p>
    <w:p>
      <w:pPr>
        <w:tabs>
          <w:tab w:val="left" w:pos="6965"/>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单位性质：</w:t>
      </w:r>
      <w:r>
        <w:rPr>
          <w:rFonts w:ascii="宋体" w:hAnsi="宋体" w:cs="MingLiU"/>
          <w:w w:val="200"/>
          <w:kern w:val="0"/>
          <w:szCs w:val="21"/>
          <w:u w:val="single"/>
        </w:rPr>
        <w:t xml:space="preserve"> </w:t>
      </w:r>
      <w:r>
        <w:rPr>
          <w:rFonts w:ascii="宋体" w:hAnsi="宋体"/>
          <w:kern w:val="0"/>
          <w:szCs w:val="21"/>
          <w:u w:val="single"/>
        </w:rPr>
        <w:tab/>
      </w:r>
    </w:p>
    <w:p>
      <w:pPr>
        <w:tabs>
          <w:tab w:val="left" w:pos="6965"/>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地址：</w:t>
      </w:r>
      <w:r>
        <w:rPr>
          <w:rFonts w:ascii="宋体" w:hAnsi="宋体" w:cs="MingLiU"/>
          <w:w w:val="200"/>
          <w:kern w:val="0"/>
          <w:szCs w:val="21"/>
          <w:u w:val="single"/>
        </w:rPr>
        <w:t xml:space="preserve"> </w:t>
      </w:r>
      <w:r>
        <w:rPr>
          <w:rFonts w:ascii="宋体" w:hAnsi="宋体"/>
          <w:kern w:val="0"/>
          <w:szCs w:val="21"/>
          <w:u w:val="single"/>
        </w:rPr>
        <w:tab/>
      </w:r>
    </w:p>
    <w:p>
      <w:pPr>
        <w:tabs>
          <w:tab w:val="left" w:pos="2520"/>
          <w:tab w:val="left" w:pos="3430"/>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spacing w:val="-1"/>
          <w:kern w:val="0"/>
          <w:szCs w:val="21"/>
        </w:rPr>
        <w:t>年</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kern w:val="0"/>
          <w:szCs w:val="21"/>
          <w:u w:val="single"/>
        </w:rPr>
        <w:t xml:space="preserve">       </w:t>
      </w:r>
      <w:r>
        <w:rPr>
          <w:rFonts w:ascii="宋体" w:hAnsi="宋体"/>
          <w:kern w:val="0"/>
          <w:szCs w:val="21"/>
        </w:rPr>
        <w:t xml:space="preserve"> </w:t>
      </w:r>
      <w:r>
        <w:rPr>
          <w:rFonts w:hint="eastAsia" w:ascii="宋体" w:hAnsi="宋体" w:cs="MingLiU"/>
          <w:spacing w:val="-1"/>
          <w:kern w:val="0"/>
          <w:szCs w:val="21"/>
        </w:rPr>
        <w:t>月</w:t>
      </w:r>
      <w:r>
        <w:rPr>
          <w:rFonts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pPr>
        <w:tabs>
          <w:tab w:val="left" w:pos="6155"/>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经营期限：</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p>
    <w:p>
      <w:pPr>
        <w:tabs>
          <w:tab w:val="left" w:pos="3260"/>
          <w:tab w:val="left" w:pos="4840"/>
          <w:tab w:val="left" w:pos="6300"/>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姓名：</w:t>
      </w:r>
      <w:r>
        <w:rPr>
          <w:rFonts w:ascii="宋体" w:hAnsi="宋体" w:cs="MingLiU"/>
          <w:w w:val="200"/>
          <w:kern w:val="0"/>
          <w:szCs w:val="21"/>
          <w:u w:val="single"/>
        </w:rPr>
        <w:t xml:space="preserve"> </w:t>
      </w:r>
      <w:r>
        <w:rPr>
          <w:rFonts w:hint="eastAsia" w:ascii="宋体" w:hAnsi="宋体"/>
          <w:kern w:val="0"/>
          <w:szCs w:val="21"/>
          <w:u w:val="single"/>
        </w:rPr>
        <w:t xml:space="preserve">    </w:t>
      </w:r>
      <w:r>
        <w:rPr>
          <w:rFonts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ascii="宋体" w:hAnsi="宋体" w:cs="MingLiU"/>
          <w:w w:val="200"/>
          <w:kern w:val="0"/>
          <w:szCs w:val="21"/>
          <w:u w:val="single"/>
        </w:rPr>
        <w:t xml:space="preserve"> </w:t>
      </w:r>
      <w:r>
        <w:rPr>
          <w:rFonts w:hint="eastAsia" w:ascii="宋体" w:hAnsi="宋体"/>
          <w:kern w:val="0"/>
          <w:szCs w:val="21"/>
          <w:u w:val="single"/>
        </w:rPr>
        <w:t xml:space="preserve">  </w:t>
      </w:r>
      <w:r>
        <w:rPr>
          <w:rFonts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职务：</w:t>
      </w:r>
      <w:r>
        <w:rPr>
          <w:rFonts w:hint="eastAsia" w:ascii="宋体" w:hAnsi="宋体" w:cs="MingLiU"/>
          <w:kern w:val="0"/>
          <w:szCs w:val="21"/>
          <w:u w:val="single"/>
        </w:rPr>
        <w:t xml:space="preserve">  </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ascii="宋体" w:hAnsi="宋体"/>
          <w:kern w:val="0"/>
          <w:szCs w:val="21"/>
          <w:u w:val="single"/>
        </w:rPr>
        <w:tab/>
      </w:r>
    </w:p>
    <w:p>
      <w:pPr>
        <w:tabs>
          <w:tab w:val="left" w:pos="2950"/>
        </w:tabs>
        <w:autoSpaceDE w:val="0"/>
        <w:autoSpaceDN w:val="0"/>
        <w:adjustRightInd w:val="0"/>
        <w:snapToGrid w:val="0"/>
        <w:spacing w:line="480" w:lineRule="exact"/>
        <w:ind w:firstLine="420"/>
        <w:jc w:val="left"/>
        <w:rPr>
          <w:rFonts w:ascii="宋体" w:hAnsi="宋体" w:cs="MingLiU"/>
          <w:kern w:val="0"/>
          <w:szCs w:val="21"/>
        </w:rPr>
      </w:pPr>
      <w:r>
        <w:rPr>
          <w:rFonts w:hint="eastAsia" w:ascii="宋体" w:hAnsi="宋体" w:cs="MingLiU"/>
          <w:kern w:val="0"/>
          <w:szCs w:val="21"/>
        </w:rPr>
        <w:t>系</w:t>
      </w:r>
      <w:r>
        <w:rPr>
          <w:rFonts w:ascii="宋体" w:hAnsi="宋体" w:cs="MingLiU"/>
          <w:w w:val="200"/>
          <w:kern w:val="0"/>
          <w:szCs w:val="21"/>
          <w:u w:val="single"/>
        </w:rPr>
        <w:t xml:space="preserve"> </w:t>
      </w:r>
      <w:r>
        <w:rPr>
          <w:rFonts w:ascii="宋体" w:hAnsi="宋体"/>
          <w:kern w:val="0"/>
          <w:szCs w:val="21"/>
          <w:u w:val="single"/>
        </w:rPr>
        <w:tab/>
      </w:r>
      <w:r>
        <w:rPr>
          <w:rFonts w:ascii="宋体" w:hAnsi="宋体"/>
          <w:kern w:val="0"/>
          <w:szCs w:val="21"/>
        </w:rPr>
        <w:t xml:space="preserve"> </w:t>
      </w:r>
      <w:r>
        <w:rPr>
          <w:rFonts w:hint="eastAsia" w:ascii="宋体" w:hAnsi="宋体" w:cs="MingLiU"/>
          <w:kern w:val="0"/>
          <w:szCs w:val="21"/>
        </w:rPr>
        <w:t>（投标单位名称）的法定代表人。</w:t>
      </w:r>
    </w:p>
    <w:p>
      <w:pPr>
        <w:autoSpaceDE w:val="0"/>
        <w:autoSpaceDN w:val="0"/>
        <w:adjustRightInd w:val="0"/>
        <w:snapToGrid w:val="0"/>
        <w:spacing w:line="480" w:lineRule="exact"/>
        <w:ind w:firstLine="186"/>
        <w:jc w:val="left"/>
        <w:rPr>
          <w:rFonts w:ascii="宋体" w:hAnsi="宋体" w:cs="MingLiU"/>
          <w:kern w:val="0"/>
          <w:sz w:val="10"/>
          <w:szCs w:val="10"/>
        </w:rPr>
      </w:pPr>
    </w:p>
    <w:p>
      <w:pPr>
        <w:autoSpaceDE w:val="0"/>
        <w:autoSpaceDN w:val="0"/>
        <w:adjustRightInd w:val="0"/>
        <w:snapToGrid w:val="0"/>
        <w:spacing w:line="480" w:lineRule="exact"/>
        <w:ind w:firstLine="1081"/>
        <w:jc w:val="left"/>
        <w:rPr>
          <w:rFonts w:ascii="宋体" w:hAnsi="宋体" w:cs="MingLiU"/>
          <w:kern w:val="0"/>
          <w:szCs w:val="21"/>
        </w:rPr>
      </w:pPr>
      <w:r>
        <w:rPr>
          <w:rFonts w:hint="eastAsia" w:ascii="宋体" w:hAnsi="宋体" w:cs="MingLiU"/>
          <w:kern w:val="0"/>
          <w:szCs w:val="21"/>
        </w:rPr>
        <w:t>特此证明。</w:t>
      </w:r>
    </w:p>
    <w:tbl>
      <w:tblPr>
        <w:tblStyle w:val="57"/>
        <w:tblpPr w:leftFromText="180" w:rightFromText="180" w:vertAnchor="text" w:horzAnchor="margin" w:tblpXSpec="center" w:tblpY="123"/>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8"/>
        <w:gridCol w:w="1134"/>
        <w:gridCol w:w="396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745" w:hRule="atLeast"/>
          <w:jc w:val="center"/>
        </w:trPr>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jc w:val="center"/>
              <w:rPr>
                <w:rFonts w:ascii="宋体" w:hAnsi="宋体"/>
                <w:bCs/>
                <w:sz w:val="24"/>
              </w:rPr>
            </w:pPr>
            <w:r>
              <w:rPr>
                <w:rFonts w:hint="eastAsia" w:ascii="宋体" w:hAnsi="宋体"/>
                <w:bCs/>
                <w:sz w:val="24"/>
              </w:rPr>
              <w:t>法定代表人身份证复印件正面</w:t>
            </w:r>
          </w:p>
          <w:p>
            <w:pPr>
              <w:autoSpaceDE w:val="0"/>
              <w:autoSpaceDN w:val="0"/>
              <w:spacing w:line="520" w:lineRule="exact"/>
              <w:rPr>
                <w:rFonts w:ascii="宋体" w:hAnsi="宋体"/>
                <w:b/>
                <w:sz w:val="24"/>
              </w:rPr>
            </w:pPr>
          </w:p>
          <w:p>
            <w:pPr>
              <w:autoSpaceDE w:val="0"/>
              <w:autoSpaceDN w:val="0"/>
              <w:spacing w:line="520" w:lineRule="exact"/>
              <w:rPr>
                <w:rFonts w:ascii="宋体" w:hAnsi="宋体"/>
                <w:b/>
                <w:sz w:val="24"/>
              </w:rPr>
            </w:pPr>
          </w:p>
          <w:p>
            <w:pPr>
              <w:autoSpaceDE w:val="0"/>
              <w:autoSpaceDN w:val="0"/>
              <w:spacing w:line="520" w:lineRule="exact"/>
              <w:rPr>
                <w:rFonts w:ascii="宋体" w:hAnsi="宋体"/>
                <w:b/>
                <w:sz w:val="24"/>
              </w:rPr>
            </w:pPr>
          </w:p>
        </w:tc>
        <w:tc>
          <w:tcPr>
            <w:tcW w:w="1134" w:type="dxa"/>
            <w:tcBorders>
              <w:top w:val="nil"/>
              <w:left w:val="single" w:color="auto" w:sz="4" w:space="0"/>
              <w:bottom w:val="nil"/>
              <w:right w:val="single" w:color="auto" w:sz="4" w:space="0"/>
            </w:tcBorders>
          </w:tcPr>
          <w:p>
            <w:pPr>
              <w:autoSpaceDE w:val="0"/>
              <w:autoSpaceDN w:val="0"/>
              <w:spacing w:line="520" w:lineRule="exact"/>
              <w:jc w:val="left"/>
              <w:rPr>
                <w:rFonts w:ascii="宋体" w:hAnsi="宋体"/>
                <w:b/>
                <w:sz w:val="24"/>
              </w:rPr>
            </w:pPr>
          </w:p>
        </w:tc>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rPr>
                <w:rFonts w:ascii="宋体" w:hAnsi="宋体"/>
                <w:b/>
                <w:sz w:val="24"/>
              </w:rPr>
            </w:pPr>
            <w:r>
              <w:rPr>
                <w:rFonts w:hint="eastAsia" w:ascii="宋体" w:hAnsi="宋体"/>
                <w:bCs/>
                <w:sz w:val="24"/>
              </w:rPr>
              <w:t>法定代表人身份证复印件</w:t>
            </w:r>
            <w:r>
              <w:rPr>
                <w:rFonts w:hint="eastAsia" w:ascii="宋体" w:hAnsi="宋体"/>
                <w:sz w:val="24"/>
              </w:rPr>
              <w:t>背面</w:t>
            </w:r>
          </w:p>
        </w:tc>
      </w:tr>
    </w:tbl>
    <w:p>
      <w:pPr>
        <w:autoSpaceDE w:val="0"/>
        <w:autoSpaceDN w:val="0"/>
        <w:adjustRightInd w:val="0"/>
        <w:snapToGrid w:val="0"/>
        <w:spacing w:line="360" w:lineRule="auto"/>
        <w:jc w:val="left"/>
        <w:rPr>
          <w:rFonts w:ascii="宋体" w:hAnsi="宋体" w:cs="MingLiU"/>
          <w:kern w:val="0"/>
          <w:sz w:val="20"/>
        </w:rPr>
      </w:pPr>
    </w:p>
    <w:p>
      <w:pPr>
        <w:tabs>
          <w:tab w:val="left" w:pos="5460"/>
        </w:tabs>
        <w:autoSpaceDE w:val="0"/>
        <w:autoSpaceDN w:val="0"/>
        <w:adjustRightInd w:val="0"/>
        <w:snapToGrid w:val="0"/>
        <w:spacing w:line="360" w:lineRule="auto"/>
        <w:ind w:firstLine="2100"/>
        <w:jc w:val="left"/>
        <w:rPr>
          <w:rFonts w:ascii="宋体" w:hAnsi="宋体" w:cs="MingLiU"/>
          <w:kern w:val="0"/>
          <w:szCs w:val="21"/>
        </w:rPr>
      </w:pPr>
      <w:r>
        <w:rPr>
          <w:rFonts w:hint="eastAsia" w:ascii="宋体" w:hAnsi="宋体" w:cs="MingLiU"/>
          <w:kern w:val="0"/>
          <w:szCs w:val="21"/>
        </w:rPr>
        <w:t>投标单位名称：</w:t>
      </w: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盖单位章）</w:t>
      </w:r>
    </w:p>
    <w:p>
      <w:pPr>
        <w:autoSpaceDE w:val="0"/>
        <w:autoSpaceDN w:val="0"/>
        <w:adjustRightInd w:val="0"/>
        <w:snapToGrid w:val="0"/>
        <w:spacing w:line="360" w:lineRule="auto"/>
        <w:jc w:val="left"/>
        <w:rPr>
          <w:rFonts w:ascii="宋体" w:hAnsi="宋体" w:cs="MingLiU"/>
          <w:kern w:val="0"/>
          <w:sz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kern w:val="0"/>
          <w:szCs w:val="21"/>
        </w:rPr>
      </w:pPr>
      <w:r>
        <w:rPr>
          <w:rFonts w:ascii="宋体" w:hAnsi="宋体" w:cs="MingLiU"/>
          <w:w w:val="200"/>
          <w:kern w:val="0"/>
          <w:szCs w:val="21"/>
          <w:u w:val="single"/>
        </w:rPr>
        <w:t xml:space="preserve"> </w:t>
      </w:r>
      <w:r>
        <w:rPr>
          <w:rFonts w:ascii="宋体" w:hAnsi="宋体"/>
          <w:kern w:val="0"/>
          <w:szCs w:val="21"/>
          <w:u w:val="single"/>
        </w:rPr>
        <w:tab/>
      </w:r>
      <w:r>
        <w:rPr>
          <w:rFonts w:hint="eastAsia" w:ascii="宋体" w:hAnsi="宋体" w:cs="MingLiU"/>
          <w:spacing w:val="-1"/>
          <w:kern w:val="0"/>
          <w:szCs w:val="21"/>
        </w:rPr>
        <w:t>年</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月</w:t>
      </w:r>
      <w:r>
        <w:rPr>
          <w:rFonts w:ascii="宋体" w:hAnsi="宋体" w:cs="MingLiU"/>
          <w:w w:val="200"/>
          <w:kern w:val="0"/>
          <w:szCs w:val="21"/>
          <w:u w:val="single"/>
        </w:rPr>
        <w:t xml:space="preserve"> </w:t>
      </w:r>
      <w:r>
        <w:rPr>
          <w:rFonts w:hint="eastAsia" w:ascii="宋体" w:hAnsi="宋体" w:cs="MingLiU"/>
          <w:w w:val="200"/>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360" w:lineRule="auto"/>
        <w:jc w:val="left"/>
        <w:rPr>
          <w:rFonts w:ascii="宋体" w:hAnsi="宋体"/>
          <w:kern w:val="0"/>
        </w:rPr>
      </w:pPr>
      <w:bookmarkStart w:id="119" w:name="OLE_LINK23"/>
      <w:bookmarkStart w:id="120" w:name="OLE_LINK22"/>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sz w:val="21"/>
          <w:szCs w:val="21"/>
        </w:rPr>
      </w:pPr>
      <w:r>
        <w:rPr>
          <w:rFonts w:hint="eastAsia" w:ascii="宋体" w:hAnsi="宋体"/>
          <w:kern w:val="0"/>
          <w:sz w:val="21"/>
          <w:szCs w:val="21"/>
        </w:rPr>
        <w:t>注：法定代表人身份证明需按上述格式填写完整，不可缺少内容。在些基础上增加内容的不影响其有效性。</w:t>
      </w:r>
      <w:bookmarkEnd w:id="119"/>
      <w:bookmarkEnd w:id="120"/>
    </w:p>
    <w:p>
      <w:pPr>
        <w:autoSpaceDE w:val="0"/>
        <w:autoSpaceDN w:val="0"/>
        <w:adjustRightInd w:val="0"/>
        <w:snapToGrid w:val="0"/>
        <w:spacing w:line="360" w:lineRule="auto"/>
        <w:jc w:val="left"/>
        <w:rPr>
          <w:rFonts w:ascii="宋体" w:hAnsi="宋体"/>
          <w:kern w:val="0"/>
          <w:sz w:val="21"/>
          <w:szCs w:val="21"/>
        </w:rPr>
      </w:pPr>
    </w:p>
    <w:p>
      <w:pPr>
        <w:autoSpaceDE w:val="0"/>
        <w:autoSpaceDN w:val="0"/>
        <w:adjustRightInd w:val="0"/>
        <w:snapToGrid w:val="0"/>
        <w:spacing w:line="360" w:lineRule="auto"/>
        <w:jc w:val="left"/>
        <w:rPr>
          <w:rFonts w:ascii="宋体" w:hAnsi="宋体"/>
          <w:kern w:val="0"/>
          <w:sz w:val="21"/>
          <w:szCs w:val="21"/>
        </w:rPr>
      </w:pPr>
    </w:p>
    <w:p>
      <w:pPr>
        <w:autoSpaceDE w:val="0"/>
        <w:autoSpaceDN w:val="0"/>
        <w:adjustRightInd w:val="0"/>
        <w:snapToGrid w:val="0"/>
        <w:spacing w:line="360" w:lineRule="auto"/>
        <w:jc w:val="left"/>
        <w:rPr>
          <w:rFonts w:ascii="宋体" w:hAnsi="宋体"/>
          <w:kern w:val="0"/>
          <w:sz w:val="21"/>
          <w:szCs w:val="21"/>
        </w:rPr>
      </w:pPr>
    </w:p>
    <w:p>
      <w:pPr>
        <w:autoSpaceDE w:val="0"/>
        <w:autoSpaceDN w:val="0"/>
        <w:adjustRightInd w:val="0"/>
        <w:snapToGrid w:val="0"/>
        <w:spacing w:line="360" w:lineRule="auto"/>
        <w:jc w:val="left"/>
        <w:rPr>
          <w:rFonts w:ascii="宋体" w:hAnsi="宋体"/>
          <w:kern w:val="0"/>
          <w:sz w:val="21"/>
          <w:szCs w:val="21"/>
        </w:rPr>
      </w:pPr>
    </w:p>
    <w:p>
      <w:pPr>
        <w:autoSpaceDE w:val="0"/>
        <w:autoSpaceDN w:val="0"/>
        <w:adjustRightInd w:val="0"/>
        <w:snapToGrid w:val="0"/>
        <w:spacing w:line="360" w:lineRule="auto"/>
        <w:jc w:val="left"/>
        <w:rPr>
          <w:rFonts w:ascii="宋体" w:hAnsi="宋体"/>
          <w:kern w:val="0"/>
          <w:sz w:val="21"/>
          <w:szCs w:val="21"/>
        </w:rPr>
      </w:pPr>
    </w:p>
    <w:p>
      <w:pPr>
        <w:tabs>
          <w:tab w:val="left" w:pos="1680"/>
          <w:tab w:val="left" w:pos="4215"/>
          <w:tab w:val="left" w:pos="4305"/>
          <w:tab w:val="left" w:pos="8000"/>
        </w:tabs>
        <w:autoSpaceDE w:val="0"/>
        <w:autoSpaceDN w:val="0"/>
        <w:adjustRightInd w:val="0"/>
        <w:snapToGrid w:val="0"/>
        <w:spacing w:line="360" w:lineRule="auto"/>
        <w:ind w:firstLine="4355"/>
        <w:rPr>
          <w:rFonts w:ascii="宋体" w:hAnsi="宋体" w:cs="MingLiU"/>
          <w:b/>
          <w:kern w:val="0"/>
          <w:sz w:val="30"/>
          <w:szCs w:val="30"/>
        </w:rPr>
      </w:pPr>
      <w:r>
        <w:rPr>
          <w:rFonts w:hint="eastAsia" w:ascii="宋体" w:hAnsi="宋体" w:cs="MingLiU"/>
          <w:b/>
          <w:kern w:val="0"/>
          <w:sz w:val="30"/>
          <w:szCs w:val="30"/>
        </w:rPr>
        <w:t>授权委托书</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szCs w:val="24"/>
        </w:rPr>
      </w:pPr>
      <w:r>
        <w:rPr>
          <w:rFonts w:hint="eastAsia" w:ascii="宋体" w:hAnsi="宋体" w:cs="MingLiU"/>
          <w:kern w:val="0"/>
          <w:sz w:val="24"/>
          <w:szCs w:val="24"/>
        </w:rPr>
        <w:t>本人</w:t>
      </w:r>
      <w:r>
        <w:rPr>
          <w:rFonts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（姓名）系</w:t>
      </w:r>
      <w:r>
        <w:rPr>
          <w:rFonts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w:t>
      </w:r>
      <w:r>
        <w:rPr>
          <w:rFonts w:hint="eastAsia" w:ascii="宋体" w:hAnsi="宋体" w:cs="MingLiU"/>
          <w:kern w:val="0"/>
          <w:szCs w:val="21"/>
        </w:rPr>
        <w:t>投标单位</w:t>
      </w:r>
      <w:r>
        <w:rPr>
          <w:rFonts w:hint="eastAsia" w:ascii="宋体" w:hAnsi="宋体" w:cs="MingLiU"/>
          <w:kern w:val="0"/>
          <w:sz w:val="24"/>
          <w:szCs w:val="24"/>
        </w:rPr>
        <w:t>名称</w:t>
      </w:r>
      <w:r>
        <w:rPr>
          <w:rFonts w:hint="eastAsia" w:ascii="宋体" w:hAnsi="宋体" w:cs="MingLiU"/>
          <w:spacing w:val="1"/>
          <w:kern w:val="0"/>
          <w:sz w:val="24"/>
          <w:szCs w:val="24"/>
        </w:rPr>
        <w:t>）</w:t>
      </w:r>
      <w:r>
        <w:rPr>
          <w:rFonts w:hint="eastAsia" w:ascii="宋体" w:hAnsi="宋体" w:cs="MingLiU"/>
          <w:kern w:val="0"/>
          <w:sz w:val="24"/>
          <w:szCs w:val="24"/>
        </w:rPr>
        <w:t>的法定代</w:t>
      </w:r>
      <w:r>
        <w:rPr>
          <w:rFonts w:hint="eastAsia" w:ascii="宋体" w:hAnsi="宋体" w:cs="MingLiU"/>
          <w:spacing w:val="1"/>
          <w:kern w:val="0"/>
          <w:sz w:val="24"/>
          <w:szCs w:val="24"/>
        </w:rPr>
        <w:t>表</w:t>
      </w:r>
      <w:r>
        <w:rPr>
          <w:rFonts w:hint="eastAsia" w:ascii="宋体" w:hAnsi="宋体" w:cs="MingLiU"/>
          <w:kern w:val="0"/>
          <w:sz w:val="24"/>
          <w:szCs w:val="24"/>
        </w:rPr>
        <w:t>人，现委托</w:t>
      </w:r>
      <w:r>
        <w:rPr>
          <w:rFonts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（姓</w:t>
      </w:r>
      <w:r>
        <w:rPr>
          <w:rFonts w:ascii="宋体" w:hAnsi="宋体"/>
          <w:kern w:val="0"/>
          <w:sz w:val="24"/>
          <w:szCs w:val="24"/>
        </w:rPr>
        <w:t xml:space="preserve"> </w:t>
      </w:r>
      <w:r>
        <w:rPr>
          <w:rFonts w:hint="eastAsia" w:ascii="宋体" w:hAnsi="宋体" w:cs="MingLiU"/>
          <w:kern w:val="0"/>
          <w:sz w:val="24"/>
          <w:szCs w:val="24"/>
        </w:rPr>
        <w:t>名）为我方代理人。代理人根据授权，以我方名义签署、澄清、说明、补正、递交、撤回、</w:t>
      </w:r>
      <w:r>
        <w:rPr>
          <w:rFonts w:ascii="宋体" w:hAnsi="宋体"/>
          <w:kern w:val="0"/>
          <w:sz w:val="24"/>
          <w:szCs w:val="24"/>
        </w:rPr>
        <w:t xml:space="preserve"> </w:t>
      </w:r>
      <w:r>
        <w:rPr>
          <w:rFonts w:hint="eastAsia" w:ascii="宋体" w:hAnsi="宋体" w:cs="MingLiU"/>
          <w:kern w:val="0"/>
          <w:sz w:val="24"/>
          <w:szCs w:val="24"/>
        </w:rPr>
        <w:t>修改</w:t>
      </w:r>
      <w:r>
        <w:rPr>
          <w:rFonts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（项</w:t>
      </w:r>
      <w:r>
        <w:rPr>
          <w:rFonts w:hint="eastAsia" w:ascii="宋体" w:hAnsi="宋体" w:cs="MingLiU"/>
          <w:spacing w:val="-1"/>
          <w:kern w:val="0"/>
          <w:sz w:val="24"/>
          <w:szCs w:val="24"/>
        </w:rPr>
        <w:t>目</w:t>
      </w:r>
      <w:r>
        <w:rPr>
          <w:rFonts w:hint="eastAsia" w:ascii="宋体" w:hAnsi="宋体" w:cs="MingLiU"/>
          <w:kern w:val="0"/>
          <w:sz w:val="24"/>
          <w:szCs w:val="24"/>
        </w:rPr>
        <w:t>名称）</w:t>
      </w:r>
      <w:r>
        <w:rPr>
          <w:rFonts w:ascii="宋体" w:hAnsi="宋体" w:cs="MingLiU"/>
          <w:w w:val="200"/>
          <w:kern w:val="0"/>
          <w:sz w:val="24"/>
          <w:szCs w:val="24"/>
          <w:u w:val="single"/>
        </w:rPr>
        <w:t xml:space="preserve"> </w:t>
      </w:r>
      <w:r>
        <w:rPr>
          <w:rFonts w:hint="eastAsia" w:ascii="宋体" w:hAnsi="宋体" w:cs="MingLiU"/>
          <w:w w:val="200"/>
          <w:kern w:val="0"/>
          <w:sz w:val="24"/>
          <w:szCs w:val="24"/>
          <w:u w:val="single"/>
        </w:rPr>
        <w:t xml:space="preserve">      </w:t>
      </w:r>
      <w:r>
        <w:rPr>
          <w:rFonts w:hint="eastAsia" w:ascii="宋体" w:hAnsi="宋体" w:cs="MingLiU"/>
          <w:kern w:val="0"/>
          <w:sz w:val="24"/>
          <w:szCs w:val="24"/>
        </w:rPr>
        <w:t>标</w:t>
      </w:r>
      <w:r>
        <w:rPr>
          <w:rFonts w:hint="eastAsia" w:ascii="宋体" w:hAnsi="宋体" w:cs="MingLiU"/>
          <w:spacing w:val="-1"/>
          <w:kern w:val="0"/>
          <w:sz w:val="24"/>
          <w:szCs w:val="24"/>
        </w:rPr>
        <w:t>段</w:t>
      </w:r>
      <w:r>
        <w:rPr>
          <w:rFonts w:hint="eastAsia" w:ascii="宋体" w:hAnsi="宋体" w:cs="MingLiU"/>
          <w:kern w:val="0"/>
          <w:sz w:val="24"/>
          <w:szCs w:val="24"/>
        </w:rPr>
        <w:t>施工（分包）参选文件、签订合同和处理有关事宜，</w:t>
      </w:r>
      <w:r>
        <w:rPr>
          <w:rFonts w:ascii="宋体" w:hAnsi="宋体"/>
          <w:kern w:val="0"/>
          <w:sz w:val="24"/>
          <w:szCs w:val="24"/>
        </w:rPr>
        <w:t xml:space="preserve"> </w:t>
      </w:r>
      <w:r>
        <w:rPr>
          <w:rFonts w:hint="eastAsia" w:ascii="宋体" w:hAnsi="宋体" w:cs="MingLiU"/>
          <w:kern w:val="0"/>
          <w:sz w:val="24"/>
          <w:szCs w:val="24"/>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szCs w:val="24"/>
        </w:rPr>
      </w:pPr>
      <w:r>
        <w:rPr>
          <w:rFonts w:hint="eastAsia" w:ascii="宋体" w:hAnsi="宋体" w:cs="MingLiU"/>
          <w:kern w:val="0"/>
          <w:sz w:val="24"/>
          <w:szCs w:val="24"/>
        </w:rPr>
        <w:t>委托</w:t>
      </w:r>
      <w:r>
        <w:rPr>
          <w:rFonts w:hint="eastAsia" w:ascii="宋体" w:hAnsi="宋体" w:cs="MingLiU"/>
          <w:spacing w:val="-1"/>
          <w:kern w:val="0"/>
          <w:sz w:val="24"/>
          <w:szCs w:val="24"/>
        </w:rPr>
        <w:t>期</w:t>
      </w:r>
      <w:r>
        <w:rPr>
          <w:rFonts w:hint="eastAsia" w:ascii="宋体" w:hAnsi="宋体" w:cs="MingLiU"/>
          <w:kern w:val="0"/>
          <w:sz w:val="24"/>
          <w:szCs w:val="24"/>
        </w:rPr>
        <w:t>限：</w:t>
      </w:r>
      <w:r>
        <w:rPr>
          <w:rFonts w:hint="eastAsia"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w:t>
      </w:r>
      <w:r>
        <w:rPr>
          <w:rFonts w:ascii="宋体" w:hAnsi="宋体"/>
          <w:kern w:val="0"/>
          <w:sz w:val="24"/>
          <w:szCs w:val="24"/>
        </w:rPr>
        <w:t xml:space="preserve"> </w:t>
      </w:r>
      <w:r>
        <w:rPr>
          <w:rFonts w:hint="eastAsia" w:ascii="宋体" w:hAnsi="宋体" w:cs="MingLiU"/>
          <w:kern w:val="0"/>
          <w:sz w:val="24"/>
          <w:szCs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szCs w:val="24"/>
        </w:rPr>
      </w:pPr>
      <w:r>
        <w:rPr>
          <w:rFonts w:hint="eastAsia" w:ascii="宋体" w:hAnsi="宋体" w:cs="MingLiU"/>
          <w:kern w:val="0"/>
          <w:sz w:val="24"/>
          <w:szCs w:val="24"/>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kern w:val="0"/>
          <w:sz w:val="24"/>
          <w:szCs w:val="24"/>
        </w:rPr>
      </w:pPr>
      <w:r>
        <w:rPr>
          <w:rFonts w:hint="eastAsia" w:ascii="宋体" w:hAnsi="宋体" w:cs="MingLiU"/>
          <w:kern w:val="0"/>
          <w:sz w:val="24"/>
          <w:szCs w:val="24"/>
        </w:rPr>
        <w:t>投标单位：</w:t>
      </w:r>
      <w:r>
        <w:rPr>
          <w:rFonts w:ascii="宋体" w:hAnsi="宋体" w:cs="MingLiU"/>
          <w:w w:val="200"/>
          <w:kern w:val="0"/>
          <w:sz w:val="24"/>
          <w:szCs w:val="24"/>
          <w:u w:val="single"/>
        </w:rPr>
        <w:t xml:space="preserve"> </w:t>
      </w:r>
      <w:r>
        <w:rPr>
          <w:rFonts w:hint="eastAsia"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cs="MingLiU"/>
          <w:kern w:val="0"/>
          <w:sz w:val="24"/>
          <w:szCs w:val="24"/>
        </w:rPr>
        <w:t>（</w:t>
      </w:r>
      <w:r>
        <w:rPr>
          <w:rFonts w:hint="eastAsia" w:ascii="宋体" w:hAnsi="宋体" w:cs="MingLiU"/>
          <w:spacing w:val="-1"/>
          <w:kern w:val="0"/>
          <w:sz w:val="24"/>
          <w:szCs w:val="24"/>
        </w:rPr>
        <w:t>盖</w:t>
      </w:r>
      <w:r>
        <w:rPr>
          <w:rFonts w:hint="eastAsia" w:ascii="宋体" w:hAnsi="宋体" w:cs="MingLiU"/>
          <w:kern w:val="0"/>
          <w:sz w:val="24"/>
          <w:szCs w:val="24"/>
        </w:rPr>
        <w:t>单位章）</w:t>
      </w:r>
      <w:r>
        <w:rPr>
          <w:rFonts w:ascii="宋体" w:hAnsi="宋体"/>
          <w:kern w:val="0"/>
          <w:sz w:val="24"/>
          <w:szCs w:val="24"/>
        </w:rPr>
        <w:t xml:space="preserve"> </w:t>
      </w:r>
    </w:p>
    <w:p>
      <w:pPr>
        <w:tabs>
          <w:tab w:val="left" w:pos="6780"/>
        </w:tabs>
        <w:autoSpaceDE w:val="0"/>
        <w:autoSpaceDN w:val="0"/>
        <w:adjustRightInd w:val="0"/>
        <w:snapToGrid w:val="0"/>
        <w:spacing w:line="360" w:lineRule="auto"/>
        <w:ind w:firstLine="1680"/>
        <w:jc w:val="left"/>
        <w:rPr>
          <w:rFonts w:ascii="宋体" w:hAnsi="宋体" w:cs="MingLiU"/>
          <w:kern w:val="0"/>
          <w:sz w:val="24"/>
          <w:szCs w:val="24"/>
        </w:rPr>
      </w:pPr>
      <w:r>
        <w:rPr>
          <w:rFonts w:hint="eastAsia" w:ascii="宋体" w:hAnsi="宋体" w:cs="MingLiU"/>
          <w:kern w:val="0"/>
          <w:sz w:val="24"/>
          <w:szCs w:val="24"/>
        </w:rPr>
        <w:t>法定代表人：</w:t>
      </w:r>
      <w:r>
        <w:rPr>
          <w:rFonts w:ascii="宋体" w:hAnsi="宋体" w:cs="MingLiU"/>
          <w:w w:val="200"/>
          <w:kern w:val="0"/>
          <w:sz w:val="24"/>
          <w:szCs w:val="24"/>
          <w:u w:val="single"/>
        </w:rPr>
        <w:t xml:space="preserve"> </w:t>
      </w:r>
      <w:r>
        <w:rPr>
          <w:rFonts w:ascii="宋体" w:hAnsi="宋体"/>
          <w:kern w:val="0"/>
          <w:sz w:val="24"/>
          <w:szCs w:val="24"/>
          <w:u w:val="single"/>
        </w:rPr>
        <w:tab/>
      </w:r>
      <w:r>
        <w:rPr>
          <w:rFonts w:ascii="宋体" w:hAnsi="宋体"/>
          <w:kern w:val="0"/>
          <w:sz w:val="24"/>
          <w:szCs w:val="24"/>
          <w:u w:val="single"/>
        </w:rPr>
        <w:tab/>
      </w:r>
      <w:r>
        <w:rPr>
          <w:rFonts w:hint="eastAsia" w:ascii="宋体" w:hAnsi="宋体" w:cs="MingLiU"/>
          <w:kern w:val="0"/>
          <w:sz w:val="24"/>
          <w:szCs w:val="24"/>
        </w:rPr>
        <w:t>（签字/盖章）</w:t>
      </w:r>
    </w:p>
    <w:p>
      <w:pPr>
        <w:tabs>
          <w:tab w:val="left" w:pos="5260"/>
        </w:tabs>
        <w:autoSpaceDE w:val="0"/>
        <w:autoSpaceDN w:val="0"/>
        <w:adjustRightInd w:val="0"/>
        <w:snapToGrid w:val="0"/>
        <w:spacing w:line="360" w:lineRule="auto"/>
        <w:ind w:firstLine="1680"/>
        <w:jc w:val="left"/>
        <w:rPr>
          <w:rFonts w:ascii="宋体" w:hAnsi="宋体" w:cs="MingLiU"/>
          <w:kern w:val="0"/>
          <w:sz w:val="24"/>
          <w:szCs w:val="24"/>
        </w:rPr>
      </w:pPr>
      <w:r>
        <w:rPr>
          <w:rFonts w:hint="eastAsia" w:ascii="宋体" w:hAnsi="宋体" w:cs="MingLiU"/>
          <w:kern w:val="0"/>
          <w:sz w:val="24"/>
          <w:szCs w:val="24"/>
        </w:rPr>
        <w:t>身份证号码：</w:t>
      </w:r>
      <w:r>
        <w:rPr>
          <w:rFonts w:ascii="宋体" w:hAnsi="宋体" w:cs="MingLiU"/>
          <w:w w:val="200"/>
          <w:kern w:val="0"/>
          <w:sz w:val="24"/>
          <w:szCs w:val="24"/>
          <w:u w:val="single"/>
        </w:rPr>
        <w:t xml:space="preserve"> </w:t>
      </w:r>
      <w:r>
        <w:rPr>
          <w:rFonts w:hint="eastAsia" w:ascii="宋体" w:hAnsi="宋体" w:cs="MingLiU"/>
          <w:w w:val="200"/>
          <w:kern w:val="0"/>
          <w:sz w:val="24"/>
          <w:szCs w:val="24"/>
          <w:u w:val="single"/>
        </w:rPr>
        <w:t xml:space="preserve">               </w:t>
      </w:r>
      <w:r>
        <w:rPr>
          <w:rFonts w:ascii="宋体" w:hAnsi="宋体"/>
          <w:kern w:val="0"/>
          <w:sz w:val="24"/>
          <w:szCs w:val="24"/>
          <w:u w:val="single"/>
        </w:rPr>
        <w:tab/>
      </w:r>
    </w:p>
    <w:p>
      <w:pPr>
        <w:tabs>
          <w:tab w:val="left" w:pos="7080"/>
        </w:tabs>
        <w:autoSpaceDE w:val="0"/>
        <w:autoSpaceDN w:val="0"/>
        <w:adjustRightInd w:val="0"/>
        <w:snapToGrid w:val="0"/>
        <w:spacing w:line="360" w:lineRule="auto"/>
        <w:ind w:firstLine="1680"/>
        <w:jc w:val="left"/>
        <w:rPr>
          <w:rFonts w:ascii="宋体" w:hAnsi="宋体" w:cs="MingLiU"/>
          <w:kern w:val="0"/>
          <w:sz w:val="24"/>
          <w:szCs w:val="24"/>
        </w:rPr>
      </w:pPr>
      <w:r>
        <w:rPr>
          <w:rFonts w:hint="eastAsia" w:ascii="宋体" w:hAnsi="宋体" w:cs="MingLiU"/>
          <w:kern w:val="0"/>
          <w:sz w:val="24"/>
          <w:szCs w:val="24"/>
        </w:rPr>
        <w:t>委托代理人：</w:t>
      </w:r>
      <w:r>
        <w:rPr>
          <w:rFonts w:ascii="宋体" w:hAnsi="宋体" w:cs="MingLiU"/>
          <w:w w:val="200"/>
          <w:kern w:val="0"/>
          <w:sz w:val="24"/>
          <w:szCs w:val="24"/>
          <w:u w:val="single"/>
        </w:rPr>
        <w:t xml:space="preserve"> </w:t>
      </w:r>
      <w:r>
        <w:rPr>
          <w:rFonts w:ascii="宋体" w:hAnsi="宋体"/>
          <w:kern w:val="0"/>
          <w:sz w:val="24"/>
          <w:szCs w:val="24"/>
          <w:u w:val="single"/>
        </w:rPr>
        <w:tab/>
      </w:r>
      <w:r>
        <w:rPr>
          <w:rFonts w:hint="eastAsia" w:ascii="宋体" w:hAnsi="宋体" w:cs="MingLiU"/>
          <w:kern w:val="0"/>
          <w:sz w:val="24"/>
          <w:szCs w:val="24"/>
        </w:rPr>
        <w:t>（签</w:t>
      </w:r>
      <w:r>
        <w:rPr>
          <w:rFonts w:hint="eastAsia" w:ascii="宋体" w:hAnsi="宋体" w:cs="MingLiU"/>
          <w:spacing w:val="-1"/>
          <w:kern w:val="0"/>
          <w:sz w:val="24"/>
          <w:szCs w:val="24"/>
        </w:rPr>
        <w:t>字</w:t>
      </w:r>
      <w:r>
        <w:rPr>
          <w:rFonts w:hint="eastAsia" w:ascii="宋体" w:hAnsi="宋体" w:cs="MingLiU"/>
          <w:kern w:val="0"/>
          <w:sz w:val="24"/>
          <w:szCs w:val="24"/>
        </w:rPr>
        <w:t>）</w:t>
      </w:r>
    </w:p>
    <w:p>
      <w:pPr>
        <w:tabs>
          <w:tab w:val="left" w:pos="7065"/>
        </w:tabs>
        <w:autoSpaceDE w:val="0"/>
        <w:autoSpaceDN w:val="0"/>
        <w:adjustRightInd w:val="0"/>
        <w:snapToGrid w:val="0"/>
        <w:spacing w:line="360" w:lineRule="auto"/>
        <w:ind w:firstLine="1680"/>
        <w:jc w:val="left"/>
        <w:rPr>
          <w:rFonts w:ascii="宋体" w:hAnsi="宋体" w:cs="MingLiU"/>
          <w:kern w:val="0"/>
          <w:sz w:val="24"/>
          <w:szCs w:val="24"/>
        </w:rPr>
      </w:pPr>
      <w:r>
        <w:rPr>
          <w:rFonts w:hint="eastAsia" w:ascii="宋体" w:hAnsi="宋体" w:cs="MingLiU"/>
          <w:kern w:val="0"/>
          <w:sz w:val="24"/>
          <w:szCs w:val="24"/>
        </w:rPr>
        <w:t>身份证号码：</w:t>
      </w:r>
      <w:r>
        <w:rPr>
          <w:rFonts w:ascii="宋体" w:hAnsi="宋体" w:cs="MingLiU"/>
          <w:w w:val="200"/>
          <w:kern w:val="0"/>
          <w:sz w:val="24"/>
          <w:szCs w:val="24"/>
          <w:u w:val="single"/>
        </w:rPr>
        <w:t xml:space="preserve"> </w:t>
      </w:r>
      <w:r>
        <w:rPr>
          <w:rFonts w:ascii="宋体" w:hAnsi="宋体"/>
          <w:kern w:val="0"/>
          <w:sz w:val="24"/>
          <w:szCs w:val="24"/>
          <w:u w:val="single"/>
        </w:rPr>
        <w:tab/>
      </w:r>
    </w:p>
    <w:tbl>
      <w:tblPr>
        <w:tblStyle w:val="57"/>
        <w:tblpPr w:leftFromText="180" w:rightFromText="180" w:vertAnchor="text" w:horzAnchor="margin" w:tblpXSpec="center" w:tblpY="123"/>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gridCol w:w="1137"/>
        <w:gridCol w:w="398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5" w:hRule="atLeast"/>
          <w:jc w:val="center"/>
        </w:trPr>
        <w:tc>
          <w:tcPr>
            <w:tcW w:w="3980"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jc w:val="center"/>
              <w:rPr>
                <w:rFonts w:ascii="宋体" w:hAnsi="宋体"/>
                <w:bCs/>
                <w:sz w:val="24"/>
              </w:rPr>
            </w:pPr>
            <w:r>
              <w:rPr>
                <w:rFonts w:hint="eastAsia" w:ascii="宋体" w:hAnsi="宋体"/>
                <w:bCs/>
                <w:sz w:val="24"/>
              </w:rPr>
              <w:t>法定代表人身份证复印件正面</w:t>
            </w:r>
          </w:p>
          <w:p>
            <w:pPr>
              <w:autoSpaceDE w:val="0"/>
              <w:autoSpaceDN w:val="0"/>
              <w:spacing w:line="520" w:lineRule="exact"/>
              <w:rPr>
                <w:rFonts w:ascii="宋体" w:hAnsi="宋体"/>
                <w:b/>
                <w:sz w:val="24"/>
              </w:rPr>
            </w:pPr>
          </w:p>
          <w:p>
            <w:pPr>
              <w:autoSpaceDE w:val="0"/>
              <w:autoSpaceDN w:val="0"/>
              <w:spacing w:line="520" w:lineRule="exact"/>
              <w:rPr>
                <w:rFonts w:ascii="宋体" w:hAnsi="宋体"/>
                <w:b/>
                <w:sz w:val="24"/>
              </w:rPr>
            </w:pPr>
          </w:p>
          <w:p>
            <w:pPr>
              <w:autoSpaceDE w:val="0"/>
              <w:autoSpaceDN w:val="0"/>
              <w:spacing w:line="520" w:lineRule="exact"/>
              <w:rPr>
                <w:rFonts w:ascii="宋体" w:hAnsi="宋体"/>
                <w:b/>
                <w:sz w:val="24"/>
              </w:rPr>
            </w:pPr>
          </w:p>
        </w:tc>
        <w:tc>
          <w:tcPr>
            <w:tcW w:w="1137" w:type="dxa"/>
            <w:tcBorders>
              <w:top w:val="nil"/>
              <w:left w:val="single" w:color="auto" w:sz="4" w:space="0"/>
              <w:bottom w:val="nil"/>
              <w:right w:val="single" w:color="auto" w:sz="4" w:space="0"/>
            </w:tcBorders>
          </w:tcPr>
          <w:p>
            <w:pPr>
              <w:autoSpaceDE w:val="0"/>
              <w:autoSpaceDN w:val="0"/>
              <w:spacing w:line="520" w:lineRule="exact"/>
              <w:jc w:val="left"/>
              <w:rPr>
                <w:rFonts w:ascii="宋体" w:hAnsi="宋体"/>
                <w:b/>
                <w:sz w:val="24"/>
              </w:rPr>
            </w:pPr>
          </w:p>
        </w:tc>
        <w:tc>
          <w:tcPr>
            <w:tcW w:w="3980"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rPr>
                <w:rFonts w:ascii="宋体" w:hAnsi="宋体"/>
                <w:b/>
                <w:sz w:val="24"/>
              </w:rPr>
            </w:pPr>
            <w:r>
              <w:rPr>
                <w:rFonts w:hint="eastAsia" w:ascii="宋体" w:hAnsi="宋体"/>
                <w:sz w:val="24"/>
              </w:rPr>
              <w:t>委托代理人身份证复印件正面</w:t>
            </w:r>
          </w:p>
        </w:tc>
      </w:tr>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20" w:hRule="atLeast"/>
          <w:jc w:val="center"/>
        </w:trPr>
        <w:tc>
          <w:tcPr>
            <w:tcW w:w="3980"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rPr>
                <w:rFonts w:ascii="宋体" w:hAnsi="宋体"/>
                <w:b/>
                <w:sz w:val="24"/>
              </w:rPr>
            </w:pPr>
            <w:r>
              <w:rPr>
                <w:rFonts w:hint="eastAsia" w:ascii="宋体" w:hAnsi="宋体"/>
                <w:bCs/>
                <w:sz w:val="24"/>
              </w:rPr>
              <w:t>法定代表人身份证复印件背面</w:t>
            </w:r>
          </w:p>
        </w:tc>
        <w:tc>
          <w:tcPr>
            <w:tcW w:w="1137" w:type="dxa"/>
            <w:tcBorders>
              <w:top w:val="nil"/>
              <w:left w:val="single" w:color="auto" w:sz="4" w:space="0"/>
              <w:bottom w:val="nil"/>
              <w:right w:val="single" w:color="auto" w:sz="4" w:space="0"/>
            </w:tcBorders>
          </w:tcPr>
          <w:p>
            <w:pPr>
              <w:autoSpaceDE w:val="0"/>
              <w:autoSpaceDN w:val="0"/>
              <w:spacing w:line="520" w:lineRule="exact"/>
              <w:jc w:val="left"/>
              <w:rPr>
                <w:rFonts w:ascii="宋体" w:hAnsi="宋体"/>
                <w:b/>
                <w:sz w:val="24"/>
              </w:rPr>
            </w:pPr>
          </w:p>
        </w:tc>
        <w:tc>
          <w:tcPr>
            <w:tcW w:w="3980"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sz w:val="24"/>
              </w:rPr>
            </w:pPr>
            <w:r>
              <w:rPr>
                <w:rFonts w:hint="eastAsia" w:ascii="宋体" w:hAnsi="宋体"/>
                <w:bCs/>
                <w:sz w:val="24"/>
              </w:rPr>
              <w:t>此处粘贴</w:t>
            </w:r>
          </w:p>
          <w:p>
            <w:pPr>
              <w:autoSpaceDE w:val="0"/>
              <w:autoSpaceDN w:val="0"/>
              <w:spacing w:line="520" w:lineRule="exact"/>
              <w:rPr>
                <w:rFonts w:ascii="宋体" w:hAnsi="宋体"/>
                <w:sz w:val="24"/>
              </w:rPr>
            </w:pPr>
            <w:r>
              <w:rPr>
                <w:rFonts w:hint="eastAsia" w:ascii="宋体" w:hAnsi="宋体"/>
                <w:sz w:val="24"/>
              </w:rPr>
              <w:t>委托代理人身份证复印件背面</w:t>
            </w:r>
          </w:p>
        </w:tc>
      </w:tr>
    </w:tbl>
    <w:p>
      <w:pPr>
        <w:tabs>
          <w:tab w:val="left" w:pos="4005"/>
          <w:tab w:val="left" w:pos="4100"/>
          <w:tab w:val="left" w:pos="5040"/>
        </w:tabs>
        <w:autoSpaceDE w:val="0"/>
        <w:autoSpaceDN w:val="0"/>
        <w:adjustRightInd w:val="0"/>
        <w:snapToGrid w:val="0"/>
        <w:spacing w:line="360" w:lineRule="auto"/>
        <w:ind w:firstLine="5520"/>
        <w:jc w:val="left"/>
        <w:rPr>
          <w:rFonts w:ascii="宋体" w:hAnsi="宋体" w:cs="MingLiU"/>
          <w:kern w:val="0"/>
          <w:sz w:val="24"/>
          <w:szCs w:val="24"/>
        </w:rPr>
      </w:pPr>
    </w:p>
    <w:p>
      <w:pPr>
        <w:tabs>
          <w:tab w:val="left" w:pos="4005"/>
          <w:tab w:val="left" w:pos="4100"/>
          <w:tab w:val="left" w:pos="5040"/>
        </w:tabs>
        <w:autoSpaceDE w:val="0"/>
        <w:autoSpaceDN w:val="0"/>
        <w:adjustRightInd w:val="0"/>
        <w:snapToGrid w:val="0"/>
        <w:spacing w:line="360" w:lineRule="auto"/>
        <w:ind w:firstLine="5520"/>
        <w:jc w:val="left"/>
        <w:rPr>
          <w:rFonts w:ascii="宋体" w:hAnsi="宋体" w:cs="MingLiU"/>
          <w:kern w:val="0"/>
          <w:sz w:val="24"/>
          <w:szCs w:val="24"/>
        </w:rPr>
      </w:pPr>
      <w:r>
        <w:rPr>
          <w:rFonts w:hint="eastAsia" w:ascii="宋体" w:hAnsi="宋体" w:cs="MingLiU"/>
          <w:kern w:val="0"/>
          <w:sz w:val="24"/>
          <w:szCs w:val="24"/>
        </w:rPr>
        <w:t>年   月   日</w:t>
      </w:r>
    </w:p>
    <w:p>
      <w:pPr>
        <w:tabs>
          <w:tab w:val="left" w:pos="5760"/>
        </w:tabs>
        <w:autoSpaceDE w:val="0"/>
        <w:autoSpaceDN w:val="0"/>
        <w:adjustRightInd w:val="0"/>
        <w:spacing w:line="300" w:lineRule="exact"/>
        <w:ind w:left="630" w:right="11" w:hanging="630"/>
        <w:rPr>
          <w:rFonts w:ascii="宋体" w:hAnsi="宋体" w:cs="MingLiU"/>
          <w:kern w:val="0"/>
          <w:sz w:val="18"/>
          <w:szCs w:val="18"/>
        </w:rPr>
      </w:pPr>
      <w:r>
        <w:rPr>
          <w:rFonts w:hint="eastAsia" w:ascii="宋体" w:hAnsi="宋体" w:cs="MingLiU"/>
          <w:kern w:val="0"/>
          <w:sz w:val="18"/>
          <w:szCs w:val="18"/>
        </w:rPr>
        <w:t>注：1、法定代表人参加比选活动并签署文件的不需要授权委托书，只需提供法定代表人身份证明；非法定代表人参加投标活动及签署文件的除提供法定代表人身份证明外还须提供授权委托书和本人身份证复印件。</w:t>
      </w:r>
    </w:p>
    <w:p>
      <w:pPr>
        <w:tabs>
          <w:tab w:val="left" w:pos="5760"/>
        </w:tabs>
        <w:autoSpaceDE w:val="0"/>
        <w:autoSpaceDN w:val="0"/>
        <w:adjustRightInd w:val="0"/>
        <w:spacing w:line="300" w:lineRule="exact"/>
        <w:ind w:left="358" w:right="11" w:firstLine="90"/>
        <w:rPr>
          <w:rFonts w:ascii="宋体" w:hAnsi="宋体" w:cs="MingLiU"/>
          <w:kern w:val="0"/>
          <w:sz w:val="18"/>
          <w:szCs w:val="18"/>
        </w:rPr>
      </w:pPr>
      <w:r>
        <w:rPr>
          <w:rFonts w:hint="eastAsia" w:ascii="宋体" w:hAnsi="宋体" w:cs="MingLiU"/>
          <w:kern w:val="0"/>
          <w:sz w:val="18"/>
          <w:szCs w:val="18"/>
        </w:rPr>
        <w:t>2、法定代表人身份证明及授权委托书原件和本人身份证复印件装入参选文件一并递交。另外须准备一份在开标现场出具。</w:t>
      </w:r>
    </w:p>
    <w:p>
      <w:pPr>
        <w:widowControl/>
        <w:jc w:val="left"/>
        <w:rPr>
          <w:rFonts w:ascii="宋体" w:hAnsi="宋体" w:cs="宋体"/>
          <w:sz w:val="24"/>
          <w:szCs w:val="24"/>
          <w:bdr w:val="single" w:color="auto" w:sz="4" w:space="0"/>
        </w:rPr>
      </w:pPr>
      <w:r>
        <w:rPr>
          <w:rFonts w:ascii="宋体" w:hAnsi="宋体" w:cs="宋体"/>
          <w:sz w:val="24"/>
          <w:szCs w:val="24"/>
          <w:bdr w:val="single" w:color="auto" w:sz="4" w:space="0"/>
        </w:rPr>
        <w:br w:type="page"/>
      </w:r>
    </w:p>
    <w:p>
      <w:pPr>
        <w:snapToGrid w:val="0"/>
        <w:spacing w:line="360" w:lineRule="auto"/>
        <w:ind w:firstLine="480"/>
        <w:rPr>
          <w:rFonts w:ascii="宋体" w:hAnsi="宋体" w:cs="宋体"/>
          <w:sz w:val="24"/>
          <w:szCs w:val="24"/>
          <w:bdr w:val="single" w:color="auto" w:sz="4" w:space="0"/>
        </w:rPr>
      </w:pPr>
    </w:p>
    <w:p>
      <w:pPr>
        <w:jc w:val="center"/>
        <w:rPr>
          <w:rFonts w:ascii="宋体" w:hAnsi="宋体" w:cs="宋体"/>
          <w:sz w:val="24"/>
          <w:szCs w:val="24"/>
        </w:rPr>
      </w:pPr>
    </w:p>
    <w:p>
      <w:pPr>
        <w:pStyle w:val="2"/>
        <w:spacing w:before="0" w:after="0" w:line="360" w:lineRule="auto"/>
        <w:rPr>
          <w:rFonts w:ascii="宋体" w:hAnsi="宋体" w:cs="宋体"/>
          <w:sz w:val="24"/>
          <w:szCs w:val="24"/>
        </w:rPr>
      </w:pPr>
      <w:bookmarkStart w:id="121" w:name="_Toc313888362"/>
      <w:bookmarkStart w:id="122" w:name="_Toc342913421"/>
      <w:bookmarkStart w:id="123" w:name="_Toc517784650"/>
      <w:bookmarkStart w:id="124" w:name="_Toc313008358"/>
      <w:bookmarkStart w:id="125" w:name="_Toc49435943"/>
      <w:r>
        <w:rPr>
          <w:rFonts w:hint="eastAsia" w:ascii="宋体" w:hAnsi="宋体" w:cs="宋体"/>
          <w:sz w:val="24"/>
          <w:szCs w:val="24"/>
        </w:rPr>
        <w:t>四、</w:t>
      </w:r>
      <w:bookmarkEnd w:id="121"/>
      <w:bookmarkEnd w:id="122"/>
      <w:bookmarkEnd w:id="123"/>
      <w:bookmarkEnd w:id="124"/>
      <w:r>
        <w:rPr>
          <w:rFonts w:hint="eastAsia" w:ascii="宋体" w:hAnsi="宋体" w:cs="宋体"/>
          <w:sz w:val="24"/>
          <w:szCs w:val="24"/>
        </w:rPr>
        <w:t>投标报价清单</w:t>
      </w:r>
      <w:bookmarkEnd w:id="125"/>
    </w:p>
    <w:p>
      <w:pPr>
        <w:jc w:val="center"/>
        <w:rPr>
          <w:rFonts w:ascii="宋体" w:hAnsi="宋体"/>
          <w:bCs/>
          <w:color w:val="000000"/>
          <w:sz w:val="24"/>
        </w:rPr>
      </w:pPr>
    </w:p>
    <w:p>
      <w:pPr>
        <w:jc w:val="center"/>
        <w:rPr>
          <w:rFonts w:ascii="宋体" w:hAnsi="宋体"/>
          <w:b/>
          <w:bCs/>
          <w:color w:val="000000"/>
          <w:sz w:val="32"/>
          <w:szCs w:val="32"/>
        </w:rPr>
      </w:pPr>
      <w:r>
        <w:rPr>
          <w:rFonts w:hint="eastAsia" w:ascii="宋体" w:hAnsi="宋体"/>
          <w:b/>
          <w:bCs/>
          <w:color w:val="000000"/>
          <w:sz w:val="32"/>
          <w:szCs w:val="32"/>
        </w:rPr>
        <w:t>目录</w:t>
      </w:r>
    </w:p>
    <w:p>
      <w:pPr>
        <w:jc w:val="center"/>
        <w:rPr>
          <w:rFonts w:ascii="宋体" w:hAnsi="宋体"/>
          <w:bCs/>
          <w:color w:val="000000"/>
          <w:sz w:val="24"/>
        </w:rPr>
      </w:pPr>
      <w:r>
        <w:rPr>
          <w:rFonts w:hint="eastAsia" w:ascii="宋体" w:hAnsi="宋体"/>
          <w:bCs/>
          <w:color w:val="000000"/>
          <w:sz w:val="24"/>
        </w:rPr>
        <w:t>[目录由投标人自行编制]</w:t>
      </w:r>
    </w:p>
    <w:p>
      <w:pPr>
        <w:jc w:val="center"/>
        <w:rPr>
          <w:rFonts w:ascii="宋体" w:hAnsi="宋体"/>
          <w:b/>
          <w:bCs/>
          <w:color w:val="000000"/>
          <w:sz w:val="32"/>
          <w:szCs w:val="32"/>
        </w:rPr>
      </w:pPr>
    </w:p>
    <w:p>
      <w:pPr>
        <w:jc w:val="center"/>
        <w:rPr>
          <w:rFonts w:ascii="宋体" w:hAnsi="宋体"/>
          <w:b/>
          <w:bCs/>
          <w:color w:val="000000"/>
          <w:sz w:val="32"/>
          <w:szCs w:val="32"/>
        </w:rPr>
      </w:pPr>
      <w:r>
        <w:rPr>
          <w:rFonts w:hint="eastAsia" w:ascii="宋体" w:hAnsi="宋体" w:cs="宋体"/>
          <w:sz w:val="24"/>
          <w:szCs w:val="24"/>
        </w:rPr>
        <w:t>投标报价清单</w:t>
      </w:r>
      <w:r>
        <w:rPr>
          <w:rFonts w:hint="eastAsia" w:ascii="宋体" w:hAnsi="宋体"/>
          <w:b/>
          <w:bCs/>
          <w:color w:val="000000"/>
          <w:sz w:val="32"/>
          <w:szCs w:val="32"/>
        </w:rPr>
        <w:t>（纸质版）</w:t>
      </w:r>
    </w:p>
    <w:p>
      <w:pPr>
        <w:jc w:val="center"/>
        <w:rPr>
          <w:rFonts w:ascii="宋体" w:hAnsi="宋体" w:cs="宋体"/>
          <w:sz w:val="24"/>
          <w:szCs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jc w:val="center"/>
        <w:rPr>
          <w:rFonts w:ascii="宋体" w:hAnsi="宋体"/>
          <w:bCs/>
          <w:color w:val="000000"/>
          <w:sz w:val="24"/>
        </w:rPr>
      </w:pPr>
    </w:p>
    <w:p>
      <w:pPr>
        <w:widowControl/>
        <w:jc w:val="left"/>
        <w:rPr>
          <w:rFonts w:ascii="宋体" w:hAnsi="宋体"/>
          <w:bCs/>
          <w:color w:val="000000"/>
          <w:sz w:val="24"/>
        </w:rPr>
      </w:pPr>
      <w:r>
        <w:rPr>
          <w:rFonts w:ascii="宋体" w:hAnsi="宋体"/>
          <w:bCs/>
          <w:color w:val="000000"/>
          <w:sz w:val="24"/>
        </w:rPr>
        <w:br w:type="page"/>
      </w:r>
    </w:p>
    <w:p>
      <w:pPr>
        <w:jc w:val="center"/>
        <w:rPr>
          <w:rFonts w:ascii="宋体" w:hAnsi="宋体"/>
          <w:bCs/>
          <w:color w:val="000000"/>
          <w:sz w:val="24"/>
        </w:rPr>
      </w:pPr>
    </w:p>
    <w:p>
      <w:pPr>
        <w:jc w:val="center"/>
        <w:rPr>
          <w:rFonts w:ascii="宋体" w:hAnsi="宋体"/>
          <w:bCs/>
          <w:color w:val="000000"/>
          <w:sz w:val="24"/>
        </w:rPr>
      </w:pPr>
    </w:p>
    <w:p>
      <w:pPr>
        <w:pStyle w:val="2"/>
        <w:spacing w:before="0" w:after="0" w:line="360" w:lineRule="auto"/>
        <w:rPr>
          <w:rFonts w:ascii="宋体" w:hAnsi="宋体" w:cs="宋体"/>
          <w:b w:val="0"/>
          <w:sz w:val="30"/>
          <w:szCs w:val="30"/>
        </w:rPr>
      </w:pPr>
      <w:bookmarkStart w:id="126" w:name="_Toc517784651"/>
      <w:bookmarkStart w:id="127" w:name="_Toc49435944"/>
      <w:r>
        <w:rPr>
          <w:rFonts w:hint="eastAsia" w:ascii="宋体" w:hAnsi="宋体" w:cs="宋体"/>
          <w:sz w:val="24"/>
          <w:szCs w:val="24"/>
        </w:rPr>
        <w:t>五、资格审查</w:t>
      </w:r>
      <w:bookmarkEnd w:id="126"/>
      <w:bookmarkEnd w:id="127"/>
    </w:p>
    <w:p>
      <w:pPr>
        <w:snapToGrid w:val="0"/>
        <w:spacing w:line="440" w:lineRule="exact"/>
        <w:ind w:firstLine="3482"/>
        <w:rPr>
          <w:rFonts w:ascii="宋体" w:hAnsi="宋体" w:cs="宋体"/>
          <w:b/>
        </w:rPr>
      </w:pPr>
      <w:r>
        <w:rPr>
          <w:rFonts w:hint="eastAsia" w:ascii="宋体" w:hAnsi="宋体" w:cs="宋体"/>
          <w:b/>
          <w:sz w:val="24"/>
          <w:szCs w:val="24"/>
        </w:rPr>
        <w:t>（一）</w:t>
      </w:r>
      <w:r>
        <w:rPr>
          <w:rFonts w:hint="eastAsia" w:ascii="宋体" w:hAnsi="宋体" w:cs="宋体"/>
          <w:b/>
        </w:rPr>
        <w:t>投标人基本情况表</w:t>
      </w:r>
    </w:p>
    <w:tbl>
      <w:tblPr>
        <w:tblStyle w:val="57"/>
        <w:tblW w:w="0" w:type="auto"/>
        <w:tblInd w:w="866" w:type="dxa"/>
        <w:tblLayout w:type="fixed"/>
        <w:tblCellMar>
          <w:top w:w="0" w:type="dxa"/>
          <w:left w:w="0" w:type="dxa"/>
          <w:bottom w:w="0" w:type="dxa"/>
          <w:right w:w="0" w:type="dxa"/>
        </w:tblCellMar>
      </w:tblPr>
      <w:tblGrid>
        <w:gridCol w:w="1743"/>
        <w:gridCol w:w="906"/>
        <w:gridCol w:w="959"/>
        <w:gridCol w:w="847"/>
        <w:gridCol w:w="424"/>
        <w:gridCol w:w="97"/>
        <w:gridCol w:w="1304"/>
        <w:gridCol w:w="495"/>
        <w:gridCol w:w="867"/>
        <w:gridCol w:w="1001"/>
      </w:tblGrid>
      <w:tr>
        <w:trPr>
          <w:trHeight w:val="764"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投标人名称</w:t>
            </w:r>
          </w:p>
        </w:tc>
        <w:tc>
          <w:tcPr>
            <w:tcW w:w="690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746"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注册地址</w:t>
            </w:r>
          </w:p>
        </w:tc>
        <w:tc>
          <w:tcPr>
            <w:tcW w:w="3233"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邮政编码</w:t>
            </w:r>
          </w:p>
        </w:tc>
        <w:tc>
          <w:tcPr>
            <w:tcW w:w="236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605" w:hRule="exact"/>
        </w:trPr>
        <w:tc>
          <w:tcPr>
            <w:tcW w:w="174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联系方式</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联系人</w:t>
            </w:r>
          </w:p>
        </w:tc>
        <w:tc>
          <w:tcPr>
            <w:tcW w:w="232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电</w:t>
            </w:r>
            <w:r>
              <w:rPr>
                <w:rFonts w:hint="eastAsia" w:ascii="宋体" w:hAnsi="宋体"/>
                <w:kern w:val="0"/>
                <w:sz w:val="24"/>
                <w:szCs w:val="24"/>
              </w:rPr>
              <w:t xml:space="preserve"> </w:t>
            </w:r>
            <w:r>
              <w:rPr>
                <w:rFonts w:hint="eastAsia" w:ascii="宋体" w:hAnsi="宋体"/>
                <w:spacing w:val="1"/>
                <w:kern w:val="0"/>
                <w:sz w:val="24"/>
                <w:szCs w:val="24"/>
              </w:rPr>
              <w:t xml:space="preserve"> </w:t>
            </w:r>
            <w:r>
              <w:rPr>
                <w:rFonts w:hint="eastAsia" w:ascii="宋体" w:hAnsi="宋体" w:cs="MingLiU"/>
                <w:kern w:val="0"/>
                <w:sz w:val="24"/>
                <w:szCs w:val="24"/>
              </w:rPr>
              <w:t>话</w:t>
            </w:r>
          </w:p>
        </w:tc>
        <w:tc>
          <w:tcPr>
            <w:tcW w:w="236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598" w:hRule="exact"/>
        </w:trPr>
        <w:tc>
          <w:tcPr>
            <w:tcW w:w="174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906"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传</w:t>
            </w:r>
            <w:r>
              <w:rPr>
                <w:rFonts w:hint="eastAsia" w:ascii="宋体" w:hAnsi="宋体"/>
                <w:kern w:val="0"/>
                <w:sz w:val="24"/>
                <w:szCs w:val="24"/>
              </w:rPr>
              <w:tab/>
            </w:r>
            <w:r>
              <w:rPr>
                <w:rFonts w:hint="eastAsia" w:ascii="宋体" w:hAnsi="宋体" w:cs="MingLiU"/>
                <w:kern w:val="0"/>
                <w:sz w:val="24"/>
                <w:szCs w:val="24"/>
              </w:rPr>
              <w:t>真</w:t>
            </w:r>
          </w:p>
        </w:tc>
        <w:tc>
          <w:tcPr>
            <w:tcW w:w="232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网</w:t>
            </w:r>
            <w:r>
              <w:rPr>
                <w:rFonts w:hint="eastAsia" w:ascii="宋体" w:hAnsi="宋体"/>
                <w:kern w:val="0"/>
                <w:sz w:val="24"/>
                <w:szCs w:val="24"/>
              </w:rPr>
              <w:t xml:space="preserve"> </w:t>
            </w:r>
            <w:r>
              <w:rPr>
                <w:rFonts w:hint="eastAsia" w:ascii="宋体" w:hAnsi="宋体"/>
                <w:spacing w:val="1"/>
                <w:kern w:val="0"/>
                <w:sz w:val="24"/>
                <w:szCs w:val="24"/>
              </w:rPr>
              <w:t xml:space="preserve"> </w:t>
            </w:r>
            <w:r>
              <w:rPr>
                <w:rFonts w:hint="eastAsia" w:ascii="宋体" w:hAnsi="宋体" w:cs="MingLiU"/>
                <w:kern w:val="0"/>
                <w:sz w:val="24"/>
                <w:szCs w:val="24"/>
              </w:rPr>
              <w:t>址</w:t>
            </w:r>
          </w:p>
        </w:tc>
        <w:tc>
          <w:tcPr>
            <w:tcW w:w="236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456"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组织结构</w:t>
            </w:r>
          </w:p>
        </w:tc>
        <w:tc>
          <w:tcPr>
            <w:tcW w:w="690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613"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法定代表人</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姓名</w:t>
            </w:r>
          </w:p>
        </w:tc>
        <w:tc>
          <w:tcPr>
            <w:tcW w:w="22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76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电话</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757"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技术负责人</w:t>
            </w:r>
          </w:p>
        </w:tc>
        <w:tc>
          <w:tcPr>
            <w:tcW w:w="9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姓名</w:t>
            </w:r>
          </w:p>
        </w:tc>
        <w:tc>
          <w:tcPr>
            <w:tcW w:w="22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76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电话</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589"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成立时间</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5035"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员工总人数：</w:t>
            </w:r>
          </w:p>
        </w:tc>
      </w:tr>
      <w:tr>
        <w:tblPrEx>
          <w:tblCellMar>
            <w:top w:w="0" w:type="dxa"/>
            <w:left w:w="0" w:type="dxa"/>
            <w:bottom w:w="0" w:type="dxa"/>
            <w:right w:w="0" w:type="dxa"/>
          </w:tblCellMar>
        </w:tblPrEx>
        <w:trPr>
          <w:trHeight w:val="747"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企业资质等级</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其中</w:t>
            </w:r>
          </w:p>
        </w:tc>
        <w:tc>
          <w:tcPr>
            <w:tcW w:w="23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项目经理</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744"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营业执照号</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3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高级职称人员</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767"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注册资金</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3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中级职称人员</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749"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开户银行</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3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初级职称人员</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595"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kern w:val="0"/>
                <w:sz w:val="24"/>
                <w:szCs w:val="24"/>
              </w:rPr>
              <w:t>账号</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c>
          <w:tcPr>
            <w:tcW w:w="2320"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技</w:t>
            </w:r>
            <w:r>
              <w:rPr>
                <w:rFonts w:hint="eastAsia" w:ascii="宋体" w:hAnsi="宋体"/>
                <w:kern w:val="0"/>
                <w:sz w:val="24"/>
                <w:szCs w:val="24"/>
              </w:rPr>
              <w:tab/>
            </w:r>
            <w:r>
              <w:rPr>
                <w:rFonts w:hint="eastAsia" w:ascii="宋体" w:hAnsi="宋体" w:cs="MingLiU"/>
                <w:kern w:val="0"/>
                <w:sz w:val="24"/>
                <w:szCs w:val="24"/>
              </w:rPr>
              <w:t>工</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1128"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p>
            <w:pPr>
              <w:autoSpaceDE w:val="0"/>
              <w:autoSpaceDN w:val="0"/>
              <w:adjustRightInd w:val="0"/>
              <w:snapToGrid w:val="0"/>
              <w:spacing w:line="360" w:lineRule="auto"/>
              <w:jc w:val="center"/>
              <w:rPr>
                <w:rFonts w:ascii="宋体" w:hAnsi="宋体"/>
                <w:kern w:val="0"/>
                <w:sz w:val="24"/>
                <w:szCs w:val="24"/>
              </w:rPr>
            </w:pPr>
            <w:r>
              <w:rPr>
                <w:rFonts w:hint="eastAsia" w:ascii="宋体" w:hAnsi="宋体" w:cs="MingLiU"/>
                <w:kern w:val="0"/>
                <w:sz w:val="24"/>
                <w:szCs w:val="24"/>
              </w:rPr>
              <w:t>经营范围</w:t>
            </w:r>
          </w:p>
        </w:tc>
        <w:tc>
          <w:tcPr>
            <w:tcW w:w="690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r>
        <w:tblPrEx>
          <w:tblCellMar>
            <w:top w:w="0" w:type="dxa"/>
            <w:left w:w="0" w:type="dxa"/>
            <w:bottom w:w="0" w:type="dxa"/>
            <w:right w:w="0" w:type="dxa"/>
          </w:tblCellMar>
        </w:tblPrEx>
        <w:trPr>
          <w:trHeight w:val="1509" w:hRule="exact"/>
        </w:trPr>
        <w:tc>
          <w:tcPr>
            <w:tcW w:w="17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r>
              <w:rPr>
                <w:rFonts w:hint="eastAsia" w:ascii="宋体" w:hAnsi="宋体"/>
                <w:kern w:val="0"/>
                <w:sz w:val="24"/>
                <w:szCs w:val="24"/>
              </w:rPr>
              <w:t>备注</w:t>
            </w:r>
          </w:p>
        </w:tc>
        <w:tc>
          <w:tcPr>
            <w:tcW w:w="690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szCs w:val="24"/>
              </w:rPr>
            </w:pPr>
          </w:p>
        </w:tc>
      </w:tr>
    </w:tbl>
    <w:p>
      <w:pPr>
        <w:tabs>
          <w:tab w:val="left" w:pos="6300"/>
        </w:tabs>
        <w:snapToGrid w:val="0"/>
        <w:spacing w:line="360" w:lineRule="auto"/>
        <w:ind w:firstLine="945"/>
        <w:rPr>
          <w:rFonts w:ascii="宋体" w:hAnsi="宋体" w:cs="宋体"/>
          <w:sz w:val="21"/>
          <w:szCs w:val="21"/>
        </w:rPr>
      </w:pPr>
      <w:r>
        <w:rPr>
          <w:rFonts w:hint="eastAsia" w:ascii="宋体" w:hAnsi="宋体" w:cs="宋体"/>
          <w:sz w:val="21"/>
          <w:szCs w:val="21"/>
        </w:rPr>
        <w:t>注：附营业执照副本、资质证书副本、其他相关资格证书和检查报告复印件并加盖鲜章。</w:t>
      </w:r>
    </w:p>
    <w:p>
      <w:pPr>
        <w:spacing w:line="440" w:lineRule="exact"/>
        <w:rPr>
          <w:rFonts w:ascii="宋体" w:hAnsi="宋体" w:cs="宋体"/>
          <w:sz w:val="24"/>
          <w:szCs w:val="24"/>
        </w:rPr>
      </w:pPr>
    </w:p>
    <w:p>
      <w:pPr>
        <w:spacing w:line="440" w:lineRule="exact"/>
        <w:ind w:firstLine="482"/>
        <w:jc w:val="center"/>
        <w:rPr>
          <w:rFonts w:ascii="宋体" w:hAnsi="宋体" w:cs="宋体"/>
          <w:b/>
          <w:sz w:val="24"/>
          <w:szCs w:val="24"/>
        </w:rPr>
      </w:pPr>
    </w:p>
    <w:p>
      <w:pPr>
        <w:tabs>
          <w:tab w:val="left" w:pos="6300"/>
        </w:tabs>
        <w:snapToGrid w:val="0"/>
        <w:spacing w:line="500" w:lineRule="exact"/>
        <w:ind w:firstLine="560"/>
        <w:rPr>
          <w:rFonts w:ascii="微软雅黑" w:hAnsi="微软雅黑" w:eastAsia="微软雅黑" w:cs="微软雅黑"/>
          <w:color w:val="000000"/>
        </w:rPr>
      </w:pPr>
      <w:r>
        <w:rPr>
          <w:rFonts w:hint="eastAsia" w:ascii="宋体" w:hAnsi="宋体" w:cs="宋体"/>
          <w:b/>
          <w:sz w:val="24"/>
          <w:szCs w:val="24"/>
        </w:rPr>
        <w:t>（二）</w:t>
      </w:r>
      <w:r>
        <w:rPr>
          <w:rFonts w:hint="eastAsia" w:ascii="微软雅黑" w:hAnsi="微软雅黑" w:eastAsia="微软雅黑" w:cs="微软雅黑"/>
          <w:color w:val="000000"/>
        </w:rPr>
        <w:t>缴纳社会保障金的证明材料复印件</w:t>
      </w:r>
    </w:p>
    <w:p>
      <w:pPr>
        <w:tabs>
          <w:tab w:val="left" w:pos="6300"/>
        </w:tabs>
        <w:snapToGrid w:val="0"/>
        <w:spacing w:line="500" w:lineRule="exact"/>
        <w:ind w:firstLine="560"/>
        <w:rPr>
          <w:rFonts w:ascii="微软雅黑" w:hAnsi="微软雅黑" w:eastAsia="微软雅黑" w:cs="微软雅黑"/>
          <w:color w:val="000000"/>
        </w:rPr>
      </w:pPr>
      <w:r>
        <w:rPr>
          <w:rFonts w:hint="eastAsia" w:ascii="微软雅黑" w:hAnsi="微软雅黑" w:eastAsia="微软雅黑" w:cs="微软雅黑"/>
          <w:color w:val="000000"/>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70"/>
        <w:rPr>
          <w:rFonts w:ascii="微软雅黑" w:hAnsi="微软雅黑" w:eastAsia="微软雅黑" w:cs="微软雅黑"/>
          <w:color w:val="000000"/>
        </w:rPr>
      </w:pPr>
      <w:r>
        <w:rPr>
          <w:rFonts w:hint="eastAsia" w:ascii="微软雅黑" w:hAnsi="微软雅黑" w:eastAsia="微软雅黑" w:cs="微软雅黑"/>
          <w:color w:val="000000"/>
        </w:rPr>
        <w:t>(三）2019年度财务状况报告（表）或其基本开户银行出具的资信证明复印件，本年度新成立或成立不满一年的组织和自然人无法提供财务状况报告（表）的，可提供银行出具的资信证明复印件。</w:t>
      </w:r>
    </w:p>
    <w:p>
      <w:pPr>
        <w:pStyle w:val="2"/>
        <w:spacing w:before="0" w:after="0" w:line="360" w:lineRule="auto"/>
        <w:rPr>
          <w:rFonts w:ascii="宋体" w:hAnsi="宋体" w:cs="宋体"/>
          <w:sz w:val="24"/>
          <w:szCs w:val="24"/>
        </w:rPr>
      </w:pPr>
    </w:p>
    <w:p>
      <w:pPr>
        <w:spacing w:line="360" w:lineRule="auto"/>
        <w:ind w:firstLine="480"/>
        <w:jc w:val="center"/>
        <w:rPr>
          <w:rFonts w:ascii="宋体" w:hAnsi="宋体" w:cs="宋体"/>
          <w:sz w:val="24"/>
          <w:szCs w:val="24"/>
        </w:rPr>
      </w:pPr>
    </w:p>
    <w:p>
      <w:pPr>
        <w:spacing w:line="360" w:lineRule="auto"/>
        <w:ind w:firstLine="480"/>
        <w:jc w:val="center"/>
        <w:rPr>
          <w:rFonts w:ascii="宋体" w:hAnsi="宋体" w:cs="宋体"/>
          <w:sz w:val="24"/>
          <w:szCs w:val="24"/>
        </w:rPr>
      </w:pPr>
    </w:p>
    <w:p>
      <w:pPr>
        <w:pStyle w:val="50"/>
      </w:pPr>
    </w:p>
    <w:p>
      <w:pPr>
        <w:spacing w:line="360" w:lineRule="auto"/>
        <w:ind w:firstLine="480"/>
        <w:jc w:val="center"/>
        <w:rPr>
          <w:rFonts w:ascii="宋体" w:hAnsi="宋体" w:cs="宋体"/>
          <w:sz w:val="24"/>
          <w:szCs w:val="24"/>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0"/>
        <w:jc w:val="center"/>
        <w:rPr>
          <w:rFonts w:ascii="宋体" w:hAnsi="宋体" w:cs="宋体"/>
        </w:rPr>
      </w:pPr>
    </w:p>
    <w:p>
      <w:pPr>
        <w:spacing w:line="360" w:lineRule="auto"/>
        <w:ind w:firstLine="562"/>
        <w:jc w:val="center"/>
        <w:rPr>
          <w:rFonts w:ascii="宋体" w:hAnsi="宋体" w:cs="宋体"/>
          <w:b/>
        </w:rPr>
      </w:pPr>
      <w:r>
        <w:rPr>
          <w:rFonts w:hint="eastAsia" w:ascii="宋体" w:hAnsi="宋体" w:cs="宋体"/>
          <w:b/>
        </w:rPr>
        <w:t>结  束</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1"/>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6545" cy="20447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6.1pt;width:23.35pt;mso-position-horizontal:center;mso-position-horizontal-relative:margin;mso-wrap-style:none;z-index:251659264;mso-width-relative:page;mso-height-relative:page;" filled="f" stroked="f" coordsize="21600,21600" o:gfxdata="UEsDBAoAAAAAAIdO4kAAAAAAAAAAAAAAAAAEAAAAZHJzL1BLAwQUAAAACACHTuJAf53DotIAAAAD&#10;AQAADwAAAGRycy9kb3ducmV2LnhtbE2PwU7DMBBE70j9B2srcaNOA2qrEKeHSly4URBSb9t4G0fY&#10;68h20+TvMVzgstJoRjNv6/3krBgpxN6zgvWqAEHcet1zp+Dj/eVhByImZI3WMymYKcK+WdzVWGl/&#10;4zcaj6kTuYRjhQpMSkMlZWwNOYwrPxBn7+KDw5Rl6KQOeMvlzsqyKDbSYc95weBAB0Pt1/HqFGyn&#10;T09DpAOdLmMbTD/v7Ous1P1yXTyDSDSlvzD84Gd0aDLT2V9ZR2EV5EfS783e02YL4qzgsSxBNrX8&#10;z958A1BLAwQUAAAACACHTuJAcjNtDLkBAABQAwAADgAAAGRycy9lMm9Eb2MueG1srVNLbtswEN0X&#10;yB0I7mvJgp02guUgRZCgQJAUSHMAmiItAvyBw1jyBZobZNVN9j2Xz9EhLTtBuiuyoYYzwzfz3owW&#10;54PRZCMCKGcbOp2UlAjLXavsuqEPP68+f6UEIrMt086Khm4F0PPlyadF72tRuc7pVgSCIBbq3je0&#10;i9HXRQG8E4bBxHlhMShdMCziNayLNrAe0Y0uqrI8LXoXWh8cFwDovdwH6TLjSyl4vJMSRCS6odhb&#10;zGfI5yqdxXLB6nVgvlN8bIP9RxeGKYtFj1CXLDLyGNQ/UEbx4MDJOOHOFE5KxUXmgGym5Ts29x3z&#10;InNBccAfZYKPg+W3mx+BqBZnR4llBke0e37a/f6ze/lFpkme3kONWfce8+LwzQ0pdfQDOhPrQQaT&#10;vsiHYByF3h7FFUMkHJ3V2el8NqeEY6gqZ7MvWfzi9bEPEK+FMyQZDQ04uywp29xAxIKYekhJtay7&#10;Ulrn+WlL+oaezat5fvAmYlQUYf9WW4RIZPZNJysOq2FksnLtFgn2uAkNtbiqlOjvFoVOS3MwwsFY&#10;jUbqA/zFY8RecosJdQ81FsOx5c7HFUt78faes15/h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53DotIAAAADAQAADwAAAAAAAAABACAAAAAiAAAAZHJzL2Rvd25yZXYueG1sUEsBAhQAFAAAAAgA&#10;h07iQHIzbQy5AQAAUAMAAA4AAAAAAAAAAQAgAAAAIQEAAGRycy9lMm9Eb2MueG1sUEsFBgAAAAAG&#10;AAYAWQEAAEwFA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w="9525">
                        <a:noFill/>
                        <a:miter/>
                      </a:ln>
                    </wps:spPr>
                    <wps:txbx>
                      <w:txbxContent>
                        <w:p>
                          <w:pPr>
                            <w:pStyle w:val="35"/>
                            <w:jc w:val="center"/>
                            <w:rPr>
                              <w:lang w:val="zh-CN"/>
                            </w:rPr>
                          </w:pPr>
                          <w:r>
                            <w:rPr>
                              <w:lang w:val="zh-CN"/>
                            </w:rPr>
                            <w:t xml:space="preserve"> </w:t>
                          </w:r>
                        </w:p>
                        <w:p>
                          <w:pPr>
                            <w:pStyle w:val="35"/>
                            <w:jc w:val="center"/>
                            <w:rPr>
                              <w:lang w:val="zh-CN"/>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7216;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N4mSp65AQAAUAMAAA4AAABkcnMvZTJvRG9jLnhtbK1TwW4bIRC9V+o/&#10;IO712ts6ilfGUasoVaSoqZT2AzALXiRgEBDv+geSP+gpl9zzXf6ODnjtRO2t6oUdmOHx3pvZ5cVg&#10;DdnKEDU4RmeTKSXSCWi12zD688fVh3NKYuKu5QacZHQnI71YvX+37H0ja+jAtDIQBHGx6T2jXUq+&#10;qaooOml5nICXDpMKguUJt2FTtYH3iG5NVU+nZ1UPofUBhIwRTy8PSboq+EpJkW6VijIRwyhyS2UN&#10;ZV3ntVotebMJ3HdajDT4P7CwXDt89AR1yRMn90H/BWW1CBBBpYkAW4FSWsiiAdXMpn+oueu4l0UL&#10;mhP9yab4/2DFt+33QHTLaE2J4xZbtP/1uH962T8/kDrb0/vYYNWdx7o0fIEB23w8j3iYVQ8q2PxF&#10;PQTzaPTuZK4cEhH50uzT4uOcEoGp+qw+XxTzq9fLPsT0VYIlOWA0YO+KpXx7ExMSwdJjSX7LwZU2&#10;pvTPONIzupjX83LhTcbqJMPhrnEIkcUcSOcoDethVLiGdocCe5wERh2OKiXm2qHReWiOQTgG6zHI&#10;PKL/fJ+QS6GYUQ9Q42PYtsJ8HLE8F2/3per1R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d&#10;cnnQAAAAAwEAAA8AAAAAAAAAAQAgAAAAIgAAAGRycy9kb3ducmV2LnhtbFBLAQIUABQAAAAIAIdO&#10;4kDeJkqeuQEAAFADAAAOAAAAAAAAAAEAIAAAAB8BAABkcnMvZTJvRG9jLnhtbFBLBQYAAAAABgAG&#10;AFkBAABKBQAAAAA=&#10;">
              <v:fill on="f" focussize="0,0"/>
              <v:stroke on="f" joinstyle="miter"/>
              <v:imagedata o:title=""/>
              <o:lock v:ext="edit" aspectratio="f"/>
              <v:textbox inset="0mm,0mm,0mm,0mm" style="mso-fit-shape-to-text:t;">
                <w:txbxContent>
                  <w:p>
                    <w:pPr>
                      <w:pStyle w:val="35"/>
                      <w:jc w:val="center"/>
                      <w:rPr>
                        <w:lang w:val="zh-CN"/>
                      </w:rPr>
                    </w:pPr>
                    <w:r>
                      <w:rPr>
                        <w:lang w:val="zh-CN"/>
                      </w:rPr>
                      <w:t xml:space="preserve"> </w:t>
                    </w:r>
                  </w:p>
                  <w:p>
                    <w:pPr>
                      <w:pStyle w:val="35"/>
                      <w:jc w:val="center"/>
                      <w:rPr>
                        <w:lang w:val="zh-CN"/>
                      </w:rPr>
                    </w:pPr>
                  </w:p>
                </w:txbxContent>
              </v:textbox>
            </v:shape>
          </w:pict>
        </mc:Fallback>
      </mc:AlternateContent>
    </w:r>
    <w:r>
      <w:rPr>
        <w:rFonts w:hint="eastAsia"/>
      </w:rPr>
      <w:tab/>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pStyle w:val="14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5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7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4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9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9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6CA225C"/>
    <w:multiLevelType w:val="multilevel"/>
    <w:tmpl w:val="36CA225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36955C6"/>
    <w:multiLevelType w:val="multilevel"/>
    <w:tmpl w:val="736955C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9"/>
  </w:num>
  <w:num w:numId="4">
    <w:abstractNumId w:val="1"/>
  </w:num>
  <w:num w:numId="5">
    <w:abstractNumId w:val="5"/>
  </w:num>
  <w:num w:numId="6">
    <w:abstractNumId w:val="7"/>
  </w:num>
  <w:num w:numId="7">
    <w:abstractNumId w:val="0"/>
  </w:num>
  <w:num w:numId="8">
    <w:abstractNumId w:val="2"/>
  </w:num>
  <w:num w:numId="9">
    <w:abstractNumId w:val="4"/>
  </w:num>
  <w:num w:numId="10">
    <w:abstractNumId w:val="11"/>
  </w:num>
  <w:num w:numId="11">
    <w:abstractNumId w:val="10"/>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53F"/>
    <w:rsid w:val="00094033"/>
    <w:rsid w:val="00172A27"/>
    <w:rsid w:val="001B121B"/>
    <w:rsid w:val="002212B1"/>
    <w:rsid w:val="00241CD9"/>
    <w:rsid w:val="00250166"/>
    <w:rsid w:val="002C7391"/>
    <w:rsid w:val="0030118D"/>
    <w:rsid w:val="00390929"/>
    <w:rsid w:val="003A21EE"/>
    <w:rsid w:val="003C2AD0"/>
    <w:rsid w:val="003D67B9"/>
    <w:rsid w:val="00463F32"/>
    <w:rsid w:val="004E0C14"/>
    <w:rsid w:val="005036DC"/>
    <w:rsid w:val="005829E3"/>
    <w:rsid w:val="005D2202"/>
    <w:rsid w:val="005F0B91"/>
    <w:rsid w:val="006524F3"/>
    <w:rsid w:val="006821ED"/>
    <w:rsid w:val="00690602"/>
    <w:rsid w:val="006A0CC4"/>
    <w:rsid w:val="006B1D5D"/>
    <w:rsid w:val="006E4EE5"/>
    <w:rsid w:val="00764563"/>
    <w:rsid w:val="008043B6"/>
    <w:rsid w:val="00815411"/>
    <w:rsid w:val="008222A2"/>
    <w:rsid w:val="0083198F"/>
    <w:rsid w:val="008456CF"/>
    <w:rsid w:val="00852A46"/>
    <w:rsid w:val="00865847"/>
    <w:rsid w:val="008B4C40"/>
    <w:rsid w:val="008B7447"/>
    <w:rsid w:val="009212F3"/>
    <w:rsid w:val="00A044F5"/>
    <w:rsid w:val="00A65CEB"/>
    <w:rsid w:val="00AC7958"/>
    <w:rsid w:val="00B42DD0"/>
    <w:rsid w:val="00B9570C"/>
    <w:rsid w:val="00BD329A"/>
    <w:rsid w:val="00BF5378"/>
    <w:rsid w:val="00C71458"/>
    <w:rsid w:val="00D16B71"/>
    <w:rsid w:val="00D606B8"/>
    <w:rsid w:val="00D90E4E"/>
    <w:rsid w:val="00DC34BF"/>
    <w:rsid w:val="00E3653E"/>
    <w:rsid w:val="00E677B7"/>
    <w:rsid w:val="00EE1876"/>
    <w:rsid w:val="00EF7BB7"/>
    <w:rsid w:val="00F13E00"/>
    <w:rsid w:val="00F207D0"/>
    <w:rsid w:val="00F3223B"/>
    <w:rsid w:val="00F50B1D"/>
    <w:rsid w:val="00F815D6"/>
    <w:rsid w:val="00FE56FE"/>
    <w:rsid w:val="06650794"/>
    <w:rsid w:val="06FD7423"/>
    <w:rsid w:val="075C3607"/>
    <w:rsid w:val="148B3764"/>
    <w:rsid w:val="16EF3222"/>
    <w:rsid w:val="1EE1294A"/>
    <w:rsid w:val="21492C83"/>
    <w:rsid w:val="26F56317"/>
    <w:rsid w:val="28BF1589"/>
    <w:rsid w:val="3C455F6C"/>
    <w:rsid w:val="4070620A"/>
    <w:rsid w:val="419D606B"/>
    <w:rsid w:val="4338729C"/>
    <w:rsid w:val="4A0C5125"/>
    <w:rsid w:val="4B873288"/>
    <w:rsid w:val="4C727FA6"/>
    <w:rsid w:val="4D82302D"/>
    <w:rsid w:val="4DE0079D"/>
    <w:rsid w:val="51091282"/>
    <w:rsid w:val="57DD5472"/>
    <w:rsid w:val="5DC46B47"/>
    <w:rsid w:val="5E7A178A"/>
    <w:rsid w:val="5EE16408"/>
    <w:rsid w:val="5F303E2A"/>
    <w:rsid w:val="5FB604FB"/>
    <w:rsid w:val="63E31DDC"/>
    <w:rsid w:val="66AA5415"/>
    <w:rsid w:val="68C05B3E"/>
    <w:rsid w:val="71393BC9"/>
    <w:rsid w:val="72D83A85"/>
    <w:rsid w:val="7325061E"/>
    <w:rsid w:val="74350B89"/>
    <w:rsid w:val="7BDD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hanging="200"/>
    </w:pPr>
    <w:rPr>
      <w:sz w:val="24"/>
    </w:rPr>
  </w:style>
  <w:style w:type="paragraph" w:styleId="12">
    <w:name w:val="toc 7"/>
    <w:basedOn w:val="1"/>
    <w:next w:val="1"/>
    <w:qFormat/>
    <w:uiPriority w:val="0"/>
    <w:pPr>
      <w:ind w:left="252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uiPriority w:val="0"/>
    <w:pPr>
      <w:shd w:val="clear" w:color="auto" w:fill="000080"/>
    </w:pPr>
  </w:style>
  <w:style w:type="paragraph" w:styleId="18">
    <w:name w:val="toa heading"/>
    <w:basedOn w:val="1"/>
    <w:next w:val="1"/>
    <w:uiPriority w:val="0"/>
    <w:pPr>
      <w:spacing w:before="120"/>
    </w:pPr>
    <w:rPr>
      <w:rFonts w:ascii="Arial" w:hAnsi="Arial"/>
      <w:sz w:val="24"/>
    </w:rPr>
  </w:style>
  <w:style w:type="paragraph" w:styleId="19">
    <w:name w:val="annotation text"/>
    <w:basedOn w:val="1"/>
    <w:link w:val="78"/>
    <w:qFormat/>
    <w:uiPriority w:val="0"/>
    <w:pPr>
      <w:adjustRightInd w:val="0"/>
      <w:spacing w:line="360" w:lineRule="atLeast"/>
      <w:jc w:val="left"/>
      <w:textAlignment w:val="baseline"/>
    </w:pPr>
    <w:rPr>
      <w:kern w:val="0"/>
      <w:sz w:val="24"/>
    </w:rPr>
  </w:style>
  <w:style w:type="paragraph" w:styleId="20">
    <w:name w:val="Body Text 3"/>
    <w:basedOn w:val="1"/>
    <w:uiPriority w:val="0"/>
    <w:pPr>
      <w:adjustRightInd w:val="0"/>
      <w:snapToGrid w:val="0"/>
      <w:spacing w:after="120" w:line="360" w:lineRule="auto"/>
    </w:pPr>
    <w:rPr>
      <w:sz w:val="16"/>
    </w:rPr>
  </w:style>
  <w:style w:type="paragraph" w:styleId="21">
    <w:name w:val="List Bullet 3"/>
    <w:basedOn w:val="1"/>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6"/>
    <w:uiPriority w:val="0"/>
    <w:pPr>
      <w:spacing w:line="700" w:lineRule="exact"/>
      <w:ind w:left="960"/>
    </w:pPr>
    <w:rPr>
      <w:sz w:val="44"/>
    </w:rPr>
  </w:style>
  <w:style w:type="paragraph" w:styleId="24">
    <w:name w:val="List Number 3"/>
    <w:basedOn w:val="1"/>
    <w:uiPriority w:val="0"/>
    <w:pPr>
      <w:tabs>
        <w:tab w:val="left" w:pos="2120"/>
      </w:tabs>
      <w:adjustRightInd w:val="0"/>
      <w:snapToGrid w:val="0"/>
      <w:spacing w:line="360" w:lineRule="auto"/>
      <w:ind w:left="2120" w:hanging="720"/>
    </w:pPr>
    <w:rPr>
      <w:sz w:val="24"/>
    </w:rPr>
  </w:style>
  <w:style w:type="paragraph" w:styleId="25">
    <w:name w:val="List 2"/>
    <w:basedOn w:val="1"/>
    <w:uiPriority w:val="0"/>
    <w:pPr>
      <w:adjustRightInd w:val="0"/>
      <w:snapToGrid w:val="0"/>
      <w:spacing w:line="360" w:lineRule="auto"/>
      <w:ind w:left="100" w:hanging="200"/>
    </w:pPr>
    <w:rPr>
      <w:sz w:val="24"/>
    </w:rPr>
  </w:style>
  <w:style w:type="paragraph" w:styleId="26">
    <w:name w:val="List Continue"/>
    <w:basedOn w:val="1"/>
    <w:uiPriority w:val="0"/>
    <w:pPr>
      <w:adjustRightInd w:val="0"/>
      <w:snapToGrid w:val="0"/>
      <w:spacing w:after="120" w:line="360" w:lineRule="auto"/>
      <w:ind w:left="420"/>
    </w:pPr>
    <w:rPr>
      <w:sz w:val="24"/>
    </w:rPr>
  </w:style>
  <w:style w:type="paragraph" w:styleId="27">
    <w:name w:val="List Bullet 2"/>
    <w:basedOn w:val="1"/>
    <w:uiPriority w:val="0"/>
    <w:pPr>
      <w:numPr>
        <w:ilvl w:val="0"/>
        <w:numId w:val="3"/>
      </w:numPr>
      <w:adjustRightInd w:val="0"/>
      <w:snapToGrid w:val="0"/>
      <w:spacing w:line="360" w:lineRule="auto"/>
    </w:pPr>
    <w:rPr>
      <w:sz w:val="24"/>
    </w:rPr>
  </w:style>
  <w:style w:type="paragraph" w:styleId="28">
    <w:name w:val="toc 5"/>
    <w:basedOn w:val="1"/>
    <w:next w:val="1"/>
    <w:uiPriority w:val="0"/>
    <w:pPr>
      <w:ind w:left="1680"/>
    </w:pPr>
  </w:style>
  <w:style w:type="paragraph" w:styleId="29">
    <w:name w:val="toc 3"/>
    <w:basedOn w:val="1"/>
    <w:next w:val="1"/>
    <w:uiPriority w:val="39"/>
    <w:pPr>
      <w:ind w:left="840"/>
    </w:pPr>
  </w:style>
  <w:style w:type="paragraph" w:styleId="30">
    <w:name w:val="Plain Text"/>
    <w:basedOn w:val="1"/>
    <w:uiPriority w:val="0"/>
    <w:rPr>
      <w:rFonts w:ascii="宋体" w:hAnsi="Courier New"/>
      <w:sz w:val="21"/>
    </w:rPr>
  </w:style>
  <w:style w:type="paragraph" w:styleId="31">
    <w:name w:val="toc 8"/>
    <w:basedOn w:val="1"/>
    <w:next w:val="1"/>
    <w:uiPriority w:val="0"/>
    <w:pPr>
      <w:ind w:left="2940"/>
    </w:pPr>
  </w:style>
  <w:style w:type="paragraph" w:styleId="32">
    <w:name w:val="Date"/>
    <w:basedOn w:val="1"/>
    <w:next w:val="1"/>
    <w:link w:val="88"/>
    <w:uiPriority w:val="0"/>
  </w:style>
  <w:style w:type="paragraph" w:styleId="33">
    <w:name w:val="Body Text Indent 2"/>
    <w:basedOn w:val="1"/>
    <w:link w:val="102"/>
    <w:uiPriority w:val="0"/>
    <w:pPr>
      <w:snapToGrid w:val="0"/>
      <w:spacing w:line="560" w:lineRule="atLeast"/>
      <w:ind w:firstLine="540"/>
    </w:pPr>
  </w:style>
  <w:style w:type="paragraph" w:styleId="34">
    <w:name w:val="Balloon Text"/>
    <w:basedOn w:val="1"/>
    <w:uiPriority w:val="0"/>
    <w:rPr>
      <w:sz w:val="18"/>
    </w:rPr>
  </w:style>
  <w:style w:type="paragraph" w:styleId="35">
    <w:name w:val="footer"/>
    <w:basedOn w:val="1"/>
    <w:link w:val="85"/>
    <w:uiPriority w:val="99"/>
    <w:pPr>
      <w:tabs>
        <w:tab w:val="center" w:pos="4153"/>
        <w:tab w:val="right" w:pos="8306"/>
      </w:tabs>
      <w:snapToGrid w:val="0"/>
      <w:jc w:val="left"/>
    </w:pPr>
    <w:rPr>
      <w:sz w:val="18"/>
    </w:rPr>
  </w:style>
  <w:style w:type="paragraph" w:styleId="36">
    <w:name w:val="header"/>
    <w:basedOn w:val="1"/>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uiPriority w:val="0"/>
    <w:pPr>
      <w:spacing w:line="180" w:lineRule="auto"/>
      <w:jc w:val="center"/>
    </w:pPr>
    <w:rPr>
      <w:sz w:val="30"/>
    </w:rPr>
  </w:style>
  <w:style w:type="paragraph" w:styleId="38">
    <w:name w:val="List Continue 4"/>
    <w:basedOn w:val="1"/>
    <w:uiPriority w:val="0"/>
    <w:pPr>
      <w:adjustRightInd w:val="0"/>
      <w:snapToGrid w:val="0"/>
      <w:spacing w:after="120" w:line="360" w:lineRule="auto"/>
      <w:ind w:left="1680"/>
    </w:pPr>
    <w:rPr>
      <w:sz w:val="24"/>
    </w:rPr>
  </w:style>
  <w:style w:type="paragraph" w:styleId="39">
    <w:name w:val="toc 4"/>
    <w:basedOn w:val="1"/>
    <w:next w:val="1"/>
    <w:uiPriority w:val="0"/>
    <w:pPr>
      <w:ind w:left="1260"/>
    </w:pPr>
  </w:style>
  <w:style w:type="paragraph" w:styleId="40">
    <w:name w:val="footnote text"/>
    <w:basedOn w:val="1"/>
    <w:link w:val="81"/>
    <w:uiPriority w:val="0"/>
    <w:pPr>
      <w:spacing w:line="360" w:lineRule="auto"/>
    </w:pPr>
    <w:rPr>
      <w:sz w:val="18"/>
    </w:rPr>
  </w:style>
  <w:style w:type="paragraph" w:styleId="41">
    <w:name w:val="toc 6"/>
    <w:basedOn w:val="1"/>
    <w:next w:val="1"/>
    <w:uiPriority w:val="0"/>
    <w:pPr>
      <w:ind w:left="2100"/>
    </w:pPr>
  </w:style>
  <w:style w:type="paragraph" w:styleId="42">
    <w:name w:val="List 5"/>
    <w:basedOn w:val="1"/>
    <w:uiPriority w:val="0"/>
    <w:pPr>
      <w:adjustRightInd w:val="0"/>
      <w:snapToGrid w:val="0"/>
      <w:spacing w:line="360" w:lineRule="auto"/>
      <w:ind w:left="100" w:hanging="200"/>
    </w:pPr>
    <w:rPr>
      <w:sz w:val="24"/>
    </w:rPr>
  </w:style>
  <w:style w:type="paragraph" w:styleId="43">
    <w:name w:val="Body Text Indent 3"/>
    <w:basedOn w:val="1"/>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uiPriority w:val="39"/>
    <w:pPr>
      <w:ind w:left="420"/>
    </w:pPr>
  </w:style>
  <w:style w:type="paragraph" w:styleId="46">
    <w:name w:val="toc 9"/>
    <w:basedOn w:val="1"/>
    <w:next w:val="1"/>
    <w:uiPriority w:val="0"/>
    <w:pPr>
      <w:ind w:left="3360"/>
    </w:pPr>
  </w:style>
  <w:style w:type="paragraph" w:styleId="47">
    <w:name w:val="Body Text 2"/>
    <w:basedOn w:val="1"/>
    <w:uiPriority w:val="0"/>
    <w:pPr>
      <w:adjustRightInd w:val="0"/>
      <w:snapToGrid w:val="0"/>
      <w:spacing w:after="120" w:line="480" w:lineRule="auto"/>
    </w:pPr>
    <w:rPr>
      <w:sz w:val="24"/>
    </w:rPr>
  </w:style>
  <w:style w:type="paragraph" w:styleId="48">
    <w:name w:val="List 4"/>
    <w:basedOn w:val="1"/>
    <w:uiPriority w:val="0"/>
    <w:pPr>
      <w:adjustRightInd w:val="0"/>
      <w:snapToGrid w:val="0"/>
      <w:spacing w:line="360" w:lineRule="auto"/>
      <w:ind w:left="100" w:hanging="200"/>
    </w:pPr>
    <w:rPr>
      <w:sz w:val="24"/>
    </w:rPr>
  </w:style>
  <w:style w:type="paragraph" w:styleId="49">
    <w:name w:val="List Continue 2"/>
    <w:basedOn w:val="1"/>
    <w:qFormat/>
    <w:uiPriority w:val="0"/>
    <w:pPr>
      <w:adjustRightInd w:val="0"/>
      <w:snapToGrid w:val="0"/>
      <w:spacing w:after="120" w:line="360" w:lineRule="auto"/>
      <w:ind w:left="840"/>
    </w:pPr>
    <w:rPr>
      <w:sz w:val="24"/>
    </w:rPr>
  </w:style>
  <w:style w:type="paragraph" w:styleId="50">
    <w:name w:val="Normal (Web)"/>
    <w:basedOn w:val="1"/>
    <w:uiPriority w:val="0"/>
    <w:pPr>
      <w:widowControl/>
      <w:spacing w:before="100" w:beforeAutospacing="1" w:after="100" w:afterAutospacing="1"/>
      <w:jc w:val="left"/>
    </w:pPr>
    <w:rPr>
      <w:rFonts w:ascii="宋体" w:hAnsi="宋体"/>
      <w:kern w:val="0"/>
      <w:sz w:val="24"/>
    </w:rPr>
  </w:style>
  <w:style w:type="paragraph" w:styleId="51">
    <w:name w:val="List Continue 3"/>
    <w:basedOn w:val="1"/>
    <w:uiPriority w:val="0"/>
    <w:pPr>
      <w:adjustRightInd w:val="0"/>
      <w:snapToGrid w:val="0"/>
      <w:spacing w:after="120" w:line="360" w:lineRule="auto"/>
      <w:ind w:left="1260"/>
    </w:pPr>
    <w:rPr>
      <w:sz w:val="24"/>
    </w:rPr>
  </w:style>
  <w:style w:type="paragraph" w:styleId="52">
    <w:name w:val="index 1"/>
    <w:basedOn w:val="1"/>
    <w:next w:val="1"/>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99"/>
    <w:uiPriority w:val="0"/>
    <w:pPr>
      <w:adjustRightInd/>
      <w:spacing w:line="240" w:lineRule="auto"/>
      <w:textAlignment w:val="auto"/>
    </w:pPr>
  </w:style>
  <w:style w:type="paragraph" w:styleId="55">
    <w:name w:val="Body Text First Indent"/>
    <w:basedOn w:val="1"/>
    <w:uiPriority w:val="0"/>
    <w:pPr>
      <w:spacing w:line="360" w:lineRule="auto"/>
      <w:ind w:firstLine="420"/>
    </w:pPr>
    <w:rPr>
      <w:rFonts w:ascii="宋体" w:hAnsi="宋体"/>
      <w:sz w:val="24"/>
    </w:rPr>
  </w:style>
  <w:style w:type="paragraph" w:styleId="56">
    <w:name w:val="Body Text First Indent 2"/>
    <w:basedOn w:val="23"/>
    <w:link w:val="75"/>
    <w:uiPriority w:val="0"/>
    <w:pPr>
      <w:spacing w:after="120" w:line="240" w:lineRule="auto"/>
      <w:ind w:left="420" w:firstLine="420"/>
    </w:pPr>
  </w:style>
  <w:style w:type="table" w:styleId="58">
    <w:name w:val="Table Grid"/>
    <w:basedOn w:val="5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0"/>
    <w:rPr>
      <w:b/>
    </w:rPr>
  </w:style>
  <w:style w:type="character" w:styleId="61">
    <w:name w:val="page number"/>
    <w:basedOn w:val="59"/>
    <w:uiPriority w:val="0"/>
  </w:style>
  <w:style w:type="character" w:styleId="62">
    <w:name w:val="FollowedHyperlink"/>
    <w:uiPriority w:val="0"/>
    <w:rPr>
      <w:color w:val="800080"/>
      <w:u w:val="single"/>
    </w:rPr>
  </w:style>
  <w:style w:type="character" w:styleId="63">
    <w:name w:val="Emphasis"/>
    <w:qFormat/>
    <w:uiPriority w:val="0"/>
    <w:rPr>
      <w:i/>
    </w:rPr>
  </w:style>
  <w:style w:type="character" w:styleId="64">
    <w:name w:val="Hyperlink"/>
    <w:uiPriority w:val="99"/>
    <w:rPr>
      <w:color w:val="0000FF"/>
      <w:u w:val="single"/>
    </w:rPr>
  </w:style>
  <w:style w:type="character" w:styleId="65">
    <w:name w:val="annotation reference"/>
    <w:uiPriority w:val="0"/>
    <w:rPr>
      <w:sz w:val="21"/>
      <w:szCs w:val="21"/>
    </w:rPr>
  </w:style>
  <w:style w:type="character" w:styleId="66">
    <w:name w:val="footnote reference"/>
    <w:uiPriority w:val="0"/>
    <w:rPr>
      <w:position w:val="6"/>
      <w:sz w:val="14"/>
      <w:vertAlign w:val="superscript"/>
    </w:rPr>
  </w:style>
  <w:style w:type="character" w:customStyle="1" w:styleId="67">
    <w:name w:val="font1"/>
    <w:uiPriority w:val="0"/>
    <w:rPr>
      <w:color w:val="000000"/>
      <w:sz w:val="18"/>
    </w:rPr>
  </w:style>
  <w:style w:type="character" w:customStyle="1" w:styleId="68">
    <w:name w:val="样式 宋体"/>
    <w:uiPriority w:val="0"/>
    <w:rPr>
      <w:rFonts w:ascii="宋体" w:hAnsi="宋体" w:eastAsia="宋体"/>
      <w:sz w:val="28"/>
    </w:rPr>
  </w:style>
  <w:style w:type="character" w:customStyle="1" w:styleId="69">
    <w:name w:val="Char Char2"/>
    <w:uiPriority w:val="0"/>
    <w:rPr>
      <w:rFonts w:eastAsia="宋体"/>
      <w:kern w:val="2"/>
      <w:sz w:val="18"/>
      <w:lang w:val="en-US" w:eastAsia="zh-CN"/>
    </w:rPr>
  </w:style>
  <w:style w:type="character" w:customStyle="1" w:styleId="70">
    <w:name w:val="标题 3 字符"/>
    <w:link w:val="2"/>
    <w:qFormat/>
    <w:uiPriority w:val="0"/>
    <w:rPr>
      <w:rFonts w:eastAsia="宋体"/>
      <w:b/>
      <w:kern w:val="2"/>
      <w:sz w:val="32"/>
      <w:lang w:val="en-US" w:eastAsia="zh-CN"/>
    </w:rPr>
  </w:style>
  <w:style w:type="character" w:customStyle="1" w:styleId="71">
    <w:name w:val="Char Char5"/>
    <w:qFormat/>
    <w:uiPriority w:val="0"/>
    <w:rPr>
      <w:rFonts w:ascii="Arial" w:hAnsi="Arial" w:eastAsia="宋体"/>
      <w:b/>
      <w:smallCaps/>
      <w:kern w:val="28"/>
      <w:sz w:val="36"/>
      <w:lang w:val="en-US" w:eastAsia="en-US"/>
    </w:rPr>
  </w:style>
  <w:style w:type="character" w:customStyle="1" w:styleId="72">
    <w:name w:val="Char Char3"/>
    <w:qFormat/>
    <w:uiPriority w:val="0"/>
    <w:rPr>
      <w:rFonts w:eastAsia="宋体"/>
      <w:kern w:val="2"/>
      <w:sz w:val="18"/>
      <w:lang w:val="en-US" w:eastAsia="zh-CN"/>
    </w:rPr>
  </w:style>
  <w:style w:type="character" w:customStyle="1" w:styleId="73">
    <w:name w:val="title_emph1"/>
    <w:qFormat/>
    <w:uiPriority w:val="0"/>
    <w:rPr>
      <w:rFonts w:hint="default" w:ascii="Arial" w:hAnsi="Arial"/>
      <w:b/>
      <w:sz w:val="20"/>
    </w:rPr>
  </w:style>
  <w:style w:type="character" w:customStyle="1" w:styleId="74">
    <w:name w:val="content-white1"/>
    <w:qFormat/>
    <w:uiPriority w:val="0"/>
    <w:rPr>
      <w:color w:val="auto"/>
      <w:sz w:val="18"/>
      <w:u w:val="none"/>
    </w:rPr>
  </w:style>
  <w:style w:type="character" w:customStyle="1" w:styleId="75">
    <w:name w:val="正文文本首行缩进 2 字符"/>
    <w:basedOn w:val="76"/>
    <w:link w:val="56"/>
    <w:qFormat/>
    <w:uiPriority w:val="0"/>
    <w:rPr>
      <w:kern w:val="2"/>
      <w:sz w:val="44"/>
    </w:rPr>
  </w:style>
  <w:style w:type="character" w:customStyle="1" w:styleId="76">
    <w:name w:val="正文文本缩进 字符"/>
    <w:link w:val="23"/>
    <w:qFormat/>
    <w:uiPriority w:val="0"/>
    <w:rPr>
      <w:kern w:val="2"/>
      <w:sz w:val="44"/>
    </w:rPr>
  </w:style>
  <w:style w:type="character" w:customStyle="1" w:styleId="77">
    <w:name w:val="Char Char4"/>
    <w:qFormat/>
    <w:uiPriority w:val="0"/>
    <w:rPr>
      <w:rFonts w:eastAsia="宋体"/>
      <w:b/>
      <w:kern w:val="2"/>
      <w:sz w:val="21"/>
      <w:lang w:val="en-US" w:eastAsia="zh-CN"/>
    </w:rPr>
  </w:style>
  <w:style w:type="character" w:customStyle="1" w:styleId="78">
    <w:name w:val="批注文字 字符"/>
    <w:link w:val="19"/>
    <w:qFormat/>
    <w:uiPriority w:val="0"/>
    <w:rPr>
      <w:sz w:val="24"/>
    </w:rPr>
  </w:style>
  <w:style w:type="character" w:customStyle="1" w:styleId="79">
    <w:name w:val="Char Char11"/>
    <w:qFormat/>
    <w:uiPriority w:val="0"/>
    <w:rPr>
      <w:rFonts w:ascii="宋体"/>
      <w:kern w:val="2"/>
      <w:sz w:val="28"/>
    </w:rPr>
  </w:style>
  <w:style w:type="character" w:customStyle="1" w:styleId="80">
    <w:name w:val="crowed11"/>
    <w:qFormat/>
    <w:uiPriority w:val="0"/>
    <w:rPr>
      <w:rFonts w:hint="default"/>
      <w:sz w:val="24"/>
    </w:rPr>
  </w:style>
  <w:style w:type="character" w:customStyle="1" w:styleId="81">
    <w:name w:val="脚注文本 字符"/>
    <w:link w:val="40"/>
    <w:qFormat/>
    <w:uiPriority w:val="0"/>
    <w:rPr>
      <w:kern w:val="2"/>
      <w:sz w:val="18"/>
    </w:rPr>
  </w:style>
  <w:style w:type="character" w:customStyle="1" w:styleId="82">
    <w:name w:val="标书正文:  0.74 厘米 Char1"/>
    <w:qFormat/>
    <w:uiPriority w:val="0"/>
    <w:rPr>
      <w:rFonts w:eastAsia="宋体"/>
      <w:kern w:val="2"/>
      <w:sz w:val="24"/>
      <w:lang w:val="en-US" w:eastAsia="zh-CN"/>
    </w:rPr>
  </w:style>
  <w:style w:type="character" w:customStyle="1" w:styleId="83">
    <w:name w:val="Char Char"/>
    <w:qFormat/>
    <w:uiPriority w:val="0"/>
    <w:rPr>
      <w:rFonts w:ascii="宋体" w:hAnsi="宋体" w:eastAsia="宋体"/>
      <w:kern w:val="2"/>
      <w:sz w:val="24"/>
      <w:lang w:val="en-US" w:eastAsia="zh-CN" w:bidi="ar-SA"/>
    </w:rPr>
  </w:style>
  <w:style w:type="character" w:customStyle="1" w:styleId="84">
    <w:name w:val="Char Char7"/>
    <w:qFormat/>
    <w:uiPriority w:val="0"/>
    <w:rPr>
      <w:rFonts w:ascii="宋体" w:hAnsi="宋体" w:eastAsia="宋体"/>
      <w:kern w:val="2"/>
      <w:sz w:val="28"/>
    </w:rPr>
  </w:style>
  <w:style w:type="character" w:customStyle="1" w:styleId="85">
    <w:name w:val="页脚 字符"/>
    <w:basedOn w:val="59"/>
    <w:link w:val="35"/>
    <w:qFormat/>
    <w:uiPriority w:val="99"/>
    <w:rPr>
      <w:kern w:val="2"/>
      <w:sz w:val="18"/>
    </w:rPr>
  </w:style>
  <w:style w:type="character" w:customStyle="1" w:styleId="86">
    <w:name w:val="Table Text Char Char Char Char"/>
    <w:link w:val="87"/>
    <w:qFormat/>
    <w:uiPriority w:val="0"/>
    <w:rPr>
      <w:rFonts w:ascii="Arial" w:hAnsi="Arial"/>
      <w:kern w:val="2"/>
      <w:sz w:val="18"/>
      <w:lang w:val="en-US" w:eastAsia="zh-CN" w:bidi="ar-SA"/>
    </w:rPr>
  </w:style>
  <w:style w:type="paragraph" w:customStyle="1" w:styleId="87">
    <w:name w:val="Table Text Char Char Char"/>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日期 字符"/>
    <w:link w:val="32"/>
    <w:qFormat/>
    <w:uiPriority w:val="0"/>
    <w:rPr>
      <w:kern w:val="2"/>
      <w:sz w:val="28"/>
    </w:rPr>
  </w:style>
  <w:style w:type="character" w:customStyle="1" w:styleId="89">
    <w:name w:val="文字 Char"/>
    <w:link w:val="90"/>
    <w:qFormat/>
    <w:uiPriority w:val="0"/>
    <w:rPr>
      <w:rFonts w:ascii="宋体"/>
      <w:kern w:val="2"/>
      <w:sz w:val="28"/>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标题 2 字符"/>
    <w:link w:val="4"/>
    <w:qFormat/>
    <w:uiPriority w:val="0"/>
    <w:rPr>
      <w:rFonts w:ascii="Arial" w:hAnsi="Arial" w:eastAsia="黑体"/>
      <w:b/>
      <w:kern w:val="2"/>
      <w:sz w:val="32"/>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Char Char6"/>
    <w:qFormat/>
    <w:uiPriority w:val="0"/>
    <w:rPr>
      <w:rFonts w:ascii="仿宋_GB2312" w:eastAsia="仿宋_GB2312"/>
      <w:kern w:val="2"/>
      <w:sz w:val="32"/>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top-det1"/>
    <w:qFormat/>
    <w:uiPriority w:val="0"/>
    <w:rPr>
      <w:b/>
      <w:color w:val="000000"/>
    </w:rPr>
  </w:style>
  <w:style w:type="character" w:customStyle="1" w:styleId="98">
    <w:name w:val="v151"/>
    <w:qFormat/>
    <w:uiPriority w:val="0"/>
    <w:rPr>
      <w:sz w:val="18"/>
    </w:rPr>
  </w:style>
  <w:style w:type="character" w:customStyle="1" w:styleId="99">
    <w:name w:val="批注主题 字符"/>
    <w:basedOn w:val="78"/>
    <w:link w:val="54"/>
    <w:qFormat/>
    <w:uiPriority w:val="0"/>
    <w:rPr>
      <w:sz w:val="24"/>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小 Char"/>
    <w:qFormat/>
    <w:uiPriority w:val="0"/>
    <w:rPr>
      <w:rFonts w:ascii="宋体" w:hAnsi="Courier New" w:eastAsia="宋体"/>
      <w:kern w:val="2"/>
      <w:sz w:val="21"/>
      <w:lang w:val="en-US" w:eastAsia="zh-CN" w:bidi="ar-SA"/>
    </w:rPr>
  </w:style>
  <w:style w:type="character" w:customStyle="1" w:styleId="102">
    <w:name w:val="正文文本缩进 2 字符"/>
    <w:link w:val="33"/>
    <w:qFormat/>
    <w:uiPriority w:val="0"/>
    <w:rPr>
      <w:kern w:val="2"/>
      <w:sz w:val="28"/>
    </w:rPr>
  </w:style>
  <w:style w:type="character" w:customStyle="1" w:styleId="103">
    <w:name w:val="未命名11"/>
    <w:qFormat/>
    <w:uiPriority w:val="0"/>
    <w:rPr>
      <w:color w:val="77FFFF"/>
      <w:sz w:val="24"/>
    </w:rPr>
  </w:style>
  <w:style w:type="character" w:customStyle="1" w:styleId="104">
    <w:name w:val="正文 + 三号 Char"/>
    <w:qFormat/>
    <w:uiPriority w:val="0"/>
    <w:rPr>
      <w:rFonts w:eastAsia="宋体"/>
      <w:kern w:val="2"/>
      <w:sz w:val="21"/>
      <w:lang w:val="en-US" w:eastAsia="zh-CN"/>
    </w:rPr>
  </w:style>
  <w:style w:type="paragraph" w:customStyle="1" w:styleId="105">
    <w:name w:val="Char Char Char"/>
    <w:basedOn w:val="1"/>
    <w:qFormat/>
    <w:uiPriority w:val="0"/>
    <w:rPr>
      <w:rFonts w:ascii="Tahoma" w:hAnsi="Tahoma"/>
      <w:sz w:val="24"/>
    </w:rPr>
  </w:style>
  <w:style w:type="paragraph" w:customStyle="1" w:styleId="10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07">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08">
    <w:name w:val="正文1"/>
    <w:basedOn w:val="1"/>
    <w:qFormat/>
    <w:uiPriority w:val="0"/>
    <w:pPr>
      <w:spacing w:line="300" w:lineRule="auto"/>
      <w:ind w:firstLine="200"/>
    </w:pPr>
    <w:rPr>
      <w:sz w:val="24"/>
    </w:rPr>
  </w:style>
  <w:style w:type="paragraph" w:customStyle="1" w:styleId="10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0">
    <w:name w:val="文本框样式1"/>
    <w:basedOn w:val="1"/>
    <w:uiPriority w:val="0"/>
    <w:pPr>
      <w:adjustRightInd w:val="0"/>
      <w:snapToGrid w:val="0"/>
      <w:spacing w:before="60" w:line="180" w:lineRule="exact"/>
      <w:jc w:val="center"/>
    </w:pPr>
    <w:rPr>
      <w:sz w:val="21"/>
    </w:rPr>
  </w:style>
  <w:style w:type="paragraph" w:customStyle="1" w:styleId="111">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2">
    <w:name w:val="style1"/>
    <w:basedOn w:val="1"/>
    <w:uiPriority w:val="0"/>
    <w:pPr>
      <w:widowControl/>
      <w:spacing w:before="100" w:beforeAutospacing="1" w:after="100" w:afterAutospacing="1"/>
      <w:jc w:val="left"/>
    </w:pPr>
    <w:rPr>
      <w:rFonts w:ascii="宋体" w:hAnsi="宋体"/>
      <w:kern w:val="0"/>
      <w:sz w:val="21"/>
    </w:rPr>
  </w:style>
  <w:style w:type="paragraph" w:customStyle="1" w:styleId="113">
    <w:name w:val="正文文本缩进 21"/>
    <w:basedOn w:val="1"/>
    <w:uiPriority w:val="0"/>
    <w:pPr>
      <w:adjustRightInd w:val="0"/>
      <w:spacing w:before="120"/>
      <w:ind w:firstLine="420"/>
      <w:textAlignment w:val="baseline"/>
    </w:pPr>
    <w:rPr>
      <w:sz w:val="24"/>
    </w:rPr>
  </w:style>
  <w:style w:type="paragraph" w:customStyle="1" w:styleId="11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5">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6">
    <w:name w:val="样式3"/>
    <w:basedOn w:val="3"/>
    <w:next w:val="3"/>
    <w:uiPriority w:val="0"/>
    <w:pPr>
      <w:keepLines/>
      <w:adjustRightInd w:val="0"/>
      <w:spacing w:before="340" w:after="330" w:line="576" w:lineRule="auto"/>
    </w:pPr>
    <w:rPr>
      <w:rFonts w:ascii="Times New Roman" w:eastAsia="黑体"/>
      <w:b/>
      <w:kern w:val="44"/>
      <w:sz w:val="44"/>
    </w:rPr>
  </w:style>
  <w:style w:type="paragraph" w:customStyle="1" w:styleId="117">
    <w:name w:val="表格内文字"/>
    <w:basedOn w:val="30"/>
    <w:uiPriority w:val="0"/>
    <w:pPr>
      <w:adjustRightInd w:val="0"/>
    </w:pPr>
    <w:rPr>
      <w:color w:val="000000"/>
      <w:lang w:val="en-GB"/>
    </w:rPr>
  </w:style>
  <w:style w:type="paragraph" w:customStyle="1" w:styleId="118">
    <w:name w:val="图片文字"/>
    <w:basedOn w:val="1"/>
    <w:uiPriority w:val="0"/>
    <w:pPr>
      <w:spacing w:line="240" w:lineRule="atLeast"/>
      <w:jc w:val="center"/>
    </w:pPr>
    <w:rPr>
      <w:sz w:val="21"/>
    </w:rPr>
  </w:style>
  <w:style w:type="paragraph" w:customStyle="1" w:styleId="119">
    <w:name w:val="附录1"/>
    <w:basedOn w:val="1"/>
    <w:next w:val="1"/>
    <w:uiPriority w:val="0"/>
    <w:pPr>
      <w:tabs>
        <w:tab w:val="left" w:pos="1304"/>
      </w:tabs>
      <w:ind w:left="425" w:hanging="425"/>
      <w:outlineLvl w:val="0"/>
    </w:pPr>
    <w:rPr>
      <w:rFonts w:ascii="黑体" w:hAnsi="黑体" w:eastAsia="黑体"/>
      <w:b/>
      <w:sz w:val="44"/>
    </w:rPr>
  </w:style>
  <w:style w:type="paragraph" w:customStyle="1" w:styleId="120">
    <w:name w:val="样式 正文首行缩进 2 + 首行缩进:  2 字符"/>
    <w:basedOn w:val="1"/>
    <w:uiPriority w:val="0"/>
    <w:pPr>
      <w:numPr>
        <w:ilvl w:val="0"/>
        <w:numId w:val="4"/>
      </w:numPr>
      <w:adjustRightInd w:val="0"/>
      <w:snapToGrid w:val="0"/>
      <w:spacing w:line="360" w:lineRule="auto"/>
    </w:pPr>
    <w:rPr>
      <w:rFonts w:ascii="Arial" w:hAnsi="Arial"/>
      <w:b/>
      <w:sz w:val="24"/>
    </w:rPr>
  </w:style>
  <w:style w:type="paragraph" w:customStyle="1" w:styleId="121">
    <w:name w:val="可研正文"/>
    <w:basedOn w:val="22"/>
    <w:uiPriority w:val="0"/>
    <w:pPr>
      <w:adjustRightInd w:val="0"/>
      <w:snapToGrid w:val="0"/>
      <w:spacing w:line="440" w:lineRule="exact"/>
      <w:ind w:firstLine="567"/>
    </w:pPr>
    <w:rPr>
      <w:sz w:val="28"/>
    </w:rPr>
  </w:style>
  <w:style w:type="paragraph" w:customStyle="1" w:styleId="122">
    <w:name w:val="Title - Revision"/>
    <w:basedOn w:val="53"/>
    <w:uiPriority w:val="0"/>
    <w:pPr>
      <w:spacing w:before="720"/>
    </w:pPr>
  </w:style>
  <w:style w:type="paragraph" w:customStyle="1" w:styleId="123">
    <w:name w:val="Table Contents"/>
    <w:basedOn w:val="22"/>
    <w:uiPriority w:val="0"/>
    <w:pPr>
      <w:suppressAutoHyphens/>
      <w:jc w:val="left"/>
    </w:pPr>
    <w:rPr>
      <w:rFonts w:ascii="Times New Roman" w:eastAsia="Times New Roman"/>
      <w:kern w:val="0"/>
      <w:sz w:val="24"/>
    </w:rPr>
  </w:style>
  <w:style w:type="paragraph" w:customStyle="1" w:styleId="124">
    <w:name w:val="内容标题"/>
    <w:basedOn w:val="17"/>
    <w:uiPriority w:val="0"/>
    <w:rPr>
      <w:rFonts w:ascii="Tahoma" w:hAnsi="Tahoma"/>
      <w:sz w:val="24"/>
    </w:rPr>
  </w:style>
  <w:style w:type="paragraph" w:customStyle="1" w:styleId="125">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26">
    <w:name w:val="IN Feature"/>
    <w:next w:val="115"/>
    <w:uiPriority w:val="0"/>
    <w:pPr>
      <w:keepNext/>
      <w:keepLines/>
      <w:spacing w:before="240" w:after="240"/>
      <w:outlineLvl w:val="7"/>
    </w:pPr>
    <w:rPr>
      <w:rFonts w:ascii="Arial" w:hAnsi="Arial" w:eastAsia="黑体" w:cs="Times New Roman"/>
      <w:sz w:val="21"/>
      <w:lang w:val="en-US" w:eastAsia="zh-CN" w:bidi="ar-SA"/>
    </w:rPr>
  </w:style>
  <w:style w:type="paragraph" w:customStyle="1" w:styleId="127">
    <w:name w:val="样式 行距: 1.5 倍行距1"/>
    <w:basedOn w:val="1"/>
    <w:uiPriority w:val="0"/>
    <w:pPr>
      <w:snapToGrid w:val="0"/>
    </w:pPr>
    <w:rPr>
      <w:sz w:val="21"/>
    </w:rPr>
  </w:style>
  <w:style w:type="paragraph" w:customStyle="1" w:styleId="128">
    <w:name w:val="标题 31"/>
    <w:basedOn w:val="1"/>
    <w:qFormat/>
    <w:uiPriority w:val="1"/>
    <w:pPr>
      <w:ind w:left="111"/>
      <w:outlineLvl w:val="3"/>
    </w:pPr>
    <w:rPr>
      <w:rFonts w:ascii="仿宋_GB2312" w:hAnsi="仿宋_GB2312" w:eastAsia="仿宋_GB2312"/>
      <w:b/>
      <w:bCs/>
      <w:sz w:val="24"/>
      <w:szCs w:val="24"/>
    </w:rPr>
  </w:style>
  <w:style w:type="paragraph" w:customStyle="1" w:styleId="129">
    <w:name w:val="列表项目"/>
    <w:basedOn w:val="1"/>
    <w:uiPriority w:val="0"/>
    <w:pPr>
      <w:tabs>
        <w:tab w:val="left" w:pos="420"/>
      </w:tabs>
      <w:spacing w:line="288" w:lineRule="auto"/>
      <w:ind w:left="840" w:hanging="420"/>
    </w:pPr>
    <w:rPr>
      <w:sz w:val="21"/>
    </w:rPr>
  </w:style>
  <w:style w:type="paragraph" w:customStyle="1" w:styleId="130">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1">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32">
    <w:name w:val="编号正文"/>
    <w:basedOn w:val="133"/>
    <w:uiPriority w:val="0"/>
    <w:pPr>
      <w:snapToGrid/>
      <w:spacing w:line="360" w:lineRule="auto"/>
      <w:ind w:left="1407" w:hanging="1047"/>
      <w:jc w:val="left"/>
    </w:pPr>
    <w:rPr>
      <w:rFonts w:eastAsia="仿宋_GB2312"/>
    </w:rPr>
  </w:style>
  <w:style w:type="paragraph" w:customStyle="1" w:styleId="133">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5">
    <w:name w:val="Style Heading 3h3Heading 3 - oldLevel 3 HeadH3level_3PIM 3se..."/>
    <w:basedOn w:val="2"/>
    <w:uiPriority w:val="0"/>
    <w:pPr>
      <w:numPr>
        <w:ilvl w:val="2"/>
        <w:numId w:val="5"/>
      </w:numPr>
      <w:tabs>
        <w:tab w:val="left" w:pos="709"/>
        <w:tab w:val="left" w:pos="1620"/>
      </w:tabs>
    </w:pPr>
  </w:style>
  <w:style w:type="paragraph" w:customStyle="1" w:styleId="136">
    <w:name w:val="附录3"/>
    <w:basedOn w:val="1"/>
    <w:next w:val="1"/>
    <w:uiPriority w:val="0"/>
    <w:pPr>
      <w:tabs>
        <w:tab w:val="left" w:pos="851"/>
      </w:tabs>
      <w:ind w:left="425" w:hanging="425"/>
      <w:outlineLvl w:val="2"/>
    </w:pPr>
    <w:rPr>
      <w:rFonts w:eastAsia="黑体"/>
      <w:b/>
      <w:sz w:val="32"/>
    </w:rPr>
  </w:style>
  <w:style w:type="paragraph" w:customStyle="1" w:styleId="137">
    <w:name w:val="Char1"/>
    <w:basedOn w:val="1"/>
    <w:uiPriority w:val="0"/>
    <w:rPr>
      <w:sz w:val="21"/>
    </w:rPr>
  </w:style>
  <w:style w:type="paragraph" w:customStyle="1" w:styleId="138">
    <w:name w:val="Char2 Char Char Char Char Char Char"/>
    <w:basedOn w:val="1"/>
    <w:uiPriority w:val="0"/>
    <w:rPr>
      <w:rFonts w:ascii="仿宋_GB2312"/>
      <w:b/>
      <w:sz w:val="30"/>
    </w:rPr>
  </w:style>
  <w:style w:type="paragraph" w:customStyle="1" w:styleId="139">
    <w:name w:val="Char Char14 Char Char"/>
    <w:basedOn w:val="1"/>
    <w:uiPriority w:val="0"/>
    <w:rPr>
      <w:sz w:val="21"/>
      <w:szCs w:val="24"/>
    </w:rPr>
  </w:style>
  <w:style w:type="paragraph" w:customStyle="1" w:styleId="140">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41">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42">
    <w:name w:val="正文4"/>
    <w:basedOn w:val="1"/>
    <w:uiPriority w:val="0"/>
    <w:pPr>
      <w:tabs>
        <w:tab w:val="left" w:pos="1275"/>
      </w:tabs>
      <w:spacing w:before="60" w:after="60" w:line="360" w:lineRule="auto"/>
      <w:ind w:left="820" w:hanging="705"/>
    </w:pPr>
    <w:rPr>
      <w:sz w:val="24"/>
    </w:rPr>
  </w:style>
  <w:style w:type="paragraph" w:customStyle="1" w:styleId="143">
    <w:name w:val="Item Lis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4">
    <w:name w:val="pa-34"/>
    <w:uiPriority w:val="0"/>
    <w:pPr>
      <w:spacing w:line="360" w:lineRule="atLeast"/>
      <w:ind w:firstLine="420"/>
    </w:pPr>
    <w:rPr>
      <w:rFonts w:ascii="宋体" w:hAnsi="宋体" w:eastAsia="宋体" w:cs="Times New Roman"/>
      <w:sz w:val="24"/>
      <w:lang w:val="en-US" w:eastAsia="zh-CN" w:bidi="ar-SA"/>
    </w:rPr>
  </w:style>
  <w:style w:type="paragraph" w:customStyle="1" w:styleId="145">
    <w:name w:val="表头文本"/>
    <w:uiPriority w:val="0"/>
    <w:pPr>
      <w:jc w:val="center"/>
    </w:pPr>
    <w:rPr>
      <w:rFonts w:ascii="Arial" w:hAnsi="Arial" w:eastAsia="宋体" w:cs="Times New Roman"/>
      <w:b/>
      <w:sz w:val="21"/>
      <w:lang w:val="en-US" w:eastAsia="zh-CN" w:bidi="ar-SA"/>
    </w:rPr>
  </w:style>
  <w:style w:type="paragraph" w:customStyle="1" w:styleId="146">
    <w:name w:val="Item Step in Table"/>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47">
    <w:name w:val="正文格式 Char"/>
    <w:basedOn w:val="1"/>
    <w:uiPriority w:val="0"/>
    <w:pPr>
      <w:widowControl/>
      <w:adjustRightInd w:val="0"/>
      <w:spacing w:line="440" w:lineRule="atLeast"/>
      <w:ind w:firstLine="510"/>
      <w:textAlignment w:val="baseline"/>
    </w:pPr>
    <w:rPr>
      <w:kern w:val="0"/>
      <w:sz w:val="24"/>
    </w:rPr>
  </w:style>
  <w:style w:type="paragraph" w:customStyle="1" w:styleId="148">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9">
    <w:name w:val="段 Char"/>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50">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1">
    <w:name w:val="Note"/>
    <w:basedOn w:val="1"/>
    <w:uiPriority w:val="0"/>
    <w:pPr>
      <w:pBdr>
        <w:top w:val="single" w:color="auto" w:sz="12" w:space="3"/>
        <w:bottom w:val="single" w:color="auto" w:sz="12" w:space="3"/>
      </w:pBdr>
      <w:spacing w:line="360" w:lineRule="auto"/>
    </w:pPr>
    <w:rPr>
      <w:sz w:val="24"/>
    </w:rPr>
  </w:style>
  <w:style w:type="paragraph" w:customStyle="1" w:styleId="152">
    <w:name w:val="样式 样式 正文首行缩进 2 + 左  0 字符 + 首行缩进:  2.57 字符"/>
    <w:basedOn w:val="1"/>
    <w:next w:val="1"/>
    <w:uiPriority w:val="0"/>
    <w:pPr>
      <w:adjustRightInd w:val="0"/>
      <w:snapToGrid w:val="0"/>
      <w:spacing w:after="120"/>
      <w:ind w:firstLine="540"/>
    </w:pPr>
    <w:rPr>
      <w:sz w:val="21"/>
    </w:rPr>
  </w:style>
  <w:style w:type="paragraph" w:customStyle="1" w:styleId="153">
    <w:name w:val="Title - Date"/>
    <w:basedOn w:val="53"/>
    <w:next w:val="1"/>
    <w:uiPriority w:val="0"/>
    <w:pPr>
      <w:spacing w:before="240" w:after="720"/>
    </w:pPr>
    <w:rPr>
      <w:sz w:val="28"/>
    </w:rPr>
  </w:style>
  <w:style w:type="paragraph" w:customStyle="1" w:styleId="154">
    <w:name w:val="Char Char Char Char Char Char Char"/>
    <w:basedOn w:val="17"/>
    <w:uiPriority w:val="0"/>
    <w:rPr>
      <w:rFonts w:ascii="宋体" w:hAnsi="Tahoma"/>
    </w:rPr>
  </w:style>
  <w:style w:type="paragraph" w:customStyle="1" w:styleId="155">
    <w:name w:val="摘要"/>
    <w:basedOn w:val="1"/>
    <w:next w:val="4"/>
    <w:uiPriority w:val="0"/>
    <w:pPr>
      <w:spacing w:line="360" w:lineRule="auto"/>
    </w:pPr>
    <w:rPr>
      <w:rFonts w:eastAsia="黑体"/>
      <w:sz w:val="20"/>
    </w:rPr>
  </w:style>
  <w:style w:type="paragraph" w:customStyle="1" w:styleId="156">
    <w:name w:val="Char Char 字元 字元 字元 Char Char Char Char"/>
    <w:basedOn w:val="1"/>
    <w:uiPriority w:val="0"/>
    <w:pPr>
      <w:adjustRightInd w:val="0"/>
      <w:spacing w:line="360" w:lineRule="auto"/>
    </w:pPr>
    <w:rPr>
      <w:kern w:val="0"/>
      <w:sz w:val="24"/>
    </w:rPr>
  </w:style>
  <w:style w:type="paragraph" w:customStyle="1" w:styleId="157">
    <w:name w:val="标书正文:  0.74 厘米"/>
    <w:basedOn w:val="1"/>
    <w:uiPriority w:val="0"/>
    <w:pPr>
      <w:snapToGrid w:val="0"/>
      <w:spacing w:line="360" w:lineRule="auto"/>
      <w:ind w:firstLine="420"/>
    </w:pPr>
    <w:rPr>
      <w:sz w:val="24"/>
    </w:rPr>
  </w:style>
  <w:style w:type="paragraph" w:customStyle="1" w:styleId="158">
    <w:name w:val="1.正文"/>
    <w:basedOn w:val="1"/>
    <w:uiPriority w:val="0"/>
    <w:pPr>
      <w:spacing w:line="360" w:lineRule="auto"/>
      <w:ind w:left="540" w:firstLine="540"/>
    </w:pPr>
    <w:rPr>
      <w:sz w:val="24"/>
    </w:rPr>
  </w:style>
  <w:style w:type="paragraph" w:customStyle="1" w:styleId="159">
    <w:name w:val="表号"/>
    <w:basedOn w:val="1"/>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0">
    <w:name w:val="1"/>
    <w:basedOn w:val="1"/>
    <w:next w:val="30"/>
    <w:uiPriority w:val="0"/>
    <w:rPr>
      <w:rFonts w:ascii="宋体" w:hAnsi="Courier New"/>
      <w:sz w:val="21"/>
    </w:rPr>
  </w:style>
  <w:style w:type="paragraph" w:customStyle="1" w:styleId="161">
    <w:name w:val="_"/>
    <w:basedOn w:val="1"/>
    <w:uiPriority w:val="0"/>
    <w:pPr>
      <w:adjustRightInd w:val="0"/>
      <w:spacing w:line="360" w:lineRule="auto"/>
      <w:ind w:left="480" w:firstLine="200"/>
      <w:textAlignment w:val="baseline"/>
    </w:pPr>
    <w:rPr>
      <w:kern w:val="0"/>
      <w:sz w:val="24"/>
    </w:rPr>
  </w:style>
  <w:style w:type="paragraph" w:customStyle="1" w:styleId="162">
    <w:name w:val="Char"/>
    <w:basedOn w:val="1"/>
    <w:uiPriority w:val="0"/>
    <w:pPr>
      <w:spacing w:line="240" w:lineRule="atLeast"/>
      <w:ind w:left="420" w:firstLine="420"/>
    </w:pPr>
    <w:rPr>
      <w:kern w:val="0"/>
      <w:sz w:val="21"/>
    </w:rPr>
  </w:style>
  <w:style w:type="paragraph" w:customStyle="1" w:styleId="163">
    <w:name w:val="Table Paragraph"/>
    <w:basedOn w:val="1"/>
    <w:qFormat/>
    <w:uiPriority w:val="1"/>
  </w:style>
  <w:style w:type="paragraph" w:customStyle="1" w:styleId="164">
    <w:name w:val="Char Char Char Char Char Char Char1"/>
    <w:basedOn w:val="1"/>
    <w:uiPriority w:val="0"/>
    <w:rPr>
      <w:rFonts w:ascii="Tahoma" w:hAnsi="Tahoma"/>
      <w:sz w:val="24"/>
    </w:rPr>
  </w:style>
  <w:style w:type="paragraph" w:customStyle="1" w:styleId="165">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6">
    <w:name w:val="Char Char1 Char"/>
    <w:basedOn w:val="1"/>
    <w:uiPriority w:val="0"/>
    <w:rPr>
      <w:rFonts w:ascii="Tahoma" w:hAnsi="Tahoma"/>
      <w:sz w:val="24"/>
      <w:szCs w:val="24"/>
    </w:rPr>
  </w:style>
  <w:style w:type="paragraph" w:customStyle="1" w:styleId="167">
    <w:name w:val="正文文本 21"/>
    <w:basedOn w:val="1"/>
    <w:uiPriority w:val="0"/>
    <w:pPr>
      <w:adjustRightInd w:val="0"/>
      <w:spacing w:before="120" w:line="360" w:lineRule="auto"/>
      <w:ind w:firstLine="480"/>
      <w:textAlignment w:val="baseline"/>
    </w:pPr>
    <w:rPr>
      <w:sz w:val="24"/>
    </w:rPr>
  </w:style>
  <w:style w:type="paragraph" w:customStyle="1" w:styleId="168">
    <w:name w:val="二级条标题"/>
    <w:basedOn w:val="169"/>
    <w:next w:val="171"/>
    <w:uiPriority w:val="0"/>
    <w:pPr>
      <w:ind w:left="840"/>
      <w:outlineLvl w:val="3"/>
    </w:pPr>
  </w:style>
  <w:style w:type="paragraph" w:customStyle="1" w:styleId="169">
    <w:name w:val="一级条标题"/>
    <w:basedOn w:val="170"/>
    <w:next w:val="171"/>
    <w:uiPriority w:val="0"/>
    <w:pPr>
      <w:numPr>
        <w:numId w:val="0"/>
      </w:numPr>
      <w:spacing w:before="0" w:after="0"/>
      <w:ind w:left="525"/>
      <w:outlineLvl w:val="2"/>
    </w:pPr>
    <w:rPr>
      <w:sz w:val="21"/>
    </w:rPr>
  </w:style>
  <w:style w:type="paragraph" w:customStyle="1" w:styleId="170">
    <w:name w:val="章标题"/>
    <w:next w:val="1"/>
    <w:uiPriority w:val="0"/>
    <w:pPr>
      <w:numPr>
        <w:ilvl w:val="1"/>
        <w:numId w:val="7"/>
      </w:numPr>
      <w:spacing w:before="156" w:after="156"/>
      <w:ind w:left="0"/>
      <w:jc w:val="both"/>
      <w:outlineLvl w:val="1"/>
    </w:pPr>
    <w:rPr>
      <w:rFonts w:ascii="黑体" w:hAnsi="Times New Roman" w:eastAsia="黑体" w:cs="Times New Roman"/>
      <w:sz w:val="24"/>
      <w:lang w:val="en-US" w:eastAsia="zh-CN" w:bidi="ar-SA"/>
    </w:rPr>
  </w:style>
  <w:style w:type="paragraph" w:customStyle="1" w:styleId="171">
    <w:name w:val="段"/>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72">
    <w:name w:val="首行缩进"/>
    <w:basedOn w:val="1"/>
    <w:uiPriority w:val="0"/>
    <w:pPr>
      <w:numPr>
        <w:ilvl w:val="0"/>
        <w:numId w:val="9"/>
      </w:numPr>
      <w:spacing w:line="360" w:lineRule="auto"/>
    </w:pPr>
    <w:rPr>
      <w:rFonts w:eastAsia="仿宋_GB2312"/>
    </w:rPr>
  </w:style>
  <w:style w:type="paragraph" w:customStyle="1" w:styleId="173">
    <w:name w:val="样式 正文缩进正文（首行缩进两字）表正文正文非缩进特点标题4段1 + 首行缩进:  2 字符"/>
    <w:basedOn w:val="15"/>
    <w:uiPriority w:val="0"/>
    <w:pPr>
      <w:ind w:firstLine="480"/>
    </w:pPr>
  </w:style>
  <w:style w:type="paragraph" w:customStyle="1" w:styleId="174">
    <w:name w:val="司法正文"/>
    <w:uiPriority w:val="0"/>
    <w:pPr>
      <w:widowControl w:val="0"/>
      <w:ind w:firstLine="200"/>
      <w:jc w:val="both"/>
    </w:pPr>
    <w:rPr>
      <w:rFonts w:ascii="Times New Roman" w:hAnsi="Times New Roman" w:eastAsia="仿宋_GB2312" w:cs="Times New Roman"/>
      <w:sz w:val="32"/>
      <w:lang w:val="en-US" w:eastAsia="zh-CN" w:bidi="ar-SA"/>
    </w:rPr>
  </w:style>
  <w:style w:type="paragraph" w:customStyle="1" w:styleId="175">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76">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77">
    <w:name w:val="标准正文"/>
    <w:basedOn w:val="23"/>
    <w:uiPriority w:val="0"/>
    <w:pPr>
      <w:spacing w:before="60" w:after="60" w:line="360" w:lineRule="auto"/>
      <w:ind w:left="0" w:firstLine="482"/>
    </w:pPr>
    <w:rPr>
      <w:rFonts w:ascii="Arial" w:hAnsi="Arial"/>
      <w:sz w:val="24"/>
    </w:rPr>
  </w:style>
  <w:style w:type="paragraph" w:customStyle="1" w:styleId="178">
    <w:name w:val="首行缩进 1"/>
    <w:basedOn w:val="1"/>
    <w:uiPriority w:val="0"/>
    <w:pPr>
      <w:spacing w:after="120" w:line="360" w:lineRule="auto"/>
      <w:ind w:firstLine="200"/>
    </w:pPr>
    <w:rPr>
      <w:sz w:val="24"/>
    </w:rPr>
  </w:style>
  <w:style w:type="paragraph" w:customStyle="1" w:styleId="179">
    <w:name w:val="Char Char1"/>
    <w:basedOn w:val="1"/>
    <w:uiPriority w:val="0"/>
    <w:pPr>
      <w:widowControl/>
      <w:spacing w:after="160" w:line="240" w:lineRule="exact"/>
      <w:jc w:val="left"/>
    </w:pPr>
    <w:rPr>
      <w:rFonts w:ascii="Verdana" w:hAnsi="Verdana"/>
      <w:kern w:val="0"/>
      <w:sz w:val="20"/>
      <w:lang w:eastAsia="en-US"/>
    </w:rPr>
  </w:style>
  <w:style w:type="paragraph" w:customStyle="1" w:styleId="180">
    <w:name w:val="表文字"/>
    <w:uiPriority w:val="0"/>
    <w:rPr>
      <w:rFonts w:ascii="宋体" w:hAnsi="Times New Roman" w:eastAsia="宋体" w:cs="Times New Roman"/>
      <w:kern w:val="2"/>
      <w:lang w:val="en-US" w:eastAsia="zh-CN" w:bidi="ar-SA"/>
    </w:rPr>
  </w:style>
  <w:style w:type="paragraph" w:styleId="181">
    <w:name w:val="List Paragraph"/>
    <w:basedOn w:val="1"/>
    <w:qFormat/>
    <w:uiPriority w:val="34"/>
    <w:pPr>
      <w:ind w:firstLine="420" w:firstLineChars="200"/>
    </w:pPr>
  </w:style>
  <w:style w:type="paragraph" w:customStyle="1" w:styleId="182">
    <w:name w:val="正文字缩2字"/>
    <w:basedOn w:val="1"/>
    <w:uiPriority w:val="0"/>
    <w:pPr>
      <w:spacing w:before="60" w:after="60" w:line="360" w:lineRule="auto"/>
      <w:ind w:left="200" w:firstLine="200"/>
    </w:pPr>
    <w:rPr>
      <w:sz w:val="24"/>
    </w:rPr>
  </w:style>
  <w:style w:type="paragraph" w:customStyle="1" w:styleId="183">
    <w:name w:val="正文表格"/>
    <w:basedOn w:val="1"/>
    <w:uiPriority w:val="0"/>
    <w:pPr>
      <w:adjustRightInd w:val="0"/>
      <w:spacing w:before="40" w:after="40"/>
    </w:pPr>
    <w:rPr>
      <w:sz w:val="24"/>
    </w:rPr>
  </w:style>
  <w:style w:type="paragraph" w:customStyle="1" w:styleId="184">
    <w:name w:val="CSS1级正文 Char"/>
    <w:basedOn w:val="22"/>
    <w:uiPriority w:val="0"/>
    <w:pPr>
      <w:adjustRightInd w:val="0"/>
      <w:snapToGrid w:val="0"/>
      <w:spacing w:line="360" w:lineRule="auto"/>
      <w:ind w:firstLine="480"/>
    </w:pPr>
    <w:rPr>
      <w:rFonts w:ascii="Times New Roman" w:eastAsia="宋体"/>
      <w:sz w:val="24"/>
    </w:rPr>
  </w:style>
  <w:style w:type="paragraph" w:customStyle="1" w:styleId="185">
    <w:name w:val="二级列表"/>
    <w:basedOn w:val="186"/>
    <w:next w:val="186"/>
    <w:uiPriority w:val="0"/>
    <w:pPr>
      <w:tabs>
        <w:tab w:val="left" w:pos="2120"/>
      </w:tabs>
      <w:ind w:firstLine="0"/>
    </w:pPr>
    <w:rPr>
      <w:b/>
    </w:rPr>
  </w:style>
  <w:style w:type="paragraph" w:customStyle="1" w:styleId="186">
    <w:name w:val="段落正文"/>
    <w:basedOn w:val="1"/>
    <w:uiPriority w:val="0"/>
    <w:pPr>
      <w:spacing w:before="156" w:line="360" w:lineRule="auto"/>
      <w:ind w:firstLine="200"/>
    </w:pPr>
    <w:rPr>
      <w:spacing w:val="2"/>
      <w:sz w:val="24"/>
    </w:rPr>
  </w:style>
  <w:style w:type="paragraph" w:customStyle="1" w:styleId="187">
    <w:name w:val="样式 宋体 五号 行距: 单倍行距"/>
    <w:basedOn w:val="1"/>
    <w:uiPriority w:val="0"/>
    <w:pPr>
      <w:adjustRightInd w:val="0"/>
      <w:jc w:val="left"/>
    </w:pPr>
    <w:rPr>
      <w:rFonts w:ascii="宋体" w:hAnsi="宋体"/>
      <w:kern w:val="0"/>
      <w:sz w:val="21"/>
    </w:rPr>
  </w:style>
  <w:style w:type="paragraph" w:customStyle="1" w:styleId="188">
    <w:name w:val="默认段落字体 Para Char Char Char Char Char Char Char"/>
    <w:basedOn w:val="1"/>
    <w:uiPriority w:val="0"/>
    <w:rPr>
      <w:rFonts w:ascii="Tahoma" w:hAnsi="Tahoma"/>
      <w:sz w:val="24"/>
    </w:rPr>
  </w:style>
  <w:style w:type="paragraph" w:customStyle="1" w:styleId="189">
    <w:name w:val="00"/>
    <w:basedOn w:val="1"/>
    <w:uiPriority w:val="0"/>
    <w:pPr>
      <w:autoSpaceDE w:val="0"/>
      <w:autoSpaceDN w:val="0"/>
      <w:adjustRightInd w:val="0"/>
      <w:jc w:val="left"/>
    </w:pPr>
    <w:rPr>
      <w:rFonts w:ascii="黑体" w:eastAsia="黑体"/>
      <w:b/>
      <w:kern w:val="0"/>
      <w:sz w:val="20"/>
    </w:rPr>
  </w:style>
  <w:style w:type="paragraph" w:customStyle="1" w:styleId="190">
    <w:name w:val="标题无"/>
    <w:basedOn w:val="1"/>
    <w:uiPriority w:val="0"/>
    <w:pPr>
      <w:spacing w:line="360" w:lineRule="auto"/>
    </w:pPr>
    <w:rPr>
      <w:sz w:val="24"/>
    </w:rPr>
  </w:style>
  <w:style w:type="paragraph" w:customStyle="1" w:styleId="191">
    <w:name w:val="样式2"/>
    <w:basedOn w:val="5"/>
    <w:uiPriority w:val="0"/>
    <w:pPr>
      <w:numPr>
        <w:ilvl w:val="0"/>
        <w:numId w:val="10"/>
      </w:numPr>
      <w:spacing w:before="560" w:line="400" w:lineRule="exact"/>
      <w:jc w:val="center"/>
      <w:outlineLvl w:val="0"/>
    </w:pPr>
    <w:rPr>
      <w:b w:val="0"/>
      <w:sz w:val="44"/>
    </w:rPr>
  </w:style>
  <w:style w:type="paragraph" w:customStyle="1" w:styleId="192">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3">
    <w:name w:val="文章正文"/>
    <w:basedOn w:val="1"/>
    <w:uiPriority w:val="0"/>
    <w:pPr>
      <w:ind w:firstLine="560"/>
    </w:pPr>
    <w:rPr>
      <w:rFonts w:ascii="仿宋_GB2312" w:hAnsi="宋体" w:eastAsia="仿宋_GB2312"/>
      <w:color w:val="000000"/>
    </w:rPr>
  </w:style>
  <w:style w:type="paragraph" w:customStyle="1" w:styleId="194">
    <w:name w:val="正文 + 三号"/>
    <w:basedOn w:val="1"/>
    <w:uiPriority w:val="0"/>
    <w:rPr>
      <w:sz w:val="21"/>
    </w:rPr>
  </w:style>
  <w:style w:type="paragraph" w:customStyle="1" w:styleId="195">
    <w:name w:val="样式1xz"/>
    <w:basedOn w:val="1"/>
    <w:uiPriority w:val="0"/>
    <w:pPr>
      <w:tabs>
        <w:tab w:val="left" w:pos="1050"/>
        <w:tab w:val="right" w:leader="dot" w:pos="8296"/>
      </w:tabs>
    </w:pPr>
    <w:rPr>
      <w:caps/>
      <w:spacing w:val="20"/>
      <w:sz w:val="24"/>
    </w:rPr>
  </w:style>
  <w:style w:type="paragraph" w:customStyle="1" w:styleId="196">
    <w:name w:val="xl23"/>
    <w:basedOn w:val="1"/>
    <w:uiPriority w:val="0"/>
    <w:pPr>
      <w:widowControl/>
      <w:spacing w:before="100" w:beforeAutospacing="1" w:after="100" w:afterAutospacing="1" w:line="360" w:lineRule="auto"/>
      <w:textAlignment w:val="top"/>
    </w:pPr>
    <w:rPr>
      <w:kern w:val="0"/>
      <w:sz w:val="24"/>
    </w:rPr>
  </w:style>
  <w:style w:type="paragraph" w:customStyle="1" w:styleId="197">
    <w:name w:val="操作步骤"/>
    <w:basedOn w:val="1"/>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8">
    <w:name w:val="简单回函地址"/>
    <w:basedOn w:val="1"/>
    <w:uiPriority w:val="0"/>
    <w:pPr>
      <w:adjustRightInd w:val="0"/>
      <w:snapToGrid w:val="0"/>
      <w:spacing w:line="360" w:lineRule="auto"/>
    </w:pPr>
    <w:rPr>
      <w:sz w:val="24"/>
    </w:rPr>
  </w:style>
  <w:style w:type="paragraph" w:customStyle="1" w:styleId="199">
    <w:name w:val="样式 宋体 五号 两端对齐 行距: 单倍行距"/>
    <w:basedOn w:val="1"/>
    <w:uiPriority w:val="0"/>
    <w:pPr>
      <w:adjustRightInd w:val="0"/>
      <w:textAlignment w:val="baseline"/>
    </w:pPr>
    <w:rPr>
      <w:rFonts w:ascii="宋体" w:hAnsi="宋体"/>
      <w:kern w:val="0"/>
      <w:sz w:val="21"/>
    </w:rPr>
  </w:style>
  <w:style w:type="paragraph" w:customStyle="1" w:styleId="200">
    <w:name w:val="标题2"/>
    <w:basedOn w:val="4"/>
    <w:uiPriority w:val="0"/>
    <w:pPr>
      <w:keepNext w:val="0"/>
      <w:keepLines w:val="0"/>
      <w:adjustRightInd w:val="0"/>
      <w:snapToGrid w:val="0"/>
      <w:spacing w:before="0" w:after="0" w:line="360" w:lineRule="auto"/>
      <w:ind w:firstLine="574"/>
      <w:outlineLvl w:val="9"/>
    </w:pPr>
    <w:rPr>
      <w:rFonts w:ascii="宋体" w:hAnsi="宋体" w:eastAsia="宋体"/>
      <w:spacing w:val="6"/>
      <w:sz w:val="28"/>
      <w:u w:val="single"/>
    </w:rPr>
  </w:style>
  <w:style w:type="paragraph" w:customStyle="1" w:styleId="201">
    <w:name w:val="样式1"/>
    <w:basedOn w:val="5"/>
    <w:uiPriority w:val="0"/>
    <w:pPr>
      <w:tabs>
        <w:tab w:val="left" w:pos="720"/>
      </w:tabs>
      <w:spacing w:before="500" w:after="260" w:line="560" w:lineRule="atLeast"/>
      <w:ind w:left="420" w:hanging="420"/>
    </w:pPr>
  </w:style>
  <w:style w:type="paragraph" w:customStyle="1" w:styleId="202">
    <w:name w:val="样式 首行缩进:  0.74 厘米"/>
    <w:basedOn w:val="1"/>
    <w:uiPriority w:val="0"/>
    <w:pPr>
      <w:spacing w:line="360" w:lineRule="auto"/>
      <w:ind w:firstLine="420"/>
    </w:pPr>
    <w:rPr>
      <w:sz w:val="24"/>
    </w:rPr>
  </w:style>
  <w:style w:type="paragraph" w:customStyle="1" w:styleId="203">
    <w:name w:val="af"/>
    <w:basedOn w:val="1"/>
    <w:uiPriority w:val="0"/>
    <w:pPr>
      <w:widowControl/>
      <w:spacing w:line="300" w:lineRule="atLeast"/>
      <w:jc w:val="left"/>
    </w:pPr>
    <w:rPr>
      <w:rFonts w:ascii="宋体" w:hAnsi="宋体"/>
      <w:kern w:val="0"/>
      <w:sz w:val="18"/>
    </w:rPr>
  </w:style>
  <w:style w:type="paragraph" w:customStyle="1" w:styleId="204">
    <w:name w:val="图例"/>
    <w:basedOn w:val="1"/>
    <w:uiPriority w:val="0"/>
    <w:pPr>
      <w:spacing w:before="120" w:after="120" w:line="360" w:lineRule="auto"/>
      <w:jc w:val="center"/>
    </w:pPr>
    <w:rPr>
      <w:rFonts w:eastAsia="仿宋_GB2312"/>
      <w:b/>
      <w:sz w:val="24"/>
    </w:rPr>
  </w:style>
  <w:style w:type="paragraph" w:customStyle="1" w:styleId="205">
    <w:name w:val="表头样式"/>
    <w:basedOn w:val="1"/>
    <w:uiPriority w:val="0"/>
    <w:pPr>
      <w:autoSpaceDE w:val="0"/>
      <w:autoSpaceDN w:val="0"/>
      <w:adjustRightInd w:val="0"/>
      <w:spacing w:line="360" w:lineRule="auto"/>
      <w:jc w:val="left"/>
    </w:pPr>
    <w:rPr>
      <w:b/>
      <w:kern w:val="0"/>
      <w:sz w:val="21"/>
    </w:rPr>
  </w:style>
  <w:style w:type="paragraph" w:customStyle="1" w:styleId="206">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07">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208">
    <w:name w:val="表格文本"/>
    <w:uiPriority w:val="0"/>
    <w:pPr>
      <w:tabs>
        <w:tab w:val="decimal" w:pos="0"/>
      </w:tabs>
    </w:pPr>
    <w:rPr>
      <w:rFonts w:ascii="Arial" w:hAnsi="Arial" w:eastAsia="宋体" w:cs="Times New Roman"/>
      <w:sz w:val="21"/>
      <w:lang w:val="en-US" w:eastAsia="zh-CN" w:bidi="ar-SA"/>
    </w:rPr>
  </w:style>
  <w:style w:type="paragraph" w:customStyle="1" w:styleId="209">
    <w:name w:val="关键词"/>
    <w:basedOn w:val="1"/>
    <w:next w:val="1"/>
    <w:uiPriority w:val="0"/>
    <w:pPr>
      <w:spacing w:line="360" w:lineRule="auto"/>
    </w:pPr>
    <w:rPr>
      <w:rFonts w:eastAsia="黑体"/>
      <w:sz w:val="20"/>
    </w:rPr>
  </w:style>
  <w:style w:type="paragraph" w:customStyle="1" w:styleId="21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1">
    <w:name w:val="Char Char Char Char Char Char Char Char Char Char Char Char Char Char Char Char"/>
    <w:basedOn w:val="1"/>
    <w:uiPriority w:val="0"/>
    <w:pPr>
      <w:tabs>
        <w:tab w:val="left" w:pos="360"/>
      </w:tabs>
    </w:pPr>
    <w:rPr>
      <w:sz w:val="24"/>
    </w:rPr>
  </w:style>
  <w:style w:type="paragraph" w:customStyle="1" w:styleId="212">
    <w:name w:val="样式 标题 1 + 居中 段前: 6 磅 段后: 6 磅 行距: 1.5 倍行距"/>
    <w:basedOn w:val="3"/>
    <w:uiPriority w:val="0"/>
    <w:pPr>
      <w:keepLines/>
      <w:adjustRightInd w:val="0"/>
      <w:spacing w:before="120" w:after="120" w:line="360" w:lineRule="auto"/>
      <w:jc w:val="center"/>
    </w:pPr>
    <w:rPr>
      <w:rFonts w:ascii="Times New Roman"/>
      <w:b/>
      <w:kern w:val="44"/>
      <w:sz w:val="32"/>
    </w:rPr>
  </w:style>
  <w:style w:type="paragraph" w:customStyle="1" w:styleId="213">
    <w:name w:val="正文格式"/>
    <w:basedOn w:val="1"/>
    <w:uiPriority w:val="0"/>
    <w:pPr>
      <w:widowControl/>
      <w:adjustRightInd w:val="0"/>
      <w:snapToGrid w:val="0"/>
      <w:spacing w:before="60" w:line="360" w:lineRule="auto"/>
      <w:ind w:firstLine="480"/>
      <w:jc w:val="left"/>
      <w:textAlignment w:val="baseline"/>
    </w:pPr>
    <w:rPr>
      <w:rFonts w:ascii="宋体" w:hAnsi="宋体"/>
      <w:color w:val="000000"/>
      <w:kern w:val="0"/>
      <w:sz w:val="24"/>
    </w:rPr>
  </w:style>
  <w:style w:type="paragraph" w:customStyle="1" w:styleId="214">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6">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217">
    <w:name w:val="样式 标题 1章标题Heading 0Section HeadPIM 1H1h11st levell11H1..."/>
    <w:basedOn w:val="3"/>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8">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219">
    <w:name w:val="样式4"/>
    <w:basedOn w:val="5"/>
    <w:uiPriority w:val="0"/>
    <w:pPr>
      <w:adjustRightInd w:val="0"/>
      <w:snapToGrid w:val="0"/>
    </w:pPr>
  </w:style>
  <w:style w:type="paragraph" w:customStyle="1" w:styleId="220">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样式 样式 首行缩进:  2 字符 + 首行缩进:  2 字符"/>
    <w:basedOn w:val="1"/>
    <w:uiPriority w:val="0"/>
    <w:pPr>
      <w:numPr>
        <w:ilvl w:val="0"/>
        <w:numId w:val="12"/>
      </w:numPr>
      <w:tabs>
        <w:tab w:val="clear" w:pos="1230"/>
      </w:tabs>
      <w:spacing w:line="360" w:lineRule="auto"/>
      <w:ind w:firstLine="480"/>
    </w:pPr>
    <w:rPr>
      <w:sz w:val="24"/>
    </w:rPr>
  </w:style>
  <w:style w:type="paragraph" w:customStyle="1" w:styleId="222">
    <w:name w:val="样式 仿宋_GB2312 首行缩进:  2 字符"/>
    <w:basedOn w:val="1"/>
    <w:uiPriority w:val="0"/>
    <w:pPr>
      <w:spacing w:line="600" w:lineRule="exact"/>
      <w:ind w:firstLine="420"/>
      <w:jc w:val="left"/>
    </w:pPr>
    <w:rPr>
      <w:rFonts w:ascii="仿宋_GB2312" w:hAnsi="Arial" w:eastAsia="仿宋_GB2312"/>
      <w:color w:val="000000"/>
      <w:kern w:val="0"/>
      <w:lang w:val="zh-CN"/>
    </w:rPr>
  </w:style>
  <w:style w:type="paragraph" w:customStyle="1" w:styleId="223">
    <w:name w:val="Char2"/>
    <w:basedOn w:val="1"/>
    <w:uiPriority w:val="0"/>
    <w:pPr>
      <w:spacing w:line="240" w:lineRule="atLeast"/>
      <w:ind w:left="420" w:firstLine="420"/>
    </w:pPr>
    <w:rPr>
      <w:kern w:val="0"/>
      <w:sz w:val="21"/>
    </w:rPr>
  </w:style>
  <w:style w:type="paragraph" w:customStyle="1" w:styleId="224">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225">
    <w:name w:val="Revision"/>
    <w:uiPriority w:val="0"/>
    <w:rPr>
      <w:rFonts w:ascii="Times New Roman" w:hAnsi="Times New Roman" w:eastAsia="宋体" w:cs="Times New Roman"/>
      <w:kern w:val="2"/>
      <w:sz w:val="21"/>
      <w:lang w:val="en-US" w:eastAsia="zh-CN" w:bidi="ar-SA"/>
    </w:rPr>
  </w:style>
  <w:style w:type="paragraph" w:customStyle="1" w:styleId="22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7">
    <w:name w:val="Char1 Char Char Char"/>
    <w:basedOn w:val="1"/>
    <w:uiPriority w:val="0"/>
    <w:rPr>
      <w:rFonts w:ascii="Tahoma" w:hAnsi="Tahoma"/>
      <w:sz w:val="24"/>
    </w:rPr>
  </w:style>
  <w:style w:type="paragraph" w:customStyle="1" w:styleId="228">
    <w:name w:val="样式 标题 6第五层条 + 三号 段前: 0.5 行"/>
    <w:basedOn w:val="7"/>
    <w:uiPriority w:val="0"/>
    <w:pPr>
      <w:widowControl/>
      <w:adjustRightInd/>
      <w:snapToGrid/>
      <w:spacing w:before="156"/>
      <w:jc w:val="left"/>
    </w:pPr>
    <w:rPr>
      <w:snapToGrid w:val="0"/>
      <w:kern w:val="24"/>
      <w:sz w:val="28"/>
    </w:rPr>
  </w:style>
  <w:style w:type="paragraph" w:customStyle="1" w:styleId="229">
    <w:name w:val="标题3——2"/>
    <w:basedOn w:val="2"/>
    <w:next w:val="55"/>
    <w:uiPriority w:val="0"/>
    <w:pPr>
      <w:tabs>
        <w:tab w:val="left" w:pos="1280"/>
        <w:tab w:val="right" w:leader="dot" w:pos="8777"/>
      </w:tabs>
      <w:spacing w:before="312" w:after="0" w:line="240" w:lineRule="auto"/>
      <w:ind w:left="851" w:hanging="851"/>
      <w:outlineLvl w:val="9"/>
    </w:pPr>
    <w:rPr>
      <w:rFonts w:ascii="黑体" w:hAnsi="宋体" w:eastAsia="黑体"/>
      <w:sz w:val="30"/>
    </w:rPr>
  </w:style>
  <w:style w:type="paragraph" w:customStyle="1" w:styleId="230">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1">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32">
    <w:name w:val="文本1"/>
    <w:basedOn w:val="1"/>
    <w:uiPriority w:val="0"/>
    <w:pPr>
      <w:adjustRightInd w:val="0"/>
      <w:spacing w:line="312" w:lineRule="atLeast"/>
      <w:jc w:val="center"/>
      <w:textAlignment w:val="baseline"/>
    </w:pPr>
    <w:rPr>
      <w:kern w:val="0"/>
      <w:sz w:val="18"/>
    </w:rPr>
  </w:style>
  <w:style w:type="paragraph" w:customStyle="1" w:styleId="233">
    <w:name w:val="默认段落字体 Para Char Char Char Char Char Char Char Char Char1 Char Char Char Char"/>
    <w:basedOn w:val="1"/>
    <w:uiPriority w:val="0"/>
    <w:rPr>
      <w:rFonts w:ascii="Tahoma" w:hAnsi="Tahoma"/>
      <w:sz w:val="24"/>
    </w:rPr>
  </w:style>
  <w:style w:type="paragraph" w:customStyle="1" w:styleId="234">
    <w:name w:val="bt"/>
    <w:basedOn w:val="1"/>
    <w:next w:val="2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正文（首行不缩进）"/>
    <w:basedOn w:val="1"/>
    <w:uiPriority w:val="0"/>
    <w:pPr>
      <w:autoSpaceDE w:val="0"/>
      <w:autoSpaceDN w:val="0"/>
      <w:adjustRightInd w:val="0"/>
      <w:spacing w:line="360" w:lineRule="auto"/>
      <w:jc w:val="left"/>
    </w:pPr>
    <w:rPr>
      <w:kern w:val="0"/>
      <w:sz w:val="21"/>
    </w:rPr>
  </w:style>
  <w:style w:type="paragraph" w:customStyle="1" w:styleId="236">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37">
    <w:name w:val="Char Char Char Char Char"/>
    <w:basedOn w:val="1"/>
    <w:uiPriority w:val="0"/>
    <w:pPr>
      <w:tabs>
        <w:tab w:val="left" w:pos="425"/>
      </w:tabs>
      <w:ind w:left="1620" w:hanging="360"/>
    </w:pPr>
    <w:rPr>
      <w:rFonts w:ascii="Tahoma" w:hAnsi="Tahoma"/>
      <w:sz w:val="24"/>
    </w:rPr>
  </w:style>
  <w:style w:type="paragraph" w:customStyle="1" w:styleId="238">
    <w:name w:val="Char1 Char Char Char1"/>
    <w:basedOn w:val="1"/>
    <w:uiPriority w:val="0"/>
    <w:rPr>
      <w:rFonts w:ascii="Tahoma" w:hAnsi="Tahoma"/>
      <w:sz w:val="30"/>
    </w:rPr>
  </w:style>
  <w:style w:type="paragraph" w:customStyle="1" w:styleId="239">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0">
    <w:name w:val="没有缩进（为图形使用）"/>
    <w:basedOn w:val="1"/>
    <w:uiPriority w:val="0"/>
    <w:pPr>
      <w:spacing w:before="120" w:after="120" w:line="360" w:lineRule="auto"/>
    </w:pPr>
    <w:rPr>
      <w:sz w:val="24"/>
    </w:rPr>
  </w:style>
  <w:style w:type="paragraph" w:customStyle="1" w:styleId="241">
    <w:name w:val="TOC Heading"/>
    <w:basedOn w:val="3"/>
    <w:next w:val="1"/>
    <w:unhideWhenUsed/>
    <w:qFormat/>
    <w:uiPriority w:val="39"/>
    <w:pPr>
      <w:keepLines/>
      <w:widowControl/>
      <w:snapToGrid/>
      <w:spacing w:before="240" w:line="259" w:lineRule="auto"/>
      <w:jc w:val="left"/>
      <w:outlineLvl w:val="9"/>
    </w:pPr>
    <w:rPr>
      <w:rFonts w:asciiTheme="majorHAnsi" w:hAnsiTheme="majorHAnsi" w:eastAsiaTheme="majorEastAsia" w:cstheme="majorBidi"/>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EBE5B-27A1-4B79-9ABA-64BB213FB088}">
  <ds:schemaRefs/>
</ds:datastoreItem>
</file>

<file path=docProps/app.xml><?xml version="1.0" encoding="utf-8"?>
<Properties xmlns="http://schemas.openxmlformats.org/officeDocument/2006/extended-properties" xmlns:vt="http://schemas.openxmlformats.org/officeDocument/2006/docPropsVTypes">
  <Template>Normal</Template>
  <Pages>43</Pages>
  <Words>3678</Words>
  <Characters>20966</Characters>
  <Lines>174</Lines>
  <Paragraphs>49</Paragraphs>
  <TotalTime>8</TotalTime>
  <ScaleCrop>false</ScaleCrop>
  <LinksUpToDate>false</LinksUpToDate>
  <CharactersWithSpaces>24595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2020-09-07T03:30:00Z</dcterms:created>
  <dc:creator>Administrator</dc:creator>
  <cp:lastModifiedBy>小平</cp:lastModifiedBy>
  <cp:lastPrinted>2020-07-13T09:04:00Z</cp:lastPrinted>
  <dcterms:modified xsi:type="dcterms:W3CDTF">2020-09-08T06:17:51Z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