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rPr>
          <w:rFonts w:hAnsi="宋体"/>
          <w:b/>
          <w:color w:val="000000"/>
          <w:szCs w:val="21"/>
        </w:rPr>
      </w:pPr>
    </w:p>
    <w:p>
      <w:pPr>
        <w:widowControl/>
        <w:autoSpaceDE w:val="0"/>
        <w:autoSpaceDN w:val="0"/>
        <w:spacing w:line="800" w:lineRule="atLeast"/>
        <w:jc w:val="center"/>
        <w:textAlignment w:val="bottom"/>
        <w:outlineLvl w:val="0"/>
        <w:rPr>
          <w:rFonts w:hint="eastAsia" w:ascii="方正小标宋_GBK" w:hAnsi="宋体" w:eastAsia="方正小标宋_GBK"/>
          <w:color w:val="000000" w:themeColor="text1"/>
          <w:sz w:val="44"/>
          <w:szCs w:val="44"/>
        </w:rPr>
      </w:pPr>
      <w:r>
        <w:rPr>
          <w:rFonts w:hint="eastAsia" w:ascii="方正小标宋_GBK" w:hAnsi="宋体" w:eastAsia="方正小标宋_GBK"/>
          <w:color w:val="000000" w:themeColor="text1"/>
          <w:sz w:val="44"/>
          <w:szCs w:val="44"/>
        </w:rPr>
        <w:t xml:space="preserve">重庆高速公路股份有限公司 </w:t>
      </w:r>
    </w:p>
    <w:p>
      <w:pPr>
        <w:widowControl/>
        <w:autoSpaceDE w:val="0"/>
        <w:autoSpaceDN w:val="0"/>
        <w:spacing w:line="800" w:lineRule="atLeast"/>
        <w:jc w:val="center"/>
        <w:textAlignment w:val="bottom"/>
        <w:outlineLvl w:val="0"/>
        <w:rPr>
          <w:rFonts w:ascii="方正小标宋_GBK" w:hAnsi="宋体" w:eastAsia="方正小标宋_GBK"/>
          <w:color w:val="000000" w:themeColor="text1"/>
          <w:sz w:val="44"/>
          <w:szCs w:val="44"/>
        </w:rPr>
      </w:pPr>
      <w:r>
        <w:rPr>
          <w:rFonts w:hint="eastAsia" w:ascii="方正小标宋_GBK" w:hAnsi="宋体" w:eastAsia="方正小标宋_GBK"/>
          <w:color w:val="000000" w:themeColor="text1"/>
          <w:sz w:val="44"/>
          <w:szCs w:val="44"/>
        </w:rPr>
        <w:t>202</w:t>
      </w:r>
      <w:r>
        <w:rPr>
          <w:rFonts w:hint="eastAsia" w:ascii="方正小标宋_GBK" w:hAnsi="宋体" w:eastAsia="方正小标宋_GBK"/>
          <w:color w:val="000000" w:themeColor="text1"/>
          <w:sz w:val="44"/>
          <w:szCs w:val="44"/>
          <w:lang w:val="en-US" w:eastAsia="zh-CN"/>
        </w:rPr>
        <w:t>3</w:t>
      </w:r>
      <w:r>
        <w:rPr>
          <w:rFonts w:hint="eastAsia" w:ascii="方正小标宋_GBK" w:hAnsi="宋体" w:eastAsia="方正小标宋_GBK"/>
          <w:color w:val="000000" w:themeColor="text1"/>
          <w:sz w:val="44"/>
          <w:szCs w:val="44"/>
        </w:rPr>
        <w:t>-20</w:t>
      </w:r>
      <w:r>
        <w:rPr>
          <w:rFonts w:ascii="方正小标宋_GBK" w:hAnsi="宋体" w:eastAsia="方正小标宋_GBK"/>
          <w:color w:val="000000" w:themeColor="text1"/>
          <w:sz w:val="44"/>
          <w:szCs w:val="44"/>
        </w:rPr>
        <w:t>2</w:t>
      </w:r>
      <w:r>
        <w:rPr>
          <w:rFonts w:hint="eastAsia" w:ascii="方正小标宋_GBK" w:hAnsi="宋体" w:eastAsia="方正小标宋_GBK"/>
          <w:color w:val="000000" w:themeColor="text1"/>
          <w:sz w:val="44"/>
          <w:szCs w:val="44"/>
          <w:lang w:val="en-US" w:eastAsia="zh-CN"/>
        </w:rPr>
        <w:t>7</w:t>
      </w:r>
      <w:r>
        <w:rPr>
          <w:rFonts w:hint="eastAsia" w:ascii="方正小标宋_GBK" w:hAnsi="宋体" w:eastAsia="方正小标宋_GBK"/>
          <w:color w:val="000000" w:themeColor="text1"/>
          <w:sz w:val="44"/>
          <w:szCs w:val="44"/>
        </w:rPr>
        <w:t>年</w:t>
      </w:r>
      <w:r>
        <w:rPr>
          <w:rFonts w:hint="eastAsia" w:ascii="方正小标宋_GBK" w:hAnsi="宋体" w:eastAsia="方正小标宋_GBK"/>
          <w:color w:val="000000" w:themeColor="text1"/>
          <w:sz w:val="44"/>
          <w:szCs w:val="44"/>
          <w:lang w:val="en-US" w:eastAsia="zh-CN"/>
        </w:rPr>
        <w:t>石忠、丰忠路段</w:t>
      </w:r>
      <w:r>
        <w:rPr>
          <w:rFonts w:hint="eastAsia" w:ascii="方正小标宋_GBK" w:hAnsi="宋体" w:eastAsia="方正小标宋_GBK"/>
          <w:color w:val="000000" w:themeColor="text1"/>
          <w:sz w:val="44"/>
          <w:szCs w:val="44"/>
        </w:rPr>
        <w:t>清障救援外包服务项目</w:t>
      </w:r>
    </w:p>
    <w:p>
      <w:pPr>
        <w:pStyle w:val="58"/>
        <w:rPr>
          <w:rFonts w:ascii="方正小标宋_GBK" w:hAnsi="宋体" w:eastAsia="方正小标宋_GBK"/>
          <w:color w:val="000000" w:themeColor="text1"/>
          <w:sz w:val="44"/>
          <w:szCs w:val="44"/>
        </w:rPr>
      </w:pPr>
    </w:p>
    <w:p>
      <w:pPr>
        <w:pStyle w:val="58"/>
        <w:rPr>
          <w:rFonts w:ascii="方正小标宋_GBK" w:hAnsi="宋体" w:eastAsia="方正小标宋_GBK"/>
          <w:sz w:val="44"/>
          <w:szCs w:val="44"/>
        </w:rPr>
      </w:pPr>
    </w:p>
    <w:p>
      <w:pPr>
        <w:pStyle w:val="58"/>
        <w:rPr>
          <w:rFonts w:ascii="方正小标宋_GBK" w:hAnsi="宋体" w:eastAsia="方正小标宋_GBK"/>
          <w:sz w:val="44"/>
          <w:szCs w:val="44"/>
        </w:rPr>
      </w:pPr>
    </w:p>
    <w:p>
      <w:pPr>
        <w:pStyle w:val="58"/>
        <w:rPr>
          <w:rFonts w:ascii="方正小标宋_GBK" w:hAnsi="宋体" w:eastAsia="方正小标宋_GBK"/>
          <w:sz w:val="44"/>
          <w:szCs w:val="44"/>
        </w:rPr>
      </w:pPr>
    </w:p>
    <w:p>
      <w:pPr>
        <w:jc w:val="center"/>
        <w:rPr>
          <w:sz w:val="96"/>
          <w:szCs w:val="96"/>
        </w:rPr>
      </w:pPr>
      <w:r>
        <w:rPr>
          <w:rFonts w:hint="eastAsia"/>
          <w:b/>
          <w:bCs/>
          <w:sz w:val="96"/>
          <w:szCs w:val="96"/>
        </w:rPr>
        <w:t>竞争性比选</w:t>
      </w:r>
      <w:r>
        <w:rPr>
          <w:b/>
          <w:bCs/>
          <w:sz w:val="96"/>
          <w:szCs w:val="96"/>
        </w:rPr>
        <w:t>文件</w:t>
      </w:r>
    </w:p>
    <w:p>
      <w:pPr>
        <w:spacing w:line="580" w:lineRule="exact"/>
        <w:jc w:val="center"/>
        <w:rPr>
          <w:rFonts w:ascii="方正仿宋_GBK" w:hAnsi="宋体" w:eastAsia="方正仿宋_GBK"/>
          <w:color w:val="000000"/>
          <w:sz w:val="30"/>
          <w:szCs w:val="30"/>
        </w:rPr>
      </w:pPr>
    </w:p>
    <w:p>
      <w:pPr>
        <w:pStyle w:val="58"/>
        <w:rPr>
          <w:rFonts w:ascii="方正仿宋_GBK" w:hAnsi="宋体" w:eastAsia="方正仿宋_GBK"/>
          <w:sz w:val="30"/>
          <w:szCs w:val="30"/>
        </w:rPr>
      </w:pPr>
    </w:p>
    <w:p>
      <w:pPr>
        <w:pStyle w:val="58"/>
        <w:rPr>
          <w:rFonts w:ascii="方正仿宋_GBK" w:hAnsi="宋体" w:eastAsia="方正仿宋_GBK"/>
          <w:sz w:val="30"/>
          <w:szCs w:val="30"/>
        </w:rPr>
      </w:pPr>
    </w:p>
    <w:p>
      <w:pPr>
        <w:spacing w:line="580" w:lineRule="exact"/>
        <w:jc w:val="center"/>
        <w:rPr>
          <w:rFonts w:ascii="方正仿宋_GBK" w:hAnsi="宋体" w:eastAsia="方正仿宋_GBK"/>
          <w:color w:val="000000"/>
          <w:sz w:val="30"/>
          <w:szCs w:val="30"/>
        </w:rPr>
      </w:pPr>
    </w:p>
    <w:p>
      <w:pPr>
        <w:spacing w:line="580" w:lineRule="exact"/>
        <w:jc w:val="center"/>
        <w:rPr>
          <w:rFonts w:ascii="方正仿宋_GBK" w:hAnsi="宋体" w:eastAsia="方正仿宋_GBK"/>
          <w:color w:val="000000"/>
          <w:sz w:val="30"/>
          <w:szCs w:val="30"/>
        </w:rPr>
      </w:pPr>
    </w:p>
    <w:p>
      <w:pPr>
        <w:spacing w:line="580" w:lineRule="exact"/>
        <w:jc w:val="center"/>
        <w:rPr>
          <w:rFonts w:ascii="方正仿宋_GBK" w:hAnsi="宋体" w:eastAsia="方正仿宋_GBK"/>
          <w:color w:val="000000"/>
          <w:sz w:val="30"/>
          <w:szCs w:val="30"/>
        </w:rPr>
      </w:pPr>
    </w:p>
    <w:p>
      <w:pPr>
        <w:spacing w:line="580" w:lineRule="exact"/>
        <w:ind w:firstLine="2100" w:firstLineChars="700"/>
        <w:jc w:val="both"/>
        <w:rPr>
          <w:rFonts w:ascii="方正仿宋_GBK" w:hAnsi="宋体" w:eastAsia="方正仿宋_GBK"/>
          <w:color w:val="000000"/>
          <w:sz w:val="30"/>
          <w:szCs w:val="30"/>
        </w:rPr>
      </w:pPr>
      <w:r>
        <w:rPr>
          <w:rFonts w:hint="eastAsia" w:ascii="方正仿宋_GBK" w:hAnsi="宋体" w:eastAsia="方正仿宋_GBK"/>
          <w:color w:val="000000"/>
          <w:sz w:val="30"/>
          <w:szCs w:val="30"/>
        </w:rPr>
        <w:t>询 价 人：重庆高速公路股份有限公司</w:t>
      </w:r>
    </w:p>
    <w:p>
      <w:pPr>
        <w:pStyle w:val="26"/>
        <w:snapToGrid w:val="0"/>
        <w:spacing w:before="120" w:after="120" w:line="580" w:lineRule="exact"/>
        <w:ind w:left="0" w:leftChars="0"/>
        <w:jc w:val="center"/>
        <w:rPr>
          <w:rFonts w:ascii="方正仿宋_GBK" w:hAnsi="宋体" w:eastAsia="方正仿宋_GBK"/>
          <w:color w:val="000000"/>
          <w:sz w:val="30"/>
          <w:szCs w:val="30"/>
        </w:rPr>
      </w:pPr>
      <w:r>
        <w:rPr>
          <w:rFonts w:hint="eastAsia" w:ascii="方正仿宋_GBK" w:hAnsi="宋体" w:eastAsia="方正仿宋_GBK"/>
          <w:color w:val="000000"/>
          <w:sz w:val="30"/>
          <w:szCs w:val="30"/>
        </w:rPr>
        <w:t>2</w:t>
      </w:r>
      <w:r>
        <w:rPr>
          <w:rFonts w:ascii="方正仿宋_GBK" w:hAnsi="宋体" w:eastAsia="方正仿宋_GBK"/>
          <w:color w:val="000000"/>
          <w:sz w:val="30"/>
          <w:szCs w:val="30"/>
        </w:rPr>
        <w:t>0</w:t>
      </w:r>
      <w:r>
        <w:rPr>
          <w:rFonts w:hint="eastAsia" w:ascii="方正仿宋_GBK" w:hAnsi="宋体" w:eastAsia="方正仿宋_GBK"/>
          <w:color w:val="000000"/>
          <w:sz w:val="30"/>
          <w:szCs w:val="30"/>
        </w:rPr>
        <w:t>2</w:t>
      </w:r>
      <w:r>
        <w:rPr>
          <w:rFonts w:hint="eastAsia" w:ascii="方正仿宋_GBK" w:hAnsi="宋体" w:eastAsia="方正仿宋_GBK"/>
          <w:color w:val="000000"/>
          <w:sz w:val="30"/>
          <w:szCs w:val="30"/>
          <w:lang w:val="en-US" w:eastAsia="zh-CN"/>
        </w:rPr>
        <w:t>2</w:t>
      </w:r>
      <w:r>
        <w:rPr>
          <w:rFonts w:hint="eastAsia" w:ascii="方正仿宋_GBK" w:hAnsi="宋体" w:eastAsia="方正仿宋_GBK"/>
          <w:color w:val="000000"/>
          <w:sz w:val="30"/>
          <w:szCs w:val="30"/>
        </w:rPr>
        <w:t>年1</w:t>
      </w:r>
      <w:r>
        <w:rPr>
          <w:rFonts w:hint="eastAsia" w:ascii="方正仿宋_GBK" w:hAnsi="宋体" w:eastAsia="方正仿宋_GBK"/>
          <w:color w:val="000000"/>
          <w:sz w:val="30"/>
          <w:szCs w:val="30"/>
          <w:lang w:val="en-US" w:eastAsia="zh-CN"/>
        </w:rPr>
        <w:t>0</w:t>
      </w:r>
      <w:r>
        <w:rPr>
          <w:rFonts w:hint="eastAsia" w:ascii="方正仿宋_GBK" w:hAnsi="宋体" w:eastAsia="方正仿宋_GBK"/>
          <w:color w:val="000000"/>
          <w:sz w:val="30"/>
          <w:szCs w:val="30"/>
        </w:rPr>
        <w:t>月</w:t>
      </w:r>
    </w:p>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一、项目概况：</w:t>
      </w:r>
    </w:p>
    <w:p>
      <w:pPr>
        <w:widowControl/>
        <w:autoSpaceDE w:val="0"/>
        <w:autoSpaceDN w:val="0"/>
        <w:spacing w:line="800" w:lineRule="atLeast"/>
        <w:ind w:firstLine="640"/>
        <w:jc w:val="center"/>
        <w:textAlignment w:val="bottom"/>
        <w:outlineLvl w:val="0"/>
        <w:rPr>
          <w:rFonts w:hint="eastAsia"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1.项目名称：重庆高速公路股份有限公司202</w:t>
      </w:r>
      <w:r>
        <w:rPr>
          <w:rFonts w:hint="eastAsia" w:ascii="方正仿宋_GBK" w:hAnsi="宋体" w:eastAsia="方正仿宋_GBK" w:cs="宋体"/>
          <w:color w:val="000000" w:themeColor="text1"/>
          <w:kern w:val="0"/>
          <w:sz w:val="32"/>
          <w:szCs w:val="32"/>
          <w:lang w:val="en-US" w:eastAsia="zh-CN"/>
        </w:rPr>
        <w:t>3</w:t>
      </w:r>
      <w:r>
        <w:rPr>
          <w:rFonts w:hint="eastAsia" w:ascii="方正仿宋_GBK" w:hAnsi="宋体" w:eastAsia="方正仿宋_GBK" w:cs="宋体"/>
          <w:color w:val="000000" w:themeColor="text1"/>
          <w:kern w:val="0"/>
          <w:sz w:val="32"/>
          <w:szCs w:val="32"/>
        </w:rPr>
        <w:t>-202</w:t>
      </w:r>
      <w:r>
        <w:rPr>
          <w:rFonts w:hint="eastAsia" w:ascii="方正仿宋_GBK" w:hAnsi="宋体" w:eastAsia="方正仿宋_GBK" w:cs="宋体"/>
          <w:color w:val="000000" w:themeColor="text1"/>
          <w:kern w:val="0"/>
          <w:sz w:val="32"/>
          <w:szCs w:val="32"/>
          <w:lang w:val="en-US" w:eastAsia="zh-CN"/>
        </w:rPr>
        <w:t>7</w:t>
      </w:r>
      <w:r>
        <w:rPr>
          <w:rFonts w:hint="eastAsia" w:ascii="方正仿宋_GBK" w:hAnsi="宋体" w:eastAsia="方正仿宋_GBK" w:cs="宋体"/>
          <w:color w:val="000000" w:themeColor="text1"/>
          <w:kern w:val="0"/>
          <w:sz w:val="32"/>
          <w:szCs w:val="32"/>
        </w:rPr>
        <w:t>年</w:t>
      </w:r>
    </w:p>
    <w:p>
      <w:pPr>
        <w:widowControl/>
        <w:autoSpaceDE w:val="0"/>
        <w:autoSpaceDN w:val="0"/>
        <w:spacing w:line="800" w:lineRule="atLeast"/>
        <w:jc w:val="both"/>
        <w:textAlignment w:val="bottom"/>
        <w:outlineLvl w:val="0"/>
        <w:rPr>
          <w:rFonts w:hint="eastAsia"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lang w:val="en-US" w:eastAsia="zh-CN"/>
        </w:rPr>
        <w:t>石忠、丰忠路段</w:t>
      </w:r>
      <w:r>
        <w:rPr>
          <w:rFonts w:hint="eastAsia" w:ascii="方正仿宋_GBK" w:hAnsi="宋体" w:eastAsia="方正仿宋_GBK" w:cs="宋体"/>
          <w:color w:val="000000" w:themeColor="text1"/>
          <w:kern w:val="0"/>
          <w:sz w:val="32"/>
          <w:szCs w:val="32"/>
        </w:rPr>
        <w:t>清障救援外包服务项目</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2.开标地点：重庆高速公路股份有限公司梁平办公基地。</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3.询价内容及范围：</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楷体_GBK" w:hAnsi="方正楷体_GBK" w:eastAsia="方正楷体_GBK" w:cs="方正楷体_GBK"/>
          <w:b/>
          <w:color w:val="000000" w:themeColor="text1"/>
          <w:sz w:val="32"/>
          <w:szCs w:val="32"/>
        </w:rPr>
        <w:t>内容：</w:t>
      </w:r>
      <w:r>
        <w:rPr>
          <w:rFonts w:hint="eastAsia" w:ascii="方正楷体_GBK" w:hAnsi="方正楷体_GBK" w:eastAsia="方正楷体_GBK" w:cs="方正楷体_GBK"/>
          <w:b/>
          <w:color w:val="000000" w:themeColor="text1"/>
          <w:sz w:val="32"/>
          <w:szCs w:val="32"/>
          <w:lang w:val="en-US" w:eastAsia="zh-CN"/>
        </w:rPr>
        <w:t>在</w:t>
      </w:r>
      <w:r>
        <w:rPr>
          <w:rFonts w:hint="eastAsia" w:ascii="方正仿宋_GBK" w:hAnsi="宋体" w:eastAsia="方正仿宋_GBK" w:cs="宋体"/>
          <w:color w:val="000000" w:themeColor="text1"/>
          <w:kern w:val="0"/>
          <w:sz w:val="32"/>
          <w:szCs w:val="32"/>
        </w:rPr>
        <w:t>重庆高速公路股份有限公司</w:t>
      </w:r>
      <w:r>
        <w:rPr>
          <w:rFonts w:hint="eastAsia" w:ascii="方正仿宋_GBK" w:hAnsi="宋体" w:eastAsia="方正仿宋_GBK" w:cs="宋体"/>
          <w:color w:val="000000" w:themeColor="text1"/>
          <w:kern w:val="0"/>
          <w:sz w:val="32"/>
          <w:szCs w:val="32"/>
          <w:lang w:val="en-US" w:eastAsia="zh-CN"/>
        </w:rPr>
        <w:t>石忠、丰忠</w:t>
      </w:r>
      <w:r>
        <w:rPr>
          <w:rFonts w:hint="eastAsia" w:ascii="方正仿宋_GBK" w:hAnsi="宋体" w:eastAsia="方正仿宋_GBK" w:cs="宋体"/>
          <w:color w:val="000000" w:themeColor="text1"/>
          <w:kern w:val="0"/>
          <w:sz w:val="32"/>
          <w:szCs w:val="32"/>
        </w:rPr>
        <w:t>路段开展清障救援外包服务工作，服务类型主要为拖车、吊车、急救、转运等。</w:t>
      </w:r>
    </w:p>
    <w:p>
      <w:pPr>
        <w:spacing w:line="58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b/>
          <w:color w:val="000000" w:themeColor="text1"/>
          <w:sz w:val="32"/>
          <w:szCs w:val="32"/>
        </w:rPr>
        <w:t>路段范围</w:t>
      </w:r>
      <w:r>
        <w:rPr>
          <w:rFonts w:hint="eastAsia" w:ascii="方正楷体_GBK" w:hAnsi="方正楷体_GBK" w:eastAsia="方正楷体_GBK" w:cs="方正楷体_GBK"/>
          <w:bCs/>
          <w:color w:val="000000" w:themeColor="text1"/>
          <w:sz w:val="32"/>
          <w:szCs w:val="32"/>
        </w:rPr>
        <w:t>：</w:t>
      </w:r>
      <w:r>
        <w:rPr>
          <w:rFonts w:hint="eastAsia" w:ascii="方正仿宋_GBK" w:hAnsi="方正仿宋_GBK" w:eastAsia="方正仿宋_GBK" w:cs="方正仿宋_GBK"/>
          <w:color w:val="000000" w:themeColor="text1"/>
          <w:sz w:val="32"/>
          <w:szCs w:val="32"/>
        </w:rPr>
        <w:t>管辖路段全长约</w:t>
      </w:r>
      <w:r>
        <w:rPr>
          <w:rFonts w:hint="eastAsia" w:ascii="方正仿宋_GBK" w:hAnsi="方正仿宋_GBK" w:eastAsia="方正仿宋_GBK" w:cs="方正仿宋_GBK"/>
          <w:color w:val="000000" w:themeColor="text1"/>
          <w:sz w:val="32"/>
          <w:szCs w:val="32"/>
          <w:lang w:val="en-US" w:eastAsia="zh-CN"/>
        </w:rPr>
        <w:t>114</w:t>
      </w:r>
      <w:r>
        <w:rPr>
          <w:rFonts w:hint="eastAsia" w:ascii="方正仿宋_GBK" w:hAnsi="方正仿宋_GBK" w:eastAsia="方正仿宋_GBK" w:cs="方正仿宋_GBK"/>
          <w:color w:val="000000" w:themeColor="text1"/>
          <w:sz w:val="32"/>
          <w:szCs w:val="32"/>
        </w:rPr>
        <w:t>公里，其中：</w:t>
      </w:r>
    </w:p>
    <w:p>
      <w:pPr>
        <w:adjustRightInd w:val="0"/>
        <w:spacing w:line="560" w:lineRule="exact"/>
        <w:ind w:firstLine="640" w:firstLineChars="200"/>
        <w:textAlignment w:val="baseline"/>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）G50沪渝高速公路冷水收费站至忠县收费站（K1500至K1581），全长约81公里；</w:t>
      </w:r>
    </w:p>
    <w:p>
      <w:pPr>
        <w:adjustRightInd w:val="0"/>
        <w:spacing w:line="560" w:lineRule="exact"/>
        <w:ind w:firstLine="640" w:firstLineChars="200"/>
        <w:textAlignment w:val="baseline"/>
        <w:rPr>
          <w:rFonts w:eastAsia="方正仿宋_GBK"/>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）G69银百高速罗家湾立交至朱家沟立交（K1196至K1229），全长约33公里。</w:t>
      </w:r>
      <w:r>
        <w:rPr>
          <w:rFonts w:hint="eastAsia" w:ascii="方正仿宋_GBK" w:hAnsi="方正仿宋_GBK" w:eastAsia="方正仿宋_GBK" w:cs="方正仿宋_GBK"/>
          <w:sz w:val="32"/>
          <w:szCs w:val="32"/>
        </w:rPr>
        <w:t xml:space="preserve">    </w:t>
      </w:r>
    </w:p>
    <w:p>
      <w:pPr>
        <w:spacing w:line="560" w:lineRule="exact"/>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二、</w:t>
      </w:r>
      <w:r>
        <w:rPr>
          <w:rFonts w:hint="eastAsia" w:ascii="方正黑体_GBK" w:hAnsi="方正黑体_GBK" w:eastAsia="方正黑体_GBK" w:cs="方正黑体_GBK"/>
          <w:kern w:val="0"/>
          <w:sz w:val="32"/>
          <w:szCs w:val="32"/>
          <w:lang w:val="en-US" w:eastAsia="zh-CN"/>
        </w:rPr>
        <w:t>救援点设置明细</w:t>
      </w:r>
    </w:p>
    <w:p>
      <w:pPr>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石忠、丰忠路段最低</w:t>
      </w:r>
      <w:r>
        <w:rPr>
          <w:rFonts w:hint="eastAsia" w:ascii="方正仿宋_GBK" w:hAnsi="宋体" w:eastAsia="方正仿宋_GBK" w:cs="宋体"/>
          <w:kern w:val="0"/>
          <w:sz w:val="32"/>
          <w:szCs w:val="32"/>
        </w:rPr>
        <w:t>救援固定驻点明细表：</w:t>
      </w:r>
    </w:p>
    <w:tbl>
      <w:tblPr>
        <w:tblStyle w:val="47"/>
        <w:tblW w:w="934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1138"/>
        <w:gridCol w:w="1796"/>
        <w:gridCol w:w="1300"/>
        <w:gridCol w:w="1383"/>
        <w:gridCol w:w="2350"/>
        <w:gridCol w:w="137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5" w:hRule="atLeast"/>
          <w:jc w:val="center"/>
        </w:trPr>
        <w:tc>
          <w:tcPr>
            <w:tcW w:w="1138" w:type="dxa"/>
            <w:vMerge w:val="restart"/>
            <w:tcBorders>
              <w:right w:val="single" w:color="000000" w:sz="4" w:space="0"/>
            </w:tcBorders>
            <w:vAlign w:val="center"/>
          </w:tcPr>
          <w:p>
            <w:pPr>
              <w:widowControl/>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路段</w:t>
            </w:r>
          </w:p>
        </w:tc>
        <w:tc>
          <w:tcPr>
            <w:tcW w:w="6829" w:type="dxa"/>
            <w:gridSpan w:val="4"/>
            <w:tcBorders>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kern w:val="0"/>
                <w:szCs w:val="21"/>
              </w:rPr>
              <w:t>清障救援服务范围</w:t>
            </w:r>
          </w:p>
        </w:tc>
        <w:tc>
          <w:tcPr>
            <w:tcW w:w="1373" w:type="dxa"/>
            <w:vMerge w:val="restart"/>
            <w:tcBorders>
              <w:left w:val="single" w:color="000000" w:sz="4" w:space="0"/>
              <w:right w:val="single" w:color="000000" w:sz="4" w:space="0"/>
            </w:tcBorders>
            <w:vAlign w:val="center"/>
          </w:tcPr>
          <w:p>
            <w:pPr>
              <w:widowControl/>
              <w:jc w:val="center"/>
              <w:textAlignment w:val="center"/>
              <w:rPr>
                <w:b/>
                <w:color w:val="000000"/>
                <w:kern w:val="0"/>
                <w:szCs w:val="21"/>
              </w:rPr>
            </w:pPr>
            <w:r>
              <w:rPr>
                <w:rFonts w:hint="eastAsia" w:ascii="方正楷体_GBK" w:hAnsi="方正楷体_GBK" w:eastAsia="方正楷体_GBK" w:cs="方正楷体_GBK"/>
                <w:bCs/>
                <w:color w:val="000000"/>
                <w:kern w:val="0"/>
                <w:szCs w:val="21"/>
              </w:rPr>
              <w:t>签订合同主体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30"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Cs/>
                <w:color w:val="000000"/>
                <w:kern w:val="0"/>
                <w:szCs w:val="21"/>
              </w:rPr>
            </w:pPr>
          </w:p>
        </w:tc>
        <w:tc>
          <w:tcPr>
            <w:tcW w:w="1796" w:type="dxa"/>
            <w:tcBorders>
              <w:top w:val="single" w:color="000000" w:sz="4" w:space="0"/>
              <w:left w:val="single" w:color="000000" w:sz="4" w:space="0"/>
              <w:bottom w:val="single" w:color="000000" w:sz="4" w:space="0"/>
              <w:right w:val="single" w:color="000000" w:sz="4" w:space="0"/>
            </w:tcBorders>
            <w:vAlign w:val="center"/>
          </w:tcPr>
          <w:p>
            <w:pPr>
              <w:pStyle w:val="43"/>
              <w:wordWrap w:val="0"/>
              <w:jc w:val="center"/>
              <w:rPr>
                <w:rFonts w:ascii="方正楷体_GBK" w:hAnsi="方正楷体_GBK" w:eastAsia="方正楷体_GBK" w:cs="方正楷体_GBK"/>
                <w:bCs/>
                <w:color w:val="000000"/>
                <w:szCs w:val="21"/>
              </w:rPr>
            </w:pPr>
            <w:r>
              <w:rPr>
                <w:rFonts w:hint="eastAsia" w:ascii="方正楷体_GBK" w:hAnsi="方正楷体_GBK" w:eastAsia="方正楷体_GBK" w:cs="方正楷体_GBK"/>
                <w:bCs/>
                <w:color w:val="000000"/>
                <w:sz w:val="21"/>
                <w:szCs w:val="21"/>
              </w:rPr>
              <w:t>中国国家高速公路网编号</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清障救援服务内容</w:t>
            </w:r>
          </w:p>
        </w:tc>
        <w:tc>
          <w:tcPr>
            <w:tcW w:w="13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清障救援驻点</w:t>
            </w:r>
          </w:p>
        </w:tc>
        <w:tc>
          <w:tcPr>
            <w:tcW w:w="23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方正楷体_GBK" w:hAnsi="方正楷体_GBK" w:eastAsia="方正楷体_GBK" w:cs="方正楷体_GBK"/>
                <w:bCs/>
                <w:color w:val="000000"/>
                <w:kern w:val="0"/>
                <w:szCs w:val="21"/>
              </w:rPr>
            </w:pPr>
            <w:r>
              <w:rPr>
                <w:rFonts w:hint="eastAsia" w:ascii="方正楷体_GBK" w:hAnsi="方正楷体_GBK" w:eastAsia="方正楷体_GBK" w:cs="方正楷体_GBK"/>
                <w:bCs/>
                <w:color w:val="000000"/>
                <w:kern w:val="0"/>
                <w:szCs w:val="21"/>
              </w:rPr>
              <w:t>驻点救援车辆配置标准</w:t>
            </w:r>
          </w:p>
        </w:tc>
        <w:tc>
          <w:tcPr>
            <w:tcW w:w="1373" w:type="dxa"/>
            <w:vMerge w:val="continue"/>
            <w:tcBorders>
              <w:left w:val="single" w:color="000000" w:sz="4" w:space="0"/>
              <w:bottom w:val="single" w:color="auto" w:sz="4" w:space="0"/>
              <w:right w:val="single" w:color="000000" w:sz="4" w:space="0"/>
            </w:tcBorders>
            <w:vAlign w:val="center"/>
          </w:tcPr>
          <w:p>
            <w:pPr>
              <w:widowControl/>
              <w:jc w:val="center"/>
              <w:textAlignment w:val="center"/>
              <w:rPr>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87" w:hRule="atLeast"/>
          <w:jc w:val="center"/>
        </w:trPr>
        <w:tc>
          <w:tcPr>
            <w:tcW w:w="1138" w:type="dxa"/>
            <w:vMerge w:val="restart"/>
            <w:tcBorders>
              <w:top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lang w:val="en-US" w:eastAsia="zh-CN"/>
              </w:rPr>
              <w:t>石忠、丰忠路</w:t>
            </w:r>
            <w:r>
              <w:rPr>
                <w:rFonts w:hint="eastAsia" w:ascii="方正仿宋_GBK" w:hAnsi="方正仿宋_GBK" w:eastAsia="方正仿宋_GBK" w:cs="方正仿宋_GBK"/>
                <w:color w:val="000000"/>
                <w:szCs w:val="21"/>
              </w:rPr>
              <w:t>段</w:t>
            </w:r>
          </w:p>
        </w:tc>
        <w:tc>
          <w:tcPr>
            <w:tcW w:w="179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G50</w:t>
            </w:r>
            <w:r>
              <w:rPr>
                <w:rFonts w:hint="eastAsia" w:ascii="方正仿宋_GBK" w:hAnsi="方正仿宋_GBK" w:eastAsia="方正仿宋_GBK" w:cs="方正仿宋_GBK"/>
                <w:color w:val="000000" w:themeColor="text1"/>
                <w:szCs w:val="21"/>
              </w:rPr>
              <w:t>K1500-K1581（冷水至忠县）</w:t>
            </w:r>
            <w:r>
              <w:rPr>
                <w:rFonts w:hint="eastAsia" w:ascii="方正仿宋_GBK" w:hAnsi="方正仿宋_GBK" w:eastAsia="方正仿宋_GBK" w:cs="方正仿宋_GBK"/>
                <w:color w:val="000000"/>
                <w:kern w:val="0"/>
                <w:szCs w:val="21"/>
              </w:rPr>
              <w:t>、G69</w:t>
            </w:r>
            <w:r>
              <w:rPr>
                <w:rFonts w:hint="eastAsia" w:ascii="方正仿宋_GBK" w:hAnsi="方正仿宋_GBK" w:eastAsia="方正仿宋_GBK" w:cs="方正仿宋_GBK"/>
                <w:color w:val="000000"/>
                <w:szCs w:val="21"/>
              </w:rPr>
              <w:t>K1196-K1229（罗家湾立交-朱家沟立交）</w:t>
            </w:r>
          </w:p>
        </w:tc>
        <w:tc>
          <w:tcPr>
            <w:tcW w:w="13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负责高速公路事故或故障车辆的清障或急救服务</w:t>
            </w:r>
          </w:p>
        </w:tc>
        <w:tc>
          <w:tcPr>
            <w:tcW w:w="1383"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沙子站</w:t>
            </w:r>
          </w:p>
        </w:tc>
        <w:tc>
          <w:tcPr>
            <w:tcW w:w="2350"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lang w:val="en-US" w:eastAsia="zh-CN"/>
              </w:rPr>
              <w:t>1大拖+</w:t>
            </w:r>
            <w:r>
              <w:rPr>
                <w:rFonts w:hint="eastAsia" w:ascii="方正仿宋_GBK" w:hAnsi="方正仿宋_GBK" w:eastAsia="方正仿宋_GBK" w:cs="方正仿宋_GBK"/>
              </w:rPr>
              <w:t>1小拖+1急救</w:t>
            </w:r>
          </w:p>
        </w:tc>
        <w:tc>
          <w:tcPr>
            <w:tcW w:w="137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股份公司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99"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300" w:type="dxa"/>
            <w:vMerge w:val="continue"/>
            <w:tcBorders>
              <w:left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FF0000"/>
                <w:kern w:val="0"/>
                <w:szCs w:val="21"/>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石柱站</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rPr>
            </w:pPr>
            <w:r>
              <w:rPr>
                <w:rFonts w:hint="eastAsia" w:ascii="方正仿宋_GBK" w:hAnsi="方正仿宋_GBK" w:eastAsia="方正仿宋_GBK" w:cs="方正仿宋_GBK"/>
              </w:rPr>
              <w:t>1大拖+</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小拖</w:t>
            </w:r>
          </w:p>
        </w:tc>
        <w:tc>
          <w:tcPr>
            <w:tcW w:w="1373" w:type="dxa"/>
            <w:vMerge w:val="continue"/>
            <w:tcBorders>
              <w:left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54"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c>
          <w:tcPr>
            <w:tcW w:w="1300" w:type="dxa"/>
            <w:vMerge w:val="continue"/>
            <w:tcBorders>
              <w:left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FF0000"/>
                <w:kern w:val="0"/>
                <w:szCs w:val="21"/>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lang w:val="en-US" w:eastAsia="zh-CN"/>
              </w:rPr>
              <w:t>曹家</w:t>
            </w:r>
            <w:r>
              <w:rPr>
                <w:rFonts w:hint="eastAsia" w:ascii="方正仿宋_GBK" w:hAnsi="方正仿宋_GBK" w:eastAsia="方正仿宋_GBK" w:cs="方正仿宋_GBK"/>
                <w:color w:val="000000"/>
                <w:kern w:val="0"/>
                <w:szCs w:val="21"/>
              </w:rPr>
              <w:t>站</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1大拖+</w:t>
            </w:r>
            <w:r>
              <w:rPr>
                <w:rFonts w:hint="eastAsia" w:ascii="方正仿宋_GBK" w:hAnsi="方正仿宋_GBK" w:eastAsia="方正仿宋_GBK" w:cs="方正仿宋_GBK"/>
              </w:rPr>
              <w:t>1小拖+1急救</w:t>
            </w:r>
          </w:p>
        </w:tc>
        <w:tc>
          <w:tcPr>
            <w:tcW w:w="1373" w:type="dxa"/>
            <w:vMerge w:val="continue"/>
            <w:tcBorders>
              <w:left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Cs w:val="21"/>
              </w:rPr>
            </w:pPr>
          </w:p>
        </w:tc>
      </w:tr>
    </w:tbl>
    <w:p>
      <w:pPr>
        <w:pStyle w:val="58"/>
      </w:pP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三、询价须知：</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1.本次询价要求报价人须具备独立法人资格，具有独立承担民事责任的能力，具有履行合同所必需的设备和专业技术能力。</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2.营业执照及身份证均需在有效期内，且具有与该项目相适应的经营范围，配有较强的专业技术队伍，提供快速的售后服务响应。</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报价人须具有良好的商业信誉和健全的财务会计制度，有依法缴纳税收和社会保障资金的良好记录，不得出现经营管理信誉黑名单或在公开平台中列入失信被执行人名单。</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报价人严格按清障救援管理要求做到“立即响应、5分钟出勤、30分钟到达现场”。</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每辆作业车需配备2人以上工作人员，驾驶员需具有B2驾照，有3年以上驾驶经验，高速急救需配备1名具有汽修资格的技术人员。</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.报价人应严格按照询价范围及最低固定驻点设置救援点，并结合工作实际增设固定救援点，节假日严格按照询价人要求设置临时救援点。</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报价人履行询价内容及清障救援服务合同条款完成救援任务。</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8</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本项目不接受联合体报价。</w:t>
      </w:r>
    </w:p>
    <w:p>
      <w:pPr>
        <w:spacing w:line="560"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9</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询价过程中，任何人都必须遵守价纪律，公正廉洁，不得作弊，不得“围标”、“串标”，违者按有关规定处理。</w:t>
      </w:r>
    </w:p>
    <w:p>
      <w:pPr>
        <w:pStyle w:val="2"/>
        <w:rPr>
          <w:rFonts w:hint="default" w:eastAsia="方正仿宋_GBK"/>
          <w:lang w:val="en-US" w:eastAsia="zh-CN"/>
        </w:rPr>
      </w:pPr>
      <w:r>
        <w:rPr>
          <w:rFonts w:hint="eastAsia" w:ascii="方正仿宋_GBK" w:hAnsi="宋体" w:eastAsia="方正仿宋_GBK" w:cs="宋体"/>
          <w:kern w:val="0"/>
          <w:sz w:val="32"/>
          <w:szCs w:val="32"/>
          <w:lang w:val="en-US" w:eastAsia="zh-CN"/>
        </w:rPr>
        <w:t>10.重庆忠都高速公路有限公司丰忠路段的清障救援外包工作由重庆高速公路股份有限公司代为统一招标。</w:t>
      </w:r>
    </w:p>
    <w:p>
      <w:pPr>
        <w:spacing w:line="560" w:lineRule="exact"/>
        <w:ind w:firstLine="633" w:firstLineChars="198"/>
        <w:rPr>
          <w:rFonts w:ascii="方正仿宋_GBK" w:hAnsi="方正仿宋_GBK" w:eastAsia="方正仿宋_GBK"/>
          <w:bCs/>
          <w:sz w:val="32"/>
          <w:szCs w:val="32"/>
        </w:rPr>
      </w:pPr>
      <w:r>
        <w:rPr>
          <w:rFonts w:ascii="方正仿宋_GBK" w:hAnsi="方正仿宋_GBK" w:eastAsia="方正仿宋_GBK" w:cs="宋体"/>
          <w:bCs/>
          <w:kern w:val="0"/>
          <w:sz w:val="32"/>
          <w:szCs w:val="32"/>
        </w:rPr>
        <w:t>1</w:t>
      </w:r>
      <w:r>
        <w:rPr>
          <w:rFonts w:hint="eastAsia" w:ascii="方正仿宋_GBK" w:hAnsi="方正仿宋_GBK" w:eastAsia="方正仿宋_GBK" w:cs="宋体"/>
          <w:bCs/>
          <w:kern w:val="0"/>
          <w:sz w:val="32"/>
          <w:szCs w:val="32"/>
          <w:lang w:val="en-US" w:eastAsia="zh-CN"/>
        </w:rPr>
        <w:t>1</w:t>
      </w:r>
      <w:r>
        <w:rPr>
          <w:rFonts w:ascii="方正仿宋_GBK" w:hAnsi="方正仿宋_GBK" w:eastAsia="方正仿宋_GBK" w:cs="宋体"/>
          <w:bCs/>
          <w:kern w:val="0"/>
          <w:sz w:val="32"/>
          <w:szCs w:val="32"/>
        </w:rPr>
        <w:t>.</w:t>
      </w:r>
      <w:r>
        <w:rPr>
          <w:rFonts w:hint="eastAsia" w:ascii="方正仿宋_GBK" w:hAnsi="方正仿宋_GBK" w:eastAsia="方正仿宋_GBK" w:cs="宋体"/>
          <w:bCs/>
          <w:kern w:val="0"/>
          <w:sz w:val="32"/>
          <w:szCs w:val="32"/>
        </w:rPr>
        <w:t>本文件的解释权属于询价人。（联系电话：13983284507</w:t>
      </w:r>
      <w:r>
        <w:rPr>
          <w:rFonts w:hint="eastAsia" w:ascii="方正仿宋_GBK" w:hAnsi="方正仿宋_GBK" w:eastAsia="方正仿宋_GBK"/>
          <w:bCs/>
          <w:sz w:val="32"/>
          <w:szCs w:val="32"/>
        </w:rPr>
        <w:t>）</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四、时间要求：</w:t>
      </w:r>
    </w:p>
    <w:p>
      <w:pPr>
        <w:spacing w:line="560" w:lineRule="exact"/>
        <w:ind w:firstLine="640" w:firstLineChars="200"/>
        <w:rPr>
          <w:rFonts w:ascii="方正仿宋_GBK" w:hAnsi="宋体" w:eastAsia="方正仿宋_GBK"/>
          <w:color w:val="000000" w:themeColor="text1"/>
          <w:sz w:val="32"/>
          <w:szCs w:val="32"/>
          <w:u w:val="single"/>
        </w:rPr>
      </w:pPr>
      <w:r>
        <w:rPr>
          <w:rFonts w:hint="eastAsia" w:ascii="方正仿宋_GBK" w:hAnsi="宋体" w:eastAsia="方正仿宋_GBK"/>
          <w:color w:val="000000" w:themeColor="text1"/>
          <w:sz w:val="32"/>
          <w:szCs w:val="32"/>
          <w:u w:val="single"/>
        </w:rPr>
        <w:t>本询价项目重庆高速公路股份有限公司清障救援外包服务期：五年（202</w:t>
      </w:r>
      <w:r>
        <w:rPr>
          <w:rFonts w:hint="eastAsia" w:ascii="方正仿宋_GBK" w:hAnsi="宋体" w:eastAsia="方正仿宋_GBK"/>
          <w:color w:val="000000" w:themeColor="text1"/>
          <w:sz w:val="32"/>
          <w:szCs w:val="32"/>
          <w:u w:val="single"/>
          <w:lang w:val="en-US" w:eastAsia="zh-CN"/>
        </w:rPr>
        <w:t>3</w:t>
      </w:r>
      <w:r>
        <w:rPr>
          <w:rFonts w:hint="eastAsia" w:ascii="方正仿宋_GBK" w:hAnsi="宋体" w:eastAsia="方正仿宋_GBK"/>
          <w:color w:val="000000" w:themeColor="text1"/>
          <w:sz w:val="32"/>
          <w:szCs w:val="32"/>
          <w:u w:val="single"/>
        </w:rPr>
        <w:t>年1月1日至202</w:t>
      </w:r>
      <w:r>
        <w:rPr>
          <w:rFonts w:hint="eastAsia" w:ascii="方正仿宋_GBK" w:hAnsi="宋体" w:eastAsia="方正仿宋_GBK"/>
          <w:color w:val="000000" w:themeColor="text1"/>
          <w:sz w:val="32"/>
          <w:szCs w:val="32"/>
          <w:u w:val="single"/>
          <w:lang w:val="en-US" w:eastAsia="zh-CN"/>
        </w:rPr>
        <w:t>7</w:t>
      </w:r>
      <w:r>
        <w:rPr>
          <w:rFonts w:hint="eastAsia" w:ascii="方正仿宋_GBK" w:hAnsi="宋体" w:eastAsia="方正仿宋_GBK"/>
          <w:color w:val="000000" w:themeColor="text1"/>
          <w:sz w:val="32"/>
          <w:szCs w:val="32"/>
          <w:u w:val="single"/>
        </w:rPr>
        <w:t>年12月31日），合同签订方式为一年一签。每年合同期满后，经公司考核评价合格可续签下一年清障救援合同直至五年服务期结束。</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olor w:val="000000" w:themeColor="text1"/>
          <w:sz w:val="32"/>
          <w:szCs w:val="32"/>
        </w:rPr>
        <w:t>中标人在接到中标通知书后应及时与询价人签订合同，并于202</w:t>
      </w:r>
      <w:r>
        <w:rPr>
          <w:rFonts w:hint="eastAsia" w:ascii="方正仿宋_GBK" w:hAnsi="宋体" w:eastAsia="方正仿宋_GBK"/>
          <w:color w:val="000000" w:themeColor="text1"/>
          <w:sz w:val="32"/>
          <w:szCs w:val="32"/>
          <w:lang w:val="en-US" w:eastAsia="zh-CN"/>
        </w:rPr>
        <w:t>3</w:t>
      </w:r>
      <w:r>
        <w:rPr>
          <w:rFonts w:hint="eastAsia" w:ascii="方正仿宋_GBK" w:hAnsi="宋体" w:eastAsia="方正仿宋_GBK"/>
          <w:color w:val="000000" w:themeColor="text1"/>
          <w:sz w:val="32"/>
          <w:szCs w:val="32"/>
        </w:rPr>
        <w:t>年1月1日00时00分前完成一切清障救援驻点工作（包括救援人员、清障车辆、设施设</w:t>
      </w:r>
      <w:r>
        <w:rPr>
          <w:rFonts w:hint="eastAsia" w:ascii="方正仿宋_GBK" w:hAnsi="宋体" w:eastAsia="方正仿宋_GBK"/>
          <w:sz w:val="32"/>
          <w:szCs w:val="32"/>
        </w:rPr>
        <w:t>备等），相关作业人员、辅助人员培训合格。在合同期内询价人有权结合考核结果单方确定是否续签或终止合同，中标人无条件接受。</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五、</w:t>
      </w:r>
      <w:r>
        <w:rPr>
          <w:rFonts w:hint="eastAsia" w:ascii="方正黑体_GBK" w:eastAsia="方正黑体_GBK"/>
          <w:color w:val="000000"/>
          <w:sz w:val="32"/>
          <w:szCs w:val="32"/>
        </w:rPr>
        <w:t>服务质量要求</w:t>
      </w:r>
      <w:r>
        <w:rPr>
          <w:rFonts w:hint="eastAsia" w:ascii="方正黑体_GBK" w:hAnsi="宋体" w:eastAsia="方正黑体_GBK" w:cs="宋体"/>
          <w:bCs/>
          <w:kern w:val="0"/>
          <w:sz w:val="32"/>
          <w:szCs w:val="32"/>
        </w:rPr>
        <w:t>：</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（一）责任范围</w:t>
      </w:r>
    </w:p>
    <w:p>
      <w:pPr>
        <w:pStyle w:val="5"/>
        <w:spacing w:before="0" w:after="0" w:line="560" w:lineRule="exact"/>
        <w:ind w:firstLine="640" w:firstLineChars="200"/>
        <w:rPr>
          <w:rFonts w:ascii="方正仿宋_GBK" w:hAnsi="宋体" w:eastAsia="方正仿宋_GBK" w:cs="宋体"/>
          <w:b w:val="0"/>
          <w:color w:val="000000"/>
        </w:rPr>
      </w:pPr>
      <w:r>
        <w:rPr>
          <w:rFonts w:hint="eastAsia" w:ascii="方正仿宋_GBK" w:hAnsi="宋体" w:eastAsia="方正仿宋_GBK" w:cs="宋体"/>
          <w:b w:val="0"/>
          <w:color w:val="000000"/>
        </w:rPr>
        <w:t>1.清障救援车辆使用责任范围：</w:t>
      </w:r>
    </w:p>
    <w:p>
      <w:pPr>
        <w:spacing w:line="560" w:lineRule="exact"/>
        <w:ind w:firstLine="640" w:firstLineChars="200"/>
      </w:pPr>
      <w:r>
        <w:rPr>
          <w:rFonts w:hint="eastAsia" w:ascii="方正仿宋_GBK" w:hAnsi="宋体" w:eastAsia="方正仿宋_GBK" w:cs="宋体"/>
          <w:color w:val="000000"/>
          <w:sz w:val="32"/>
          <w:szCs w:val="32"/>
        </w:rPr>
        <w:t>1</w:t>
      </w:r>
      <w:r>
        <w:rPr>
          <w:rFonts w:ascii="方正仿宋_GBK" w:hAnsi="宋体" w:eastAsia="方正仿宋_GBK" w:cs="宋体"/>
          <w:color w:val="000000"/>
          <w:sz w:val="32"/>
          <w:szCs w:val="32"/>
        </w:rPr>
        <w:t>.1</w:t>
      </w:r>
      <w:r>
        <w:rPr>
          <w:rFonts w:hint="eastAsia" w:ascii="方正仿宋_GBK" w:hAnsi="宋体" w:eastAsia="方正仿宋_GBK" w:cs="宋体"/>
          <w:color w:val="000000"/>
          <w:sz w:val="32"/>
          <w:szCs w:val="32"/>
        </w:rPr>
        <w:t>询价人将自有清障救援车辆一批（详见下表）提交给</w:t>
      </w:r>
      <w:r>
        <w:rPr>
          <w:rFonts w:hint="eastAsia" w:ascii="方正仿宋_GBK" w:hAnsi="宋体" w:eastAsia="方正仿宋_GBK" w:cs="宋体"/>
          <w:sz w:val="32"/>
          <w:szCs w:val="32"/>
        </w:rPr>
        <w:t>中标</w:t>
      </w:r>
      <w:r>
        <w:rPr>
          <w:rFonts w:hint="eastAsia" w:ascii="方正仿宋_GBK" w:hAnsi="宋体" w:eastAsia="方正仿宋_GBK" w:cs="宋体"/>
          <w:color w:val="000000"/>
          <w:sz w:val="32"/>
          <w:szCs w:val="32"/>
        </w:rPr>
        <w:t>人，且只能用于</w:t>
      </w:r>
      <w:r>
        <w:rPr>
          <w:rFonts w:hint="eastAsia" w:ascii="方正仿宋_GBK" w:hAnsi="宋体" w:eastAsia="方正仿宋_GBK" w:cs="宋体"/>
          <w:sz w:val="32"/>
          <w:szCs w:val="32"/>
        </w:rPr>
        <w:t>中标</w:t>
      </w:r>
      <w:r>
        <w:rPr>
          <w:rFonts w:hint="eastAsia" w:ascii="方正仿宋_GBK" w:hAnsi="宋体" w:eastAsia="方正仿宋_GBK" w:cs="宋体"/>
          <w:color w:val="000000"/>
          <w:sz w:val="32"/>
          <w:szCs w:val="32"/>
        </w:rPr>
        <w:t>人投标范围内的清障救援作业</w:t>
      </w:r>
      <w:r>
        <w:rPr>
          <w:rFonts w:hint="eastAsia" w:ascii="方正仿宋_GBK" w:hAnsi="宋体" w:eastAsia="方正仿宋_GBK" w:cs="宋体"/>
          <w:sz w:val="32"/>
          <w:szCs w:val="32"/>
        </w:rPr>
        <w:t>工作，不得用作任何其它用途。询价人定期对提交清障救援车辆车况及使用情况进行检查，中标</w:t>
      </w:r>
      <w:r>
        <w:rPr>
          <w:rFonts w:hint="eastAsia" w:ascii="方正仿宋_GBK" w:hAnsi="宋体" w:eastAsia="方正仿宋_GBK" w:cs="宋体"/>
          <w:color w:val="000000"/>
          <w:sz w:val="32"/>
          <w:szCs w:val="32"/>
        </w:rPr>
        <w:t>人应根据国家法规、行业政策和厂家手册要求开展检测、校验、维护、保养、维修和燃油加注等职责，确保这批清障救援车辆处于良好的安全和技术状态，并独立承担为该批清障车辆进行保养、维护、修理、更新等所需的全部花费（除询价人所提供车辆的保险由询价人承担外）；无论任何原因导致该批清障救援车辆损毁、灭失的，由中标人负全责，负责按车辆原值赔偿。在合同解除/终止时，中标人应当将提交清障救援车辆完好返还至询价人；</w:t>
      </w:r>
      <w:r>
        <w:rPr>
          <w:rFonts w:hint="eastAsia" w:ascii="方正仿宋_GBK" w:hAnsi="宋体" w:eastAsia="方正仿宋_GBK" w:cs="宋体"/>
          <w:sz w:val="32"/>
          <w:szCs w:val="32"/>
        </w:rPr>
        <w:t>若无法返还原物的</w:t>
      </w:r>
      <w:r>
        <w:rPr>
          <w:rFonts w:hint="eastAsia" w:ascii="方正仿宋_GBK" w:hAnsi="宋体" w:eastAsia="方正仿宋_GBK" w:cs="宋体"/>
          <w:color w:val="000000"/>
          <w:sz w:val="32"/>
          <w:szCs w:val="32"/>
        </w:rPr>
        <w:t>，应按提交清障救援车辆的原值予以补偿/赔偿。</w:t>
      </w:r>
    </w:p>
    <w:p>
      <w:pPr>
        <w:spacing w:line="580" w:lineRule="exact"/>
        <w:jc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bCs/>
          <w:color w:val="000000"/>
          <w:sz w:val="28"/>
          <w:szCs w:val="28"/>
        </w:rPr>
        <w:t>询价人需移交给报价人的车辆清单</w:t>
      </w:r>
    </w:p>
    <w:tbl>
      <w:tblPr>
        <w:tblStyle w:val="47"/>
        <w:tblW w:w="9493" w:type="dxa"/>
        <w:tblInd w:w="0" w:type="dxa"/>
        <w:tblLayout w:type="fixed"/>
        <w:tblCellMar>
          <w:top w:w="15" w:type="dxa"/>
          <w:left w:w="15" w:type="dxa"/>
          <w:bottom w:w="15" w:type="dxa"/>
          <w:right w:w="15" w:type="dxa"/>
        </w:tblCellMar>
      </w:tblPr>
      <w:tblGrid>
        <w:gridCol w:w="562"/>
        <w:gridCol w:w="1276"/>
        <w:gridCol w:w="1701"/>
        <w:gridCol w:w="2693"/>
        <w:gridCol w:w="1560"/>
        <w:gridCol w:w="1701"/>
      </w:tblGrid>
      <w:tr>
        <w:tblPrEx>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szCs w:val="21"/>
              </w:rPr>
            </w:pPr>
            <w:r>
              <w:rPr>
                <w:rFonts w:hint="eastAsia" w:hAnsi="宋体" w:cs="宋体"/>
                <w:szCs w:val="21"/>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szCs w:val="21"/>
              </w:rPr>
            </w:pPr>
            <w:r>
              <w:rPr>
                <w:rFonts w:hint="eastAsia" w:hAnsi="宋体" w:cs="宋体"/>
                <w:szCs w:val="21"/>
              </w:rPr>
              <w:t>车牌号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szCs w:val="21"/>
              </w:rPr>
            </w:pPr>
            <w:r>
              <w:rPr>
                <w:rFonts w:hint="eastAsia" w:hAnsi="宋体" w:cs="宋体"/>
                <w:szCs w:val="21"/>
              </w:rPr>
              <w:t>标段</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szCs w:val="21"/>
              </w:rPr>
            </w:pPr>
            <w:r>
              <w:rPr>
                <w:rFonts w:hint="eastAsia" w:hAnsi="宋体" w:cs="宋体"/>
                <w:szCs w:val="21"/>
              </w:rPr>
              <w:t>车型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szCs w:val="21"/>
              </w:rPr>
            </w:pPr>
            <w:r>
              <w:rPr>
                <w:rFonts w:hint="eastAsia" w:hAnsi="宋体" w:cs="宋体"/>
                <w:szCs w:val="21"/>
              </w:rPr>
              <w:t>车类</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szCs w:val="21"/>
              </w:rPr>
            </w:pPr>
            <w:r>
              <w:rPr>
                <w:rFonts w:hint="eastAsia" w:hAnsi="宋体" w:cs="宋体"/>
                <w:szCs w:val="21"/>
              </w:rPr>
              <w:t>注册日期</w:t>
            </w:r>
          </w:p>
        </w:tc>
      </w:tr>
      <w:tr>
        <w:tblPrEx>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themeColor="text1"/>
                <w:szCs w:val="21"/>
              </w:rPr>
            </w:pPr>
            <w:r>
              <w:rPr>
                <w:rFonts w:hint="eastAsia" w:hAnsi="宋体" w:cs="宋体"/>
                <w:color w:val="000000" w:themeColor="text1"/>
                <w:szCs w:val="21"/>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渝BY7118</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themeColor="text1"/>
                <w:szCs w:val="21"/>
              </w:rPr>
            </w:pPr>
            <w:r>
              <w:rPr>
                <w:rFonts w:hint="eastAsia" w:hAnsi="宋体" w:cs="宋体"/>
                <w:color w:val="000000" w:themeColor="text1"/>
                <w:szCs w:val="21"/>
                <w:lang w:val="en-US" w:eastAsia="zh-CN"/>
              </w:rPr>
              <w:t>石忠、丰忠路</w:t>
            </w:r>
            <w:r>
              <w:rPr>
                <w:rFonts w:hint="eastAsia" w:hAnsi="宋体" w:cs="宋体"/>
                <w:color w:val="000000" w:themeColor="text1"/>
                <w:szCs w:val="21"/>
              </w:rPr>
              <w:t>段</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凯帆牌KFM105TQZ410P</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5吨</w:t>
            </w:r>
            <w:r>
              <w:rPr>
                <w:rFonts w:hint="eastAsia" w:ascii="宋体" w:hAnsi="宋体" w:cs="宋体"/>
                <w:color w:val="000000" w:themeColor="text1"/>
                <w:kern w:val="0"/>
                <w:sz w:val="24"/>
              </w:rPr>
              <w:t>拖车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4472C4" w:themeColor="accent1"/>
                <w:szCs w:val="21"/>
              </w:rPr>
            </w:pPr>
          </w:p>
        </w:tc>
      </w:tr>
      <w:tr>
        <w:tblPrEx>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themeColor="text1"/>
                <w:szCs w:val="21"/>
              </w:rPr>
            </w:pPr>
            <w:r>
              <w:rPr>
                <w:rFonts w:hint="eastAsia" w:hAnsi="宋体" w:cs="宋体"/>
                <w:color w:val="000000" w:themeColor="text1"/>
                <w:szCs w:val="21"/>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渝BM3563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themeColor="text1"/>
                <w:szCs w:val="21"/>
              </w:rPr>
            </w:pPr>
            <w:r>
              <w:rPr>
                <w:rFonts w:hint="eastAsia" w:hAnsi="宋体" w:cs="宋体"/>
                <w:color w:val="000000" w:themeColor="text1"/>
                <w:szCs w:val="21"/>
                <w:lang w:val="en-US" w:eastAsia="zh-CN"/>
              </w:rPr>
              <w:t>石忠、丰忠路</w:t>
            </w:r>
            <w:r>
              <w:rPr>
                <w:rFonts w:hint="eastAsia" w:hAnsi="宋体" w:cs="宋体"/>
                <w:color w:val="000000" w:themeColor="text1"/>
                <w:szCs w:val="21"/>
              </w:rPr>
              <w:t>段</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凯帆牌KFM105TQZ410P</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5吨</w:t>
            </w:r>
            <w:r>
              <w:rPr>
                <w:rFonts w:hint="eastAsia" w:ascii="宋体" w:hAnsi="宋体" w:cs="宋体"/>
                <w:color w:val="000000" w:themeColor="text1"/>
                <w:kern w:val="0"/>
                <w:sz w:val="24"/>
              </w:rPr>
              <w:t>拖车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4472C4" w:themeColor="accent1"/>
                <w:szCs w:val="21"/>
              </w:rPr>
            </w:pPr>
          </w:p>
        </w:tc>
      </w:tr>
      <w:tr>
        <w:tblPrEx>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themeColor="text1"/>
                <w:szCs w:val="21"/>
              </w:rPr>
            </w:pPr>
            <w:r>
              <w:rPr>
                <w:rFonts w:hint="eastAsia" w:hAnsi="宋体" w:cs="宋体"/>
                <w:color w:val="000000" w:themeColor="text1"/>
                <w:szCs w:val="21"/>
              </w:rPr>
              <w:t>3</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渝BZ7366</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themeColor="text1"/>
                <w:szCs w:val="21"/>
              </w:rPr>
            </w:pPr>
            <w:r>
              <w:rPr>
                <w:rFonts w:hint="eastAsia" w:hAnsi="宋体" w:cs="宋体"/>
                <w:color w:val="000000" w:themeColor="text1"/>
                <w:szCs w:val="21"/>
                <w:lang w:val="en-US" w:eastAsia="zh-CN"/>
              </w:rPr>
              <w:t>石忠、丰忠路</w:t>
            </w:r>
            <w:r>
              <w:rPr>
                <w:rFonts w:hint="eastAsia" w:hAnsi="宋体" w:cs="宋体"/>
                <w:color w:val="000000" w:themeColor="text1"/>
                <w:szCs w:val="21"/>
              </w:rPr>
              <w:t>段</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凯帆牌KFM5437TQZ408H</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Cs w:val="21"/>
              </w:rPr>
            </w:pPr>
            <w:r>
              <w:rPr>
                <w:rFonts w:hint="eastAsia" w:ascii="宋体" w:hAnsi="宋体" w:cs="宋体"/>
                <w:color w:val="000000" w:themeColor="text1"/>
                <w:kern w:val="0"/>
                <w:sz w:val="22"/>
                <w:szCs w:val="22"/>
              </w:rPr>
              <w:t>38吨</w:t>
            </w:r>
            <w:r>
              <w:rPr>
                <w:rFonts w:hint="eastAsia" w:ascii="宋体" w:hAnsi="宋体" w:cs="宋体"/>
                <w:color w:val="000000" w:themeColor="text1"/>
                <w:kern w:val="0"/>
                <w:sz w:val="24"/>
              </w:rPr>
              <w:t>拖车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FF0000"/>
                <w:szCs w:val="21"/>
              </w:rPr>
            </w:pPr>
          </w:p>
        </w:tc>
      </w:tr>
    </w:tbl>
    <w:p>
      <w:pPr>
        <w:spacing w:line="580" w:lineRule="exact"/>
        <w:ind w:firstLine="640" w:firstLineChars="200"/>
        <w:rPr>
          <w:rFonts w:ascii="方正仿宋_GBK" w:hAnsi="宋体" w:eastAsia="方正仿宋_GBK" w:cs="宋体"/>
          <w:color w:val="000000"/>
          <w:sz w:val="32"/>
          <w:szCs w:val="32"/>
        </w:rPr>
      </w:pPr>
      <w:r>
        <w:rPr>
          <w:rFonts w:ascii="方正仿宋_GBK" w:hAnsi="宋体" w:eastAsia="方正仿宋_GBK" w:cs="宋体"/>
          <w:color w:val="000000"/>
          <w:sz w:val="32"/>
          <w:szCs w:val="32"/>
        </w:rPr>
        <w:t>1.2</w:t>
      </w:r>
      <w:r>
        <w:rPr>
          <w:rFonts w:hint="eastAsia" w:ascii="方正仿宋_GBK" w:hAnsi="宋体" w:eastAsia="方正仿宋_GBK" w:cs="宋体"/>
          <w:color w:val="000000"/>
          <w:sz w:val="32"/>
          <w:szCs w:val="32"/>
        </w:rPr>
        <w:t>救援车辆通行费按相关收费政策和规定执行。询价人所提供车辆的保险由询价人承担，若中标人需扩大询价人所提供车辆的商业保险范围和额度的，费用由中标人支付。中标人自行购置的清障救援装备，应当足额购买商业保险，并承担由此产生的一切费用。</w:t>
      </w:r>
    </w:p>
    <w:p>
      <w:pPr>
        <w:spacing w:line="580" w:lineRule="exact"/>
        <w:ind w:firstLine="640" w:firstLineChars="200"/>
        <w:rPr>
          <w:rFonts w:ascii="方正仿宋_GBK" w:hAnsi="宋体" w:eastAsia="方正仿宋_GBK" w:cs="宋体"/>
          <w:bCs/>
          <w:color w:val="000000"/>
          <w:sz w:val="32"/>
          <w:szCs w:val="32"/>
        </w:rPr>
      </w:pPr>
      <w:r>
        <w:rPr>
          <w:rFonts w:hint="eastAsia" w:ascii="方正仿宋_GBK" w:hAnsi="宋体" w:eastAsia="方正仿宋_GBK" w:cs="宋体"/>
          <w:bCs/>
          <w:color w:val="000000"/>
          <w:sz w:val="32"/>
          <w:szCs w:val="32"/>
        </w:rPr>
        <w:t>2.中标人承担的责任：</w:t>
      </w:r>
    </w:p>
    <w:p>
      <w:pPr>
        <w:spacing w:line="580" w:lineRule="exact"/>
        <w:ind w:firstLine="640" w:firstLineChars="200"/>
        <w:rPr>
          <w:rFonts w:ascii="方正仿宋_GBK" w:hAnsi="宋体" w:eastAsia="方正仿宋_GBK" w:cs="宋体"/>
          <w:sz w:val="32"/>
          <w:szCs w:val="32"/>
        </w:rPr>
      </w:pPr>
      <w:r>
        <w:rPr>
          <w:rFonts w:ascii="方正仿宋_GBK" w:hAnsi="宋体" w:eastAsia="方正仿宋_GBK" w:cs="宋体"/>
          <w:sz w:val="32"/>
          <w:szCs w:val="32"/>
        </w:rPr>
        <w:t>2.1</w:t>
      </w:r>
      <w:r>
        <w:rPr>
          <w:rFonts w:hint="eastAsia" w:ascii="方正仿宋_GBK" w:hAnsi="宋体" w:eastAsia="方正仿宋_GBK" w:cs="宋体"/>
          <w:sz w:val="32"/>
          <w:szCs w:val="32"/>
        </w:rPr>
        <w:t>中标人严格按国家《安全生产法》和《中华人民共和国道路交通安全法》规定执行，并承担合约期间所有安全责任。须提取和使用专门用于改善安全生产条件的安全生产费用，因安全生产投入不足（如规章制度和操作规程、作业人员安全防护用品、安全教育培训、应急救援预案、应急演练、隐患整改、设施设备、工具等）而产生的一切后果，以及未及时消除生产安全事故隐患，导致安全生产事故发生的，由中标人独立承担由此产生的一切后果责任。</w:t>
      </w:r>
    </w:p>
    <w:p>
      <w:pPr>
        <w:spacing w:line="58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2.2中标人应当组建专业、合格的救援队伍，并与该等人员签订书面劳动合同，应为所有作业人员提供安全作业所需的一切设备，确保作业人员人身安全，并要求作业人员在做好相关规定安全防范措施下作业。中标人在整个作业期间（含上下班期间），若发生作业人员意外伤残、人身及财物或其它损失的，无论何种原因所致，询价人均不负责。</w:t>
      </w:r>
    </w:p>
    <w:p>
      <w:pPr>
        <w:spacing w:line="58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2.3中标人如在救援过程中造成车辆及物品丢失、损坏的，中标人与被救援服务的车辆所有人双方协商解决。</w:t>
      </w:r>
    </w:p>
    <w:p>
      <w:pPr>
        <w:spacing w:line="580" w:lineRule="exact"/>
        <w:ind w:firstLine="640" w:firstLineChars="200"/>
        <w:rPr>
          <w:rFonts w:ascii="方正仿宋_GBK" w:hAnsi="宋体" w:eastAsia="方正仿宋_GBK" w:cs="宋体"/>
          <w:sz w:val="32"/>
          <w:szCs w:val="32"/>
        </w:rPr>
      </w:pPr>
      <w:r>
        <w:rPr>
          <w:rFonts w:ascii="方正仿宋_GBK" w:hAnsi="宋体" w:eastAsia="方正仿宋_GBK" w:cs="宋体"/>
          <w:sz w:val="32"/>
          <w:szCs w:val="32"/>
        </w:rPr>
        <w:t>2.</w:t>
      </w:r>
      <w:r>
        <w:rPr>
          <w:rFonts w:hint="eastAsia" w:ascii="方正仿宋_GBK" w:hAnsi="宋体" w:eastAsia="方正仿宋_GBK" w:cs="宋体"/>
          <w:sz w:val="32"/>
          <w:szCs w:val="32"/>
        </w:rPr>
        <w:t>4中标人严格遵守国家有关环境保护的法律法规和规章制度，包括但不限于《中华人民共和国环境保护法》、《交通行业环境保护管理规定》、《重庆市环境保护条例》、《重庆市交通运输环境保护管理办法（试行）》等，在清障救援过程中造成环境污染、安全事故等，由此产生的一切后果由中标人独立承担由此产生的一切后果责任。</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六、竞争性比选文件的获取</w:t>
      </w:r>
    </w:p>
    <w:p>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方正仿宋_GBK" w:eastAsia="方正仿宋_GBK" w:cs="方正仿宋_GBK"/>
          <w:sz w:val="32"/>
          <w:szCs w:val="32"/>
        </w:rPr>
        <w:t>询价文件获取方式：凡愿意参加的潜在报价人，从</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日起至询价响应文件递交截止时间前，详见重庆高速集团官网（</w:t>
      </w:r>
      <w:r>
        <w:rPr>
          <w:sz w:val="32"/>
          <w:szCs w:val="32"/>
        </w:rPr>
        <w:t>http://www.cegc.com.cn/gw</w:t>
      </w:r>
      <w:r>
        <w:rPr>
          <w:rFonts w:hint="eastAsia" w:ascii="方正仿宋_GBK" w:hAnsi="方正仿宋_GBK" w:eastAsia="方正仿宋_GBK" w:cs="方正仿宋_GBK"/>
          <w:sz w:val="32"/>
          <w:szCs w:val="32"/>
        </w:rPr>
        <w:t>）上发布的本项目询价公告中的获取方式（链接）自行下载。不管报价人是否下载，均视为已知晓询价文件的全部内容和有关事宜。</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七、竞争性比选费用：</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报价人应承担</w:t>
      </w:r>
      <w:r>
        <w:rPr>
          <w:rFonts w:hint="eastAsia" w:ascii="方正仿宋_GBK" w:hAnsi="宋体" w:eastAsia="方正仿宋_GBK" w:cs="宋体"/>
          <w:color w:val="000000" w:themeColor="text1"/>
          <w:kern w:val="0"/>
          <w:sz w:val="32"/>
          <w:szCs w:val="32"/>
        </w:rPr>
        <w:t>其编制报价文件及参与本次竞争性比选活动所涉及的一切费用。不管结果如何，报价人独立承担本</w:t>
      </w:r>
      <w:r>
        <w:rPr>
          <w:rFonts w:hint="eastAsia" w:ascii="方正仿宋_GBK" w:hAnsi="宋体" w:eastAsia="方正仿宋_GBK" w:cs="宋体"/>
          <w:kern w:val="0"/>
          <w:sz w:val="32"/>
          <w:szCs w:val="32"/>
        </w:rPr>
        <w:t>次竞争性比选活动的所有费用。</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lang w:val="en-US" w:eastAsia="zh-CN"/>
        </w:rPr>
        <w:t>.</w:t>
      </w:r>
      <w:r>
        <w:rPr>
          <w:rFonts w:hint="eastAsia" w:ascii="方正仿宋_GBK" w:hAnsi="宋体" w:eastAsia="方正仿宋_GBK" w:cs="宋体"/>
          <w:kern w:val="0"/>
          <w:sz w:val="32"/>
          <w:szCs w:val="32"/>
        </w:rPr>
        <w:t>竞争性比选保证金。</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报价人在递交比选文件的同时，应按本比选文件规定交纳竞争性比选保证金，报价人未按本比选文件规定交纳保证金的，询价人拒绝接收其比选响应文件。</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2.1</w:t>
      </w:r>
      <w:r>
        <w:rPr>
          <w:rFonts w:hint="eastAsia" w:ascii="方正仿宋_GBK" w:hAnsi="宋体" w:eastAsia="方正仿宋_GBK" w:cs="宋体"/>
          <w:kern w:val="0"/>
          <w:sz w:val="32"/>
          <w:szCs w:val="32"/>
        </w:rPr>
        <w:t>竞争性比选保证金人民币30000.00元（大写：人民币叁万元整）。</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3.</w:t>
      </w:r>
      <w:r>
        <w:rPr>
          <w:rFonts w:hint="eastAsia" w:ascii="方正仿宋_GBK" w:hAnsi="宋体" w:eastAsia="方正仿宋_GBK" w:cs="宋体"/>
          <w:kern w:val="0"/>
          <w:sz w:val="32"/>
          <w:szCs w:val="32"/>
        </w:rPr>
        <w:t>递交方式：</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报价人在竞争性比选开标时间前，将竞争性比选保证金打入询价人指定的账户：</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收款人：重庆高速公路股份有限公司</w:t>
      </w:r>
    </w:p>
    <w:p>
      <w:pPr>
        <w:tabs>
          <w:tab w:val="left" w:pos="260"/>
        </w:tabs>
        <w:spacing w:line="560" w:lineRule="exact"/>
        <w:ind w:firstLine="640" w:firstLineChars="200"/>
        <w:rPr>
          <w:rFonts w:hint="default" w:ascii="方正仿宋_GBK" w:hAnsi="宋体" w:eastAsia="方正仿宋_GBK" w:cs="宋体"/>
          <w:color w:val="000000" w:themeColor="text1"/>
          <w:kern w:val="0"/>
          <w:sz w:val="32"/>
          <w:szCs w:val="32"/>
          <w:lang w:val="en-US" w:eastAsia="zh-CN"/>
        </w:rPr>
      </w:pPr>
      <w:r>
        <w:rPr>
          <w:rFonts w:hint="eastAsia" w:ascii="方正仿宋_GBK" w:hAnsi="宋体" w:eastAsia="方正仿宋_GBK" w:cs="宋体"/>
          <w:color w:val="000000" w:themeColor="text1"/>
          <w:kern w:val="0"/>
          <w:sz w:val="32"/>
          <w:szCs w:val="32"/>
        </w:rPr>
        <w:t>账  号：</w:t>
      </w:r>
      <w:r>
        <w:rPr>
          <w:rFonts w:hint="eastAsia" w:ascii="方正仿宋_GBK" w:hAnsi="宋体" w:eastAsia="方正仿宋_GBK" w:cs="宋体"/>
          <w:color w:val="000000" w:themeColor="text1"/>
          <w:kern w:val="0"/>
          <w:sz w:val="32"/>
          <w:szCs w:val="32"/>
          <w:lang w:val="en-US" w:eastAsia="zh-CN"/>
        </w:rPr>
        <w:t>31110101040017918</w:t>
      </w:r>
    </w:p>
    <w:p>
      <w:pPr>
        <w:spacing w:line="560" w:lineRule="exact"/>
        <w:ind w:firstLine="640" w:firstLineChars="200"/>
        <w:rPr>
          <w:rFonts w:hint="default" w:ascii="方正仿宋_GBK" w:hAnsi="宋体" w:eastAsia="方正仿宋_GBK" w:cs="宋体"/>
          <w:color w:val="000000" w:themeColor="text1"/>
          <w:kern w:val="0"/>
          <w:sz w:val="32"/>
          <w:szCs w:val="32"/>
          <w:lang w:val="en-US" w:eastAsia="zh-CN"/>
        </w:rPr>
      </w:pPr>
      <w:r>
        <w:rPr>
          <w:rFonts w:hint="eastAsia" w:ascii="方正仿宋_GBK" w:hAnsi="宋体" w:eastAsia="方正仿宋_GBK" w:cs="宋体"/>
          <w:color w:val="000000" w:themeColor="text1"/>
          <w:kern w:val="0"/>
          <w:sz w:val="32"/>
          <w:szCs w:val="32"/>
        </w:rPr>
        <w:t>开户行：</w:t>
      </w:r>
      <w:r>
        <w:rPr>
          <w:rFonts w:hint="eastAsia" w:ascii="方正仿宋_GBK" w:hAnsi="宋体" w:eastAsia="方正仿宋_GBK" w:cs="宋体"/>
          <w:color w:val="000000" w:themeColor="text1"/>
          <w:kern w:val="0"/>
          <w:sz w:val="32"/>
          <w:szCs w:val="32"/>
          <w:lang w:val="en-US" w:eastAsia="zh-CN"/>
        </w:rPr>
        <w:t>农行重庆渝北支行</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开标时向询价人提交竞争性比选保证金转账电子凭证或回执单。</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报价人有下列情形之一的，竞争性比选保证金不予退还。</w:t>
      </w:r>
      <w:r>
        <w:rPr>
          <w:rFonts w:ascii="方正仿宋_GBK" w:hAnsi="宋体" w:eastAsia="方正仿宋_GBK" w:cs="宋体"/>
          <w:kern w:val="0"/>
          <w:sz w:val="32"/>
          <w:szCs w:val="32"/>
        </w:rPr>
        <w:t xml:space="preserve"> </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提供虚假材料谋取中标的；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采取不正当手段诋毁、排挤其他报价人的；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与询价人、其他报价人恶意串通的；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向询价人行贿或者提供其他不正当利益的；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在询价过程中与询价人进行协商谈判、不按照询价文件和中标人的投标文件订立合同，或者与询价人另行订立背离合同实质性内容的协议的；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拒绝有关部门监督检查或者提供虚假情况的；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中标后无正当理由不按询价人时间要求签订合同的；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ascii="方正仿宋_GBK" w:hAnsi="宋体" w:eastAsia="方正仿宋_GBK" w:cs="宋体"/>
          <w:kern w:val="0"/>
          <w:sz w:val="32"/>
          <w:szCs w:val="32"/>
        </w:rPr>
        <w:t>.8</w:t>
      </w:r>
      <w:r>
        <w:rPr>
          <w:rFonts w:hint="eastAsia" w:ascii="方正仿宋_GBK" w:hAnsi="宋体" w:eastAsia="方正仿宋_GBK" w:cs="宋体"/>
          <w:kern w:val="0"/>
          <w:sz w:val="32"/>
          <w:szCs w:val="32"/>
        </w:rPr>
        <w:t>将中标项目转让给他人，或者在投标文件中未说明，且未经询价机构同意，将中标项目分包给他人的；</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5</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除本询价文件规定不予退还保证金情形外，未中标人的竞争性比选保证金在中标通知书发出后</w:t>
      </w:r>
      <w:r>
        <w:rPr>
          <w:rFonts w:hint="eastAsia" w:ascii="方正仿宋_GBK" w:hAnsi="宋体" w:eastAsia="方正仿宋_GBK" w:cs="宋体"/>
          <w:kern w:val="0"/>
          <w:sz w:val="32"/>
          <w:szCs w:val="32"/>
          <w:lang w:val="en-US" w:eastAsia="zh-CN"/>
        </w:rPr>
        <w:t>30</w:t>
      </w:r>
      <w:r>
        <w:rPr>
          <w:rFonts w:hint="eastAsia" w:ascii="方正仿宋_GBK" w:hAnsi="宋体" w:eastAsia="方正仿宋_GBK" w:cs="宋体"/>
          <w:kern w:val="0"/>
          <w:sz w:val="32"/>
          <w:szCs w:val="32"/>
        </w:rPr>
        <w:t>个工作日内无息退还。中标人的竞争性比选保证金在履约保证金缴纳后退还。</w:t>
      </w:r>
    </w:p>
    <w:p>
      <w:pPr>
        <w:spacing w:line="560" w:lineRule="exact"/>
        <w:ind w:firstLine="640" w:firstLineChars="200"/>
        <w:rPr>
          <w:rFonts w:ascii="方正黑体_GBK" w:hAnsi="方正黑体_GBK" w:eastAsia="方正黑体_GBK" w:cs="宋体"/>
          <w:kern w:val="0"/>
          <w:sz w:val="32"/>
          <w:szCs w:val="32"/>
        </w:rPr>
      </w:pPr>
      <w:r>
        <w:rPr>
          <w:rFonts w:hint="eastAsia" w:ascii="方正黑体_GBK" w:hAnsi="方正黑体_GBK" w:eastAsia="方正黑体_GBK" w:cs="宋体"/>
          <w:kern w:val="0"/>
          <w:sz w:val="32"/>
          <w:szCs w:val="32"/>
        </w:rPr>
        <w:t>八、比选响应文件要求</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（一）比选响应文件构成包含两方面内容：（需加盖报价单位营业执照对应单位公章）</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商务部分：    </w:t>
      </w:r>
    </w:p>
    <w:p>
      <w:pPr>
        <w:spacing w:line="560" w:lineRule="exact"/>
        <w:ind w:left="636" w:leftChars="303" w:firstLine="2"/>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法定代表人身份证明及授权委托书</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报价人资格声明、营业执照</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报价人的信誉情况</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人员要求</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清障救援处置组织设计</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退款账户证明</w:t>
      </w:r>
    </w:p>
    <w:p>
      <w:pPr>
        <w:pStyle w:val="58"/>
      </w:pP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技术部分：</w:t>
      </w:r>
    </w:p>
    <w:p>
      <w:pPr>
        <w:spacing w:line="560" w:lineRule="exact"/>
        <w:ind w:left="636" w:leftChars="303" w:firstLine="2"/>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1.报价人业绩</w:t>
      </w:r>
    </w:p>
    <w:p>
      <w:pPr>
        <w:spacing w:line="560" w:lineRule="exact"/>
        <w:ind w:left="636" w:leftChars="303" w:firstLine="2"/>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2.安全管理证明材料</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rPr>
        <w:t>3.清障救援基本结</w:t>
      </w:r>
      <w:r>
        <w:rPr>
          <w:rFonts w:hint="eastAsia" w:ascii="方正仿宋_GBK" w:hAnsi="方正仿宋_GBK" w:eastAsia="方正仿宋_GBK" w:cs="方正仿宋_GBK"/>
          <w:sz w:val="32"/>
          <w:szCs w:val="32"/>
        </w:rPr>
        <w:t>构组成</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服务承诺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5.投标函</w:t>
      </w:r>
    </w:p>
    <w:p>
      <w:pPr>
        <w:spacing w:line="560" w:lineRule="exact"/>
        <w:ind w:left="636" w:leftChars="303" w:firstLine="2"/>
        <w:rPr>
          <w:sz w:val="32"/>
          <w:szCs w:val="32"/>
        </w:rPr>
      </w:pPr>
      <w:r>
        <w:rPr>
          <w:rFonts w:hint="eastAsia" w:ascii="方正仿宋_GBK" w:hAnsi="方正仿宋_GBK" w:eastAsia="方正仿宋_GBK" w:cs="方正仿宋_GBK"/>
          <w:sz w:val="32"/>
          <w:szCs w:val="32"/>
        </w:rPr>
        <w:t>6.其他材料（若有）</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（二）比选响应文件的封装</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1.比选响应文件应由报价人的法定代表人或其授权的代理人在比选文件规定的位置按比选文件要求签字并逐页加盖单位公章，签名禁止使用印章或签名章，否则其比选响应文件按否决报价处理。</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宋体" w:hAnsi="宋体"/>
          <w:sz w:val="24"/>
        </w:rPr>
        <w:t xml:space="preserve"> </w:t>
      </w:r>
      <w:r>
        <w:rPr>
          <w:rFonts w:hint="eastAsia" w:ascii="方正仿宋_GBK" w:hAnsi="方正仿宋_GBK" w:eastAsia="方正仿宋_GBK" w:cs="方正仿宋_GBK"/>
          <w:sz w:val="32"/>
          <w:szCs w:val="32"/>
        </w:rPr>
        <w:t>比选</w:t>
      </w:r>
      <w:r>
        <w:rPr>
          <w:rFonts w:hint="eastAsia" w:ascii="方正仿宋_GBK" w:hAnsi="宋体" w:eastAsia="方正仿宋_GBK" w:cs="宋体"/>
          <w:kern w:val="0"/>
          <w:sz w:val="32"/>
          <w:szCs w:val="32"/>
        </w:rPr>
        <w:t>文件中商务文件和技术文件分别编制成册，封面按后附规定格式制作，应独立装订成册后装在一个密封袋里，并在密封袋上注明“重庆高速公路股份有限公司2022-2026年清障救援外包服务项目报价文件”，密封处应加盖单位公章，均采用A4纸、使用不能轻易擦去且不易褪色的打印机打印。</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3.比选响应文件应按后附规定格式逐页装订成册，不得采用活页装订，并应编制目录和页码。</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（三）比选响应文件的其它要求</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比选响应文件不接受任何涂改，本次比选只接受电脑打印的投标报价，除签名外其余地方均不接受手写，包括不接受手工填写的投标报价，否则视为无效响应文件。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九、有下列情况之一者，比选文件作废，取消竞争资格；若已中标，取消中标资格。</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1.报价人未准时参加询价会议或投标文件逾期送达的； </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2.未按时交纳询价保证金的；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3.抽查核验时提交的复印件与原件不一致的；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4.报价文件字迹模糊，有涂改的，大写不规范的；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 xml:space="preserve">除签名外，对响应文件有其他手写部分的或签名未手写，采用印章等形式的。 </w:t>
      </w:r>
    </w:p>
    <w:p>
      <w:pPr>
        <w:spacing w:line="560" w:lineRule="exact"/>
        <w:ind w:firstLine="640" w:firstLineChars="200"/>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十、评审小组的构成：</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bCs/>
          <w:sz w:val="32"/>
          <w:szCs w:val="32"/>
          <w:shd w:val="clear" w:color="auto" w:fill="FFFFFF"/>
        </w:rPr>
        <w:t>评审小组人员不低于</w:t>
      </w:r>
      <w:r>
        <w:rPr>
          <w:rFonts w:hint="eastAsia" w:ascii="方正仿宋_GBK" w:hAnsi="宋体" w:eastAsia="方正仿宋_GBK"/>
          <w:kern w:val="0"/>
          <w:sz w:val="32"/>
          <w:szCs w:val="32"/>
          <w:shd w:val="clear" w:color="auto" w:fill="FFFFFF"/>
        </w:rPr>
        <w:t>5人，由</w:t>
      </w:r>
      <w:r>
        <w:rPr>
          <w:rFonts w:hint="eastAsia" w:ascii="方正仿宋_GBK" w:hAnsi="宋体" w:eastAsia="方正仿宋_GBK" w:cs="宋体"/>
          <w:kern w:val="0"/>
          <w:sz w:val="32"/>
          <w:szCs w:val="32"/>
        </w:rPr>
        <w:t>询价人</w:t>
      </w:r>
      <w:r>
        <w:rPr>
          <w:rFonts w:hint="eastAsia" w:ascii="方正仿宋_GBK" w:hAnsi="宋体" w:eastAsia="方正仿宋_GBK"/>
          <w:kern w:val="0"/>
          <w:sz w:val="32"/>
          <w:szCs w:val="32"/>
          <w:shd w:val="clear" w:color="auto" w:fill="FFFFFF"/>
        </w:rPr>
        <w:t>依法组建。</w:t>
      </w:r>
    </w:p>
    <w:p>
      <w:pPr>
        <w:spacing w:line="560" w:lineRule="exact"/>
        <w:ind w:firstLine="640" w:firstLineChars="200"/>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十一、评标办法及评分标准：</w:t>
      </w:r>
    </w:p>
    <w:p>
      <w:pPr>
        <w:pStyle w:val="24"/>
        <w:snapToGrid w:val="0"/>
        <w:spacing w:line="56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1.总则</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olor w:val="000000" w:themeColor="text1"/>
          <w:sz w:val="32"/>
          <w:szCs w:val="32"/>
        </w:rPr>
        <w:t>本项目评标采用</w:t>
      </w:r>
      <w:r>
        <w:rPr>
          <w:rFonts w:hint="eastAsia" w:ascii="方正仿宋_GBK" w:hAnsi="宋体" w:eastAsia="方正仿宋_GBK"/>
          <w:color w:val="000000" w:themeColor="text1"/>
          <w:sz w:val="32"/>
          <w:szCs w:val="32"/>
          <w:u w:val="single"/>
        </w:rPr>
        <w:t>综合评分法</w:t>
      </w:r>
      <w:r>
        <w:rPr>
          <w:rFonts w:hint="eastAsia" w:ascii="方正仿宋_GBK" w:hAnsi="宋体" w:eastAsia="方正仿宋_GBK"/>
          <w:color w:val="000000" w:themeColor="text1"/>
          <w:sz w:val="32"/>
          <w:szCs w:val="32"/>
        </w:rPr>
        <w:t>。总分为 100 分，其中商务部分 30分、技术部分70分。合格报价人的综合得分为各评分项目汇总得分，评标结果按评审后</w:t>
      </w:r>
      <w:r>
        <w:rPr>
          <w:rFonts w:hint="eastAsia" w:ascii="方正仿宋_GBK" w:hAnsi="宋体" w:eastAsia="方正仿宋_GBK"/>
          <w:sz w:val="32"/>
          <w:szCs w:val="32"/>
        </w:rPr>
        <w:t>得分由高到低顺序排列。得分相同的，按商务部分由高到低顺序排列。</w:t>
      </w:r>
    </w:p>
    <w:p>
      <w:pPr>
        <w:pStyle w:val="24"/>
        <w:numPr>
          <w:ilvl w:val="0"/>
          <w:numId w:val="1"/>
        </w:numPr>
        <w:snapToGrid w:val="0"/>
        <w:spacing w:line="56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评标内容及标准</w:t>
      </w:r>
    </w:p>
    <w:tbl>
      <w:tblPr>
        <w:tblStyle w:val="47"/>
        <w:tblpPr w:leftFromText="180" w:rightFromText="180" w:vertAnchor="text" w:horzAnchor="page" w:tblpX="517" w:tblpY="426"/>
        <w:tblOverlap w:val="never"/>
        <w:tblW w:w="10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60"/>
        <w:gridCol w:w="1166"/>
        <w:gridCol w:w="784"/>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5" w:type="dxa"/>
            <w:vAlign w:val="center"/>
          </w:tcPr>
          <w:p>
            <w:pPr>
              <w:widowControl/>
              <w:spacing w:line="520" w:lineRule="exact"/>
              <w:jc w:val="center"/>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类别</w:t>
            </w:r>
          </w:p>
        </w:tc>
        <w:tc>
          <w:tcPr>
            <w:tcW w:w="2726" w:type="dxa"/>
            <w:gridSpan w:val="2"/>
            <w:vAlign w:val="center"/>
          </w:tcPr>
          <w:p>
            <w:pPr>
              <w:widowControl/>
              <w:spacing w:line="520" w:lineRule="exact"/>
              <w:jc w:val="center"/>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评审项目</w:t>
            </w:r>
          </w:p>
        </w:tc>
        <w:tc>
          <w:tcPr>
            <w:tcW w:w="784" w:type="dxa"/>
            <w:vAlign w:val="center"/>
          </w:tcPr>
          <w:p>
            <w:pPr>
              <w:widowControl/>
              <w:spacing w:line="520" w:lineRule="exact"/>
              <w:jc w:val="center"/>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分值</w:t>
            </w:r>
          </w:p>
        </w:tc>
        <w:tc>
          <w:tcPr>
            <w:tcW w:w="6570" w:type="dxa"/>
            <w:vAlign w:val="center"/>
          </w:tcPr>
          <w:p>
            <w:pPr>
              <w:widowControl/>
              <w:spacing w:line="520" w:lineRule="exact"/>
              <w:jc w:val="center"/>
              <w:rPr>
                <w:rFonts w:ascii="方正楷体_GBK" w:hAnsi="方正楷体_GBK" w:eastAsia="方正楷体_GBK" w:cs="方正楷体_GBK"/>
                <w:kern w:val="0"/>
                <w:szCs w:val="21"/>
              </w:rPr>
            </w:pPr>
            <w:r>
              <w:rPr>
                <w:rFonts w:hint="eastAsia" w:ascii="方正楷体_GBK" w:hAnsi="方正楷体_GBK" w:eastAsia="方正楷体_GBK" w:cs="方正楷体_GBK"/>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vMerge w:val="restart"/>
            <w:vAlign w:val="center"/>
          </w:tcPr>
          <w:p>
            <w:pPr>
              <w:widowControl/>
              <w:spacing w:line="520" w:lineRule="exact"/>
              <w:rPr>
                <w:rFonts w:ascii="宋体" w:hAnsi="宋体" w:cs="宋体"/>
                <w:kern w:val="0"/>
                <w:szCs w:val="21"/>
              </w:rPr>
            </w:pPr>
            <w:r>
              <w:rPr>
                <w:rFonts w:hint="eastAsia" w:ascii="宋体" w:hAnsi="宋体" w:cs="宋体"/>
                <w:kern w:val="0"/>
                <w:szCs w:val="21"/>
              </w:rPr>
              <w:t>商务部分     30分</w:t>
            </w:r>
          </w:p>
        </w:tc>
        <w:tc>
          <w:tcPr>
            <w:tcW w:w="2726" w:type="dxa"/>
            <w:gridSpan w:val="2"/>
            <w:vAlign w:val="center"/>
          </w:tcPr>
          <w:p>
            <w:pPr>
              <w:spacing w:line="520" w:lineRule="exact"/>
              <w:jc w:val="center"/>
              <w:rPr>
                <w:rFonts w:ascii="宋体" w:hAnsi="宋体" w:cs="宋体"/>
                <w:color w:val="000000"/>
                <w:kern w:val="0"/>
                <w:szCs w:val="21"/>
              </w:rPr>
            </w:pPr>
            <w:r>
              <w:rPr>
                <w:rFonts w:hint="eastAsia" w:ascii="宋体" w:hAnsi="宋体" w:cs="宋体"/>
                <w:kern w:val="0"/>
                <w:szCs w:val="21"/>
              </w:rPr>
              <w:t>标书制作</w:t>
            </w:r>
          </w:p>
        </w:tc>
        <w:tc>
          <w:tcPr>
            <w:tcW w:w="784" w:type="dxa"/>
            <w:vAlign w:val="center"/>
          </w:tcPr>
          <w:p>
            <w:pPr>
              <w:spacing w:line="520" w:lineRule="exact"/>
              <w:jc w:val="center"/>
              <w:rPr>
                <w:rFonts w:ascii="宋体" w:hAnsi="宋体" w:cs="宋体"/>
                <w:color w:val="000000"/>
                <w:kern w:val="0"/>
                <w:szCs w:val="21"/>
              </w:rPr>
            </w:pPr>
            <w:r>
              <w:rPr>
                <w:rFonts w:hint="eastAsia" w:ascii="宋体" w:hAnsi="宋体" w:cs="宋体"/>
                <w:kern w:val="0"/>
                <w:szCs w:val="21"/>
              </w:rPr>
              <w:t>2</w:t>
            </w:r>
          </w:p>
        </w:tc>
        <w:tc>
          <w:tcPr>
            <w:tcW w:w="6570" w:type="dxa"/>
            <w:vAlign w:val="center"/>
          </w:tcPr>
          <w:p>
            <w:pPr>
              <w:spacing w:line="520" w:lineRule="exact"/>
              <w:rPr>
                <w:rFonts w:ascii="宋体" w:hAnsi="宋体" w:cs="宋体"/>
                <w:color w:val="000000"/>
                <w:kern w:val="0"/>
                <w:szCs w:val="21"/>
              </w:rPr>
            </w:pPr>
            <w:r>
              <w:rPr>
                <w:rFonts w:hint="eastAsia" w:ascii="宋体" w:hAnsi="宋体"/>
                <w:color w:val="000000"/>
              </w:rPr>
              <w:t>根据询价文件制作完整，格式规范，页码编制完善及密封包装等情况进行酌情打分，2分（如出现活页装订，无页码，无目录，商务、技术文件未分开编制成册等情况的，每出现一起扣1分，扣完为止）。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vMerge w:val="continue"/>
            <w:vAlign w:val="center"/>
          </w:tcPr>
          <w:p>
            <w:pPr>
              <w:widowControl/>
              <w:spacing w:line="520" w:lineRule="exact"/>
              <w:rPr>
                <w:rFonts w:ascii="宋体" w:hAnsi="宋体" w:cs="宋体"/>
                <w:kern w:val="0"/>
                <w:szCs w:val="21"/>
              </w:rPr>
            </w:pPr>
          </w:p>
        </w:tc>
        <w:tc>
          <w:tcPr>
            <w:tcW w:w="2726" w:type="dxa"/>
            <w:gridSpan w:val="2"/>
            <w:vAlign w:val="center"/>
          </w:tcPr>
          <w:p>
            <w:pPr>
              <w:spacing w:line="520" w:lineRule="exact"/>
              <w:jc w:val="center"/>
              <w:rPr>
                <w:rFonts w:ascii="宋体" w:hAnsi="宋体" w:cs="宋体"/>
                <w:kern w:val="0"/>
                <w:szCs w:val="21"/>
              </w:rPr>
            </w:pPr>
            <w:r>
              <w:rPr>
                <w:rFonts w:hint="eastAsia" w:ascii="宋体" w:hAnsi="宋体" w:cs="宋体"/>
                <w:kern w:val="0"/>
                <w:szCs w:val="21"/>
              </w:rPr>
              <w:t>资质证明</w:t>
            </w:r>
          </w:p>
        </w:tc>
        <w:tc>
          <w:tcPr>
            <w:tcW w:w="784" w:type="dxa"/>
            <w:vAlign w:val="center"/>
          </w:tcPr>
          <w:p>
            <w:pPr>
              <w:spacing w:line="520" w:lineRule="exact"/>
              <w:jc w:val="center"/>
              <w:rPr>
                <w:rFonts w:ascii="宋体" w:hAnsi="宋体" w:cs="宋体"/>
                <w:kern w:val="0"/>
                <w:szCs w:val="21"/>
              </w:rPr>
            </w:pPr>
            <w:r>
              <w:rPr>
                <w:rFonts w:hint="eastAsia" w:ascii="宋体" w:hAnsi="宋体" w:cs="宋体"/>
                <w:kern w:val="0"/>
                <w:szCs w:val="21"/>
              </w:rPr>
              <w:t>8</w:t>
            </w:r>
          </w:p>
        </w:tc>
        <w:tc>
          <w:tcPr>
            <w:tcW w:w="6570" w:type="dxa"/>
            <w:vAlign w:val="center"/>
          </w:tcPr>
          <w:p>
            <w:pPr>
              <w:spacing w:line="520" w:lineRule="exact"/>
              <w:rPr>
                <w:rFonts w:ascii="宋体" w:hAnsi="宋体" w:cs="宋体"/>
                <w:color w:val="000000"/>
                <w:kern w:val="0"/>
                <w:szCs w:val="21"/>
              </w:rPr>
            </w:pPr>
            <w:r>
              <w:rPr>
                <w:rFonts w:hint="eastAsia" w:ascii="宋体" w:hAnsi="宋体" w:cs="宋体"/>
                <w:color w:val="000000"/>
                <w:kern w:val="0"/>
                <w:szCs w:val="21"/>
              </w:rPr>
              <w:t>营业执照经营范围须有汽车救援服务，详细的法定代表人身份证明和法人授权委托书(如需要),信用证明材料，满分8分（每缺一项扣1分，扣完为止）。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5" w:type="dxa"/>
            <w:vMerge w:val="continue"/>
            <w:vAlign w:val="center"/>
          </w:tcPr>
          <w:p>
            <w:pPr>
              <w:widowControl/>
              <w:spacing w:line="520" w:lineRule="exact"/>
              <w:ind w:firstLine="420" w:firstLineChars="200"/>
              <w:rPr>
                <w:rFonts w:ascii="宋体" w:hAnsi="宋体" w:cs="宋体"/>
                <w:kern w:val="0"/>
                <w:szCs w:val="21"/>
              </w:rPr>
            </w:pPr>
          </w:p>
        </w:tc>
        <w:tc>
          <w:tcPr>
            <w:tcW w:w="2726" w:type="dxa"/>
            <w:gridSpan w:val="2"/>
            <w:vAlign w:val="center"/>
          </w:tcPr>
          <w:p>
            <w:pPr>
              <w:widowControl/>
              <w:spacing w:line="520" w:lineRule="exact"/>
              <w:jc w:val="center"/>
              <w:rPr>
                <w:rFonts w:ascii="宋体" w:hAnsi="宋体" w:cs="宋体"/>
                <w:color w:val="000000"/>
                <w:kern w:val="0"/>
                <w:szCs w:val="21"/>
              </w:rPr>
            </w:pPr>
            <w:r>
              <w:rPr>
                <w:rFonts w:hint="eastAsia" w:ascii="宋体" w:hAnsi="宋体" w:cs="宋体"/>
                <w:kern w:val="0"/>
                <w:szCs w:val="21"/>
              </w:rPr>
              <w:t>人员要求</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6570" w:type="dxa"/>
            <w:vAlign w:val="center"/>
          </w:tcPr>
          <w:p>
            <w:pPr>
              <w:widowControl/>
              <w:numPr>
                <w:ilvl w:val="0"/>
                <w:numId w:val="2"/>
              </w:numPr>
              <w:spacing w:line="520" w:lineRule="exact"/>
              <w:rPr>
                <w:rFonts w:ascii="宋体" w:hAnsi="宋体" w:cs="宋体"/>
                <w:color w:val="000000"/>
                <w:kern w:val="0"/>
                <w:szCs w:val="21"/>
              </w:rPr>
            </w:pPr>
            <w:r>
              <w:rPr>
                <w:rFonts w:hint="eastAsia" w:ascii="宋体" w:hAnsi="宋体" w:cs="宋体"/>
                <w:color w:val="000000"/>
                <w:kern w:val="0"/>
                <w:szCs w:val="21"/>
              </w:rPr>
              <w:t>投入本项目的工作人员具有B2驾照的，每个得</w:t>
            </w:r>
            <w:r>
              <w:rPr>
                <w:rFonts w:ascii="宋体" w:hAnsi="宋体" w:cs="宋体"/>
                <w:color w:val="000000"/>
                <w:kern w:val="0"/>
                <w:szCs w:val="21"/>
              </w:rPr>
              <w:t>0.5</w:t>
            </w:r>
            <w:r>
              <w:rPr>
                <w:rFonts w:hint="eastAsia" w:ascii="宋体" w:hAnsi="宋体" w:cs="宋体"/>
                <w:color w:val="000000"/>
                <w:kern w:val="0"/>
                <w:szCs w:val="21"/>
              </w:rPr>
              <w:t>分，满分</w:t>
            </w:r>
            <w:r>
              <w:rPr>
                <w:rFonts w:ascii="宋体" w:hAnsi="宋体" w:cs="宋体"/>
                <w:color w:val="000000"/>
                <w:kern w:val="0"/>
                <w:szCs w:val="21"/>
              </w:rPr>
              <w:t>7</w:t>
            </w:r>
            <w:r>
              <w:rPr>
                <w:rFonts w:hint="eastAsia" w:ascii="宋体" w:hAnsi="宋体" w:cs="宋体"/>
                <w:color w:val="000000"/>
                <w:kern w:val="0"/>
                <w:szCs w:val="21"/>
              </w:rPr>
              <w:t>分。</w:t>
            </w:r>
          </w:p>
          <w:p>
            <w:pPr>
              <w:widowControl/>
              <w:numPr>
                <w:ilvl w:val="0"/>
                <w:numId w:val="2"/>
              </w:numPr>
              <w:spacing w:line="520" w:lineRule="exact"/>
              <w:rPr>
                <w:rFonts w:ascii="宋体" w:hAnsi="宋体" w:cs="宋体"/>
                <w:color w:val="000000"/>
                <w:kern w:val="0"/>
                <w:szCs w:val="21"/>
              </w:rPr>
            </w:pPr>
            <w:r>
              <w:rPr>
                <w:rFonts w:hint="eastAsia" w:ascii="宋体" w:hAnsi="宋体" w:cs="宋体"/>
                <w:color w:val="000000"/>
                <w:kern w:val="0"/>
                <w:szCs w:val="21"/>
              </w:rPr>
              <w:t>具有一名有汽修资格的技术人员得0</w:t>
            </w:r>
            <w:r>
              <w:rPr>
                <w:rFonts w:ascii="宋体" w:hAnsi="宋体" w:cs="宋体"/>
                <w:color w:val="000000"/>
                <w:kern w:val="0"/>
                <w:szCs w:val="21"/>
              </w:rPr>
              <w:t>.5</w:t>
            </w:r>
            <w:r>
              <w:rPr>
                <w:rFonts w:hint="eastAsia" w:ascii="宋体" w:hAnsi="宋体" w:cs="宋体"/>
                <w:color w:val="000000"/>
                <w:kern w:val="0"/>
                <w:szCs w:val="21"/>
              </w:rPr>
              <w:t>分，满分</w:t>
            </w:r>
            <w:r>
              <w:rPr>
                <w:rFonts w:ascii="宋体" w:hAnsi="宋体" w:cs="宋体"/>
                <w:color w:val="000000"/>
                <w:kern w:val="0"/>
                <w:szCs w:val="21"/>
              </w:rPr>
              <w:t>3</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35" w:type="dxa"/>
            <w:vMerge w:val="continue"/>
            <w:vAlign w:val="center"/>
          </w:tcPr>
          <w:p>
            <w:pPr>
              <w:widowControl/>
              <w:spacing w:line="520" w:lineRule="exact"/>
              <w:ind w:firstLine="420" w:firstLineChars="200"/>
              <w:rPr>
                <w:rFonts w:ascii="宋体" w:hAnsi="宋体" w:cs="宋体"/>
                <w:kern w:val="0"/>
                <w:szCs w:val="21"/>
              </w:rPr>
            </w:pPr>
          </w:p>
        </w:tc>
        <w:tc>
          <w:tcPr>
            <w:tcW w:w="2726" w:type="dxa"/>
            <w:gridSpan w:val="2"/>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清障救援处置组织设计</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kern w:val="0"/>
                <w:szCs w:val="21"/>
              </w:rPr>
              <w:t>5</w:t>
            </w:r>
          </w:p>
        </w:tc>
        <w:tc>
          <w:tcPr>
            <w:tcW w:w="6570" w:type="dxa"/>
            <w:vAlign w:val="center"/>
          </w:tcPr>
          <w:p>
            <w:pPr>
              <w:widowControl/>
              <w:spacing w:line="520" w:lineRule="exact"/>
              <w:rPr>
                <w:rFonts w:ascii="宋体" w:hAnsi="宋体" w:cs="宋体"/>
                <w:kern w:val="0"/>
                <w:szCs w:val="21"/>
              </w:rPr>
            </w:pPr>
            <w:r>
              <w:rPr>
                <w:rFonts w:hint="eastAsia" w:ascii="宋体" w:hAnsi="宋体" w:cs="宋体"/>
                <w:color w:val="000000"/>
                <w:kern w:val="0"/>
                <w:szCs w:val="21"/>
              </w:rPr>
              <w:t>报价人提供规范的管理制度及其岗位职责（缺一项管理制度或岗位职责扣1分，扣完为止）。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35" w:type="dxa"/>
            <w:vMerge w:val="continue"/>
            <w:vAlign w:val="center"/>
          </w:tcPr>
          <w:p>
            <w:pPr>
              <w:widowControl/>
              <w:spacing w:line="520" w:lineRule="exact"/>
              <w:ind w:firstLine="420" w:firstLineChars="200"/>
              <w:rPr>
                <w:rFonts w:ascii="宋体" w:hAnsi="宋体" w:cs="宋体"/>
                <w:kern w:val="0"/>
                <w:szCs w:val="21"/>
              </w:rPr>
            </w:pPr>
          </w:p>
        </w:tc>
        <w:tc>
          <w:tcPr>
            <w:tcW w:w="2726" w:type="dxa"/>
            <w:gridSpan w:val="2"/>
            <w:vAlign w:val="center"/>
          </w:tcPr>
          <w:p>
            <w:pPr>
              <w:widowControl/>
              <w:spacing w:line="520" w:lineRule="exact"/>
              <w:jc w:val="center"/>
              <w:rPr>
                <w:rFonts w:ascii="宋体" w:hAnsi="宋体" w:cs="宋体"/>
                <w:kern w:val="0"/>
                <w:szCs w:val="21"/>
              </w:rPr>
            </w:pPr>
            <w:r>
              <w:rPr>
                <w:rFonts w:hint="eastAsia" w:ascii="宋体" w:hAnsi="宋体" w:cs="宋体"/>
                <w:kern w:val="0"/>
                <w:szCs w:val="21"/>
              </w:rPr>
              <w:t>询价人提供的单台车辆使用费用</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kern w:val="0"/>
                <w:szCs w:val="21"/>
              </w:rPr>
              <w:t>10</w:t>
            </w:r>
          </w:p>
        </w:tc>
        <w:tc>
          <w:tcPr>
            <w:tcW w:w="6570" w:type="dxa"/>
            <w:vAlign w:val="center"/>
          </w:tcPr>
          <w:p>
            <w:pPr>
              <w:widowControl/>
              <w:spacing w:line="520" w:lineRule="exact"/>
              <w:rPr>
                <w:rFonts w:ascii="宋体" w:hAnsi="宋体"/>
              </w:rPr>
            </w:pPr>
            <w:r>
              <w:rPr>
                <w:rFonts w:hint="eastAsia" w:ascii="宋体" w:hAnsi="宋体" w:cs="宋体"/>
                <w:kern w:val="0"/>
                <w:szCs w:val="21"/>
              </w:rPr>
              <w:t>本项目报价要求“0”元为基准价，报价人的评分价是以</w:t>
            </w:r>
            <w:r>
              <w:rPr>
                <w:rFonts w:ascii="宋体" w:hAnsi="宋体" w:cs="宋体"/>
                <w:kern w:val="0"/>
                <w:szCs w:val="21"/>
              </w:rPr>
              <w:t>0.5</w:t>
            </w:r>
            <w:r>
              <w:rPr>
                <w:rFonts w:hint="eastAsia" w:ascii="宋体" w:hAnsi="宋体" w:cs="宋体"/>
                <w:kern w:val="0"/>
                <w:szCs w:val="21"/>
              </w:rPr>
              <w:t>万元</w:t>
            </w:r>
            <w:r>
              <w:rPr>
                <w:rFonts w:hint="eastAsia" w:ascii="宋体" w:hAnsi="宋体" w:cs="宋体"/>
                <w:kern w:val="0"/>
                <w:szCs w:val="21"/>
                <w:lang w:val="en-US" w:eastAsia="zh-CN"/>
              </w:rPr>
              <w:t>/台</w:t>
            </w:r>
            <w:r>
              <w:rPr>
                <w:rFonts w:hint="eastAsia" w:ascii="宋体" w:hAnsi="宋体" w:cs="宋体"/>
                <w:kern w:val="0"/>
                <w:szCs w:val="21"/>
              </w:rPr>
              <w:t>为单位增幅报价，每高于基准价0</w:t>
            </w:r>
            <w:r>
              <w:rPr>
                <w:rFonts w:ascii="宋体" w:hAnsi="宋体" w:cs="宋体"/>
                <w:kern w:val="0"/>
                <w:szCs w:val="21"/>
              </w:rPr>
              <w:t>.5</w:t>
            </w:r>
            <w:r>
              <w:rPr>
                <w:rFonts w:hint="eastAsia" w:ascii="宋体" w:hAnsi="宋体" w:cs="宋体"/>
                <w:kern w:val="0"/>
                <w:szCs w:val="21"/>
              </w:rPr>
              <w:t>万元为增加1分，递增不足</w:t>
            </w:r>
            <w:r>
              <w:rPr>
                <w:rFonts w:ascii="宋体" w:hAnsi="宋体" w:cs="宋体"/>
                <w:kern w:val="0"/>
                <w:szCs w:val="21"/>
              </w:rPr>
              <w:t>0.5</w:t>
            </w:r>
            <w:r>
              <w:rPr>
                <w:rFonts w:hint="eastAsia" w:ascii="宋体" w:hAnsi="宋体" w:cs="宋体"/>
                <w:kern w:val="0"/>
                <w:szCs w:val="21"/>
              </w:rPr>
              <w:t>万元不加分，满分为10分。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35" w:type="dxa"/>
            <w:vMerge w:val="restart"/>
            <w:vAlign w:val="center"/>
          </w:tcPr>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r>
              <w:rPr>
                <w:rFonts w:hint="eastAsia" w:ascii="宋体" w:hAnsi="宋体" w:cs="宋体"/>
                <w:kern w:val="0"/>
                <w:szCs w:val="21"/>
              </w:rPr>
              <w:t>技术部分70分</w:t>
            </w:r>
          </w:p>
        </w:tc>
        <w:tc>
          <w:tcPr>
            <w:tcW w:w="2726" w:type="dxa"/>
            <w:gridSpan w:val="2"/>
            <w:vAlign w:val="center"/>
          </w:tcPr>
          <w:p>
            <w:pPr>
              <w:widowControl/>
              <w:spacing w:line="520" w:lineRule="exact"/>
              <w:jc w:val="center"/>
              <w:rPr>
                <w:rFonts w:ascii="宋体" w:hAnsi="宋体"/>
                <w:szCs w:val="21"/>
              </w:rPr>
            </w:pPr>
            <w:r>
              <w:rPr>
                <w:rFonts w:hint="eastAsia" w:ascii="宋体" w:hAnsi="宋体" w:cs="宋体"/>
                <w:kern w:val="0"/>
                <w:szCs w:val="21"/>
              </w:rPr>
              <w:t>报价人业绩</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kern w:val="0"/>
                <w:szCs w:val="21"/>
              </w:rPr>
              <w:t>5</w:t>
            </w:r>
          </w:p>
        </w:tc>
        <w:tc>
          <w:tcPr>
            <w:tcW w:w="6570" w:type="dxa"/>
            <w:vAlign w:val="center"/>
          </w:tcPr>
          <w:p>
            <w:pPr>
              <w:widowControl/>
              <w:spacing w:line="520" w:lineRule="exact"/>
              <w:jc w:val="left"/>
            </w:pPr>
            <w:r>
              <w:rPr>
                <w:rFonts w:hint="eastAsia" w:ascii="宋体" w:hAnsi="宋体" w:cs="宋体"/>
                <w:kern w:val="0"/>
                <w:szCs w:val="21"/>
              </w:rPr>
              <w:t>报价人201</w:t>
            </w:r>
            <w:r>
              <w:rPr>
                <w:rFonts w:hint="eastAsia" w:ascii="宋体" w:hAnsi="宋体" w:cs="宋体"/>
                <w:kern w:val="0"/>
                <w:szCs w:val="21"/>
                <w:lang w:val="en-US" w:eastAsia="zh-CN"/>
              </w:rPr>
              <w:t>7</w:t>
            </w:r>
            <w:r>
              <w:rPr>
                <w:rFonts w:hint="eastAsia" w:ascii="宋体" w:hAnsi="宋体" w:cs="宋体"/>
                <w:kern w:val="0"/>
                <w:szCs w:val="21"/>
              </w:rPr>
              <w:t>年1月1日至今签订的拖车救援外协（外包）合同，每份合同得1分，最高得5分。（注：须提供有效的外协（外包）合同复印件加盖单位鲜章，原件备查。）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35" w:type="dxa"/>
            <w:vMerge w:val="continue"/>
            <w:vAlign w:val="center"/>
          </w:tcPr>
          <w:p>
            <w:pPr>
              <w:spacing w:line="520" w:lineRule="exact"/>
              <w:rPr>
                <w:rFonts w:ascii="宋体" w:hAnsi="宋体" w:cs="宋体"/>
                <w:kern w:val="0"/>
                <w:szCs w:val="21"/>
              </w:rPr>
            </w:pPr>
          </w:p>
        </w:tc>
        <w:tc>
          <w:tcPr>
            <w:tcW w:w="2726" w:type="dxa"/>
            <w:gridSpan w:val="2"/>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安全管理</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6570" w:type="dxa"/>
            <w:vAlign w:val="center"/>
          </w:tcPr>
          <w:p>
            <w:pPr>
              <w:widowControl/>
              <w:spacing w:line="520" w:lineRule="exact"/>
              <w:rPr>
                <w:rFonts w:ascii="宋体" w:hAnsi="宋体" w:cs="宋体"/>
                <w:color w:val="000000"/>
                <w:kern w:val="0"/>
                <w:szCs w:val="21"/>
              </w:rPr>
            </w:pPr>
            <w:r>
              <w:rPr>
                <w:rFonts w:hint="eastAsia" w:ascii="宋体" w:hAnsi="宋体" w:cs="宋体"/>
                <w:color w:val="000000"/>
                <w:kern w:val="0"/>
                <w:szCs w:val="21"/>
              </w:rPr>
              <w:t>为投入本项目的驾驶员投保，得5分；为部分驾驶员投保，得3分；驾驶员无保险不得分，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restart"/>
            <w:vAlign w:val="center"/>
          </w:tcPr>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szCs w:val="21"/>
              </w:rPr>
            </w:pPr>
            <w:r>
              <w:rPr>
                <w:rFonts w:hint="eastAsia" w:ascii="宋体" w:hAnsi="宋体" w:cs="宋体"/>
                <w:color w:val="000000"/>
                <w:kern w:val="0"/>
                <w:szCs w:val="21"/>
              </w:rPr>
              <w:t>清障救援基本结构组成  （</w:t>
            </w:r>
            <w:r>
              <w:rPr>
                <w:rFonts w:ascii="宋体" w:hAnsi="宋体" w:cs="宋体"/>
                <w:color w:val="000000"/>
                <w:kern w:val="0"/>
                <w:szCs w:val="21"/>
              </w:rPr>
              <w:t>55</w:t>
            </w:r>
            <w:r>
              <w:rPr>
                <w:rFonts w:hint="eastAsia" w:ascii="宋体" w:hAnsi="宋体" w:cs="宋体"/>
                <w:color w:val="000000"/>
                <w:kern w:val="0"/>
                <w:szCs w:val="21"/>
              </w:rPr>
              <w:t>分）</w:t>
            </w: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清障车辆</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15</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报价人按最低救援固定驻点清障车辆配置标准提供拖车，每少一辆扣2分直到0分。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注：须提供有效的清障车辆照片和行驶证复印件加盖单位鲜章，原件备查。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急救车辆</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10</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报价人提供高速急救车辆，配齐得10分，不满足扣5分直到0分。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注：须提供有效的高速急救车辆照片及行驶证复印件加盖单位鲜章，原件备查。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转货配置</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11</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报价人至少配置5名负责转运和清扫的人员，缺少1人扣3分直到0分。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注：须提供装运和清扫人员名单，身份证件复印件，与报价人签订劳务合同复印件。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吊车及转货车</w:t>
            </w:r>
          </w:p>
        </w:tc>
        <w:tc>
          <w:tcPr>
            <w:tcW w:w="784" w:type="dxa"/>
            <w:vAlign w:val="center"/>
          </w:tcPr>
          <w:p>
            <w:pPr>
              <w:widowControl/>
              <w:spacing w:line="520" w:lineRule="exact"/>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5</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至少与中标路段所在区县的转运货车单位签订有能提供不低于2台50吨以上吊车、2台25吨以上转运货车的，并符合高速集团工作要求的协作协议，缺少一项扣2分直到0分。</w:t>
            </w:r>
          </w:p>
          <w:p>
            <w:pPr>
              <w:pStyle w:val="58"/>
              <w:rPr>
                <w:rFonts w:hAnsi="宋体"/>
                <w:sz w:val="21"/>
                <w:szCs w:val="21"/>
              </w:rPr>
            </w:pPr>
            <w:r>
              <w:rPr>
                <w:rFonts w:hint="eastAsia" w:hAnsi="宋体"/>
                <w:sz w:val="21"/>
                <w:szCs w:val="21"/>
              </w:rPr>
              <w:t>注：须提供签订协作协议，相关吊车和转运货车行驶证复印件加盖单位鲜章，原件备查。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1560"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安全警示标志组成</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5</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报价人满足警示锥标不少于200个、符合规范的标志标牌每车一套，反光背心每车2件，三样都满足得5分，一样不满足得0分。</w:t>
            </w:r>
          </w:p>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注：须提供安全警示标志图片，后期备查。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5" w:type="dxa"/>
            <w:vMerge w:val="continue"/>
            <w:vAlign w:val="center"/>
          </w:tcPr>
          <w:p>
            <w:pPr>
              <w:spacing w:line="520" w:lineRule="exact"/>
              <w:rPr>
                <w:rFonts w:ascii="宋体" w:hAnsi="宋体" w:cs="宋体"/>
                <w:kern w:val="0"/>
                <w:szCs w:val="21"/>
              </w:rPr>
            </w:pPr>
          </w:p>
        </w:tc>
        <w:tc>
          <w:tcPr>
            <w:tcW w:w="2726" w:type="dxa"/>
            <w:gridSpan w:val="2"/>
            <w:vAlign w:val="center"/>
          </w:tcPr>
          <w:p>
            <w:pPr>
              <w:widowControl/>
              <w:spacing w:line="520" w:lineRule="exact"/>
              <w:rPr>
                <w:rFonts w:ascii="宋体" w:hAnsi="宋体" w:cs="宋体"/>
                <w:color w:val="000000"/>
                <w:kern w:val="0"/>
                <w:szCs w:val="21"/>
              </w:rPr>
            </w:pPr>
            <w:r>
              <w:rPr>
                <w:rFonts w:hint="eastAsia" w:ascii="宋体" w:hAnsi="宋体"/>
                <w:szCs w:val="21"/>
              </w:rPr>
              <w:t>服务保障</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有后台指挥调度中心得2分；服务承诺按业主要求增加固定点得2分。</w:t>
            </w:r>
          </w:p>
        </w:tc>
      </w:tr>
    </w:tbl>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十二、公开竞争性比选失败处理方式</w:t>
      </w:r>
    </w:p>
    <w:p>
      <w:pPr>
        <w:spacing w:line="560" w:lineRule="exact"/>
        <w:ind w:firstLine="627" w:firstLineChars="196"/>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1.公开竞争性比选出现下列情况之一，重新进行比选</w:t>
      </w:r>
    </w:p>
    <w:p>
      <w:pPr>
        <w:pStyle w:val="2"/>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1） 投标人少于 3个的；</w:t>
      </w:r>
    </w:p>
    <w:p>
      <w:pPr>
        <w:pStyle w:val="2"/>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2）所有投标均被否决的；</w:t>
      </w:r>
    </w:p>
    <w:p>
      <w:pPr>
        <w:pStyle w:val="2"/>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2.招标过程中，投标数量达到大于或等于3个单位，但在评标过程中废标后只剩2个单位，该标段继续开标。</w:t>
      </w:r>
    </w:p>
    <w:p>
      <w:pPr>
        <w:pStyle w:val="2"/>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3.本次项目标段出现两次流标后，公司就在符合条件的投标单位中选取一家</w:t>
      </w:r>
      <w:r>
        <w:rPr>
          <w:rFonts w:hint="eastAsia" w:ascii="方正仿宋_GBK" w:hAnsi="宋体" w:eastAsia="方正仿宋_GBK" w:cs="宋体"/>
          <w:kern w:val="0"/>
          <w:sz w:val="32"/>
          <w:szCs w:val="32"/>
          <w:lang w:val="en-US" w:eastAsia="zh-CN"/>
        </w:rPr>
        <w:t>或与原合作单位</w:t>
      </w:r>
      <w:r>
        <w:rPr>
          <w:rFonts w:hint="eastAsia" w:ascii="方正仿宋_GBK" w:hAnsi="宋体" w:eastAsia="方正仿宋_GBK" w:cs="宋体"/>
          <w:kern w:val="0"/>
          <w:sz w:val="32"/>
          <w:szCs w:val="32"/>
        </w:rPr>
        <w:t>直接谈判后委托。</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三</w:t>
      </w:r>
      <w:r>
        <w:rPr>
          <w:rFonts w:hint="eastAsia" w:ascii="方正黑体_GBK" w:hAnsi="宋体" w:eastAsia="方正黑体_GBK" w:cs="宋体"/>
          <w:bCs/>
          <w:kern w:val="0"/>
          <w:sz w:val="32"/>
          <w:szCs w:val="32"/>
        </w:rPr>
        <w:t>、领取中标通知书及签订合同</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1.比选结果经</w:t>
      </w:r>
      <w:r>
        <w:rPr>
          <w:rFonts w:hint="eastAsia" w:ascii="方正仿宋_GBK" w:hAnsi="方正仿宋_GBK" w:eastAsia="方正仿宋_GBK" w:cs="方正仿宋_GBK"/>
          <w:sz w:val="32"/>
          <w:szCs w:val="32"/>
        </w:rPr>
        <w:t>重庆高速集团官网</w:t>
      </w:r>
      <w:r>
        <w:rPr>
          <w:rFonts w:hint="eastAsia" w:ascii="方正仿宋_GBK" w:hAnsi="宋体" w:eastAsia="方正仿宋_GBK" w:cs="宋体"/>
          <w:kern w:val="0"/>
          <w:sz w:val="32"/>
          <w:szCs w:val="32"/>
        </w:rPr>
        <w:t>公示</w:t>
      </w:r>
      <w:r>
        <w:rPr>
          <w:rFonts w:hint="eastAsia" w:ascii="方正仿宋_GBK" w:hAnsi="宋体" w:eastAsia="方正仿宋_GBK" w:cs="宋体"/>
          <w:color w:val="000000"/>
          <w:kern w:val="0"/>
          <w:sz w:val="32"/>
          <w:szCs w:val="32"/>
        </w:rPr>
        <w:t>3</w:t>
      </w:r>
      <w:r>
        <w:rPr>
          <w:rFonts w:hint="eastAsia" w:ascii="方正仿宋_GBK" w:hAnsi="宋体" w:eastAsia="方正仿宋_GBK" w:cs="宋体"/>
          <w:kern w:val="0"/>
          <w:sz w:val="32"/>
          <w:szCs w:val="32"/>
        </w:rPr>
        <w:t>个工作日无异议，再经询价人决策后，向中标人发出</w:t>
      </w:r>
      <w:r>
        <w:rPr>
          <w:rFonts w:hint="eastAsia" w:ascii="方正仿宋_GBK" w:hAnsi="宋体" w:eastAsia="方正仿宋_GBK" w:cs="宋体"/>
          <w:color w:val="000000"/>
          <w:kern w:val="0"/>
          <w:sz w:val="32"/>
          <w:szCs w:val="32"/>
        </w:rPr>
        <w:t>中标通知书</w:t>
      </w:r>
      <w:r>
        <w:rPr>
          <w:rFonts w:hint="eastAsia" w:ascii="方正仿宋_GBK" w:hAnsi="宋体" w:eastAsia="方正仿宋_GBK" w:cs="宋体"/>
          <w:kern w:val="0"/>
          <w:sz w:val="32"/>
          <w:szCs w:val="32"/>
        </w:rPr>
        <w:t>及签订合同</w:t>
      </w:r>
      <w:r>
        <w:rPr>
          <w:rFonts w:hint="eastAsia" w:ascii="方正仿宋_GBK" w:hAnsi="宋体" w:eastAsia="方正仿宋_GBK" w:cs="宋体"/>
          <w:color w:val="000000"/>
          <w:kern w:val="0"/>
          <w:sz w:val="32"/>
          <w:szCs w:val="32"/>
        </w:rPr>
        <w:t>。</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2.询价人、中标人均应对所签的每份合同加盖骑缝章；中标人签订合同时必须加盖清晰的公章。</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3.中标人在合同签订时提交所有救援人员参加意外保险的凭证。</w:t>
      </w:r>
    </w:p>
    <w:p>
      <w:pPr>
        <w:spacing w:line="56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4.中标人未书面向询价人提出因不可抗力不能履行竞标承诺，未按上述规定时间领取中标通知书及签订合同，将被视为放弃中标权益。</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color w:val="000000" w:themeColor="text1"/>
          <w:kern w:val="0"/>
          <w:sz w:val="32"/>
          <w:szCs w:val="32"/>
        </w:rPr>
        <w:t>5.中标人放弃中</w:t>
      </w:r>
      <w:r>
        <w:rPr>
          <w:rFonts w:hint="eastAsia" w:ascii="方正仿宋_GBK" w:hAnsi="宋体" w:eastAsia="方正仿宋_GBK" w:cs="宋体"/>
          <w:kern w:val="0"/>
          <w:sz w:val="32"/>
          <w:szCs w:val="32"/>
        </w:rPr>
        <w:t>标权益：其提交的竞争性比选保证金将</w:t>
      </w:r>
      <w:r>
        <w:rPr>
          <w:rFonts w:hint="eastAsia" w:ascii="方正仿宋_GBK" w:hAnsi="宋体" w:eastAsia="方正仿宋_GBK"/>
          <w:sz w:val="32"/>
          <w:szCs w:val="32"/>
          <w:shd w:val="clear" w:color="auto" w:fill="FFFFFF"/>
        </w:rPr>
        <w:t>不予退还</w:t>
      </w:r>
      <w:r>
        <w:rPr>
          <w:rFonts w:hint="eastAsia" w:ascii="方正仿宋_GBK" w:hAnsi="宋体" w:eastAsia="方正仿宋_GBK" w:cs="宋体"/>
          <w:kern w:val="0"/>
          <w:sz w:val="32"/>
          <w:szCs w:val="32"/>
        </w:rPr>
        <w:t>，并将列入不良行为记录名单，5年内禁止参加我司服务类询价活动。若给询价人造成较大损失，将承担由此引起的经济及法律责任。</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四</w:t>
      </w:r>
      <w:r>
        <w:rPr>
          <w:rFonts w:hint="eastAsia" w:ascii="方正黑体_GBK" w:hAnsi="宋体" w:eastAsia="方正黑体_GBK" w:cs="宋体"/>
          <w:bCs/>
          <w:kern w:val="0"/>
          <w:sz w:val="32"/>
          <w:szCs w:val="32"/>
        </w:rPr>
        <w:t>、付款方式：</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1.当中标人得到询价人的中标通知书后，需于合同签订前5个工作日内向询价人指定账户汇入10万元（大写：壹拾万元整）人民币履约保证金。</w:t>
      </w:r>
    </w:p>
    <w:p>
      <w:pPr>
        <w:pStyle w:val="58"/>
      </w:pPr>
      <w:r>
        <w:rPr>
          <w:rFonts w:hint="eastAsia"/>
        </w:rPr>
        <w:t xml:space="preserve"> </w:t>
      </w:r>
      <w:r>
        <w:t xml:space="preserve">  </w:t>
      </w:r>
      <w:r>
        <w:rPr>
          <w:rFonts w:ascii="方正仿宋_GBK" w:hAnsi="宋体" w:eastAsia="方正仿宋_GBK"/>
          <w:color w:val="auto"/>
          <w:sz w:val="32"/>
          <w:szCs w:val="32"/>
        </w:rPr>
        <w:t xml:space="preserve">  </w:t>
      </w:r>
      <w:r>
        <w:rPr>
          <w:rFonts w:hint="eastAsia" w:ascii="方正仿宋_GBK" w:hAnsi="宋体" w:eastAsia="方正仿宋_GBK"/>
          <w:color w:val="auto"/>
          <w:sz w:val="32"/>
          <w:szCs w:val="32"/>
        </w:rPr>
        <w:t>2</w:t>
      </w:r>
      <w:r>
        <w:rPr>
          <w:rFonts w:ascii="方正仿宋_GBK" w:hAnsi="宋体" w:eastAsia="方正仿宋_GBK"/>
          <w:color w:val="auto"/>
          <w:sz w:val="32"/>
          <w:szCs w:val="32"/>
        </w:rPr>
        <w:t>.</w:t>
      </w:r>
      <w:r>
        <w:rPr>
          <w:rFonts w:hint="eastAsia" w:ascii="方正仿宋_GBK" w:hAnsi="宋体" w:eastAsia="方正仿宋_GBK"/>
          <w:color w:val="auto"/>
          <w:sz w:val="32"/>
          <w:szCs w:val="32"/>
        </w:rPr>
        <w:t>履约保证金的退还：合同履行结束后，中标人凭询价人签署的同意退还履约保证金的证明退还履约保证金</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lang w:val="en-US" w:eastAsia="zh-CN"/>
        </w:rPr>
        <w:t>无息退还</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rPr>
        <w:t>。</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五</w:t>
      </w:r>
      <w:r>
        <w:rPr>
          <w:rFonts w:hint="eastAsia" w:ascii="方正黑体_GBK" w:hAnsi="宋体" w:eastAsia="方正黑体_GBK" w:cs="宋体"/>
          <w:bCs/>
          <w:kern w:val="0"/>
          <w:sz w:val="32"/>
          <w:szCs w:val="32"/>
        </w:rPr>
        <w:t>、监督管理：</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本次公开竞争性比选的全过程接受公司或上级纪检部门的监督。</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六</w:t>
      </w:r>
      <w:r>
        <w:rPr>
          <w:rFonts w:hint="eastAsia" w:ascii="方正黑体_GBK" w:hAnsi="宋体" w:eastAsia="方正黑体_GBK" w:cs="宋体"/>
          <w:bCs/>
          <w:kern w:val="0"/>
          <w:sz w:val="32"/>
          <w:szCs w:val="32"/>
        </w:rPr>
        <w:t>、比选时间及地点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1.响应文件递交截至时间和开标时间</w:t>
      </w:r>
    </w:p>
    <w:p>
      <w:pPr>
        <w:spacing w:line="560" w:lineRule="exact"/>
        <w:ind w:firstLine="640" w:firstLineChars="200"/>
        <w:rPr>
          <w:rFonts w:ascii="方正仿宋_GBK" w:hAnsi="宋体" w:eastAsia="方正仿宋_GBK" w:cs="宋体"/>
          <w:kern w:val="0"/>
          <w:sz w:val="32"/>
          <w:szCs w:val="32"/>
          <w:u w:val="single"/>
        </w:rPr>
      </w:pPr>
      <w:r>
        <w:rPr>
          <w:rFonts w:hint="eastAsia" w:ascii="方正仿宋_GBK" w:hAnsi="宋体" w:eastAsia="方正仿宋_GBK" w:cs="宋体"/>
          <w:kern w:val="0"/>
          <w:sz w:val="32"/>
          <w:szCs w:val="32"/>
          <w:u w:val="single"/>
          <w:lang w:val="en-US" w:eastAsia="zh-CN"/>
        </w:rPr>
        <w:t>2023</w:t>
      </w:r>
      <w:r>
        <w:rPr>
          <w:rFonts w:hint="eastAsia" w:ascii="方正仿宋_GBK" w:hAnsi="宋体" w:eastAsia="方正仿宋_GBK" w:cs="宋体"/>
          <w:kern w:val="0"/>
          <w:sz w:val="32"/>
          <w:szCs w:val="32"/>
          <w:u w:val="single"/>
        </w:rPr>
        <w:t>年</w:t>
      </w:r>
      <w:r>
        <w:rPr>
          <w:rFonts w:hint="eastAsia" w:ascii="方正仿宋_GBK" w:hAnsi="宋体" w:eastAsia="方正仿宋_GBK" w:cs="宋体"/>
          <w:kern w:val="0"/>
          <w:sz w:val="32"/>
          <w:szCs w:val="32"/>
          <w:u w:val="single"/>
          <w:lang w:val="en-US" w:eastAsia="zh-CN"/>
        </w:rPr>
        <w:t>1</w:t>
      </w:r>
      <w:r>
        <w:rPr>
          <w:rFonts w:hint="eastAsia" w:ascii="方正仿宋_GBK" w:hAnsi="宋体" w:eastAsia="方正仿宋_GBK" w:cs="宋体"/>
          <w:kern w:val="0"/>
          <w:sz w:val="32"/>
          <w:szCs w:val="32"/>
          <w:u w:val="single"/>
        </w:rPr>
        <w:t>月</w:t>
      </w:r>
      <w:r>
        <w:rPr>
          <w:rFonts w:hint="eastAsia" w:ascii="方正仿宋_GBK" w:hAnsi="宋体" w:eastAsia="方正仿宋_GBK" w:cs="宋体"/>
          <w:kern w:val="0"/>
          <w:sz w:val="32"/>
          <w:szCs w:val="32"/>
          <w:u w:val="single"/>
          <w:lang w:val="en-US" w:eastAsia="zh-CN"/>
        </w:rPr>
        <w:t>17</w:t>
      </w:r>
      <w:r>
        <w:rPr>
          <w:rFonts w:hint="eastAsia" w:ascii="方正仿宋_GBK" w:hAnsi="宋体" w:eastAsia="方正仿宋_GBK" w:cs="宋体"/>
          <w:kern w:val="0"/>
          <w:sz w:val="32"/>
          <w:szCs w:val="32"/>
          <w:u w:val="single"/>
        </w:rPr>
        <w:t>日</w:t>
      </w:r>
      <w:r>
        <w:rPr>
          <w:rFonts w:ascii="方正仿宋_GBK" w:hAnsi="宋体" w:eastAsia="方正仿宋_GBK" w:cs="宋体"/>
          <w:kern w:val="0"/>
          <w:sz w:val="32"/>
          <w:szCs w:val="32"/>
          <w:u w:val="single"/>
        </w:rPr>
        <w:t>10</w:t>
      </w:r>
      <w:r>
        <w:rPr>
          <w:rFonts w:hint="eastAsia" w:ascii="方正仿宋_GBK" w:hAnsi="宋体" w:eastAsia="方正仿宋_GBK" w:cs="宋体"/>
          <w:kern w:val="0"/>
          <w:sz w:val="32"/>
          <w:szCs w:val="32"/>
          <w:u w:val="single"/>
        </w:rPr>
        <w:t>时0</w:t>
      </w:r>
      <w:r>
        <w:rPr>
          <w:rFonts w:ascii="方正仿宋_GBK" w:hAnsi="宋体" w:eastAsia="方正仿宋_GBK" w:cs="宋体"/>
          <w:kern w:val="0"/>
          <w:sz w:val="32"/>
          <w:szCs w:val="32"/>
          <w:u w:val="single"/>
        </w:rPr>
        <w:t>0</w:t>
      </w:r>
      <w:r>
        <w:rPr>
          <w:rFonts w:hint="eastAsia" w:ascii="方正仿宋_GBK" w:hAnsi="宋体" w:eastAsia="方正仿宋_GBK" w:cs="宋体"/>
          <w:kern w:val="0"/>
          <w:sz w:val="32"/>
          <w:szCs w:val="32"/>
          <w:u w:val="single"/>
        </w:rPr>
        <w:t>分</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响应文件递交地点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重庆高速公路股份有限公司梁平办公基地408会议室。</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询价人在上述时间和地点收取比选文件，前述截止时间即为开标开始的时间，报价人超过截止时间递交的比选文件将不予接收。</w:t>
      </w:r>
    </w:p>
    <w:p>
      <w:pPr>
        <w:widowControl/>
        <w:spacing w:line="560" w:lineRule="exact"/>
        <w:ind w:firstLine="640" w:firstLineChars="200"/>
        <w:jc w:val="left"/>
        <w:rPr>
          <w:rFonts w:ascii="方正仿宋_GBK" w:eastAsia="方正仿宋_GBK"/>
          <w:sz w:val="32"/>
          <w:szCs w:val="32"/>
        </w:rPr>
      </w:pPr>
      <w:r>
        <w:rPr>
          <w:rFonts w:ascii="方正仿宋_GBK" w:eastAsia="方正仿宋_GBK"/>
          <w:sz w:val="32"/>
          <w:szCs w:val="32"/>
        </w:rPr>
        <w:t>十</w:t>
      </w:r>
      <w:r>
        <w:rPr>
          <w:rFonts w:hint="eastAsia" w:ascii="方正仿宋_GBK" w:eastAsia="方正仿宋_GBK"/>
          <w:sz w:val="32"/>
          <w:szCs w:val="32"/>
          <w:lang w:val="en-US" w:eastAsia="zh-CN"/>
        </w:rPr>
        <w:t>七</w:t>
      </w:r>
      <w:r>
        <w:rPr>
          <w:rFonts w:ascii="方正仿宋_GBK" w:eastAsia="方正仿宋_GBK"/>
          <w:sz w:val="32"/>
          <w:szCs w:val="32"/>
        </w:rPr>
        <w:t>、</w:t>
      </w:r>
    </w:p>
    <w:p>
      <w:pPr>
        <w:widowControl/>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附件1：《重庆高速公路股份有限公司清障救援外包服务合同》</w:t>
      </w:r>
    </w:p>
    <w:p>
      <w:pPr>
        <w:widowControl/>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附件2：《重庆高速公路外协单位清障救援管理规范》</w:t>
      </w:r>
    </w:p>
    <w:p>
      <w:pPr>
        <w:pStyle w:val="2"/>
        <w:ind w:firstLine="640"/>
        <w:rPr>
          <w:rFonts w:ascii="方正仿宋_GBK" w:eastAsia="方正仿宋_GBK"/>
          <w:sz w:val="32"/>
          <w:szCs w:val="32"/>
        </w:rPr>
      </w:pPr>
      <w:r>
        <w:rPr>
          <w:rFonts w:hint="eastAsia" w:ascii="方正仿宋_GBK" w:eastAsia="方正仿宋_GBK"/>
          <w:sz w:val="32"/>
          <w:szCs w:val="32"/>
        </w:rPr>
        <w:t>附件3：《</w:t>
      </w:r>
      <w:r>
        <w:rPr>
          <w:rFonts w:hint="eastAsia" w:ascii="方正仿宋_GBK" w:hAnsi="方正仿宋_GBK" w:eastAsia="方正仿宋_GBK" w:cs="方正仿宋_GBK"/>
          <w:sz w:val="32"/>
          <w:szCs w:val="32"/>
        </w:rPr>
        <w:t>重庆高速公路股份有限公司外协清障救援单位考核细则</w:t>
      </w:r>
      <w:r>
        <w:rPr>
          <w:rFonts w:hint="eastAsia" w:ascii="方正仿宋_GBK" w:eastAsia="方正仿宋_GBK"/>
          <w:sz w:val="32"/>
          <w:szCs w:val="32"/>
        </w:rPr>
        <w:t>》</w:t>
      </w:r>
    </w:p>
    <w:p>
      <w:pPr>
        <w:pStyle w:val="2"/>
        <w:ind w:firstLine="640"/>
        <w:rPr>
          <w:rFonts w:ascii="方正仿宋_GBK" w:eastAsia="方正仿宋_GBK"/>
          <w:sz w:val="32"/>
          <w:szCs w:val="32"/>
        </w:rPr>
      </w:pPr>
    </w:p>
    <w:p>
      <w:pPr>
        <w:pStyle w:val="2"/>
        <w:ind w:firstLine="640"/>
        <w:rPr>
          <w:rFonts w:ascii="方正仿宋_GBK" w:eastAsia="方正仿宋_GBK"/>
          <w:sz w:val="32"/>
          <w:szCs w:val="32"/>
        </w:rPr>
      </w:pPr>
    </w:p>
    <w:p>
      <w:pPr>
        <w:pStyle w:val="2"/>
        <w:ind w:firstLine="640"/>
        <w:rPr>
          <w:rFonts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hint="eastAsia" w:ascii="方正仿宋_GBK" w:eastAsia="方正仿宋_GBK"/>
          <w:sz w:val="32"/>
          <w:szCs w:val="32"/>
        </w:rPr>
      </w:pPr>
    </w:p>
    <w:p>
      <w:pPr>
        <w:pStyle w:val="2"/>
        <w:ind w:firstLine="0" w:firstLineChars="0"/>
        <w:rPr>
          <w:rFonts w:ascii="方正仿宋_GBK" w:eastAsia="方正仿宋_GBK"/>
          <w:color w:val="FF0000"/>
          <w:sz w:val="32"/>
          <w:szCs w:val="32"/>
        </w:rPr>
      </w:pPr>
      <w:r>
        <w:rPr>
          <w:rFonts w:hint="eastAsia" w:ascii="方正仿宋_GBK" w:eastAsia="方正仿宋_GBK"/>
          <w:sz w:val="32"/>
          <w:szCs w:val="32"/>
        </w:rPr>
        <w:t>附件1：</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重庆高速公路股份有限公司</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石忠、丰忠路段</w:t>
      </w:r>
      <w:r>
        <w:rPr>
          <w:rFonts w:hint="eastAsia" w:ascii="方正小标宋_GBK" w:hAnsi="方正小标宋_GBK" w:eastAsia="方正小标宋_GBK" w:cs="方正小标宋_GBK"/>
          <w:sz w:val="44"/>
          <w:szCs w:val="44"/>
        </w:rPr>
        <w:t>清障救援外包服务合同</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甲方：重庆高速公路股份有限公司</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 </w:t>
      </w:r>
    </w:p>
    <w:p>
      <w:pPr>
        <w:spacing w:line="660" w:lineRule="exact"/>
        <w:ind w:firstLine="55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依照《中华人民共和国合同法》和《中华人民共和国公路法》、《中华人民共和国道路交通安全法》、《国家发展改革委、交通运输部关于规范高速公路车辆救援服务收费有关问题的通知》、重庆市物价局、重庆市交通委员会《关</w:t>
      </w:r>
    </w:p>
    <w:p>
      <w:pPr>
        <w:spacing w:line="6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于高速公路清障救援服务收费及管理有关问题的通知》（渝价〔2012〕56号）文件、《重庆市公路路政管理条例》、《重庆高速公路清障救援管理办法（修订）》、《重庆高速公路清障作业操作指南》等法律法规的相关规定，及其他有关法律、法规规定。将甲方辖区部分道路清障、急救工作外包给乙方进行全面实施，甲乙双方在遵循平等、自愿、公平和诚实守信的原则下，经双方友好协商，达成如下协议：</w:t>
      </w:r>
    </w:p>
    <w:p>
      <w:pPr>
        <w:numPr>
          <w:ilvl w:val="0"/>
          <w:numId w:val="3"/>
        </w:numPr>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乙方相应资质、工作项目、设备及人员配备要求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1、乙方必须具备相关救援从业资格。</w:t>
      </w:r>
      <w:r>
        <w:rPr>
          <w:rFonts w:hint="eastAsia" w:ascii="方正仿宋_GBK" w:hAnsi="方正仿宋_GBK" w:eastAsia="方正仿宋_GBK" w:cs="方正仿宋_GBK"/>
          <w:color w:val="000000"/>
          <w:sz w:val="32"/>
          <w:szCs w:val="32"/>
        </w:rPr>
        <w:t>乙方从事清障救援的设备操作人员应具备国家认可的执业资格。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2、乙方工作项目：事故、故障车辆清障救援和故障车辆急救服务。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2.1道路清障救援工作具体任务：按规定快速拖移道路故障车辆，按规定对道路交通事故车辆进行拖移、吊装、转运等及完成公司安排的其它突发事件的救援处置工作。</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2.2</w:t>
      </w:r>
      <w:r>
        <w:rPr>
          <w:rFonts w:hint="eastAsia" w:ascii="方正仿宋_GBK" w:hAnsi="方正仿宋_GBK" w:eastAsia="方正仿宋_GBK" w:cs="方正仿宋_GBK"/>
          <w:sz w:val="32"/>
          <w:szCs w:val="32"/>
        </w:rPr>
        <w:t>故障车辆急救工作具体任务：原则上只能在高速公路上进行更换轮胎、维修刹车抱死、加水、加油等维修时间不超过30分钟的急救作业。</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3、道路清障救援工作必须配备的相关人员及设施设备：</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1）清障设备：清障及急救设备根据公开竞争性比选文件要求进行配置。其余还需配置转运货物车（25吨）3辆，10米长货箱大型背车2台，拖头车2辆， 8吨、25吨、80吨吊车各1台。</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2）警示标志：配备警示锥标200个，反光标志牌10块。</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3、救援辅助人员：转运队伍5人，救援现场安全员（协调员）1名。 </w:t>
      </w:r>
    </w:p>
    <w:p>
      <w:pPr>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4、故障车辆急救工作必须配备的相关人员及设施设备：维修车辆2台，有固定的急救维修人员，警示锥标200只，险情反光标志牌10块以及其他维修设备。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乙方必须保证以上各类资料信息的完整性和真实性，并报送到甲方备案。 </w:t>
      </w:r>
    </w:p>
    <w:p>
      <w:pPr>
        <w:numPr>
          <w:ilvl w:val="0"/>
          <w:numId w:val="3"/>
        </w:numPr>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甲乙双方职责</w:t>
      </w:r>
    </w:p>
    <w:p>
      <w:pPr>
        <w:numPr>
          <w:ilvl w:val="0"/>
          <w:numId w:val="4"/>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甲方的相关职责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1、协助与相关单位（部门）的协调配合道路救援工作。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2、甲方负责对乙方履行本合同的内容进行监督管理，对乙方的施救效率、收费标准、服务质量和社会投诉等进行监督、考核、处理。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3、本合同有效期内，乙方严格遵守和履行本合同的各项约定后，甲方视乙方为在高速公路上具有资格的救援单位。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4、甲方将通过出具授权委托书的方式，协助乙方办理救援联系电话并报送“重庆市高速公路服务电话12122”和路段“监控中心”。</w:t>
      </w:r>
    </w:p>
    <w:p>
      <w:pPr>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2020年，由于国家收费体制改革，所有通行高速公路的车辆必须收费。甲方所属路段监控中心通知乙方实施救援过程中救援车辆通行高速公路所产生的通行费用由甲方据实报销，原则上每季度报销一次，其费用真实性由甲方辖</w:t>
      </w:r>
      <w:bookmarkStart w:id="0" w:name="_GoBack"/>
      <w:bookmarkEnd w:id="0"/>
      <w:r>
        <w:rPr>
          <w:rFonts w:hint="eastAsia" w:ascii="方正仿宋_GBK" w:hAnsi="方正仿宋_GBK" w:eastAsia="方正仿宋_GBK" w:cs="方正仿宋_GBK"/>
          <w:sz w:val="32"/>
          <w:szCs w:val="32"/>
        </w:rPr>
        <w:t>区巡查中队会同辖区监控中心审核。</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（二）乙方的相关职责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1、乙方负责在  高速公路（  ）收费站至（  ）收费站路段范围内对社会故障车辆进行施救工作，施救标准按重庆市物价局、重庆市交通委员会文件渝价【2012】56号执行，并在收取费用时出具正规发票。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2、乙方必须建立本标段的救援值班中心，确保联系电话二十四小时专人值守、随时接听，保证通讯畅通，并确保救援人员与设备二十四小时待命，可随时出动和提供救援服务。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3、为保证高速公路清障救援的及时性，乙方必须在甲方指定地点进行24小时驻点（</w:t>
      </w:r>
      <w:r>
        <w:rPr>
          <w:rFonts w:hint="eastAsia" w:ascii="方正仿宋_GBK" w:hAnsi="方正仿宋_GBK" w:eastAsia="方正仿宋_GBK" w:cs="方正仿宋_GBK"/>
          <w:color w:val="000000"/>
          <w:sz w:val="32"/>
          <w:szCs w:val="32"/>
        </w:rPr>
        <w:t>根据公开竞争性比选文件要求进行配置</w:t>
      </w:r>
      <w:r>
        <w:rPr>
          <w:rFonts w:hint="eastAsia" w:ascii="方正仿宋_GBK" w:hAnsi="方正仿宋_GBK" w:eastAsia="方正仿宋_GBK" w:cs="方正仿宋_GBK"/>
          <w:sz w:val="32"/>
          <w:szCs w:val="32"/>
        </w:rPr>
        <w:t>），乙方在接到路段监控中心通知信息后，应按工作要求立即赶往事故现场，如果所要增加其他救援设备及协助人员，乙方应迅速进行组织并在20分钟内从最近收费站上道并赶往施救现场。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4、乙方工作人员，必须身着反光背心，并随车携带取得相关部门颁发的操作证书后方可上岗，具有良好的专业知识、技能和服务素质，能够为被救援车方提供优质服务。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5、乙方施救车辆应安装明显的交通警报灯，车辆前后方需安装行车记录仪,车身应注明维修单位的名称和联系电话。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6、乙方必须为其参与清障救援、急救工作的相关人员及各类设备购买符合国家规定的人身、财产保险。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7、乙方应服从甲方对所管辖高速公路发生的交通事故或突发事件清障、施救工作的统一调度。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乙方应遵守相应法律法规，按照行业规范、操作规程进行施救工作，在施救过程中发生的作业人员伤亡事故，或违反安全施工，野蛮操作等造成的人员伤亡和财产损失均由乙方自行承担全部法律责任和经济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、乙方应严格遵守甲方和高速公路执法管理单位的相关安全规定，并严格服从管理。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乙方负责故障或事故车辆留置在现场的随车人员的安全转运，其转运方式为：1）被救援车方自行联系转运人员的车辆；2）由乙方联系具有客运资质的车辆进行转运，其转运发生的费用由被救援车方自理；3）乙方自有车辆进行转运，费用由被救援车方与乙方自行协商。转运方式乙方须在即办即评调查表上注明。</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三、合同有效期：</w:t>
      </w:r>
    </w:p>
    <w:p>
      <w:pPr>
        <w:ind w:left="210" w:leftChars="100"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本合同签订后，有效期从   年  月  日至   年  月  日止。</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四、履约保证金</w:t>
      </w:r>
    </w:p>
    <w:p>
      <w:pPr>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sz w:val="32"/>
          <w:szCs w:val="32"/>
        </w:rPr>
        <w:t>乙方得到甲方的中标通知书后，需于合同签订前5个工作日内向询价人指定账户汇入10万元（大写：壹拾万元整）人民币履约保证金和询价人为其提供的车辆使用费用。乙方行为导致甲方路产设施损坏发生的赔偿费用和依照本合同所附的《重庆高速公路股份有限公司社会清障救援单位考核细则》，甲方对乙方考核过程中所发生的扣款，由乙方七日之内支付给甲方，否则甲方将从履约保证金中扣除。在此情况下，乙方在收到甲方的书面通知后七个工作日内必须补足履约保证金不足十万元的差额部分。合同有效期满，不续签合同的情况下，保证金将退还乙方（该保证金不计利息）。</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五、违约责任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1、甲方或乙方若出现重大或根本违约的，（除政府或上级主管部门政策性调控，非人为不可抗拒因素外）违约方应支付对方违约金</w:t>
      </w:r>
      <w:r>
        <w:rPr>
          <w:rFonts w:hint="eastAsia" w:ascii="方正仿宋_GBK" w:hAnsi="方正仿宋_GBK" w:eastAsia="方正仿宋_GBK" w:cs="方正仿宋_GBK"/>
          <w:b/>
          <w:bCs/>
          <w:sz w:val="32"/>
          <w:szCs w:val="32"/>
        </w:rPr>
        <w:t>两</w:t>
      </w:r>
      <w:r>
        <w:rPr>
          <w:rFonts w:hint="eastAsia" w:ascii="方正仿宋_GBK" w:hAnsi="方正仿宋_GBK" w:eastAsia="方正仿宋_GBK" w:cs="方正仿宋_GBK"/>
          <w:sz w:val="32"/>
          <w:szCs w:val="32"/>
        </w:rPr>
        <w:t>万元。其内容是：甲方在合同有效期内与其他单位签订合同约定路段的施救合同，乙方有权终止该合同；乙方在有效合同期内私自转包，或者施救车辆接到报警电话后未及时上路实施作业等违反股份公司《重庆高速公路股份有限公司外协清障救援单位考核细则》所规定重大事项，甲方有权终止该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2、乙方违约或违反《重庆高速公路股份有限公司外协清障救援单位考核细则》的重大事项，导致甲方终止本合同时，履约保证金不予退还。</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3、乙方在出现本合同第四条约定的须补足履约保证金的情况下，在收到甲方的书面通知后七个工作日内未补足履约保证金十万元的差额部分，甲方有权终止合同。</w:t>
      </w:r>
    </w:p>
    <w:p>
      <w:pPr>
        <w:ind w:left="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六、其他</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现有与道路清障救援、急救行为相关的有关规定（合同附件），是本合同的组成部分，乙方声明已仔细阅读这些规定，并接受其约束。甲方有权在符合相关法律法规和上级管理规定的条件下，不时地对有关规定进行修订、补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2、本合同的签订和履行并不意味着甲、乙双方结成任何合伙或联营关系，乙方应对自身在本合同下的合法经营活动及其盈亏等后果承担全部责任，甲方在任何情况下均不对此承担任何责任。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3、未尽事宜双方协商解决，协商不成提交重庆仲裁委员会仲裁。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4、本合同一式五份，甲乙双方各执两份，一份交由辖区</w:t>
      </w:r>
      <w:r>
        <w:rPr>
          <w:rFonts w:hint="eastAsia" w:ascii="方正仿宋_GBK" w:hAnsi="方正仿宋_GBK" w:eastAsia="方正仿宋_GBK" w:cs="方正仿宋_GBK"/>
          <w:sz w:val="32"/>
          <w:szCs w:val="32"/>
          <w:lang w:val="en-US" w:eastAsia="zh-CN"/>
        </w:rPr>
        <w:t>高警</w:t>
      </w:r>
      <w:r>
        <w:rPr>
          <w:rFonts w:hint="eastAsia" w:ascii="方正仿宋_GBK" w:hAnsi="方正仿宋_GBK" w:eastAsia="方正仿宋_GBK" w:cs="方正仿宋_GBK"/>
          <w:sz w:val="32"/>
          <w:szCs w:val="32"/>
        </w:rPr>
        <w:t>大队备案，签字、盖章后生效。</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合同附件：</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1、重庆高速公路外协单位清障救援管理规范</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2、重庆高速公路股份有限公司外协清障救援单位考核细则</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甲方：重庆高速公路股份有限公司</w:t>
      </w:r>
    </w:p>
    <w:p>
      <w:pPr>
        <w:tabs>
          <w:tab w:val="left" w:pos="7050"/>
        </w:tabs>
        <w:ind w:left="5210" w:leftChars="-600" w:hanging="6470" w:hangingChars="202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7050"/>
        </w:tabs>
        <w:ind w:left="5207" w:leftChars="11" w:hanging="5184" w:hangingChars="16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法人代表人：</w:t>
      </w:r>
    </w:p>
    <w:p>
      <w:pPr>
        <w:tabs>
          <w:tab w:val="left" w:pos="5850"/>
        </w:tabs>
        <w:ind w:left="4800" w:hanging="4800" w:hangingChars="1500"/>
        <w:rPr>
          <w:rFonts w:hint="eastAsia" w:ascii="方正仿宋_GBK" w:hAnsi="方正仿宋_GBK" w:eastAsia="方正仿宋_GBK" w:cs="方正仿宋_GBK"/>
          <w:sz w:val="32"/>
          <w:szCs w:val="32"/>
        </w:rPr>
      </w:pPr>
    </w:p>
    <w:p>
      <w:pPr>
        <w:tabs>
          <w:tab w:val="left" w:pos="5850"/>
        </w:tabs>
        <w:ind w:left="4800" w:hanging="4800" w:hanging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 </w:t>
      </w:r>
    </w:p>
    <w:p>
      <w:pPr>
        <w:tabs>
          <w:tab w:val="left" w:pos="7050"/>
        </w:tabs>
        <w:rPr>
          <w:rFonts w:hint="eastAsia" w:ascii="方正仿宋_GBK" w:hAnsi="方正仿宋_GBK" w:eastAsia="方正仿宋_GBK" w:cs="方正仿宋_GBK"/>
          <w:sz w:val="32"/>
          <w:szCs w:val="32"/>
        </w:rPr>
      </w:pPr>
    </w:p>
    <w:p>
      <w:pPr>
        <w:tabs>
          <w:tab w:val="left" w:pos="7050"/>
        </w:tabs>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法人代表人：</w:t>
      </w:r>
    </w:p>
    <w:p>
      <w:pPr>
        <w:tabs>
          <w:tab w:val="left" w:pos="7050"/>
        </w:tabs>
        <w:ind w:left="4807" w:leftChars="-30" w:hanging="4870" w:hangingChars="1522"/>
        <w:rPr>
          <w:rFonts w:hint="eastAsia" w:ascii="方正仿宋_GBK" w:hAnsi="方正仿宋_GBK" w:eastAsia="方正仿宋_GBK" w:cs="方正仿宋_GBK"/>
          <w:sz w:val="32"/>
          <w:szCs w:val="32"/>
        </w:rPr>
      </w:pPr>
    </w:p>
    <w:p>
      <w:pPr>
        <w:tabs>
          <w:tab w:val="left" w:pos="7050"/>
        </w:tabs>
        <w:ind w:left="4807" w:leftChars="-30" w:hanging="4870" w:hangingChars="152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重庆高速公路股份有限公司</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石忠、丰忠路段</w:t>
      </w:r>
      <w:r>
        <w:rPr>
          <w:rFonts w:hint="eastAsia" w:ascii="方正小标宋_GBK" w:hAnsi="方正小标宋_GBK" w:eastAsia="方正小标宋_GBK" w:cs="方正小标宋_GBK"/>
          <w:sz w:val="44"/>
          <w:szCs w:val="44"/>
        </w:rPr>
        <w:t>清障救援外包服务合同</w:t>
      </w:r>
    </w:p>
    <w:p>
      <w:pPr>
        <w:ind w:firstLine="56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之廉政合同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为杜绝该委托合同签订中的违纪违法行为，保护国家、集团公司和甲乙双方的合法权益，保证清障救援工作的安全和顺利开展，根据重庆高速集团有限公司关于廉政建设的相关规定， 重庆高速公路股份有限公司 （以下简称“甲方”）与     （以下简称“乙方”），特订立如下合同。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一、甲乙双方的权利和义务</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1、严格遵守党的政策规定和国家有关法律法规及交通部的有关规定，自觉按合同办事。 </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2、双方的业务活动坚持公开、公正、诚信、透明的原则（法律认定的商业秘密和合同文件另有规定除外）不损害国家和集体利益，违反集团廉政建设相关的管理规章制度。</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3、建立健全廉政制度，开展廉政教育，设立廉政告示牌，公布举报电话，监督并认真查处违法违纪行为。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4、发现对方在业务活动中有违反廉政规定的行为，有及时提醒对方纠正的权利和义务。</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5、发现对方严重违反本合同义务条款的行为，有向其上级有关部门举报、建议给予处理并要求告知处理结果的权利</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二、甲方的义务</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1、甲方及其工作人员不得索要或接受乙方的礼金、有价证券和贵重物品，不得在乙方报销任何应由甲方或甲方工作人员个人支付的费用等。</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2、甲方工作人员不得参加乙方安排的超标准宴请和娱乐活动；不得接受乙方提供的通讯工具、交通工具和高档办公用品等。</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3、甲方及其工作人员不得要求或者接受乙方为其住房装修、婚丧嫁娶活动、配偶子女的工作安排以及出国出境、旅游等提供方便等。</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4、甲方工作人员及其配偶、子女不得利用职权采取暗示、授意、打招呼、批条子、指定、强令等方式违规干预和插手设备采购活动。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5、甲方工作人员要秉公办事，不准营私舞弊，不准利用职权从事各种个人有偿活动。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三、乙方义务</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1、乙方不得以任何理由向甲方及其工作人员行贿或馈赠礼金、有价证券、贵重礼品。</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2、乙方不得以任何名义为甲方及其工作人员报销应由甲方单位或个人支付的任何费用。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3、乙方不得以任何理由安排甲方工作人员参加超标准宴请及娱乐活动。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4、乙方不得为甲方单位和个人购置或提供通讯工具、交通工具和高档办公用品等。</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1、甲方及其工作人员违反本合同第一、二条，按管理权限，依据有关规定给予党纪、政纪或组织处理；涉嫌犯罪的，移交司法机关追究刑事责任；给乙方单位造成经济损失的，应予以赔偿。</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及其工作人员违反本合同第一、三条，按管理权限，依据有关规定给予党纪、政纪或组织处理；给甲方单位造成经济损失的，应予以赔偿；情节严重的，甲方取消乙方进入本公司管辖路段进行清障救援工作。</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五、双方约定</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合同由双方或双方上级单位的纪检监察机关负责监督执行。由甲方或甲方上级单位的纪检监察机关约请乙方或乙方上级单位纪检监察机关对本合同执行情况进行检查，提出在本合同规定范围内的裁定意见。</w:t>
      </w:r>
    </w:p>
    <w:p>
      <w:pPr>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本合同有效期为甲乙双方签署之日起至壹年后止。本合同作为“重庆高速公路股份有限公司</w:t>
      </w:r>
      <w:r>
        <w:rPr>
          <w:rFonts w:hint="eastAsia" w:ascii="方正仿宋_GBK" w:hAnsi="方正仿宋_GBK" w:eastAsia="方正仿宋_GBK" w:cs="方正仿宋_GBK"/>
          <w:sz w:val="32"/>
          <w:szCs w:val="32"/>
          <w:lang w:val="en-US" w:eastAsia="zh-CN"/>
        </w:rPr>
        <w:t>石忠、丰忠路段</w:t>
      </w:r>
      <w:r>
        <w:rPr>
          <w:rFonts w:hint="eastAsia" w:ascii="方正仿宋_GBK" w:hAnsi="方正仿宋_GBK" w:eastAsia="方正仿宋_GBK" w:cs="方正仿宋_GBK"/>
          <w:sz w:val="32"/>
          <w:szCs w:val="32"/>
        </w:rPr>
        <w:t>清障救援</w:t>
      </w:r>
    </w:p>
    <w:p>
      <w:pPr>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外包服务合同”(合同名称)的附件，与主合同具有同等的法律效力，经合同双方签署立即生效。</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本合同一式四份，由甲乙双方各执一份，送交甲乙双方的监督单位各一份。</w:t>
      </w:r>
    </w:p>
    <w:p>
      <w:pPr>
        <w:ind w:firstLine="560"/>
        <w:rPr>
          <w:rFonts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甲方（签章）：重庆高速公路股份有限公司        </w:t>
      </w:r>
    </w:p>
    <w:p>
      <w:pPr>
        <w:ind w:firstLine="560"/>
        <w:rPr>
          <w:rFonts w:hint="eastAsia" w:ascii="方正仿宋_GBK" w:hAnsi="方正仿宋_GBK" w:eastAsia="方正仿宋_GBK" w:cs="方正仿宋_GBK"/>
          <w:sz w:val="32"/>
          <w:szCs w:val="32"/>
          <w:lang w:val="en-US" w:eastAsia="zh-CN"/>
        </w:rPr>
      </w:pPr>
    </w:p>
    <w:p>
      <w:pPr>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法定代表人：</w:t>
      </w:r>
    </w:p>
    <w:p>
      <w:pPr>
        <w:ind w:firstLine="640" w:firstLineChars="200"/>
        <w:rPr>
          <w:rFonts w:hint="eastAsia"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日期：                           </w:t>
      </w:r>
    </w:p>
    <w:p>
      <w:pPr>
        <w:ind w:firstLine="560"/>
        <w:rPr>
          <w:rFonts w:hint="eastAsia" w:ascii="方正仿宋_GBK" w:hAnsi="方正仿宋_GBK" w:eastAsia="方正仿宋_GBK" w:cs="方正仿宋_GBK"/>
          <w:sz w:val="32"/>
          <w:szCs w:val="32"/>
        </w:rPr>
      </w:pPr>
    </w:p>
    <w:p>
      <w:pPr>
        <w:ind w:firstLine="560"/>
        <w:rPr>
          <w:rFonts w:hint="eastAsia"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乙方（签章）：</w:t>
      </w:r>
    </w:p>
    <w:p>
      <w:pPr>
        <w:pStyle w:val="2"/>
        <w:ind w:firstLine="480"/>
        <w:rPr>
          <w:rFonts w:hint="eastAsia" w:ascii="方正仿宋_GBK" w:hAnsi="方正仿宋_GBK" w:eastAsia="方正仿宋_GBK" w:cs="方正仿宋_GBK"/>
          <w:sz w:val="32"/>
          <w:szCs w:val="32"/>
        </w:rPr>
      </w:pPr>
    </w:p>
    <w:p>
      <w:pPr>
        <w:pStyle w:val="2"/>
        <w:ind w:firstLine="480"/>
      </w:pPr>
      <w:r>
        <w:rPr>
          <w:rFonts w:hint="eastAsia" w:ascii="方正仿宋_GBK" w:hAnsi="方正仿宋_GBK" w:eastAsia="方正仿宋_GBK" w:cs="方正仿宋_GBK"/>
          <w:sz w:val="32"/>
          <w:szCs w:val="32"/>
        </w:rPr>
        <w:t>法定代表人：</w:t>
      </w:r>
    </w:p>
    <w:p>
      <w:pPr>
        <w:ind w:firstLine="560"/>
        <w:rPr>
          <w:rFonts w:hint="eastAsia"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重庆高速公路股份有限公司</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石忠、丰忠路段</w:t>
      </w:r>
      <w:r>
        <w:rPr>
          <w:rFonts w:hint="eastAsia" w:ascii="方正小标宋_GBK" w:hAnsi="方正小标宋_GBK" w:eastAsia="方正小标宋_GBK" w:cs="方正小标宋_GBK"/>
          <w:sz w:val="44"/>
          <w:szCs w:val="44"/>
        </w:rPr>
        <w:t>清障救援外包服务合同</w:t>
      </w:r>
    </w:p>
    <w:p>
      <w:pPr>
        <w:ind w:firstLine="2926" w:firstLineChars="665"/>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之安全生产合同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为在重庆高速公路清障救援、急救外包合同实施过程中创造安全、高效的工作环境，切实搞好本项目的安全管理工作，本项目发包人重庆高速公路股份有限公司（以下简称“甲方”）与承包人       （以下简称“乙方”）特此签订安全生产合同：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甲方职责</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严格遵守国家有关安全生产的法律法规，认真执行高速公路管理中的相关安全要求。</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按照“安全第一、预防为主”的原则进行安全生产管理，做到生产与安全工作同时计划、布置、检查、总结和评比。</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定期组织乙方召开安全生产会，及时传达中央及地方有关安全生产的精神。</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4、甲方负责对乙方履行本合同的内容进行监督管理，对乙方的施救效率、施救现场、收费标准、服务质量和社会投诉等进行监督处理。</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乙方职责</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严格遵守国家有关安全生产的法律法规和《重庆高速公路外协单位清障救援管理规范》有关安全生产的规定，认真执行清障救援合同中的有关安全要求。</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安全第一、预防为主”的原则，加强安全生产宣传教育，增强全员安全生产意识，建立健全各项安全生产的管理机构和安全生产管理制度，配备专职及兼职安全检查人员，有组织有领导地开展高速公路清障救援工作。</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乙方在任何时候都应采取各种合理的预防措施，防止其员工发生任何违法、违禁、暴力或妨碍高速公路安全运行的行为。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高速公路上清障救援必须具有国家相关部门颁发的资质证书。参加施救的人员，上岗前必须接受安全技术教育，熟知和遵守本工种的各项安全技术操作规程，经过专业培训，获得相关证书后，方准持证上岗。</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高速公路上作业时，现场必须配置一名安全人员。救援人员上岗，必须按规定穿戴反光背心。安全检查员应随时检查反光背心的穿戴情况，不按规定穿戴反光背心的人员不得上岗。救援车辆及人员必须购买国家认可的合法保险，救援前，应向故障（事故）车方询问相关情况，避免再次事故的发生。</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乙方在救援前，应向车方出具重庆市物价局制定的收费标准，并严格执行收费标准。</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所有清障救援设备均应定期检查，保证其经常处于完好状态；不合格的设备严禁使用。</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乙方的救援现场必须按规定摆放相关的安全标志牌。</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乙方必须按照高速公路的特点，组织制定施救中的生产安全事故应急救援预案；如果发生安全事故，应按照《国务院关于特大安全事故行政责任追究的规定》以及其它有关规定，及时上报有关部门，并坚持“三不放过”的原则，严肃处理相关责任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违约责任</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如因甲方或乙方违约造成安全事故，将依法追究相关责任。</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四、合同份数与时效</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1、本合同作为《重庆高速公路股份有限公司</w:t>
      </w:r>
      <w:r>
        <w:rPr>
          <w:rFonts w:hint="eastAsia" w:ascii="方正仿宋_GBK" w:hAnsi="方正仿宋_GBK" w:eastAsia="方正仿宋_GBK" w:cs="方正仿宋_GBK"/>
          <w:sz w:val="32"/>
          <w:szCs w:val="32"/>
          <w:lang w:val="en-US" w:eastAsia="zh-CN"/>
        </w:rPr>
        <w:t>石忠、丰忠路段</w:t>
      </w:r>
      <w:r>
        <w:rPr>
          <w:rFonts w:hint="eastAsia" w:ascii="方正仿宋_GBK" w:hAnsi="方正仿宋_GBK" w:eastAsia="方正仿宋_GBK" w:cs="方正仿宋_GBK"/>
          <w:sz w:val="32"/>
          <w:szCs w:val="32"/>
        </w:rPr>
        <w:t>清障救援外包服务合同》的附件，与主合同具有同等的法律效力。</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2、本合同一式 四份，甲方执 贰 份，乙方执 贰 份。由双方法定代表人或其授权的代理人签署与加盖公章后生效。</w:t>
      </w:r>
    </w:p>
    <w:p>
      <w:pPr>
        <w:pStyle w:val="2"/>
        <w:ind w:firstLineChars="175"/>
      </w:pPr>
    </w:p>
    <w:p>
      <w:pPr>
        <w:pStyle w:val="2"/>
        <w:ind w:firstLineChars="175"/>
      </w:pPr>
    </w:p>
    <w:p>
      <w:pPr>
        <w:pStyle w:val="2"/>
        <w:ind w:firstLineChars="175"/>
      </w:pPr>
    </w:p>
    <w:p>
      <w:pPr>
        <w:pStyle w:val="2"/>
        <w:ind w:firstLineChars="175"/>
      </w:pPr>
    </w:p>
    <w:p>
      <w:pPr>
        <w:pStyle w:val="2"/>
        <w:ind w:firstLineChars="175"/>
      </w:pPr>
    </w:p>
    <w:p>
      <w:pPr>
        <w:pStyle w:val="2"/>
        <w:ind w:firstLineChars="175"/>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甲方（签章）：重庆高速公路股份有限公司        </w:t>
      </w:r>
    </w:p>
    <w:p>
      <w:pPr>
        <w:ind w:firstLine="560"/>
        <w:rPr>
          <w:rFonts w:hint="eastAsia" w:ascii="方正仿宋_GBK" w:hAnsi="方正仿宋_GBK" w:eastAsia="方正仿宋_GBK" w:cs="方正仿宋_GBK"/>
          <w:sz w:val="32"/>
          <w:szCs w:val="32"/>
          <w:lang w:val="en-US" w:eastAsia="zh-CN"/>
        </w:rPr>
      </w:pPr>
    </w:p>
    <w:p>
      <w:pPr>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法定代表人：</w:t>
      </w:r>
    </w:p>
    <w:p>
      <w:pPr>
        <w:ind w:firstLine="640" w:firstLineChars="200"/>
        <w:rPr>
          <w:rFonts w:hint="eastAsia"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日期：                           </w:t>
      </w:r>
    </w:p>
    <w:p>
      <w:pPr>
        <w:ind w:firstLine="560"/>
        <w:rPr>
          <w:rFonts w:hint="eastAsia" w:ascii="方正仿宋_GBK" w:hAnsi="方正仿宋_GBK" w:eastAsia="方正仿宋_GBK" w:cs="方正仿宋_GBK"/>
          <w:sz w:val="32"/>
          <w:szCs w:val="32"/>
        </w:rPr>
      </w:pPr>
    </w:p>
    <w:p>
      <w:pPr>
        <w:ind w:firstLine="560"/>
        <w:rPr>
          <w:rFonts w:hint="eastAsia"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乙方（签章）：</w:t>
      </w:r>
    </w:p>
    <w:p>
      <w:pPr>
        <w:pStyle w:val="2"/>
        <w:ind w:firstLine="480"/>
        <w:rPr>
          <w:rFonts w:hint="eastAsia" w:ascii="方正仿宋_GBK" w:hAnsi="方正仿宋_GBK" w:eastAsia="方正仿宋_GBK" w:cs="方正仿宋_GBK"/>
          <w:sz w:val="32"/>
          <w:szCs w:val="32"/>
        </w:rPr>
      </w:pPr>
    </w:p>
    <w:p>
      <w:pPr>
        <w:pStyle w:val="2"/>
        <w:ind w:firstLine="480"/>
      </w:pPr>
      <w:r>
        <w:rPr>
          <w:rFonts w:hint="eastAsia" w:ascii="方正仿宋_GBK" w:hAnsi="方正仿宋_GBK" w:eastAsia="方正仿宋_GBK" w:cs="方正仿宋_GBK"/>
          <w:sz w:val="32"/>
          <w:szCs w:val="32"/>
        </w:rPr>
        <w:t>法定代表人：</w:t>
      </w:r>
    </w:p>
    <w:p>
      <w:pPr>
        <w:ind w:firstLine="560"/>
        <w:rPr>
          <w:rFonts w:hint="eastAsia" w:ascii="方正仿宋_GBK" w:hAnsi="方正仿宋_GBK" w:eastAsia="方正仿宋_GBK" w:cs="方正仿宋_GBK"/>
          <w:sz w:val="32"/>
          <w:szCs w:val="32"/>
        </w:rPr>
      </w:pP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p>
    <w:p>
      <w:p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pStyle w:val="2"/>
        <w:ind w:firstLine="480"/>
      </w:pPr>
    </w:p>
    <w:p>
      <w:pPr>
        <w:pStyle w:val="2"/>
        <w:ind w:firstLine="480"/>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r>
        <w:rPr>
          <w:rFonts w:hint="eastAsia" w:ascii="方正仿宋_GBK" w:eastAsia="方正仿宋_GBK"/>
          <w:sz w:val="32"/>
          <w:szCs w:val="32"/>
        </w:rPr>
        <w:t>附件2：</w:t>
      </w:r>
    </w:p>
    <w:p>
      <w:pPr>
        <w:jc w:val="center"/>
        <w:rPr>
          <w:rFonts w:ascii="方正小标宋_GBK" w:eastAsia="方正小标宋_GBK"/>
          <w:sz w:val="44"/>
          <w:szCs w:val="44"/>
        </w:rPr>
      </w:pPr>
      <w:r>
        <w:rPr>
          <w:rFonts w:hint="eastAsia" w:ascii="方正小标宋_GBK" w:eastAsia="方正小标宋_GBK"/>
          <w:sz w:val="44"/>
          <w:szCs w:val="44"/>
        </w:rPr>
        <w:t>重庆高速公路外协单位清障救援管理规范</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重庆高速公路外协单位清障与急救服务管理工作，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等法律法规的相关规定，特制定本管理规范。</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一、本规范适用于重庆高速公路外协单位清障与急救服务管理工作。</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社会清障救援服务单位作为高速公路清障与急救服务的补充力量，由高速公路经营管理单位选择符合条件的社会清障救援服务合作单位，签订相关协议(含安全协议)，并报路网管理中心和高速执法机构备案。各高速公路经营管理单位在与社会清障救援服务单位签订合作协议时，应充分考虑社会救援力量分布的均衡性，特别是大型救援设备的配备要满足辐射半径100公里范围内的救援需要。</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三、高速公路经营管理单位与社会清障救援服务单位签订合作协议时，应明确故障车辆急救项目，原则上只能在高速公路上进行更换轮胎、维修刹车抱死、加水、加油等维修时间不超过30分钟的急救作业。</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四、高速公路经营管理单位与社会清障救援服务单位签订合作协议前，应先征求高速执法机构意见，通过高速执法部门核实存在以下情况的，不得与社会清障救援服务单位签订合作协议：</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1.两年内该清障救援服务单位车辆或从业人员在高速公路上发生重大以上交通事故有自身责任的；</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该清障救援服务单位车辆或从业人员在高速公路上有肇事逃逸记录的；</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3.该清障救援服务单位车辆及其从业人员最近一年在高速公路上有3次以上违法行为的；</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存在其他可能影响清障救援或道路交通安全的因素的。</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五、外协单位相关设施设备配置标准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道路清障救援</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警示锥标300只、险情反光标志牌20块。还应随时可组织清扫转运队伍约40人。另外，还需与其他公司订立协议，及时组织微型平板车一台，10米长货箱大型背车两台，转运客货物车辆3台，以满足清障救援的需要；并与相关公司签订50吨、80吨、100吨吊车及38吨以上清障车2小时到达事故现场及时开展救援。从事清障作业的驾驶员需持有A2以上驾照，吊车操作人员需持有吊车作业资格证专业证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2.故障车辆急救</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维修车辆至少4台，维修人员至少10人，警示锥标300只，险情反光标志牌10块以及其他维修设备。</w:t>
      </w:r>
    </w:p>
    <w:p>
      <w:pPr>
        <w:spacing w:line="360" w:lineRule="auto"/>
        <w:ind w:left="-59" w:leftChars="-28"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六、外协单位相关职责及要求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1.必须确保联系电话24小时专人值守，随时接听，保证通讯畅通，并确保维修人员与设备24小时待命，可随时出动和提供服务。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2.应根据地方故障车辆急救服务收费标准制定高速公路收费标准，并报地方物价局和高速公路经营管理单位备案。不得超标准收取清障及应急救援费用。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3.在事故或故障车辆清障或急救服务工作中，应严格要求填写《车辆即办即评调查表》(一式三联)，并主动出示清障或急救服务收费标准，在征得车方同意并签字认可后才能进行作业 ，并于每周一将调查表第一联交高速公路经营管理单位。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4.在维修中更换的车辆零部件，必须是正规厂家制造的合格产品，拥有出厂合格证明，并有符合规定的质量保证期，绝对不得使用任何假冒伪劣产品。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5.应急救援车辆和人员接到通知或当事人救助必须在20分钟内上道。</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6.工作人员必须身着统一、干净整洁、符合安全服装，并取得相关部门颁发的操作证书后方可上岗，具有良好的专业知识、技能和服务质量，能够为故障车主提供质量的服务。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严格遵守交通安全法律法规，不得有在高速公路上掉头（U转、J转）、逆行、超速、超载、违法停车等违法行为，不得损坏或违规使用相关设施、设备，并有责任和义务制止和纠正违规行为。因快速清障救援的需要，确需在中央分隔带或转换道掉头的，需经执法部门允许并在有监护的情况下实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应自觉遵守《重庆高速公路路面日常养护维修操作手册》相关规定，上路维修车辆应符合《重庆高速公路路产巡查与养护作业车辆及作业人员形象标识规范》中规定的内容，车辆应安装交通警示灯，车身应写明维修单位的名称和联系电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9.在高速公路上更换轮胎、维修刹车抱死等活动的，应在后方500米距离外开始规范摆放锥行标，做好现场控制，涉及弯道或下坡路段的，还应将标志摆放到弯道外或坡道顶端。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在清障救援作业过程中，要根据不同的作业环境，采取不同的安全作业措施（经营管理单位与高速执法机构根据路段实际情况制订）。遇救援时间长、救援现场复杂，需要断道作业或逆向救援时，需经高速执法机构同意，并组织实施交通管制和采取现场安全督导的情况下才可进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必须自行为其作业人员购买各种保险，如在工作中发生的作业人员伤亡事故，或违反安全施工，野蛮操作等造成的人员伤亡和财产损失均由其自行承担全部法律责任和经济责任，高速公路经营管理单位概不负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12.应服从高速公路经营管理单位对发生的重大交通事故的工作调度和救援工作。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六、清障与急救服务管理费</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高速公路经营管理单位应根据路段实际情况向外协单位收取一定金额的管理费，管理费以路段进、出口车辆通行量达到20000辆为缴费基准，以后进、出口日均车辆通行量每增加10%，则缴纳的管理费增加10%。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七、清障与急救履约保证金</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速公路经营管理单位应根据路段实际情况向外协单位收取一定金额的履约保证金。若发生外协单位行为导致高速公路经营管理单位路产设施损坏或其他违反高速公路相关规定造成的损失，则高速公路经营管理单位有权立即从该履约保证金中收取相应的金额。在此情况下，外协单位在收到高速公路经营管理单位的书面通知后七个工作日内必须补足履约金不足的差额部分（该保证金不计利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外协单位若在事故或故障车辆清障或急救服务过程中招致客户投诉，经高速公路经营管理单位调查核实，在第一次被有理投诉时视情节轻重应支付壹仟元至贰仟元违约金，在第二次被有理投诉时视情节轻重支付伍仟元至壹万元违约金，违约金从保证金里扣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外协单位若在道路上作业过程中违反高速公路管理相关规定，除按有关管理规则接受处罚外，还应承担相应的违约责任。若擅自在该公路中实施“开口”，在中间分隔带擅自调头、或者出现其他严重的违约情况，则每次应支付壹仟元至壹万元违约金，并承担赔偿路产损失的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3.外协单位应严格履行自身相关职责内容，经调查核实，在第一次未履行其职责时视情节轻重应支付壹仟元至叁仟元违约金，在第二次未履行其职责时视情节轻重应向甲方支付叁仟元至壹万元违约金。   </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八、工作流程</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速公路事故或故障车辆需外协单位清障或急救服务时，各单位、各部门应第一时间通知属地路段监控站，由路段监控站按就近原则统一调度。各级监控中心应建立健全清障与急救服务指挥和调度系统，提高清障与急救服务效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2.外协单位应保证清障救援车辆和人员随时准备到位，在接到路段监控站报警通知后，应立即出发赶赴现场。</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3.外协单位清障或急救车辆接到通知出发、到达事故现场及清障或急救完毕这三个时间段需向属地监控站报告，由属地监控站做好记录。</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4.高速公路经营管理单位应建立并规范外协单位清障与急救内业资料，严格按要求填报路产巡查系统。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5.高速公路经营管理单位应建立外协单位清障与急救100%回访制度，并填写回访情况记录明细表。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高速公路经营管理单位应加强对外协单位履行职责情况进行监督管理，对外协单位的施救效率、收费标准、服务质量和社会投诉等进行监督处理。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(1)外协单位在合同期内私自转包，或者接到报警电话后3小时未上路实施作业，高速公路经营管理单位可根据情况终止合同；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(2)外协单位若在事故或故障车辆服务过程中招致客户有理投诉三次，经调查核实，可终止合同；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(3)外协单位若在道路上作业过程中违反高速公路管理相关规定，造成严重损失或屡犯不改时，可终止合同；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(4)外协单位应严格履行自身相关职责内容，经甲方调查核实，若未履行其职责达到三次，可终止合同。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7.高速公路经营管理单位应加强与高速执法机构沟通，建立外协单位黑名单制度。对存在以下情形的，由高速执法机构提出建议后直接终止与外协单位的合作协议：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（1）发生承担主要以上责任的一般事故的；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（2）半年内发生3次以上违法行为的；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（3）累计发现有3次以上不规范清障救援行为的；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（4）从事违法违纪活动，利用工作便利为违法车辆和驾驶员提供“方便”等影响高速执法形象声誉的；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（5）救援能力和效率低下，导致交通长时间堵塞或引发次生安全事故的；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（6）不服从执法人员交通安全管理的；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（7）其他不能胜任高速公路清障与急救服务工作的。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九、渝东北区域中心与高速公路第二支队值班中心建立联合评估机制，对辖区清障救援管理加强监督评估，定期不定期开展检查和抽查活动，并做好对上级机关的报告和对有关部门的建议工作。</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十、本规范自发布之日起执行。</w:t>
      </w: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p>
    <w:p>
      <w:pPr>
        <w:pStyle w:val="2"/>
        <w:ind w:firstLine="0" w:firstLineChars="0"/>
        <w:rPr>
          <w:rFonts w:ascii="方正仿宋_GBK" w:eastAsia="方正仿宋_GBK"/>
          <w:sz w:val="32"/>
          <w:szCs w:val="32"/>
        </w:rPr>
      </w:pPr>
      <w:r>
        <w:rPr>
          <w:rFonts w:hint="eastAsia" w:ascii="方正仿宋_GBK" w:eastAsia="方正仿宋_GBK"/>
          <w:sz w:val="32"/>
          <w:szCs w:val="32"/>
        </w:rPr>
        <w:t>附件3：</w:t>
      </w:r>
    </w:p>
    <w:p>
      <w:pPr>
        <w:jc w:val="center"/>
        <w:rPr>
          <w:rFonts w:ascii="方正小标宋_GBK" w:eastAsia="方正小标宋_GBK"/>
          <w:sz w:val="44"/>
          <w:szCs w:val="44"/>
        </w:rPr>
      </w:pPr>
      <w:r>
        <w:rPr>
          <w:rFonts w:hint="eastAsia" w:ascii="仿宋_GB2312" w:eastAsia="仿宋_GB2312"/>
          <w:sz w:val="28"/>
          <w:szCs w:val="28"/>
        </w:rPr>
        <w:t xml:space="preserve"> </w:t>
      </w:r>
      <w:r>
        <w:rPr>
          <w:rFonts w:hint="eastAsia" w:ascii="方正小标宋_GBK" w:eastAsia="方正小标宋_GBK"/>
          <w:sz w:val="44"/>
          <w:szCs w:val="44"/>
        </w:rPr>
        <w:t>重庆高速公路股份有限公司</w:t>
      </w:r>
    </w:p>
    <w:p>
      <w:pPr>
        <w:jc w:val="center"/>
        <w:rPr>
          <w:rFonts w:ascii="方正小标宋_GBK" w:eastAsia="方正小标宋_GBK"/>
          <w:sz w:val="44"/>
          <w:szCs w:val="44"/>
        </w:rPr>
      </w:pPr>
      <w:r>
        <w:rPr>
          <w:rFonts w:hint="eastAsia" w:ascii="方正小标宋_GBK" w:eastAsia="方正小标宋_GBK"/>
          <w:sz w:val="44"/>
          <w:szCs w:val="44"/>
        </w:rPr>
        <w:t>外协清障救援单位考核实施细则</w:t>
      </w:r>
    </w:p>
    <w:p>
      <w:pPr>
        <w:spacing w:line="660" w:lineRule="exact"/>
        <w:jc w:val="left"/>
        <w:rPr>
          <w:rFonts w:ascii="仿宋" w:hAnsi="仿宋" w:eastAsia="仿宋"/>
          <w:sz w:val="28"/>
          <w:szCs w:val="28"/>
        </w:rPr>
      </w:pPr>
      <w:r>
        <w:rPr>
          <w:rFonts w:hint="eastAsia" w:ascii="仿宋_GB2312" w:eastAsia="仿宋_GB2312"/>
          <w:sz w:val="28"/>
          <w:szCs w:val="28"/>
        </w:rPr>
        <w:t xml:space="preserve">    为规范公司所管辖的社会清障救援单位清障与急救服务管理工作，保证高速公路安全、畅通，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w:t>
      </w:r>
      <w:r>
        <w:rPr>
          <w:rFonts w:hint="eastAsia" w:ascii="仿宋" w:hAnsi="仿宋" w:eastAsia="仿宋"/>
          <w:sz w:val="28"/>
          <w:szCs w:val="28"/>
        </w:rPr>
        <w:t>《重庆高速公路清障救援管理办法（修订）》、《重庆高速公路清障作业操作指南》</w:t>
      </w:r>
      <w:r>
        <w:rPr>
          <w:rFonts w:hint="eastAsia" w:ascii="仿宋_GB2312" w:eastAsia="仿宋_GB2312"/>
          <w:sz w:val="28"/>
          <w:szCs w:val="28"/>
        </w:rPr>
        <w:t>等法律法规的相关规定，特制定本细则。</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一、本细则适用于本公司外协清障救援单位清障与急救服务管理工作。</w:t>
      </w:r>
    </w:p>
    <w:p>
      <w:pPr>
        <w:spacing w:line="360" w:lineRule="auto"/>
        <w:ind w:left="-59" w:leftChars="-28" w:firstLine="560" w:firstLineChars="200"/>
        <w:rPr>
          <w:rFonts w:eastAsia="仿宋_GB2312"/>
          <w:sz w:val="28"/>
          <w:szCs w:val="28"/>
        </w:rPr>
      </w:pPr>
      <w:r>
        <w:rPr>
          <w:rFonts w:hint="eastAsia" w:ascii="仿宋_GB2312" w:eastAsia="仿宋_GB2312"/>
          <w:sz w:val="28"/>
          <w:szCs w:val="28"/>
        </w:rPr>
        <w:t>二、外协</w:t>
      </w:r>
      <w:r>
        <w:rPr>
          <w:rFonts w:eastAsia="仿宋_GB2312"/>
          <w:sz w:val="28"/>
          <w:szCs w:val="28"/>
        </w:rPr>
        <w:t>清障救援服务单位</w:t>
      </w:r>
      <w:r>
        <w:rPr>
          <w:rFonts w:hint="eastAsia" w:eastAsia="仿宋_GB2312"/>
          <w:sz w:val="28"/>
          <w:szCs w:val="28"/>
        </w:rPr>
        <w:t>作为本公司清障与急救服务的</w:t>
      </w:r>
      <w:r>
        <w:rPr>
          <w:rFonts w:hint="eastAsia" w:eastAsia="仿宋_GB2312"/>
          <w:color w:val="000000"/>
          <w:sz w:val="28"/>
          <w:szCs w:val="28"/>
        </w:rPr>
        <w:t>主要力量</w:t>
      </w:r>
      <w:r>
        <w:rPr>
          <w:rFonts w:hint="eastAsia" w:eastAsia="仿宋_GB2312"/>
          <w:sz w:val="28"/>
          <w:szCs w:val="28"/>
        </w:rPr>
        <w:t>，由本公司</w:t>
      </w:r>
      <w:r>
        <w:rPr>
          <w:rFonts w:eastAsia="仿宋_GB2312"/>
          <w:sz w:val="28"/>
          <w:szCs w:val="28"/>
        </w:rPr>
        <w:t>选择符合条件的社会清障救援服务合作单位，</w:t>
      </w:r>
      <w:r>
        <w:rPr>
          <w:rFonts w:hint="eastAsia" w:eastAsia="仿宋_GB2312"/>
          <w:sz w:val="28"/>
          <w:szCs w:val="28"/>
        </w:rPr>
        <w:t>签订相关协议（含安全协议），并</w:t>
      </w:r>
      <w:r>
        <w:rPr>
          <w:rFonts w:eastAsia="仿宋_GB2312"/>
          <w:sz w:val="28"/>
          <w:szCs w:val="28"/>
        </w:rPr>
        <w:t>报</w:t>
      </w:r>
      <w:r>
        <w:rPr>
          <w:rFonts w:hint="eastAsia" w:eastAsia="仿宋_GB2312"/>
          <w:sz w:val="28"/>
          <w:szCs w:val="28"/>
        </w:rPr>
        <w:t>路网管理中心和本公司辖区高速交警</w:t>
      </w:r>
      <w:r>
        <w:rPr>
          <w:rFonts w:eastAsia="仿宋_GB2312"/>
          <w:sz w:val="28"/>
          <w:szCs w:val="28"/>
        </w:rPr>
        <w:t>备案。</w:t>
      </w:r>
    </w:p>
    <w:p>
      <w:pPr>
        <w:spacing w:line="360" w:lineRule="auto"/>
        <w:ind w:left="-59" w:leftChars="-28" w:firstLine="560" w:firstLineChars="200"/>
        <w:rPr>
          <w:rFonts w:eastAsia="仿宋_GB2312"/>
          <w:sz w:val="28"/>
          <w:szCs w:val="28"/>
        </w:rPr>
      </w:pPr>
      <w:r>
        <w:rPr>
          <w:rFonts w:hint="eastAsia" w:eastAsia="仿宋_GB2312"/>
          <w:sz w:val="28"/>
          <w:szCs w:val="28"/>
        </w:rPr>
        <w:t>三、本公司对外协清障救援单位进行施救效率、收费标准、服务质量、安全管理及社会投诉的检查、监督、管理、考核；考核方式以重要指标与相关规范指标相对独立考核。重要指标为逐项考核，考核处罚直接扣罚交纳的保证金。一般指标以路网、公司巡查部、管理中心考核、检查为依据。因操作路网救援APP失误而造成的扣分项，如不能申述成功，每发生一项扣罚现金200元；因公司巡查部和管理中心日常检查或月度考核中发生的扣分项，如无合理性理由，按每扣1分扣罚现金100元进行处罚（详见附件1）。</w:t>
      </w:r>
    </w:p>
    <w:p>
      <w:pPr>
        <w:spacing w:line="360" w:lineRule="auto"/>
        <w:ind w:left="-59" w:leftChars="-28" w:firstLine="560" w:firstLineChars="200"/>
        <w:rPr>
          <w:rFonts w:eastAsia="仿宋_GB2312"/>
          <w:sz w:val="28"/>
          <w:szCs w:val="28"/>
        </w:rPr>
      </w:pPr>
      <w:r>
        <w:rPr>
          <w:rFonts w:hint="eastAsia" w:eastAsia="仿宋_GB2312"/>
          <w:sz w:val="28"/>
          <w:szCs w:val="28"/>
        </w:rPr>
        <w:t>四、考核方式及周期：考核机构由本公司运行巡查部、管理中心巡查中队、监控中心相关人员组成，每月月底对其进行考核，考核处罚情况按（附件2）进行申请。</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五、社会救援单位的主要任务：道路清障救援及故障车辆急救。</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六、道路清障救援、故障车辆急救主要考核项目</w:t>
      </w:r>
    </w:p>
    <w:p>
      <w:pPr>
        <w:spacing w:line="360" w:lineRule="auto"/>
        <w:ind w:left="-59" w:leftChars="-28"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救援单位出现以下情况的，将扣除所有保证金并终止救援服务合同：</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1、清障救援服务单位车辆或从业人员在高速公路上发生重大以上交通事故有自身责任的。</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2. 清障救援服务单位车辆或从业人员在救援、急救过程中，因不按规范操作，发生重大安全责任事故，后果特别严重的。</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3、清障救援服务单位车辆及其从业人员在救援、急救过程中有3次以上交通违法行为的。</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4、清障救援服务单位使用无购买保险的车辆、机具设备和人员在施救过程中出现严重安全事故的。</w:t>
      </w:r>
    </w:p>
    <w:p>
      <w:pPr>
        <w:spacing w:line="360" w:lineRule="auto"/>
        <w:ind w:left="-59" w:leftChars="-28" w:firstLine="560" w:firstLineChars="200"/>
        <w:rPr>
          <w:rFonts w:ascii="仿宋_GB2312" w:hAnsi="宋体" w:eastAsia="仿宋_GB2312" w:cs="宋体"/>
          <w:sz w:val="28"/>
          <w:szCs w:val="28"/>
        </w:rPr>
      </w:pPr>
      <w:r>
        <w:rPr>
          <w:rFonts w:hint="eastAsia" w:ascii="仿宋_GB2312" w:hAnsi="宋体" w:eastAsia="仿宋_GB2312" w:cs="宋体"/>
          <w:sz w:val="28"/>
          <w:szCs w:val="28"/>
        </w:rPr>
        <w:t>5. 存在其他可能影响清障救援或道路交通安全的因素的。</w:t>
      </w:r>
    </w:p>
    <w:p>
      <w:pPr>
        <w:spacing w:line="360" w:lineRule="auto"/>
        <w:ind w:left="-59" w:leftChars="-28" w:firstLine="562" w:firstLineChars="200"/>
        <w:rPr>
          <w:rFonts w:ascii="仿宋_GB2312" w:hAnsi="宋体" w:eastAsia="仿宋_GB2312" w:cs="宋体"/>
          <w:sz w:val="28"/>
          <w:szCs w:val="28"/>
        </w:rPr>
      </w:pPr>
      <w:r>
        <w:rPr>
          <w:rFonts w:hint="eastAsia" w:ascii="仿宋_GB2312" w:hAnsi="宋体" w:eastAsia="仿宋_GB2312" w:cs="宋体"/>
          <w:b/>
          <w:bCs/>
          <w:sz w:val="28"/>
          <w:szCs w:val="28"/>
        </w:rPr>
        <w:t>救援单位出现以下情况的，将扣除保证金5000</w:t>
      </w:r>
      <w:r>
        <w:rPr>
          <w:rFonts w:ascii="仿宋_GB2312" w:hAnsi="宋体" w:eastAsia="仿宋_GB2312" w:cs="宋体"/>
          <w:b/>
          <w:bCs/>
          <w:sz w:val="28"/>
          <w:szCs w:val="28"/>
        </w:rPr>
        <w:t>—</w:t>
      </w:r>
      <w:r>
        <w:rPr>
          <w:rFonts w:hint="eastAsia" w:ascii="仿宋_GB2312" w:hAnsi="宋体" w:eastAsia="仿宋_GB2312" w:cs="宋体"/>
          <w:b/>
          <w:bCs/>
          <w:sz w:val="28"/>
          <w:szCs w:val="28"/>
        </w:rPr>
        <w:t>10000元，在履行合同期间连续发生一下三次要求的，将扣除所有保证金并终止救援服务合同：</w:t>
      </w:r>
    </w:p>
    <w:p>
      <w:pPr>
        <w:spacing w:line="360" w:lineRule="auto"/>
        <w:ind w:firstLine="560" w:firstLineChars="200"/>
        <w:rPr>
          <w:rFonts w:ascii="仿宋_GB2312" w:hAnsi="仿宋_GB2312" w:eastAsia="仿宋_GB2312" w:cs="仿宋_GB2312"/>
          <w:sz w:val="28"/>
          <w:szCs w:val="28"/>
        </w:rPr>
      </w:pPr>
      <w:r>
        <w:rPr>
          <w:rFonts w:hint="eastAsia" w:ascii="仿宋_GB2312" w:hAnsi="宋体" w:eastAsia="仿宋_GB2312" w:cs="宋体"/>
          <w:sz w:val="28"/>
          <w:szCs w:val="28"/>
        </w:rPr>
        <w:t>1、清障救援服务单位</w:t>
      </w:r>
      <w:r>
        <w:rPr>
          <w:rFonts w:hint="eastAsia" w:ascii="仿宋_GB2312" w:hAnsi="仿宋_GB2312" w:eastAsia="仿宋_GB2312" w:cs="仿宋_GB2312"/>
          <w:sz w:val="28"/>
          <w:szCs w:val="28"/>
        </w:rPr>
        <w:t>在高速公路上掉头（U转、J转）、逆行、超速、超载、违法停车等违法行为，未造成严重后果的。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2、未经过路段监控站通知，私自进入高速公路进行救援、维修的清障救援单位，情况属实的。</w:t>
      </w:r>
    </w:p>
    <w:p>
      <w:pPr>
        <w:spacing w:line="480" w:lineRule="auto"/>
        <w:ind w:firstLine="560" w:firstLineChars="200"/>
        <w:rPr>
          <w:rFonts w:ascii="仿宋_GB2312" w:hAnsi="宋体" w:eastAsia="仿宋_GB2312"/>
          <w:sz w:val="28"/>
          <w:szCs w:val="28"/>
        </w:rPr>
      </w:pPr>
      <w:r>
        <w:rPr>
          <w:rFonts w:hint="eastAsia" w:ascii="仿宋_GB2312" w:hAnsi="仿宋_GB2312" w:eastAsia="仿宋_GB2312" w:cs="仿宋_GB2312"/>
          <w:sz w:val="28"/>
          <w:szCs w:val="28"/>
        </w:rPr>
        <w:t>3、</w:t>
      </w:r>
      <w:r>
        <w:rPr>
          <w:rFonts w:hint="eastAsia" w:ascii="仿宋_GB2312" w:hAnsi="宋体" w:eastAsia="仿宋_GB2312"/>
          <w:sz w:val="28"/>
          <w:szCs w:val="28"/>
        </w:rPr>
        <w:t>清障救援单位所属的清障或急救车辆接到路段监控中心通知，上道、到达事故现场及清障或急救完毕这三个时间节点未向属地监控站报告，情况属实的。</w:t>
      </w:r>
    </w:p>
    <w:p>
      <w:pPr>
        <w:spacing w:line="480" w:lineRule="auto"/>
        <w:ind w:firstLine="560" w:firstLineChars="200"/>
        <w:rPr>
          <w:rFonts w:ascii="仿宋_GB2312" w:hAnsi="宋体" w:eastAsia="仿宋_GB2312"/>
          <w:sz w:val="28"/>
          <w:szCs w:val="28"/>
        </w:rPr>
      </w:pPr>
      <w:r>
        <w:rPr>
          <w:rFonts w:hint="eastAsia" w:ascii="仿宋_GB2312" w:hAnsi="宋体" w:eastAsia="仿宋_GB2312"/>
          <w:sz w:val="28"/>
          <w:szCs w:val="28"/>
        </w:rPr>
        <w:t>4、救援车辆未安装和配备明显的警示灯、行车记录仪和警示标志的，在施救过程中未进行警示，造成一定安全事故的。</w:t>
      </w:r>
    </w:p>
    <w:p>
      <w:pPr>
        <w:spacing w:line="480" w:lineRule="auto"/>
        <w:ind w:firstLine="560" w:firstLineChars="200"/>
        <w:rPr>
          <w:rFonts w:ascii="仿宋_GB2312" w:hAnsi="宋体" w:eastAsia="仿宋_GB2312"/>
          <w:sz w:val="28"/>
          <w:szCs w:val="28"/>
        </w:rPr>
      </w:pPr>
      <w:r>
        <w:rPr>
          <w:rFonts w:hint="eastAsia" w:ascii="仿宋_GB2312" w:hAnsi="宋体" w:eastAsia="仿宋_GB2312"/>
          <w:sz w:val="28"/>
          <w:szCs w:val="28"/>
        </w:rPr>
        <w:t>5、清障救援单位未出示收费文件，清障救援结束后未出具正式发票给当事人及现场未据实填写“即办即评”调查表，投诉查证后属实的。</w:t>
      </w:r>
    </w:p>
    <w:p>
      <w:pPr>
        <w:spacing w:line="360" w:lineRule="auto"/>
        <w:ind w:left="-59" w:leftChars="-28" w:firstLine="703" w:firstLineChars="250"/>
        <w:rPr>
          <w:rFonts w:ascii="仿宋_GB2312" w:hAnsi="宋体" w:eastAsia="仿宋_GB2312" w:cs="宋体"/>
          <w:b/>
          <w:bCs/>
          <w:sz w:val="28"/>
          <w:szCs w:val="28"/>
        </w:rPr>
      </w:pPr>
      <w:r>
        <w:rPr>
          <w:rFonts w:hint="eastAsia" w:ascii="仿宋_GB2312" w:hAnsi="宋体" w:eastAsia="仿宋_GB2312" w:cs="宋体"/>
          <w:b/>
          <w:bCs/>
          <w:sz w:val="28"/>
          <w:szCs w:val="28"/>
        </w:rPr>
        <w:t>救援单位出现以下情况的，将扣除所有保证金10000</w:t>
      </w:r>
      <w:r>
        <w:rPr>
          <w:rFonts w:ascii="仿宋_GB2312" w:hAnsi="宋体" w:eastAsia="仿宋_GB2312" w:cs="宋体"/>
          <w:b/>
          <w:bCs/>
          <w:sz w:val="28"/>
          <w:szCs w:val="28"/>
        </w:rPr>
        <w:t>—</w:t>
      </w:r>
      <w:r>
        <w:rPr>
          <w:rFonts w:hint="eastAsia" w:ascii="仿宋_GB2312" w:hAnsi="宋体" w:eastAsia="仿宋_GB2312" w:cs="宋体"/>
          <w:b/>
          <w:bCs/>
          <w:sz w:val="28"/>
          <w:szCs w:val="28"/>
        </w:rPr>
        <w:t>20000元在履行合同期间连续发生两次的将扣除所有保证金并终止救援服务合同：</w:t>
      </w:r>
    </w:p>
    <w:p>
      <w:pPr>
        <w:spacing w:line="360" w:lineRule="auto"/>
        <w:ind w:firstLine="560" w:firstLineChars="200"/>
        <w:rPr>
          <w:rFonts w:ascii="仿宋_GB2312" w:hAnsi="宋体" w:eastAsia="仿宋_GB2312"/>
          <w:sz w:val="28"/>
          <w:szCs w:val="28"/>
        </w:rPr>
      </w:pPr>
      <w:r>
        <w:rPr>
          <w:rFonts w:hint="eastAsia" w:ascii="仿宋_GB2312" w:hAnsi="宋体" w:eastAsia="仿宋_GB2312" w:cs="宋体"/>
          <w:sz w:val="28"/>
          <w:szCs w:val="28"/>
        </w:rPr>
        <w:t>1、</w:t>
      </w:r>
      <w:r>
        <w:rPr>
          <w:rFonts w:hint="eastAsia" w:ascii="仿宋_GB2312" w:hAnsi="宋体" w:eastAsia="仿宋_GB2312"/>
          <w:sz w:val="28"/>
          <w:szCs w:val="28"/>
        </w:rPr>
        <w:t>清障救援单位未出示收费文件，未按标准收费，并未出具正式发票给当事人及现场未据实填写“即办即评”调查表，投诉后查证属实的。</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2、清障救援单位未妥善保管当事人的车辆及货物，造成损失严重，投诉后查证属实的。</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sz w:val="28"/>
          <w:szCs w:val="28"/>
        </w:rPr>
        <w:t>3、清障救援单位在施救工程中，</w:t>
      </w:r>
      <w:r>
        <w:rPr>
          <w:rFonts w:hint="eastAsia" w:ascii="仿宋_GB2312" w:hAnsi="仿宋_GB2312" w:eastAsia="仿宋_GB2312" w:cs="仿宋_GB2312"/>
          <w:sz w:val="28"/>
          <w:szCs w:val="28"/>
        </w:rPr>
        <w:t>或在高速公路上更换轮胎、维修刹车抱死等活动的，未在后方150米距离外开始规范摆放锥行标，未做好现场控制；涉及弯道或下坡路段，未将标志摆放到弯道外或坡道顶端，经现场检查属实的。</w:t>
      </w:r>
    </w:p>
    <w:p>
      <w:pPr>
        <w:spacing w:line="480" w:lineRule="auto"/>
        <w:ind w:firstLine="560" w:firstLineChars="200"/>
        <w:rPr>
          <w:rFonts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p>
    <w:tbl>
      <w:tblPr>
        <w:tblStyle w:val="47"/>
        <w:tblW w:w="9038" w:type="dxa"/>
        <w:tblInd w:w="0" w:type="dxa"/>
        <w:tblLayout w:type="fixed"/>
        <w:tblCellMar>
          <w:top w:w="0" w:type="dxa"/>
          <w:left w:w="108" w:type="dxa"/>
          <w:bottom w:w="0" w:type="dxa"/>
          <w:right w:w="108" w:type="dxa"/>
        </w:tblCellMar>
      </w:tblPr>
      <w:tblGrid>
        <w:gridCol w:w="614"/>
        <w:gridCol w:w="2234"/>
        <w:gridCol w:w="662"/>
        <w:gridCol w:w="1636"/>
        <w:gridCol w:w="616"/>
        <w:gridCol w:w="1873"/>
        <w:gridCol w:w="1403"/>
      </w:tblGrid>
      <w:tr>
        <w:tblPrEx>
          <w:tblCellMar>
            <w:top w:w="0" w:type="dxa"/>
            <w:left w:w="108" w:type="dxa"/>
            <w:bottom w:w="0" w:type="dxa"/>
            <w:right w:w="108" w:type="dxa"/>
          </w:tblCellMar>
        </w:tblPrEx>
        <w:trPr>
          <w:trHeight w:val="930" w:hRule="atLeast"/>
        </w:trPr>
        <w:tc>
          <w:tcPr>
            <w:tcW w:w="7635" w:type="dxa"/>
            <w:gridSpan w:val="6"/>
            <w:tcBorders>
              <w:top w:val="nil"/>
              <w:left w:val="nil"/>
              <w:bottom w:val="nil"/>
              <w:right w:val="nil"/>
            </w:tcBorders>
            <w:noWrap w:val="0"/>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1628775" cy="352425"/>
                  <wp:effectExtent l="0" t="0" r="9525" b="9525"/>
                  <wp:wrapNone/>
                  <wp:docPr id="1" name="Picture 1" descr="QQ截图2013062719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30627191727"/>
                          <pic:cNvPicPr>
                            <a:picLocks noChangeAspect="1"/>
                          </pic:cNvPicPr>
                        </pic:nvPicPr>
                        <pic:blipFill>
                          <a:blip r:embed="rId6"/>
                          <a:stretch>
                            <a:fillRect/>
                          </a:stretch>
                        </pic:blipFill>
                        <pic:spPr>
                          <a:xfrm>
                            <a:off x="0" y="0"/>
                            <a:ext cx="1628775" cy="352425"/>
                          </a:xfrm>
                          <a:prstGeom prst="rect">
                            <a:avLst/>
                          </a:prstGeom>
                          <a:noFill/>
                          <a:ln>
                            <a:noFill/>
                          </a:ln>
                        </pic:spPr>
                      </pic:pic>
                    </a:graphicData>
                  </a:graphic>
                </wp:anchor>
              </w:drawing>
            </w:r>
          </w:p>
          <w:tbl>
            <w:tblPr>
              <w:tblStyle w:val="47"/>
              <w:tblW w:w="0" w:type="auto"/>
              <w:tblCellSpacing w:w="0" w:type="dxa"/>
              <w:tblInd w:w="0" w:type="dxa"/>
              <w:tblLayout w:type="fixed"/>
              <w:tblCellMar>
                <w:top w:w="0" w:type="dxa"/>
                <w:left w:w="0" w:type="dxa"/>
                <w:bottom w:w="0" w:type="dxa"/>
                <w:right w:w="0" w:type="dxa"/>
              </w:tblCellMar>
            </w:tblPr>
            <w:tblGrid>
              <w:gridCol w:w="7419"/>
            </w:tblGrid>
            <w:tr>
              <w:tblPrEx>
                <w:tblCellMar>
                  <w:top w:w="0" w:type="dxa"/>
                  <w:left w:w="0" w:type="dxa"/>
                  <w:bottom w:w="0" w:type="dxa"/>
                  <w:right w:w="0" w:type="dxa"/>
                </w:tblCellMar>
              </w:tblPrEx>
              <w:trPr>
                <w:trHeight w:val="930" w:hRule="atLeast"/>
                <w:tblCellSpacing w:w="0" w:type="dxa"/>
              </w:trPr>
              <w:tc>
                <w:tcPr>
                  <w:tcW w:w="7419" w:type="dxa"/>
                  <w:tcBorders>
                    <w:top w:val="nil"/>
                    <w:left w:val="nil"/>
                    <w:bottom w:val="nil"/>
                    <w:right w:val="nil"/>
                  </w:tcBorders>
                  <w:noWrap w:val="0"/>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社会清障救援单位综合考核表</w:t>
                  </w:r>
                </w:p>
              </w:tc>
            </w:tr>
          </w:tbl>
          <w:p>
            <w:pPr>
              <w:widowControl/>
              <w:jc w:val="left"/>
              <w:rPr>
                <w:rFonts w:ascii="宋体" w:hAnsi="宋体" w:cs="宋体"/>
                <w:color w:val="000000"/>
                <w:kern w:val="0"/>
                <w:sz w:val="22"/>
                <w:szCs w:val="22"/>
              </w:rPr>
            </w:pPr>
          </w:p>
        </w:tc>
        <w:tc>
          <w:tcPr>
            <w:tcW w:w="1403" w:type="dxa"/>
            <w:tcBorders>
              <w:top w:val="nil"/>
              <w:left w:val="nil"/>
              <w:bottom w:val="nil"/>
              <w:right w:val="nil"/>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黑体" w:hAnsi="黑体" w:eastAsia="黑体" w:cs="宋体"/>
                <w:kern w:val="0"/>
                <w:sz w:val="36"/>
                <w:szCs w:val="36"/>
              </w:rPr>
            </w:pPr>
            <w:r>
              <w:rPr>
                <w:rFonts w:hint="eastAsia" w:ascii="黑体" w:hAnsi="黑体" w:eastAsia="黑体" w:cs="宋体"/>
                <w:kern w:val="0"/>
                <w:sz w:val="36"/>
                <w:szCs w:val="36"/>
              </w:rPr>
              <w:t xml:space="preserve">被考核单位：                考核时间：                                                                     </w:t>
            </w: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黑体" w:hAnsi="黑体" w:eastAsia="黑体" w:cs="宋体"/>
                <w:kern w:val="0"/>
                <w:sz w:val="36"/>
                <w:szCs w:val="36"/>
              </w:rPr>
            </w:pPr>
            <w:r>
              <w:rPr>
                <w:rFonts w:hint="eastAsia" w:ascii="黑体" w:hAnsi="黑体" w:eastAsia="黑体" w:cs="宋体"/>
                <w:kern w:val="0"/>
                <w:sz w:val="36"/>
                <w:szCs w:val="36"/>
              </w:rPr>
              <w:t>主要指标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2896" w:type="dxa"/>
            <w:gridSpan w:val="2"/>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考核条款</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检查及处理情况</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违规单位</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1</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清障救援服务单位车辆或从业人员在高速公路上发生重大以上交通事故有自身责任的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6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2</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清障救援服务单位车辆或从业人员在在施救过程中，因不按规范操作，发生重大安全责任事故，后果特别严重的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3</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清障救援服务单位车辆及其从业人员在救援、急救过程中有3次以上交通违法行为的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4</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清障救援服务单位使用无购买保险的车辆、机具设备和人员在施救过程中出现严重安全事故的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5</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存在其他可能影响清障救援或道路交通安全的因素的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6</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清障救援服务单位在高速公路上掉头（U转、J转）、逆行、超速、超载、违法停车等违法行为，未造成严重后果的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7</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未经过路段监控站通知，私自进入高速公路进行救援、维修的清障救援单位，情况属实的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8</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清障救援单位清障或急救车辆接到路段监控中心通知出发、到达事故现场及清障或急救完毕这三个时间未向属地监控站报告，情况属实的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9</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救援车辆未安装明显的警示灯和警示标志的，在施救过程中未进行警示，造成一定安全事故的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10</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清障救援单位未出示收费文件，未出具正式发票给当事人，未据实填写“即办即评”调查表，投诉查证后属实的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11</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清障救援单位恶意乱收费并未出具正式发票给当事人，投诉后查证属实的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12</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清障救援单位未妥善保管当事人的车辆及货物，造成损失严重，投诉后查证属实的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15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13</w:t>
            </w:r>
          </w:p>
        </w:tc>
        <w:tc>
          <w:tcPr>
            <w:tcW w:w="2896"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清障救援单位在施救工程中，或在高速公路上更换轮胎、维修刹车抱死等活动的，未在后方</w:t>
            </w:r>
            <w:r>
              <w:rPr>
                <w:rFonts w:hint="eastAsia" w:ascii="仿宋_GB2312" w:hAnsi="宋体" w:eastAsia="仿宋_GB2312" w:cs="宋体"/>
                <w:color w:val="000000"/>
                <w:kern w:val="0"/>
                <w:sz w:val="20"/>
                <w:szCs w:val="20"/>
                <w:lang w:val="en-US" w:eastAsia="zh-CN"/>
              </w:rPr>
              <w:t>150</w:t>
            </w:r>
            <w:r>
              <w:rPr>
                <w:rFonts w:hint="eastAsia" w:ascii="仿宋_GB2312" w:hAnsi="宋体" w:eastAsia="仿宋_GB2312" w:cs="宋体"/>
                <w:color w:val="000000"/>
                <w:kern w:val="0"/>
                <w:sz w:val="20"/>
                <w:szCs w:val="20"/>
              </w:rPr>
              <w:t>米距离外开始规范摆放锥行标，未做好现场控制；涉及弯道或下坡路段，未将标志摆放到弯道外或坡道顶端，经现场检查属实的</w:t>
            </w:r>
          </w:p>
        </w:tc>
        <w:tc>
          <w:tcPr>
            <w:tcW w:w="4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05" w:hRule="atLeast"/>
        </w:trPr>
        <w:tc>
          <w:tcPr>
            <w:tcW w:w="9038"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仿宋_GB2312" w:hAnsi="宋体" w:eastAsia="仿宋_GB2312" w:cs="宋体"/>
                <w:b/>
                <w:bCs/>
                <w:color w:val="000000"/>
                <w:kern w:val="0"/>
                <w:sz w:val="36"/>
                <w:szCs w:val="36"/>
              </w:rPr>
            </w:pPr>
            <w:r>
              <w:rPr>
                <w:rFonts w:hint="eastAsia" w:ascii="仿宋_GB2312" w:hAnsi="宋体" w:eastAsia="仿宋_GB2312" w:cs="宋体"/>
                <w:b/>
                <w:bCs/>
                <w:color w:val="000000"/>
                <w:kern w:val="0"/>
                <w:sz w:val="36"/>
                <w:szCs w:val="36"/>
              </w:rPr>
              <w:t>一般指标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2234" w:type="dxa"/>
            <w:tcBorders>
              <w:top w:val="nil"/>
              <w:left w:val="nil"/>
              <w:bottom w:val="single" w:color="auto" w:sz="4" w:space="0"/>
              <w:right w:val="single" w:color="auto" w:sz="4" w:space="0"/>
            </w:tcBorders>
            <w:noWrap w:val="0"/>
            <w:vAlign w:val="bottom"/>
          </w:tcPr>
          <w:p>
            <w:pPr>
              <w:widowControl/>
              <w:jc w:val="center"/>
              <w:rPr>
                <w:rFonts w:ascii="黑体" w:hAnsi="黑体" w:eastAsia="黑体" w:cs="宋体"/>
                <w:kern w:val="0"/>
                <w:sz w:val="24"/>
              </w:rPr>
            </w:pPr>
            <w:r>
              <w:rPr>
                <w:rFonts w:hint="eastAsia" w:ascii="黑体" w:hAnsi="黑体" w:eastAsia="黑体" w:cs="宋体"/>
                <w:kern w:val="0"/>
                <w:sz w:val="24"/>
              </w:rPr>
              <w:t>考核条款</w:t>
            </w:r>
          </w:p>
        </w:tc>
        <w:tc>
          <w:tcPr>
            <w:tcW w:w="2298" w:type="dxa"/>
            <w:gridSpan w:val="2"/>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考核标准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扣分</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检查情况及扣分原因</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违规单位</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14</w:t>
            </w:r>
          </w:p>
        </w:tc>
        <w:tc>
          <w:tcPr>
            <w:tcW w:w="22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仿宋_GB2312" w:hAnsi="宋体" w:eastAsia="仿宋_GB2312" w:cs="宋体"/>
                <w:color w:val="auto"/>
                <w:kern w:val="0"/>
                <w:sz w:val="20"/>
                <w:szCs w:val="20"/>
              </w:rPr>
              <w:t>本单位建立健全企业相关安全制度及救援设备、人员台账</w:t>
            </w:r>
          </w:p>
          <w:p>
            <w:pPr>
              <w:widowControl/>
              <w:jc w:val="center"/>
              <w:rPr>
                <w:rFonts w:hint="eastAsia" w:ascii="黑体" w:hAnsi="黑体" w:eastAsia="黑体" w:cs="宋体"/>
                <w:color w:val="auto"/>
                <w:kern w:val="0"/>
                <w:sz w:val="24"/>
                <w:lang w:eastAsia="zh-CN"/>
              </w:rPr>
            </w:pPr>
          </w:p>
        </w:tc>
        <w:tc>
          <w:tcPr>
            <w:tcW w:w="229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仿宋_GB2312" w:hAnsi="宋体" w:eastAsia="仿宋_GB2312" w:cs="宋体"/>
                <w:color w:val="000000" w:themeColor="text1"/>
                <w:kern w:val="0"/>
                <w:sz w:val="20"/>
                <w:szCs w:val="20"/>
              </w:rPr>
              <w:t>建立运行巡查制度体系</w:t>
            </w:r>
            <w:r>
              <w:rPr>
                <w:rFonts w:hint="eastAsia" w:ascii="仿宋_GB2312" w:hAnsi="宋体" w:eastAsia="仿宋_GB2312" w:cs="宋体"/>
                <w:color w:val="000000" w:themeColor="text1"/>
                <w:kern w:val="0"/>
                <w:sz w:val="20"/>
                <w:szCs w:val="20"/>
                <w:lang w:eastAsia="zh-CN"/>
              </w:rPr>
              <w:t>，</w:t>
            </w:r>
            <w:r>
              <w:rPr>
                <w:rFonts w:hint="eastAsia" w:ascii="仿宋_GB2312" w:hAnsi="宋体" w:eastAsia="仿宋_GB2312" w:cs="宋体"/>
                <w:color w:val="000000" w:themeColor="text1"/>
                <w:kern w:val="0"/>
                <w:sz w:val="20"/>
                <w:szCs w:val="20"/>
              </w:rPr>
              <w:t>缺失一项制度扣1分，无设备、人员台账或弄虚作假扣2分，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15</w:t>
            </w:r>
          </w:p>
        </w:tc>
        <w:tc>
          <w:tcPr>
            <w:tcW w:w="22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仿宋_GB2312" w:hAnsi="宋体" w:eastAsia="仿宋_GB2312" w:cs="宋体"/>
                <w:color w:val="auto"/>
                <w:kern w:val="0"/>
                <w:sz w:val="20"/>
                <w:szCs w:val="20"/>
              </w:rPr>
              <w:t>救援信息、资料上报规范</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仿宋_GB2312" w:hAnsi="宋体" w:eastAsia="仿宋_GB2312" w:cs="宋体"/>
                <w:color w:val="000000"/>
                <w:kern w:val="0"/>
                <w:sz w:val="20"/>
                <w:szCs w:val="20"/>
              </w:rPr>
              <w:t>未及时上报公司所需信息、资料或信息、资料错误的，一项扣2分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16</w:t>
            </w:r>
          </w:p>
        </w:tc>
        <w:tc>
          <w:tcPr>
            <w:tcW w:w="22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每月组织救援人员进行安全学习、培训</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rPr>
            </w:pPr>
            <w:r>
              <w:rPr>
                <w:rFonts w:hint="eastAsia" w:ascii="仿宋_GB2312" w:hAnsi="宋体" w:eastAsia="仿宋_GB2312" w:cs="宋体"/>
                <w:color w:val="000000" w:themeColor="text1"/>
                <w:kern w:val="0"/>
                <w:sz w:val="20"/>
                <w:szCs w:val="20"/>
              </w:rPr>
              <w:t>未及时组织救援人员进行安全学习、培训的，一次扣2分，产生不良后果的一次扣</w:t>
            </w:r>
            <w:r>
              <w:rPr>
                <w:rFonts w:hint="eastAsia" w:ascii="仿宋_GB2312" w:hAnsi="宋体" w:eastAsia="仿宋_GB2312" w:cs="宋体"/>
                <w:color w:val="000000" w:themeColor="text1"/>
                <w:kern w:val="0"/>
                <w:sz w:val="20"/>
                <w:szCs w:val="20"/>
                <w:lang w:val="en-US" w:eastAsia="zh-CN"/>
              </w:rPr>
              <w:t>10</w:t>
            </w:r>
            <w:r>
              <w:rPr>
                <w:rFonts w:hint="eastAsia" w:ascii="仿宋_GB2312" w:hAnsi="宋体" w:eastAsia="仿宋_GB2312" w:cs="宋体"/>
                <w:color w:val="000000" w:themeColor="text1"/>
                <w:kern w:val="0"/>
                <w:sz w:val="20"/>
                <w:szCs w:val="20"/>
              </w:rPr>
              <w:t>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17</w:t>
            </w:r>
          </w:p>
        </w:tc>
        <w:tc>
          <w:tcPr>
            <w:tcW w:w="22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每月按要求参加巡查中队组织的安全学习、培训</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rPr>
            </w:pPr>
            <w:r>
              <w:rPr>
                <w:rFonts w:hint="eastAsia" w:ascii="仿宋_GB2312" w:hAnsi="宋体" w:eastAsia="仿宋_GB2312" w:cs="宋体"/>
                <w:color w:val="000000" w:themeColor="text1"/>
                <w:kern w:val="0"/>
                <w:sz w:val="20"/>
                <w:szCs w:val="20"/>
              </w:rPr>
              <w:t>未按要求参加巡查中队的安全学习、培训的，一次扣2分，弄虚作假的，一次扣5分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18</w:t>
            </w:r>
          </w:p>
        </w:tc>
        <w:tc>
          <w:tcPr>
            <w:tcW w:w="22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上道进行救援作业时穿戴反光标志服饰和相应安全防护措施</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rPr>
            </w:pPr>
            <w:r>
              <w:rPr>
                <w:rFonts w:hint="eastAsia" w:ascii="仿宋_GB2312" w:hAnsi="宋体" w:eastAsia="仿宋_GB2312" w:cs="宋体"/>
                <w:color w:val="000000" w:themeColor="text1"/>
                <w:kern w:val="0"/>
                <w:sz w:val="20"/>
                <w:szCs w:val="20"/>
                <w:lang w:val="en-US" w:eastAsia="zh-CN"/>
              </w:rPr>
              <w:t>未按要求做装，</w:t>
            </w:r>
            <w:r>
              <w:rPr>
                <w:rFonts w:hint="eastAsia" w:ascii="仿宋_GB2312" w:hAnsi="宋体" w:eastAsia="仿宋_GB2312" w:cs="宋体"/>
                <w:color w:val="000000" w:themeColor="text1"/>
                <w:kern w:val="0"/>
                <w:sz w:val="20"/>
                <w:szCs w:val="20"/>
              </w:rPr>
              <w:t>发现一例扣2分，</w:t>
            </w:r>
            <w:r>
              <w:rPr>
                <w:rFonts w:hint="eastAsia" w:ascii="仿宋_GB2312" w:hAnsi="宋体" w:eastAsia="仿宋_GB2312" w:cs="宋体"/>
                <w:color w:val="000000" w:themeColor="text1"/>
                <w:kern w:val="0"/>
                <w:sz w:val="20"/>
                <w:szCs w:val="20"/>
                <w:lang w:val="en-US" w:eastAsia="zh-CN"/>
              </w:rPr>
              <w:t>现场</w:t>
            </w:r>
            <w:r>
              <w:rPr>
                <w:rFonts w:hint="eastAsia" w:ascii="仿宋_GB2312" w:hAnsi="宋体" w:eastAsia="仿宋_GB2312" w:cs="宋体"/>
                <w:color w:val="000000" w:themeColor="text1"/>
                <w:kern w:val="0"/>
                <w:sz w:val="20"/>
                <w:szCs w:val="20"/>
              </w:rPr>
              <w:t>同时出现</w:t>
            </w:r>
            <w:r>
              <w:rPr>
                <w:rFonts w:hint="eastAsia" w:ascii="仿宋_GB2312" w:hAnsi="宋体" w:eastAsia="仿宋_GB2312" w:cs="宋体"/>
                <w:color w:val="000000" w:themeColor="text1"/>
                <w:kern w:val="0"/>
                <w:sz w:val="20"/>
                <w:szCs w:val="20"/>
                <w:lang w:val="en-US" w:eastAsia="zh-CN"/>
              </w:rPr>
              <w:t>两</w:t>
            </w:r>
            <w:r>
              <w:rPr>
                <w:rFonts w:hint="eastAsia" w:ascii="仿宋_GB2312" w:hAnsi="宋体" w:eastAsia="仿宋_GB2312" w:cs="宋体"/>
                <w:color w:val="000000" w:themeColor="text1"/>
                <w:kern w:val="0"/>
                <w:sz w:val="20"/>
                <w:szCs w:val="20"/>
              </w:rPr>
              <w:t>例及以上扣10分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19</w:t>
            </w:r>
          </w:p>
        </w:tc>
        <w:tc>
          <w:tcPr>
            <w:tcW w:w="2234"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color w:val="auto"/>
                <w:kern w:val="0"/>
                <w:sz w:val="24"/>
                <w:lang w:eastAsia="zh-CN"/>
              </w:rPr>
            </w:pPr>
            <w:r>
              <w:rPr>
                <w:rFonts w:hint="eastAsia" w:ascii="仿宋_GB2312" w:hAnsi="宋体" w:eastAsia="仿宋_GB2312" w:cs="宋体"/>
                <w:color w:val="auto"/>
                <w:kern w:val="0"/>
                <w:sz w:val="20"/>
                <w:szCs w:val="20"/>
              </w:rPr>
              <w:t>救援、急救现场按要求摆放警示标志</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仿宋_GB2312" w:cs="宋体"/>
                <w:color w:val="000000" w:themeColor="text1"/>
                <w:kern w:val="0"/>
                <w:sz w:val="20"/>
                <w:szCs w:val="20"/>
                <w:lang w:val="en-US" w:eastAsia="zh-CN"/>
              </w:rPr>
            </w:pPr>
            <w:r>
              <w:rPr>
                <w:rFonts w:hint="eastAsia" w:ascii="仿宋_GB2312" w:hAnsi="宋体" w:eastAsia="仿宋_GB2312" w:cs="宋体"/>
                <w:color w:val="000000" w:themeColor="text1"/>
                <w:kern w:val="0"/>
                <w:sz w:val="20"/>
                <w:szCs w:val="20"/>
              </w:rPr>
              <w:t>未按要求摆放警示标志的，一次扣</w:t>
            </w:r>
            <w:r>
              <w:rPr>
                <w:rFonts w:hint="eastAsia" w:ascii="仿宋_GB2312" w:hAnsi="宋体" w:eastAsia="仿宋_GB2312" w:cs="宋体"/>
                <w:color w:val="000000" w:themeColor="text1"/>
                <w:kern w:val="0"/>
                <w:sz w:val="20"/>
                <w:szCs w:val="20"/>
                <w:lang w:val="en-US" w:eastAsia="zh-CN"/>
              </w:rPr>
              <w:t>2</w:t>
            </w:r>
            <w:r>
              <w:rPr>
                <w:rFonts w:hint="eastAsia" w:ascii="仿宋_GB2312" w:hAnsi="宋体" w:eastAsia="仿宋_GB2312" w:cs="宋体"/>
                <w:color w:val="000000" w:themeColor="text1"/>
                <w:kern w:val="0"/>
                <w:sz w:val="20"/>
                <w:szCs w:val="20"/>
              </w:rPr>
              <w:t>分</w:t>
            </w:r>
            <w:r>
              <w:rPr>
                <w:rFonts w:hint="eastAsia" w:ascii="仿宋_GB2312" w:hAnsi="宋体" w:eastAsia="仿宋_GB2312" w:cs="宋体"/>
                <w:color w:val="000000" w:themeColor="text1"/>
                <w:kern w:val="0"/>
                <w:sz w:val="20"/>
                <w:szCs w:val="20"/>
                <w:lang w:eastAsia="zh-CN"/>
              </w:rPr>
              <w:t>，</w:t>
            </w:r>
            <w:r>
              <w:rPr>
                <w:rFonts w:hint="eastAsia" w:ascii="仿宋_GB2312" w:hAnsi="宋体" w:eastAsia="仿宋_GB2312" w:cs="宋体"/>
                <w:color w:val="000000" w:themeColor="text1"/>
                <w:kern w:val="0"/>
                <w:sz w:val="20"/>
                <w:szCs w:val="20"/>
                <w:lang w:val="en-US" w:eastAsia="zh-CN"/>
              </w:rPr>
              <w:t>两次</w:t>
            </w:r>
            <w:r>
              <w:rPr>
                <w:rFonts w:hint="eastAsia" w:ascii="仿宋_GB2312" w:hAnsi="宋体" w:eastAsia="仿宋_GB2312" w:cs="宋体"/>
                <w:color w:val="000000" w:themeColor="text1"/>
                <w:kern w:val="0"/>
                <w:sz w:val="20"/>
                <w:szCs w:val="20"/>
              </w:rPr>
              <w:t>扣</w:t>
            </w:r>
            <w:r>
              <w:rPr>
                <w:rFonts w:hint="eastAsia" w:ascii="仿宋_GB2312" w:hAnsi="宋体" w:eastAsia="仿宋_GB2312" w:cs="宋体"/>
                <w:color w:val="000000" w:themeColor="text1"/>
                <w:kern w:val="0"/>
                <w:sz w:val="20"/>
                <w:szCs w:val="20"/>
                <w:lang w:val="en-US" w:eastAsia="zh-CN"/>
              </w:rPr>
              <w:t>5</w:t>
            </w:r>
            <w:r>
              <w:rPr>
                <w:rFonts w:hint="eastAsia" w:ascii="仿宋_GB2312" w:hAnsi="宋体" w:eastAsia="仿宋_GB2312" w:cs="宋体"/>
                <w:color w:val="000000" w:themeColor="text1"/>
                <w:kern w:val="0"/>
                <w:sz w:val="20"/>
                <w:szCs w:val="20"/>
              </w:rPr>
              <w:t>分</w:t>
            </w:r>
            <w:r>
              <w:rPr>
                <w:rFonts w:hint="eastAsia" w:ascii="仿宋_GB2312" w:hAnsi="宋体" w:eastAsia="仿宋_GB2312" w:cs="宋体"/>
                <w:color w:val="000000" w:themeColor="text1"/>
                <w:kern w:val="0"/>
                <w:sz w:val="20"/>
                <w:szCs w:val="20"/>
                <w:lang w:val="en-US" w:eastAsia="zh-CN"/>
              </w:rPr>
              <w:t>。</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20</w:t>
            </w:r>
          </w:p>
        </w:tc>
        <w:tc>
          <w:tcPr>
            <w:tcW w:w="22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仿宋_GB2312" w:hAnsi="宋体" w:eastAsia="仿宋_GB2312" w:cs="宋体"/>
                <w:color w:val="auto"/>
                <w:kern w:val="0"/>
                <w:sz w:val="20"/>
                <w:szCs w:val="20"/>
              </w:rPr>
              <w:t>救援、急救现场按要求设置安全员</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未按要求设置安全员的，一次扣</w:t>
            </w:r>
            <w:r>
              <w:rPr>
                <w:rFonts w:hint="eastAsia" w:ascii="仿宋_GB2312" w:hAnsi="宋体" w:eastAsia="仿宋_GB2312" w:cs="宋体"/>
                <w:color w:val="000000" w:themeColor="text1"/>
                <w:kern w:val="0"/>
                <w:sz w:val="20"/>
                <w:szCs w:val="20"/>
                <w:lang w:val="en-US" w:eastAsia="zh-CN"/>
              </w:rPr>
              <w:t>10</w:t>
            </w:r>
            <w:r>
              <w:rPr>
                <w:rFonts w:hint="eastAsia" w:ascii="仿宋_GB2312" w:hAnsi="宋体" w:eastAsia="仿宋_GB2312" w:cs="宋体"/>
                <w:color w:val="000000" w:themeColor="text1"/>
                <w:kern w:val="0"/>
                <w:sz w:val="20"/>
                <w:szCs w:val="20"/>
              </w:rPr>
              <w:t>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21</w:t>
            </w:r>
          </w:p>
        </w:tc>
        <w:tc>
          <w:tcPr>
            <w:tcW w:w="2234"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color w:val="auto"/>
                <w:kern w:val="0"/>
                <w:sz w:val="24"/>
                <w:lang w:eastAsia="zh-CN"/>
              </w:rPr>
            </w:pPr>
            <w:r>
              <w:rPr>
                <w:rFonts w:hint="eastAsia" w:ascii="仿宋_GB2312" w:hAnsi="宋体" w:eastAsia="仿宋_GB2312" w:cs="宋体"/>
                <w:color w:val="auto"/>
                <w:kern w:val="0"/>
                <w:sz w:val="20"/>
                <w:szCs w:val="20"/>
              </w:rPr>
              <w:t>救援设备按要求配置警示标志</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未按要求配置警示标志的，一次扣</w:t>
            </w:r>
            <w:r>
              <w:rPr>
                <w:rFonts w:hint="eastAsia" w:ascii="仿宋_GB2312" w:hAnsi="宋体" w:eastAsia="仿宋_GB2312" w:cs="宋体"/>
                <w:color w:val="000000" w:themeColor="text1"/>
                <w:kern w:val="0"/>
                <w:sz w:val="20"/>
                <w:szCs w:val="20"/>
                <w:lang w:val="en-US" w:eastAsia="zh-CN"/>
              </w:rPr>
              <w:t>5分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22</w:t>
            </w:r>
          </w:p>
        </w:tc>
        <w:tc>
          <w:tcPr>
            <w:tcW w:w="2234"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color w:val="auto"/>
                <w:kern w:val="0"/>
                <w:sz w:val="24"/>
                <w:lang w:eastAsia="zh-CN"/>
              </w:rPr>
            </w:pPr>
            <w:r>
              <w:rPr>
                <w:rFonts w:hint="eastAsia" w:ascii="仿宋_GB2312" w:hAnsi="宋体" w:eastAsia="仿宋_GB2312" w:cs="宋体"/>
                <w:color w:val="auto"/>
                <w:kern w:val="0"/>
                <w:sz w:val="20"/>
                <w:szCs w:val="20"/>
              </w:rPr>
              <w:t>上级部门督查调查（针对救援、急救业务仅限于本司运行管理工作人员）</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拒绝接受相关部门督查、调查工作的，一次扣</w:t>
            </w:r>
            <w:r>
              <w:rPr>
                <w:rFonts w:hint="eastAsia" w:ascii="仿宋_GB2312" w:hAnsi="宋体" w:eastAsia="仿宋_GB2312" w:cs="宋体"/>
                <w:color w:val="000000" w:themeColor="text1"/>
                <w:kern w:val="0"/>
                <w:sz w:val="20"/>
                <w:szCs w:val="20"/>
                <w:lang w:val="en-US" w:eastAsia="zh-CN"/>
              </w:rPr>
              <w:t>10分。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23</w:t>
            </w:r>
          </w:p>
        </w:tc>
        <w:tc>
          <w:tcPr>
            <w:tcW w:w="2234"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color w:val="auto"/>
                <w:kern w:val="0"/>
                <w:sz w:val="24"/>
                <w:lang w:eastAsia="zh-CN"/>
              </w:rPr>
            </w:pPr>
            <w:r>
              <w:rPr>
                <w:rFonts w:hint="eastAsia" w:ascii="仿宋_GB2312" w:hAnsi="宋体" w:eastAsia="仿宋_GB2312" w:cs="宋体"/>
                <w:color w:val="auto"/>
                <w:kern w:val="0"/>
                <w:sz w:val="20"/>
                <w:szCs w:val="20"/>
              </w:rPr>
              <w:t>按要求对救援车辆、人员进行保险</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现场救援车辆、人员未进行保险的，发现一人次扣1分， 三人次</w:t>
            </w:r>
            <w:r>
              <w:rPr>
                <w:rFonts w:hint="eastAsia" w:ascii="仿宋_GB2312" w:hAnsi="宋体" w:eastAsia="仿宋_GB2312" w:cs="宋体"/>
                <w:color w:val="000000"/>
                <w:kern w:val="0"/>
                <w:sz w:val="20"/>
                <w:szCs w:val="20"/>
                <w:lang w:val="en-US" w:eastAsia="zh-CN"/>
              </w:rPr>
              <w:t>及以上</w:t>
            </w:r>
            <w:r>
              <w:rPr>
                <w:rFonts w:hint="eastAsia" w:ascii="仿宋_GB2312" w:hAnsi="宋体" w:eastAsia="仿宋_GB2312" w:cs="宋体"/>
                <w:color w:val="000000"/>
                <w:kern w:val="0"/>
                <w:sz w:val="20"/>
                <w:szCs w:val="20"/>
              </w:rPr>
              <w:t>扣5分。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24</w:t>
            </w:r>
          </w:p>
        </w:tc>
        <w:tc>
          <w:tcPr>
            <w:tcW w:w="22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对事故（故障）车辆提供优质文明服务（信息来源：现场观察及回访）</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对待车方态度恶劣的，一次扣2分，三次</w:t>
            </w:r>
            <w:r>
              <w:rPr>
                <w:rFonts w:hint="eastAsia" w:ascii="仿宋_GB2312" w:hAnsi="宋体" w:eastAsia="仿宋_GB2312" w:cs="宋体"/>
                <w:color w:val="000000"/>
                <w:kern w:val="0"/>
                <w:sz w:val="20"/>
                <w:szCs w:val="20"/>
                <w:lang w:val="en-US" w:eastAsia="zh-CN"/>
              </w:rPr>
              <w:t>及以上</w:t>
            </w:r>
            <w:r>
              <w:rPr>
                <w:rFonts w:hint="eastAsia" w:ascii="仿宋_GB2312" w:hAnsi="宋体" w:eastAsia="仿宋_GB2312" w:cs="宋体"/>
                <w:color w:val="000000"/>
                <w:kern w:val="0"/>
                <w:sz w:val="20"/>
                <w:szCs w:val="20"/>
              </w:rPr>
              <w:t>扣</w:t>
            </w:r>
            <w:r>
              <w:rPr>
                <w:rFonts w:hint="eastAsia" w:ascii="仿宋_GB2312" w:hAnsi="宋体" w:eastAsia="仿宋_GB2312" w:cs="宋体"/>
                <w:color w:val="000000" w:themeColor="text1"/>
                <w:kern w:val="0"/>
                <w:sz w:val="20"/>
                <w:szCs w:val="20"/>
                <w:lang w:val="en-US" w:eastAsia="zh-CN"/>
              </w:rPr>
              <w:t>5分</w:t>
            </w:r>
            <w:r>
              <w:rPr>
                <w:rFonts w:hint="eastAsia" w:ascii="仿宋_GB2312" w:hAnsi="宋体" w:eastAsia="仿宋_GB2312" w:cs="宋体"/>
                <w:color w:val="000000"/>
                <w:kern w:val="0"/>
                <w:sz w:val="20"/>
                <w:szCs w:val="20"/>
              </w:rPr>
              <w:t>。</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lang w:eastAsia="zh-CN"/>
              </w:rPr>
            </w:pPr>
            <w:r>
              <w:rPr>
                <w:rFonts w:hint="eastAsia" w:ascii="黑体" w:hAnsi="黑体" w:eastAsia="黑体" w:cs="宋体"/>
                <w:kern w:val="0"/>
                <w:sz w:val="24"/>
              </w:rPr>
              <w:t>2</w:t>
            </w:r>
            <w:r>
              <w:rPr>
                <w:rFonts w:hint="eastAsia" w:ascii="黑体" w:hAnsi="黑体" w:eastAsia="黑体" w:cs="宋体"/>
                <w:kern w:val="0"/>
                <w:sz w:val="24"/>
                <w:lang w:val="en-US" w:eastAsia="zh-CN"/>
              </w:rPr>
              <w:t>5</w:t>
            </w:r>
          </w:p>
        </w:tc>
        <w:tc>
          <w:tcPr>
            <w:tcW w:w="22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设置值班中心，24小时值班，及接警是否畅通</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接警不畅一次扣2分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lang w:eastAsia="zh-CN"/>
              </w:rPr>
            </w:pPr>
            <w:r>
              <w:rPr>
                <w:rFonts w:hint="eastAsia" w:ascii="黑体" w:hAnsi="黑体" w:eastAsia="黑体" w:cs="宋体"/>
                <w:kern w:val="0"/>
                <w:sz w:val="24"/>
              </w:rPr>
              <w:t>2</w:t>
            </w:r>
            <w:r>
              <w:rPr>
                <w:rFonts w:hint="eastAsia" w:ascii="黑体" w:hAnsi="黑体" w:eastAsia="黑体" w:cs="宋体"/>
                <w:kern w:val="0"/>
                <w:sz w:val="24"/>
                <w:lang w:val="en-US" w:eastAsia="zh-CN"/>
              </w:rPr>
              <w:t>6</w:t>
            </w:r>
          </w:p>
        </w:tc>
        <w:tc>
          <w:tcPr>
            <w:tcW w:w="223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仿宋_GB2312" w:hAnsi="宋体" w:eastAsia="仿宋_GB2312" w:cs="宋体"/>
                <w:color w:val="000000"/>
                <w:kern w:val="0"/>
                <w:sz w:val="20"/>
                <w:szCs w:val="20"/>
              </w:rPr>
              <w:t>服从现场执法及公司运行人员指挥调度</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对不服从现场执法及公司运行人员指挥调度</w:t>
            </w:r>
            <w:r>
              <w:rPr>
                <w:rFonts w:hint="eastAsia" w:ascii="仿宋_GB2312" w:hAnsi="宋体" w:eastAsia="仿宋_GB2312" w:cs="宋体"/>
                <w:color w:val="000000" w:themeColor="text1"/>
                <w:kern w:val="0"/>
                <w:sz w:val="20"/>
                <w:szCs w:val="20"/>
                <w:lang w:eastAsia="zh-CN"/>
              </w:rPr>
              <w:t>，</w:t>
            </w:r>
            <w:r>
              <w:rPr>
                <w:rFonts w:hint="eastAsia" w:ascii="仿宋_GB2312" w:hAnsi="宋体" w:eastAsia="仿宋_GB2312" w:cs="宋体"/>
                <w:color w:val="000000" w:themeColor="text1"/>
                <w:kern w:val="0"/>
                <w:sz w:val="20"/>
                <w:szCs w:val="20"/>
                <w:lang w:val="en-US" w:eastAsia="zh-CN"/>
              </w:rPr>
              <w:t>一次扣2分。</w:t>
            </w:r>
          </w:p>
        </w:tc>
        <w:tc>
          <w:tcPr>
            <w:tcW w:w="6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27</w:t>
            </w:r>
          </w:p>
        </w:tc>
        <w:tc>
          <w:tcPr>
            <w:tcW w:w="2234"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kern w:val="0"/>
                <w:sz w:val="24"/>
                <w:lang w:val="en-US" w:eastAsia="zh-CN"/>
              </w:rPr>
            </w:pPr>
            <w:r>
              <w:rPr>
                <w:rFonts w:hint="eastAsia" w:ascii="仿宋_GB2312" w:hAnsi="宋体" w:eastAsia="仿宋_GB2312" w:cs="宋体"/>
                <w:color w:val="000000"/>
                <w:kern w:val="0"/>
                <w:sz w:val="20"/>
                <w:szCs w:val="20"/>
                <w:lang w:val="en-US" w:eastAsia="zh-CN"/>
              </w:rPr>
              <w:t>按要求使用巡查救援软件，清障救援须100%登记。</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0"/>
                <w:szCs w:val="20"/>
                <w:lang w:val="en-US" w:eastAsia="zh-CN"/>
              </w:rPr>
            </w:pPr>
            <w:r>
              <w:rPr>
                <w:rFonts w:hint="eastAsia" w:ascii="仿宋_GB2312" w:hAnsi="宋体" w:eastAsia="仿宋_GB2312" w:cs="宋体"/>
                <w:color w:val="000000" w:themeColor="text1"/>
                <w:kern w:val="0"/>
                <w:sz w:val="20"/>
                <w:szCs w:val="20"/>
                <w:lang w:val="en-US" w:eastAsia="zh-CN"/>
              </w:rPr>
              <w:t>未按照要求执行，出现一次扣5分。</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8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28</w:t>
            </w:r>
          </w:p>
        </w:tc>
        <w:tc>
          <w:tcPr>
            <w:tcW w:w="2234"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kern w:val="0"/>
                <w:sz w:val="24"/>
                <w:lang w:val="en-US" w:eastAsia="zh-CN"/>
              </w:rPr>
            </w:pPr>
            <w:r>
              <w:rPr>
                <w:rFonts w:hint="eastAsia" w:ascii="仿宋_GB2312" w:hAnsi="宋体" w:eastAsia="仿宋_GB2312" w:cs="宋体"/>
                <w:color w:val="000000"/>
                <w:kern w:val="0"/>
                <w:sz w:val="20"/>
                <w:szCs w:val="20"/>
                <w:lang w:val="en-US" w:eastAsia="zh-CN"/>
              </w:rPr>
              <w:t>巡查救援软件救援过程操作规范，时间节点（接单、出发、到达、围弊、起拖、拖行开始、到达、回访、完成）、图片记录（违避、起拖）准确完整，可追溯还原现场情况。</w:t>
            </w:r>
          </w:p>
        </w:tc>
        <w:tc>
          <w:tcPr>
            <w:tcW w:w="2298"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0"/>
                <w:szCs w:val="20"/>
                <w:lang w:val="en-US" w:eastAsia="zh-CN"/>
              </w:rPr>
            </w:pPr>
            <w:r>
              <w:rPr>
                <w:rFonts w:hint="eastAsia" w:ascii="仿宋_GB2312" w:hAnsi="宋体" w:eastAsia="仿宋_GB2312" w:cs="宋体"/>
                <w:color w:val="000000" w:themeColor="text1"/>
                <w:kern w:val="0"/>
                <w:sz w:val="20"/>
                <w:szCs w:val="20"/>
                <w:lang w:val="en-US" w:eastAsia="zh-CN"/>
              </w:rPr>
              <w:t>未按照要求执行，一项扣1分；</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8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40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29</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公司提供的</w:t>
            </w:r>
            <w:r>
              <w:rPr>
                <w:rFonts w:hint="eastAsia" w:ascii="仿宋_GB2312" w:hAnsi="宋体" w:eastAsia="仿宋_GB2312" w:cs="宋体"/>
                <w:color w:val="000000"/>
                <w:kern w:val="0"/>
                <w:sz w:val="20"/>
                <w:szCs w:val="20"/>
              </w:rPr>
              <w:t>清障设备</w:t>
            </w:r>
            <w:r>
              <w:rPr>
                <w:rFonts w:hint="eastAsia" w:ascii="仿宋_GB2312" w:hAnsi="宋体" w:eastAsia="仿宋_GB2312" w:cs="宋体"/>
                <w:color w:val="000000"/>
                <w:kern w:val="0"/>
                <w:sz w:val="20"/>
                <w:szCs w:val="20"/>
                <w:lang w:val="en-US" w:eastAsia="zh-CN"/>
              </w:rPr>
              <w:t>的</w:t>
            </w:r>
            <w:r>
              <w:rPr>
                <w:rFonts w:hint="eastAsia" w:ascii="仿宋_GB2312" w:hAnsi="宋体" w:eastAsia="仿宋_GB2312" w:cs="宋体"/>
                <w:color w:val="000000"/>
                <w:kern w:val="0"/>
                <w:sz w:val="20"/>
                <w:szCs w:val="20"/>
              </w:rPr>
              <w:t>维修、保养</w:t>
            </w:r>
          </w:p>
        </w:tc>
        <w:tc>
          <w:tcPr>
            <w:tcW w:w="229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0"/>
                <w:szCs w:val="20"/>
                <w:lang w:val="en-US" w:eastAsia="zh-CN"/>
              </w:rPr>
            </w:pPr>
            <w:r>
              <w:rPr>
                <w:rFonts w:hint="eastAsia" w:ascii="仿宋_GB2312" w:hAnsi="宋体" w:eastAsia="仿宋_GB2312" w:cs="宋体"/>
                <w:color w:val="000000"/>
                <w:kern w:val="0"/>
                <w:sz w:val="20"/>
                <w:szCs w:val="20"/>
              </w:rPr>
              <w:t>设备维修、保养不及时，一次/台扣1分</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8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4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30</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本细则未涉及到的其他方面</w:t>
            </w:r>
          </w:p>
        </w:tc>
        <w:tc>
          <w:tcPr>
            <w:tcW w:w="2298"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0"/>
                <w:szCs w:val="20"/>
                <w:lang w:val="en-US" w:eastAsia="zh-CN"/>
              </w:rPr>
            </w:pPr>
            <w:r>
              <w:rPr>
                <w:rFonts w:hint="eastAsia" w:ascii="仿宋_GB2312" w:hAnsi="宋体" w:eastAsia="仿宋_GB2312" w:cs="宋体"/>
                <w:kern w:val="0"/>
                <w:sz w:val="20"/>
                <w:szCs w:val="20"/>
              </w:rPr>
              <w:t>发现一次，中队根据实际情况进行扣分。</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8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4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bl>
    <w:p>
      <w:pPr>
        <w:tabs>
          <w:tab w:val="left" w:pos="5550"/>
        </w:tabs>
        <w:spacing w:line="480" w:lineRule="auto"/>
        <w:rPr>
          <w:rFonts w:ascii="仿宋_GB2312" w:hAnsi="仿宋_GB2312" w:eastAsia="仿宋_GB2312" w:cs="仿宋_GB2312"/>
          <w:sz w:val="24"/>
        </w:rPr>
      </w:pPr>
      <w:r>
        <w:rPr>
          <w:rFonts w:hint="eastAsia" w:ascii="仿宋_GB2312" w:hAnsi="仿宋_GB2312" w:eastAsia="仿宋_GB2312" w:cs="仿宋_GB2312"/>
          <w:sz w:val="24"/>
        </w:rPr>
        <w:t>管理中心：             中队：             被考核单位（负责人）：</w:t>
      </w:r>
    </w:p>
    <w:p>
      <w:pPr>
        <w:spacing w:line="480" w:lineRule="auto"/>
        <w:rPr>
          <w:rFonts w:ascii="仿宋_GB2312" w:hAnsi="宋体" w:eastAsia="仿宋_GB2312" w:cs="宋体"/>
          <w:sz w:val="28"/>
          <w:szCs w:val="28"/>
        </w:rPr>
      </w:pPr>
    </w:p>
    <w:p>
      <w:pPr>
        <w:pStyle w:val="2"/>
        <w:ind w:firstLine="560"/>
        <w:rPr>
          <w:rFonts w:ascii="仿宋_GB2312" w:hAnsi="宋体" w:eastAsia="仿宋_GB2312" w:cs="宋体"/>
          <w:sz w:val="28"/>
          <w:szCs w:val="28"/>
        </w:rPr>
      </w:pPr>
    </w:p>
    <w:p>
      <w:pPr>
        <w:pStyle w:val="2"/>
        <w:ind w:firstLine="0" w:firstLineChars="0"/>
        <w:rPr>
          <w:rFonts w:ascii="仿宋_GB2312" w:hAnsi="宋体" w:eastAsia="仿宋_GB2312" w:cs="宋体"/>
          <w:sz w:val="28"/>
          <w:szCs w:val="28"/>
        </w:rPr>
        <w:sectPr>
          <w:pgSz w:w="11906" w:h="16838"/>
          <w:pgMar w:top="1440" w:right="1800" w:bottom="1440" w:left="1800" w:header="851" w:footer="992" w:gutter="0"/>
          <w:cols w:space="720" w:num="1"/>
          <w:docGrid w:type="lines" w:linePitch="312" w:charSpace="0"/>
        </w:sectPr>
      </w:pPr>
    </w:p>
    <w:p>
      <w:pPr>
        <w:pStyle w:val="2"/>
        <w:ind w:firstLine="0" w:firstLineChars="0"/>
        <w:rPr>
          <w:rFonts w:ascii="仿宋_GB2312" w:hAnsi="宋体" w:eastAsia="仿宋_GB2312" w:cs="宋体"/>
          <w:sz w:val="28"/>
          <w:szCs w:val="28"/>
        </w:rPr>
      </w:pPr>
      <w:r>
        <w:rPr>
          <w:rFonts w:hint="eastAsia" w:ascii="仿宋_GB2312" w:hAnsi="宋体" w:eastAsia="仿宋_GB2312" w:cs="宋体"/>
          <w:sz w:val="28"/>
          <w:szCs w:val="28"/>
        </w:rPr>
        <w:t>附件2：</w:t>
      </w:r>
    </w:p>
    <w:p>
      <w:pPr>
        <w:pStyle w:val="2"/>
        <w:ind w:firstLine="0" w:firstLineChars="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社会清障救援单位月度考核及处罚申请表</w:t>
      </w:r>
    </w:p>
    <w:p>
      <w:pPr>
        <w:pStyle w:val="2"/>
        <w:ind w:firstLine="0" w:firstLineChars="0"/>
        <w:rPr>
          <w:rFonts w:ascii="仿宋_GB2312" w:hAnsi="宋体" w:eastAsia="仿宋_GB2312" w:cs="宋体"/>
          <w:sz w:val="28"/>
          <w:szCs w:val="28"/>
        </w:rPr>
      </w:pPr>
      <w:r>
        <w:rPr>
          <w:rFonts w:hint="eastAsia" w:ascii="仿宋_GB2312" w:hAnsi="宋体" w:eastAsia="仿宋_GB2312" w:cs="宋体"/>
          <w:sz w:val="28"/>
          <w:szCs w:val="28"/>
        </w:rPr>
        <w:t>被考核单位：                                                   考核时间：   年    月</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300"/>
        <w:gridCol w:w="1242"/>
        <w:gridCol w:w="1772"/>
        <w:gridCol w:w="2266"/>
        <w:gridCol w:w="1278"/>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vAlign w:val="center"/>
          </w:tcPr>
          <w:p>
            <w:pPr>
              <w:pStyle w:val="2"/>
              <w:ind w:firstLine="0" w:firstLineChars="0"/>
              <w:rPr>
                <w:rFonts w:ascii="仿宋_GB2312" w:hAnsi="宋体" w:eastAsia="仿宋_GB2312" w:cs="宋体"/>
                <w:szCs w:val="24"/>
              </w:rPr>
            </w:pPr>
            <w:r>
              <w:rPr>
                <w:rFonts w:hint="eastAsia" w:ascii="仿宋_GB2312" w:hAnsi="宋体" w:eastAsia="仿宋_GB2312" w:cs="宋体"/>
                <w:szCs w:val="24"/>
              </w:rPr>
              <w:t>序号</w:t>
            </w:r>
          </w:p>
        </w:tc>
        <w:tc>
          <w:tcPr>
            <w:tcW w:w="6314" w:type="dxa"/>
            <w:gridSpan w:val="3"/>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路网月度考核结果</w:t>
            </w:r>
          </w:p>
        </w:tc>
        <w:tc>
          <w:tcPr>
            <w:tcW w:w="5316" w:type="dxa"/>
            <w:gridSpan w:val="3"/>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巡查部、管理中心月度考核结果</w:t>
            </w:r>
          </w:p>
        </w:tc>
        <w:tc>
          <w:tcPr>
            <w:tcW w:w="1772" w:type="dxa"/>
          </w:tcPr>
          <w:p>
            <w:pPr>
              <w:pStyle w:val="2"/>
              <w:ind w:firstLine="480"/>
              <w:rPr>
                <w:rFonts w:ascii="仿宋_GB2312" w:hAnsi="宋体" w:eastAsia="仿宋_GB2312" w:cs="宋体"/>
                <w:szCs w:val="24"/>
              </w:rPr>
            </w:pPr>
            <w:r>
              <w:rPr>
                <w:rFonts w:hint="eastAsia" w:ascii="仿宋_GB2312" w:hAnsi="宋体" w:eastAsia="仿宋_GB2312"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tcPr>
          <w:p>
            <w:pPr>
              <w:pStyle w:val="2"/>
              <w:ind w:firstLine="480"/>
              <w:rPr>
                <w:rFonts w:ascii="仿宋_GB2312" w:hAnsi="宋体" w:eastAsia="仿宋_GB2312" w:cs="宋体"/>
                <w:szCs w:val="24"/>
              </w:rPr>
            </w:pPr>
          </w:p>
        </w:tc>
        <w:tc>
          <w:tcPr>
            <w:tcW w:w="3300"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扣分原因</w:t>
            </w:r>
          </w:p>
        </w:tc>
        <w:tc>
          <w:tcPr>
            <w:tcW w:w="1242"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扣分分值</w:t>
            </w:r>
          </w:p>
        </w:tc>
        <w:tc>
          <w:tcPr>
            <w:tcW w:w="1772"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处罚金额（元）</w:t>
            </w:r>
          </w:p>
        </w:tc>
        <w:tc>
          <w:tcPr>
            <w:tcW w:w="2266"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扣分原因</w:t>
            </w:r>
          </w:p>
        </w:tc>
        <w:tc>
          <w:tcPr>
            <w:tcW w:w="1278"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扣分分值</w:t>
            </w:r>
          </w:p>
        </w:tc>
        <w:tc>
          <w:tcPr>
            <w:tcW w:w="1772" w:type="dxa"/>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处罚金额（元）</w:t>
            </w:r>
          </w:p>
        </w:tc>
        <w:tc>
          <w:tcPr>
            <w:tcW w:w="1772" w:type="dxa"/>
            <w:vAlign w:val="center"/>
          </w:tcPr>
          <w:p>
            <w:pPr>
              <w:pStyle w:val="2"/>
              <w:ind w:firstLine="480"/>
              <w:jc w:val="center"/>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2"/>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w:t>
            </w:r>
          </w:p>
        </w:tc>
        <w:tc>
          <w:tcPr>
            <w:tcW w:w="3300" w:type="dxa"/>
          </w:tcPr>
          <w:p>
            <w:pPr>
              <w:pStyle w:val="2"/>
              <w:ind w:firstLine="480"/>
              <w:rPr>
                <w:rFonts w:ascii="仿宋_GB2312" w:hAnsi="宋体" w:eastAsia="仿宋_GB2312" w:cs="宋体"/>
                <w:szCs w:val="24"/>
              </w:rPr>
            </w:pPr>
          </w:p>
        </w:tc>
        <w:tc>
          <w:tcPr>
            <w:tcW w:w="124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2266" w:type="dxa"/>
          </w:tcPr>
          <w:p>
            <w:pPr>
              <w:pStyle w:val="2"/>
              <w:ind w:firstLine="480"/>
              <w:rPr>
                <w:rFonts w:ascii="仿宋_GB2312" w:hAnsi="宋体" w:eastAsia="仿宋_GB2312" w:cs="宋体"/>
                <w:szCs w:val="24"/>
              </w:rPr>
            </w:pPr>
          </w:p>
        </w:tc>
        <w:tc>
          <w:tcPr>
            <w:tcW w:w="1278"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2"/>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w:t>
            </w:r>
          </w:p>
        </w:tc>
        <w:tc>
          <w:tcPr>
            <w:tcW w:w="3300" w:type="dxa"/>
          </w:tcPr>
          <w:p>
            <w:pPr>
              <w:pStyle w:val="2"/>
              <w:ind w:firstLine="480"/>
              <w:rPr>
                <w:rFonts w:ascii="仿宋_GB2312" w:hAnsi="宋体" w:eastAsia="仿宋_GB2312" w:cs="宋体"/>
                <w:szCs w:val="24"/>
              </w:rPr>
            </w:pPr>
          </w:p>
        </w:tc>
        <w:tc>
          <w:tcPr>
            <w:tcW w:w="124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2266" w:type="dxa"/>
          </w:tcPr>
          <w:p>
            <w:pPr>
              <w:pStyle w:val="2"/>
              <w:ind w:firstLine="480"/>
              <w:rPr>
                <w:rFonts w:ascii="仿宋_GB2312" w:hAnsi="宋体" w:eastAsia="仿宋_GB2312" w:cs="宋体"/>
                <w:szCs w:val="24"/>
              </w:rPr>
            </w:pPr>
          </w:p>
        </w:tc>
        <w:tc>
          <w:tcPr>
            <w:tcW w:w="1278"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2"/>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w:t>
            </w:r>
          </w:p>
        </w:tc>
        <w:tc>
          <w:tcPr>
            <w:tcW w:w="3300" w:type="dxa"/>
          </w:tcPr>
          <w:p>
            <w:pPr>
              <w:pStyle w:val="2"/>
              <w:ind w:firstLine="480"/>
              <w:rPr>
                <w:rFonts w:ascii="仿宋_GB2312" w:hAnsi="宋体" w:eastAsia="仿宋_GB2312" w:cs="宋体"/>
                <w:szCs w:val="24"/>
              </w:rPr>
            </w:pPr>
          </w:p>
        </w:tc>
        <w:tc>
          <w:tcPr>
            <w:tcW w:w="124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2266" w:type="dxa"/>
          </w:tcPr>
          <w:p>
            <w:pPr>
              <w:pStyle w:val="2"/>
              <w:ind w:firstLine="480"/>
              <w:rPr>
                <w:rFonts w:ascii="仿宋_GB2312" w:hAnsi="宋体" w:eastAsia="仿宋_GB2312" w:cs="宋体"/>
                <w:szCs w:val="24"/>
              </w:rPr>
            </w:pPr>
          </w:p>
        </w:tc>
        <w:tc>
          <w:tcPr>
            <w:tcW w:w="1278"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pStyle w:val="2"/>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4</w:t>
            </w:r>
          </w:p>
        </w:tc>
        <w:tc>
          <w:tcPr>
            <w:tcW w:w="3300" w:type="dxa"/>
          </w:tcPr>
          <w:p>
            <w:pPr>
              <w:pStyle w:val="2"/>
              <w:ind w:firstLine="480"/>
              <w:rPr>
                <w:rFonts w:ascii="仿宋_GB2312" w:hAnsi="宋体" w:eastAsia="仿宋_GB2312" w:cs="宋体"/>
                <w:szCs w:val="24"/>
              </w:rPr>
            </w:pPr>
          </w:p>
        </w:tc>
        <w:tc>
          <w:tcPr>
            <w:tcW w:w="124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2266" w:type="dxa"/>
          </w:tcPr>
          <w:p>
            <w:pPr>
              <w:pStyle w:val="2"/>
              <w:ind w:firstLine="480"/>
              <w:rPr>
                <w:rFonts w:ascii="仿宋_GB2312" w:hAnsi="宋体" w:eastAsia="仿宋_GB2312" w:cs="宋体"/>
                <w:szCs w:val="24"/>
              </w:rPr>
            </w:pPr>
          </w:p>
        </w:tc>
        <w:tc>
          <w:tcPr>
            <w:tcW w:w="1278"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4" w:type="dxa"/>
            <w:gridSpan w:val="3"/>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处罚小计（元）</w:t>
            </w:r>
          </w:p>
        </w:tc>
        <w:tc>
          <w:tcPr>
            <w:tcW w:w="1772" w:type="dxa"/>
          </w:tcPr>
          <w:p>
            <w:pPr>
              <w:pStyle w:val="2"/>
              <w:ind w:firstLine="480"/>
              <w:rPr>
                <w:rFonts w:ascii="仿宋_GB2312" w:hAnsi="宋体" w:eastAsia="仿宋_GB2312" w:cs="宋体"/>
                <w:szCs w:val="24"/>
              </w:rPr>
            </w:pPr>
          </w:p>
        </w:tc>
        <w:tc>
          <w:tcPr>
            <w:tcW w:w="3544" w:type="dxa"/>
            <w:gridSpan w:val="2"/>
            <w:vAlign w:val="center"/>
          </w:tcPr>
          <w:p>
            <w:pPr>
              <w:pStyle w:val="2"/>
              <w:ind w:firstLine="0" w:firstLineChars="0"/>
              <w:jc w:val="center"/>
              <w:rPr>
                <w:rFonts w:ascii="仿宋_GB2312" w:hAnsi="宋体" w:eastAsia="仿宋_GB2312" w:cs="宋体"/>
                <w:szCs w:val="24"/>
              </w:rPr>
            </w:pPr>
            <w:r>
              <w:rPr>
                <w:rFonts w:hint="eastAsia" w:ascii="仿宋_GB2312" w:hAnsi="宋体" w:eastAsia="仿宋_GB2312" w:cs="宋体"/>
                <w:szCs w:val="24"/>
              </w:rPr>
              <w:t>处罚小计（元）</w:t>
            </w:r>
          </w:p>
        </w:tc>
        <w:tc>
          <w:tcPr>
            <w:tcW w:w="1772" w:type="dxa"/>
          </w:tcPr>
          <w:p>
            <w:pPr>
              <w:pStyle w:val="2"/>
              <w:ind w:firstLine="480"/>
              <w:rPr>
                <w:rFonts w:ascii="仿宋_GB2312" w:hAnsi="宋体" w:eastAsia="仿宋_GB2312" w:cs="宋体"/>
                <w:szCs w:val="24"/>
              </w:rPr>
            </w:pPr>
          </w:p>
        </w:tc>
        <w:tc>
          <w:tcPr>
            <w:tcW w:w="1772" w:type="dxa"/>
          </w:tcPr>
          <w:p>
            <w:pPr>
              <w:pStyle w:val="2"/>
              <w:ind w:firstLine="480"/>
              <w:rPr>
                <w:rFonts w:ascii="仿宋_GB2312" w:hAnsi="宋体"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Pr>
          <w:p>
            <w:pPr>
              <w:pStyle w:val="2"/>
              <w:ind w:firstLine="0" w:firstLineChars="0"/>
              <w:rPr>
                <w:rFonts w:ascii="仿宋_GB2312" w:hAnsi="宋体" w:eastAsia="仿宋_GB2312" w:cs="宋体"/>
                <w:szCs w:val="24"/>
              </w:rPr>
            </w:pPr>
            <w:r>
              <w:rPr>
                <w:rFonts w:hint="eastAsia" w:ascii="仿宋_GB2312" w:hAnsi="宋体" w:eastAsia="仿宋_GB2312" w:cs="宋体"/>
                <w:szCs w:val="24"/>
              </w:rPr>
              <w:t>处罚合计：      （元）</w:t>
            </w:r>
          </w:p>
        </w:tc>
      </w:tr>
    </w:tbl>
    <w:p>
      <w:pPr>
        <w:pStyle w:val="2"/>
        <w:ind w:firstLine="0" w:firstLineChars="0"/>
        <w:rPr>
          <w:rFonts w:ascii="仿宋_GB2312" w:hAnsi="宋体" w:eastAsia="仿宋_GB2312" w:cs="宋体"/>
          <w:sz w:val="28"/>
          <w:szCs w:val="28"/>
        </w:rPr>
      </w:pPr>
      <w:r>
        <w:rPr>
          <w:rFonts w:hint="eastAsia" w:ascii="仿宋_GB2312" w:hAnsi="宋体" w:eastAsia="仿宋_GB2312" w:cs="宋体"/>
          <w:sz w:val="28"/>
          <w:szCs w:val="28"/>
        </w:rPr>
        <w:t>分管领导：          运行巡查部：        管理中心：        辖区巡查中队：      被考核单位：</w:t>
      </w:r>
    </w:p>
    <w:p>
      <w:pPr>
        <w:pStyle w:val="2"/>
        <w:ind w:firstLine="0" w:firstLineChars="0"/>
        <w:rPr>
          <w:rFonts w:ascii="仿宋_GB2312" w:hAnsi="宋体" w:eastAsia="仿宋_GB2312" w:cs="宋体"/>
          <w:sz w:val="28"/>
          <w:szCs w:val="28"/>
        </w:rPr>
        <w:sectPr>
          <w:pgSz w:w="16838" w:h="11906" w:orient="landscape"/>
          <w:pgMar w:top="1803" w:right="1440" w:bottom="1803" w:left="1440" w:header="851" w:footer="992" w:gutter="0"/>
          <w:cols w:space="720" w:num="1"/>
          <w:docGrid w:type="lines" w:linePitch="319" w:charSpace="0"/>
        </w:sectPr>
      </w:pPr>
    </w:p>
    <w:p>
      <w:pPr>
        <w:spacing w:line="480" w:lineRule="auto"/>
        <w:rPr>
          <w:rFonts w:ascii="仿宋_GB2312" w:hAnsi="宋体" w:eastAsia="仿宋_GB2312" w:cs="宋体"/>
          <w:sz w:val="28"/>
          <w:szCs w:val="28"/>
        </w:rPr>
      </w:pPr>
      <w:r>
        <w:rPr>
          <w:rFonts w:hint="eastAsia" w:ascii="仿宋_GB2312" w:hAnsi="宋体" w:eastAsia="仿宋_GB2312" w:cs="宋体"/>
          <w:sz w:val="28"/>
          <w:szCs w:val="28"/>
        </w:rPr>
        <w:t>附件3：</w:t>
      </w:r>
    </w:p>
    <w:p>
      <w:pPr>
        <w:spacing w:line="48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车辆即办即评调查表</w:t>
      </w:r>
    </w:p>
    <w:tbl>
      <w:tblPr>
        <w:tblStyle w:val="47"/>
        <w:tblW w:w="0" w:type="auto"/>
        <w:jc w:val="center"/>
        <w:tblLayout w:type="fixed"/>
        <w:tblCellMar>
          <w:top w:w="0" w:type="dxa"/>
          <w:left w:w="108" w:type="dxa"/>
          <w:bottom w:w="0" w:type="dxa"/>
          <w:right w:w="108" w:type="dxa"/>
        </w:tblCellMar>
      </w:tblPr>
      <w:tblGrid>
        <w:gridCol w:w="1920"/>
        <w:gridCol w:w="1340"/>
        <w:gridCol w:w="1580"/>
        <w:gridCol w:w="1960"/>
        <w:gridCol w:w="2200"/>
      </w:tblGrid>
      <w:tr>
        <w:tblPrEx>
          <w:tblCellMar>
            <w:top w:w="0" w:type="dxa"/>
            <w:left w:w="108" w:type="dxa"/>
            <w:bottom w:w="0" w:type="dxa"/>
            <w:right w:w="108" w:type="dxa"/>
          </w:tblCellMar>
        </w:tblPrEx>
        <w:trPr>
          <w:trHeight w:val="94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接报警电话时间</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到达时间(含日期)</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救援地点</w:t>
            </w:r>
          </w:p>
        </w:tc>
        <w:tc>
          <w:tcPr>
            <w:tcW w:w="1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救援车辆</w:t>
            </w:r>
          </w:p>
        </w:tc>
        <w:tc>
          <w:tcPr>
            <w:tcW w:w="22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救援人员</w:t>
            </w:r>
          </w:p>
        </w:tc>
      </w:tr>
      <w:tr>
        <w:tblPrEx>
          <w:tblCellMar>
            <w:top w:w="0" w:type="dxa"/>
            <w:left w:w="108" w:type="dxa"/>
            <w:bottom w:w="0" w:type="dxa"/>
            <w:right w:w="108" w:type="dxa"/>
          </w:tblCellMar>
        </w:tblPrEx>
        <w:trPr>
          <w:trHeight w:val="78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6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事故或故障车辆牌照</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车方姓名</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是否同意清障或维修</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救援人员服务态度</w:t>
            </w:r>
          </w:p>
        </w:tc>
      </w:tr>
      <w:tr>
        <w:tblPrEx>
          <w:tblCellMar>
            <w:top w:w="0" w:type="dxa"/>
            <w:left w:w="108" w:type="dxa"/>
            <w:bottom w:w="0" w:type="dxa"/>
            <w:right w:w="108" w:type="dxa"/>
          </w:tblCellMar>
        </w:tblPrEx>
        <w:trPr>
          <w:trHeight w:val="81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50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清障或维修内容</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47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清障或维修金额</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bl>
    <w:p/>
    <w:p>
      <w:pPr>
        <w:pStyle w:val="2"/>
        <w:ind w:firstLine="0" w:firstLineChars="0"/>
        <w:rPr>
          <w:rFonts w:ascii="方正仿宋_GBK" w:eastAsia="方正仿宋_GBK"/>
          <w:sz w:val="32"/>
          <w:szCs w:val="32"/>
        </w:rPr>
      </w:pPr>
    </w:p>
    <w:sectPr>
      <w:headerReference r:id="rId3" w:type="default"/>
      <w:footerReference r:id="rId4" w:type="default"/>
      <w:pgSz w:w="11906" w:h="16838"/>
      <w:pgMar w:top="1418" w:right="1361" w:bottom="1418" w:left="1418" w:header="851" w:footer="62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方正兰亭刊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方正兰亭刊宋_GBK" w:hAnsi="方正兰亭刊宋_GBK" w:eastAsia="方正兰亭刊宋_GBK"/>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0"/>
                  <w:jc w:val="center"/>
                </w:pPr>
                <w:r>
                  <w:rPr>
                    <w:rFonts w:hint="eastAsia" w:ascii="方正兰亭刊宋_GBK" w:hAnsi="方正兰亭刊宋_GBK" w:eastAsia="方正兰亭刊宋_GBK"/>
                  </w:rPr>
                  <w:t>第</w:t>
                </w:r>
                <w:sdt>
                  <w:sdtPr>
                    <w:rPr>
                      <w:rFonts w:ascii="方正兰亭刊宋_GBK" w:hAnsi="方正兰亭刊宋_GBK" w:eastAsia="方正兰亭刊宋_GBK"/>
                    </w:rPr>
                    <w:id w:val="-1736235160"/>
                  </w:sdtPr>
                  <w:sdtEndPr>
                    <w:rPr>
                      <w:rFonts w:ascii="方正兰亭刊宋_GBK" w:hAnsi="方正兰亭刊宋_GBK" w:eastAsia="方正兰亭刊宋_GBK"/>
                    </w:rPr>
                  </w:sdtEndPr>
                  <w:sdtContent>
                    <w:sdt>
                      <w:sdtPr>
                        <w:rPr>
                          <w:rFonts w:ascii="方正兰亭刊宋_GBK" w:hAnsi="方正兰亭刊宋_GBK" w:eastAsia="方正兰亭刊宋_GBK"/>
                        </w:rPr>
                        <w:id w:val="1728636285"/>
                      </w:sdtPr>
                      <w:sdtEndPr>
                        <w:rPr>
                          <w:rFonts w:ascii="方正兰亭刊宋_GBK" w:hAnsi="方正兰亭刊宋_GBK" w:eastAsia="方正兰亭刊宋_GBK"/>
                        </w:rPr>
                      </w:sdtEndPr>
                      <w:sdtContent>
                        <w:r>
                          <w:rPr>
                            <w:rFonts w:ascii="方正兰亭刊宋_GBK" w:hAnsi="方正兰亭刊宋_GBK" w:eastAsia="方正兰亭刊宋_GBK"/>
                            <w:lang w:val="zh-CN"/>
                          </w:rPr>
                          <w:t xml:space="preserve"> </w:t>
                        </w:r>
                        <w:r>
                          <w:rPr>
                            <w:rFonts w:ascii="方正兰亭刊宋_GBK" w:hAnsi="方正兰亭刊宋_GBK" w:eastAsia="方正兰亭刊宋_GBK"/>
                          </w:rPr>
                          <w:fldChar w:fldCharType="begin"/>
                        </w:r>
                        <w:r>
                          <w:rPr>
                            <w:rFonts w:ascii="方正兰亭刊宋_GBK" w:hAnsi="方正兰亭刊宋_GBK" w:eastAsia="方正兰亭刊宋_GBK"/>
                          </w:rPr>
                          <w:instrText xml:space="preserve">PAGE</w:instrText>
                        </w:r>
                        <w:r>
                          <w:rPr>
                            <w:rFonts w:ascii="方正兰亭刊宋_GBK" w:hAnsi="方正兰亭刊宋_GBK" w:eastAsia="方正兰亭刊宋_GBK"/>
                          </w:rPr>
                          <w:fldChar w:fldCharType="separate"/>
                        </w:r>
                        <w:r>
                          <w:rPr>
                            <w:rFonts w:ascii="方正兰亭刊宋_GBK" w:hAnsi="方正兰亭刊宋_GBK" w:eastAsia="方正兰亭刊宋_GBK"/>
                          </w:rPr>
                          <w:t>1</w:t>
                        </w:r>
                        <w:r>
                          <w:rPr>
                            <w:rFonts w:ascii="方正兰亭刊宋_GBK" w:hAnsi="方正兰亭刊宋_GBK" w:eastAsia="方正兰亭刊宋_GBK"/>
                          </w:rPr>
                          <w:fldChar w:fldCharType="end"/>
                        </w:r>
                        <w:r>
                          <w:rPr>
                            <w:rFonts w:hint="eastAsia" w:ascii="方正兰亭刊宋_GBK" w:hAnsi="方正兰亭刊宋_GBK" w:eastAsia="方正兰亭刊宋_GBK"/>
                          </w:rPr>
                          <w:t>页</w:t>
                        </w:r>
                        <w:r>
                          <w:rPr>
                            <w:rFonts w:ascii="方正兰亭刊宋_GBK" w:hAnsi="方正兰亭刊宋_GBK" w:eastAsia="方正兰亭刊宋_GBK"/>
                            <w:lang w:val="zh-CN"/>
                          </w:rPr>
                          <w:t xml:space="preserve"> /</w:t>
                        </w:r>
                        <w:r>
                          <w:rPr>
                            <w:rFonts w:hint="eastAsia" w:ascii="方正兰亭刊宋_GBK" w:hAnsi="方正兰亭刊宋_GBK" w:eastAsia="方正兰亭刊宋_GBK"/>
                            <w:lang w:val="zh-CN"/>
                          </w:rPr>
                          <w:t>共</w:t>
                        </w:r>
                        <w:r>
                          <w:rPr>
                            <w:rFonts w:ascii="方正兰亭刊宋_GBK" w:hAnsi="方正兰亭刊宋_GBK" w:eastAsia="方正兰亭刊宋_GBK"/>
                            <w:lang w:val="zh-CN"/>
                          </w:rPr>
                          <w:t xml:space="preserve"> </w:t>
                        </w:r>
                        <w:r>
                          <w:rPr>
                            <w:rFonts w:hint="eastAsia" w:ascii="方正兰亭刊宋_GBK" w:hAnsi="方正兰亭刊宋_GBK" w:eastAsia="方正兰亭刊宋_GBK"/>
                          </w:rPr>
                          <w:t>13页</w:t>
                        </w:r>
                      </w:sdtContent>
                    </w:sdt>
                  </w:sdtContent>
                </w:sdt>
              </w:p>
            </w:txbxContent>
          </v:textbox>
        </v:shape>
      </w:pic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兰亭刊宋_GBK" w:hAnsi="方正兰亭刊宋_GBK" w:eastAsia="方正兰亭刊宋_GBK"/>
        <w:sz w:val="22"/>
        <w:szCs w:val="28"/>
      </w:rPr>
    </w:pPr>
    <w:r>
      <w:rPr>
        <w:rFonts w:hint="eastAsia" w:ascii="方正兰亭刊宋_GBK" w:hAnsi="方正兰亭刊宋_GBK" w:eastAsia="方正兰亭刊宋_GBK"/>
        <w:sz w:val="22"/>
        <w:szCs w:val="28"/>
      </w:rPr>
      <w:t>重庆高速公路股份有限公司竞争性比选文件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72FE2"/>
    <w:multiLevelType w:val="singleLevel"/>
    <w:tmpl w:val="24672FE2"/>
    <w:lvl w:ilvl="0" w:tentative="0">
      <w:start w:val="2"/>
      <w:numFmt w:val="decimal"/>
      <w:lvlText w:val="%1."/>
      <w:lvlJc w:val="left"/>
      <w:pPr>
        <w:tabs>
          <w:tab w:val="left" w:pos="312"/>
        </w:tabs>
      </w:pPr>
    </w:lvl>
  </w:abstractNum>
  <w:abstractNum w:abstractNumId="1">
    <w:nsid w:val="457E23E4"/>
    <w:multiLevelType w:val="multilevel"/>
    <w:tmpl w:val="457E2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A92080"/>
    <w:multiLevelType w:val="multilevel"/>
    <w:tmpl w:val="49A92080"/>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E5E41D8"/>
    <w:multiLevelType w:val="multilevel"/>
    <w:tmpl w:val="7E5E41D8"/>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4E"/>
    <w:rsid w:val="0000442D"/>
    <w:rsid w:val="00004E30"/>
    <w:rsid w:val="00011348"/>
    <w:rsid w:val="00012D9C"/>
    <w:rsid w:val="000244F6"/>
    <w:rsid w:val="0003253D"/>
    <w:rsid w:val="000364EC"/>
    <w:rsid w:val="000541A2"/>
    <w:rsid w:val="00054BDD"/>
    <w:rsid w:val="000634E6"/>
    <w:rsid w:val="00065A7A"/>
    <w:rsid w:val="00065E52"/>
    <w:rsid w:val="0006615D"/>
    <w:rsid w:val="0008377D"/>
    <w:rsid w:val="00091DD2"/>
    <w:rsid w:val="000A2A9E"/>
    <w:rsid w:val="000B1F00"/>
    <w:rsid w:val="000B4876"/>
    <w:rsid w:val="000B4F6B"/>
    <w:rsid w:val="000C1420"/>
    <w:rsid w:val="000C296E"/>
    <w:rsid w:val="000C3D31"/>
    <w:rsid w:val="000C54BE"/>
    <w:rsid w:val="000C6C74"/>
    <w:rsid w:val="000D070A"/>
    <w:rsid w:val="000D51FF"/>
    <w:rsid w:val="000D64BA"/>
    <w:rsid w:val="000E0794"/>
    <w:rsid w:val="000E13E0"/>
    <w:rsid w:val="000E31B3"/>
    <w:rsid w:val="000E4540"/>
    <w:rsid w:val="000F130F"/>
    <w:rsid w:val="000F4FC2"/>
    <w:rsid w:val="000F603E"/>
    <w:rsid w:val="000F6798"/>
    <w:rsid w:val="001045F0"/>
    <w:rsid w:val="00107567"/>
    <w:rsid w:val="00110AA9"/>
    <w:rsid w:val="00116073"/>
    <w:rsid w:val="00117631"/>
    <w:rsid w:val="00123C2E"/>
    <w:rsid w:val="001248ED"/>
    <w:rsid w:val="001278BD"/>
    <w:rsid w:val="0013329D"/>
    <w:rsid w:val="00134F8D"/>
    <w:rsid w:val="00137F47"/>
    <w:rsid w:val="00141FCA"/>
    <w:rsid w:val="001511D5"/>
    <w:rsid w:val="001538EE"/>
    <w:rsid w:val="00154B97"/>
    <w:rsid w:val="00162395"/>
    <w:rsid w:val="00163983"/>
    <w:rsid w:val="00166CD6"/>
    <w:rsid w:val="00166D30"/>
    <w:rsid w:val="00171114"/>
    <w:rsid w:val="00172A27"/>
    <w:rsid w:val="00172DF6"/>
    <w:rsid w:val="00175A98"/>
    <w:rsid w:val="00176D09"/>
    <w:rsid w:val="001770F4"/>
    <w:rsid w:val="00181379"/>
    <w:rsid w:val="0018357D"/>
    <w:rsid w:val="00186DB1"/>
    <w:rsid w:val="00194777"/>
    <w:rsid w:val="001A08AD"/>
    <w:rsid w:val="001A4035"/>
    <w:rsid w:val="001C04D0"/>
    <w:rsid w:val="001C19D1"/>
    <w:rsid w:val="001C2FD6"/>
    <w:rsid w:val="001C6D98"/>
    <w:rsid w:val="001D07B6"/>
    <w:rsid w:val="001D3B57"/>
    <w:rsid w:val="001D59BC"/>
    <w:rsid w:val="001E3E72"/>
    <w:rsid w:val="001E4827"/>
    <w:rsid w:val="001E4A15"/>
    <w:rsid w:val="001E788C"/>
    <w:rsid w:val="00202E7C"/>
    <w:rsid w:val="00203359"/>
    <w:rsid w:val="00206740"/>
    <w:rsid w:val="00207742"/>
    <w:rsid w:val="00214673"/>
    <w:rsid w:val="002166B7"/>
    <w:rsid w:val="00220C22"/>
    <w:rsid w:val="0022635F"/>
    <w:rsid w:val="00226E99"/>
    <w:rsid w:val="00234C34"/>
    <w:rsid w:val="0024046E"/>
    <w:rsid w:val="00242B62"/>
    <w:rsid w:val="00242D4C"/>
    <w:rsid w:val="00243B00"/>
    <w:rsid w:val="002467D9"/>
    <w:rsid w:val="00246852"/>
    <w:rsid w:val="00250B2E"/>
    <w:rsid w:val="00251064"/>
    <w:rsid w:val="002528D2"/>
    <w:rsid w:val="002534A7"/>
    <w:rsid w:val="002552C3"/>
    <w:rsid w:val="00264BE3"/>
    <w:rsid w:val="00265058"/>
    <w:rsid w:val="0026535D"/>
    <w:rsid w:val="00273C3C"/>
    <w:rsid w:val="00276652"/>
    <w:rsid w:val="0027675C"/>
    <w:rsid w:val="00276D16"/>
    <w:rsid w:val="002772B9"/>
    <w:rsid w:val="00286B9A"/>
    <w:rsid w:val="002A0A1A"/>
    <w:rsid w:val="002A0A73"/>
    <w:rsid w:val="002A1FF8"/>
    <w:rsid w:val="002B7E19"/>
    <w:rsid w:val="002B7F42"/>
    <w:rsid w:val="002D39D0"/>
    <w:rsid w:val="002D50D5"/>
    <w:rsid w:val="002D5649"/>
    <w:rsid w:val="002E4829"/>
    <w:rsid w:val="002F0A3B"/>
    <w:rsid w:val="002F768D"/>
    <w:rsid w:val="00307471"/>
    <w:rsid w:val="003147B1"/>
    <w:rsid w:val="003164E7"/>
    <w:rsid w:val="0031684B"/>
    <w:rsid w:val="00316AFB"/>
    <w:rsid w:val="0031724B"/>
    <w:rsid w:val="0032387C"/>
    <w:rsid w:val="00325C37"/>
    <w:rsid w:val="00326729"/>
    <w:rsid w:val="00330E2F"/>
    <w:rsid w:val="00331730"/>
    <w:rsid w:val="00332C4D"/>
    <w:rsid w:val="00332E81"/>
    <w:rsid w:val="00346F7E"/>
    <w:rsid w:val="003470BC"/>
    <w:rsid w:val="00350E64"/>
    <w:rsid w:val="0035416F"/>
    <w:rsid w:val="003551C1"/>
    <w:rsid w:val="00357860"/>
    <w:rsid w:val="00363715"/>
    <w:rsid w:val="003758D2"/>
    <w:rsid w:val="003844E0"/>
    <w:rsid w:val="00387666"/>
    <w:rsid w:val="003901BC"/>
    <w:rsid w:val="00395591"/>
    <w:rsid w:val="003A296A"/>
    <w:rsid w:val="003A4422"/>
    <w:rsid w:val="003A5926"/>
    <w:rsid w:val="003A6113"/>
    <w:rsid w:val="003A70E7"/>
    <w:rsid w:val="003B48D3"/>
    <w:rsid w:val="003B4A11"/>
    <w:rsid w:val="003B4E3A"/>
    <w:rsid w:val="003B5072"/>
    <w:rsid w:val="003B5107"/>
    <w:rsid w:val="003D5F68"/>
    <w:rsid w:val="003D652C"/>
    <w:rsid w:val="003E02A9"/>
    <w:rsid w:val="003E11E6"/>
    <w:rsid w:val="003F1BEA"/>
    <w:rsid w:val="003F1D07"/>
    <w:rsid w:val="003F40F0"/>
    <w:rsid w:val="00402D15"/>
    <w:rsid w:val="00402EBB"/>
    <w:rsid w:val="00412956"/>
    <w:rsid w:val="0041396F"/>
    <w:rsid w:val="00414168"/>
    <w:rsid w:val="004143A3"/>
    <w:rsid w:val="004218AE"/>
    <w:rsid w:val="00424F51"/>
    <w:rsid w:val="004251DA"/>
    <w:rsid w:val="004312F2"/>
    <w:rsid w:val="00432E1B"/>
    <w:rsid w:val="0043376F"/>
    <w:rsid w:val="00437D5B"/>
    <w:rsid w:val="00440B4F"/>
    <w:rsid w:val="00441632"/>
    <w:rsid w:val="00445A41"/>
    <w:rsid w:val="00445E00"/>
    <w:rsid w:val="00446652"/>
    <w:rsid w:val="004521BE"/>
    <w:rsid w:val="0045598F"/>
    <w:rsid w:val="00457D25"/>
    <w:rsid w:val="00460558"/>
    <w:rsid w:val="00471A29"/>
    <w:rsid w:val="00476687"/>
    <w:rsid w:val="004772B8"/>
    <w:rsid w:val="0049389B"/>
    <w:rsid w:val="00494226"/>
    <w:rsid w:val="004A475F"/>
    <w:rsid w:val="004B386F"/>
    <w:rsid w:val="004B3F12"/>
    <w:rsid w:val="004B59FE"/>
    <w:rsid w:val="004B6606"/>
    <w:rsid w:val="004C1D4A"/>
    <w:rsid w:val="004C6CC9"/>
    <w:rsid w:val="004C7B48"/>
    <w:rsid w:val="004D11D0"/>
    <w:rsid w:val="004D3F35"/>
    <w:rsid w:val="004D66FC"/>
    <w:rsid w:val="004D7342"/>
    <w:rsid w:val="004E0D6C"/>
    <w:rsid w:val="004E23AD"/>
    <w:rsid w:val="004E4492"/>
    <w:rsid w:val="004E51CB"/>
    <w:rsid w:val="004E57BB"/>
    <w:rsid w:val="004E5B37"/>
    <w:rsid w:val="004F0720"/>
    <w:rsid w:val="004F3016"/>
    <w:rsid w:val="004F337B"/>
    <w:rsid w:val="004F7105"/>
    <w:rsid w:val="00501395"/>
    <w:rsid w:val="005052A3"/>
    <w:rsid w:val="00506F0E"/>
    <w:rsid w:val="00514B17"/>
    <w:rsid w:val="0052317D"/>
    <w:rsid w:val="00523264"/>
    <w:rsid w:val="00524059"/>
    <w:rsid w:val="00524C34"/>
    <w:rsid w:val="00524D52"/>
    <w:rsid w:val="005250EC"/>
    <w:rsid w:val="00525E7F"/>
    <w:rsid w:val="00526672"/>
    <w:rsid w:val="00531E64"/>
    <w:rsid w:val="00544ED6"/>
    <w:rsid w:val="005509E2"/>
    <w:rsid w:val="00561973"/>
    <w:rsid w:val="005640DF"/>
    <w:rsid w:val="005702F2"/>
    <w:rsid w:val="0058345A"/>
    <w:rsid w:val="00583666"/>
    <w:rsid w:val="00584A72"/>
    <w:rsid w:val="00585B08"/>
    <w:rsid w:val="00587807"/>
    <w:rsid w:val="00590FB3"/>
    <w:rsid w:val="0059483D"/>
    <w:rsid w:val="00594E93"/>
    <w:rsid w:val="005A6DCC"/>
    <w:rsid w:val="005B237E"/>
    <w:rsid w:val="005B3E75"/>
    <w:rsid w:val="005B5174"/>
    <w:rsid w:val="005C0987"/>
    <w:rsid w:val="005C1C3D"/>
    <w:rsid w:val="005D3E34"/>
    <w:rsid w:val="005D5C9B"/>
    <w:rsid w:val="005E41C5"/>
    <w:rsid w:val="005F12E3"/>
    <w:rsid w:val="005F4304"/>
    <w:rsid w:val="0060186C"/>
    <w:rsid w:val="00602E62"/>
    <w:rsid w:val="006035F8"/>
    <w:rsid w:val="00605267"/>
    <w:rsid w:val="0060628A"/>
    <w:rsid w:val="00607B8B"/>
    <w:rsid w:val="00612F33"/>
    <w:rsid w:val="00615B22"/>
    <w:rsid w:val="00620718"/>
    <w:rsid w:val="00621C09"/>
    <w:rsid w:val="00636EEF"/>
    <w:rsid w:val="00637BCE"/>
    <w:rsid w:val="00640D50"/>
    <w:rsid w:val="00644054"/>
    <w:rsid w:val="00647C34"/>
    <w:rsid w:val="0065037C"/>
    <w:rsid w:val="00650DE3"/>
    <w:rsid w:val="00654013"/>
    <w:rsid w:val="00654948"/>
    <w:rsid w:val="00655463"/>
    <w:rsid w:val="00656694"/>
    <w:rsid w:val="00673BD9"/>
    <w:rsid w:val="00674E34"/>
    <w:rsid w:val="0067625A"/>
    <w:rsid w:val="006769FE"/>
    <w:rsid w:val="00681ED3"/>
    <w:rsid w:val="00685BF0"/>
    <w:rsid w:val="00691490"/>
    <w:rsid w:val="0069151A"/>
    <w:rsid w:val="00697AAC"/>
    <w:rsid w:val="006A03E9"/>
    <w:rsid w:val="006A0D18"/>
    <w:rsid w:val="006A1984"/>
    <w:rsid w:val="006A2B15"/>
    <w:rsid w:val="006A74C7"/>
    <w:rsid w:val="006A74E8"/>
    <w:rsid w:val="006B02D6"/>
    <w:rsid w:val="006B2684"/>
    <w:rsid w:val="006B7EE0"/>
    <w:rsid w:val="006C1752"/>
    <w:rsid w:val="006C77BE"/>
    <w:rsid w:val="006D0461"/>
    <w:rsid w:val="006D156D"/>
    <w:rsid w:val="006D1631"/>
    <w:rsid w:val="006E2C86"/>
    <w:rsid w:val="006E69ED"/>
    <w:rsid w:val="006E72E8"/>
    <w:rsid w:val="006E7D0C"/>
    <w:rsid w:val="006F1948"/>
    <w:rsid w:val="006F2708"/>
    <w:rsid w:val="006F3DCB"/>
    <w:rsid w:val="006F3DF5"/>
    <w:rsid w:val="006F43B9"/>
    <w:rsid w:val="006F5FB4"/>
    <w:rsid w:val="00705B3D"/>
    <w:rsid w:val="00706FF7"/>
    <w:rsid w:val="00707F3A"/>
    <w:rsid w:val="007103E3"/>
    <w:rsid w:val="00713473"/>
    <w:rsid w:val="00715DD8"/>
    <w:rsid w:val="00716B26"/>
    <w:rsid w:val="00717D59"/>
    <w:rsid w:val="00732A3E"/>
    <w:rsid w:val="007340E8"/>
    <w:rsid w:val="00735FC8"/>
    <w:rsid w:val="007366FE"/>
    <w:rsid w:val="00736E4F"/>
    <w:rsid w:val="007434E8"/>
    <w:rsid w:val="00747926"/>
    <w:rsid w:val="00751559"/>
    <w:rsid w:val="00757A3A"/>
    <w:rsid w:val="0076183D"/>
    <w:rsid w:val="00762C8F"/>
    <w:rsid w:val="00762EFD"/>
    <w:rsid w:val="00765E44"/>
    <w:rsid w:val="007732C1"/>
    <w:rsid w:val="0077390B"/>
    <w:rsid w:val="007775C5"/>
    <w:rsid w:val="007779E5"/>
    <w:rsid w:val="007812AF"/>
    <w:rsid w:val="00787ACB"/>
    <w:rsid w:val="00787C9B"/>
    <w:rsid w:val="00791926"/>
    <w:rsid w:val="007975FB"/>
    <w:rsid w:val="007B1408"/>
    <w:rsid w:val="007C43DD"/>
    <w:rsid w:val="007C697A"/>
    <w:rsid w:val="007C76F8"/>
    <w:rsid w:val="007D0CE4"/>
    <w:rsid w:val="007D2B5C"/>
    <w:rsid w:val="007D4178"/>
    <w:rsid w:val="007D4431"/>
    <w:rsid w:val="007D76EF"/>
    <w:rsid w:val="007E00D4"/>
    <w:rsid w:val="007E4631"/>
    <w:rsid w:val="007E780F"/>
    <w:rsid w:val="007F1CAB"/>
    <w:rsid w:val="007F2AAA"/>
    <w:rsid w:val="007F6AD5"/>
    <w:rsid w:val="007F6EC1"/>
    <w:rsid w:val="007F707A"/>
    <w:rsid w:val="00800CC5"/>
    <w:rsid w:val="0080108E"/>
    <w:rsid w:val="0080587B"/>
    <w:rsid w:val="00807003"/>
    <w:rsid w:val="00810BBA"/>
    <w:rsid w:val="00815220"/>
    <w:rsid w:val="00825484"/>
    <w:rsid w:val="008306F8"/>
    <w:rsid w:val="00835CD7"/>
    <w:rsid w:val="008363F8"/>
    <w:rsid w:val="00836B86"/>
    <w:rsid w:val="00840D41"/>
    <w:rsid w:val="00841B29"/>
    <w:rsid w:val="008428F7"/>
    <w:rsid w:val="00845F6E"/>
    <w:rsid w:val="00852868"/>
    <w:rsid w:val="00855B4C"/>
    <w:rsid w:val="008563B3"/>
    <w:rsid w:val="00856A3B"/>
    <w:rsid w:val="00862443"/>
    <w:rsid w:val="00870B37"/>
    <w:rsid w:val="00873BC0"/>
    <w:rsid w:val="00877489"/>
    <w:rsid w:val="008853BA"/>
    <w:rsid w:val="00885AA7"/>
    <w:rsid w:val="0089311E"/>
    <w:rsid w:val="0089472C"/>
    <w:rsid w:val="00894AB5"/>
    <w:rsid w:val="00894D6A"/>
    <w:rsid w:val="008A240F"/>
    <w:rsid w:val="008A25F0"/>
    <w:rsid w:val="008A7E09"/>
    <w:rsid w:val="008B41B7"/>
    <w:rsid w:val="008B7FDD"/>
    <w:rsid w:val="008C0D6A"/>
    <w:rsid w:val="008C7493"/>
    <w:rsid w:val="008D2D9A"/>
    <w:rsid w:val="008D6A6A"/>
    <w:rsid w:val="008D6C59"/>
    <w:rsid w:val="008D7C4F"/>
    <w:rsid w:val="008D7EA0"/>
    <w:rsid w:val="008E55DD"/>
    <w:rsid w:val="008F3F4E"/>
    <w:rsid w:val="008F55D5"/>
    <w:rsid w:val="00905829"/>
    <w:rsid w:val="00913737"/>
    <w:rsid w:val="00915490"/>
    <w:rsid w:val="00916615"/>
    <w:rsid w:val="00917302"/>
    <w:rsid w:val="009177E1"/>
    <w:rsid w:val="00926824"/>
    <w:rsid w:val="00927A02"/>
    <w:rsid w:val="0093256C"/>
    <w:rsid w:val="00934D20"/>
    <w:rsid w:val="009411FC"/>
    <w:rsid w:val="00942459"/>
    <w:rsid w:val="00944785"/>
    <w:rsid w:val="00946D35"/>
    <w:rsid w:val="009535D9"/>
    <w:rsid w:val="00963D67"/>
    <w:rsid w:val="00964EDC"/>
    <w:rsid w:val="00967090"/>
    <w:rsid w:val="0097544A"/>
    <w:rsid w:val="00976DC0"/>
    <w:rsid w:val="009952C4"/>
    <w:rsid w:val="009A1966"/>
    <w:rsid w:val="009A1AAA"/>
    <w:rsid w:val="009A27A2"/>
    <w:rsid w:val="009A5648"/>
    <w:rsid w:val="009B3D31"/>
    <w:rsid w:val="009B6FC5"/>
    <w:rsid w:val="009C12E4"/>
    <w:rsid w:val="009C5F2A"/>
    <w:rsid w:val="009C61A8"/>
    <w:rsid w:val="009C61F2"/>
    <w:rsid w:val="009C6C28"/>
    <w:rsid w:val="009D01DD"/>
    <w:rsid w:val="009D25B1"/>
    <w:rsid w:val="009D31BE"/>
    <w:rsid w:val="009D7AC6"/>
    <w:rsid w:val="009E6C67"/>
    <w:rsid w:val="00A0746F"/>
    <w:rsid w:val="00A10A8D"/>
    <w:rsid w:val="00A11D4C"/>
    <w:rsid w:val="00A13914"/>
    <w:rsid w:val="00A248AA"/>
    <w:rsid w:val="00A26156"/>
    <w:rsid w:val="00A31F65"/>
    <w:rsid w:val="00A42AB3"/>
    <w:rsid w:val="00A511AF"/>
    <w:rsid w:val="00A55664"/>
    <w:rsid w:val="00A573AF"/>
    <w:rsid w:val="00A618F5"/>
    <w:rsid w:val="00A628C8"/>
    <w:rsid w:val="00A62EAC"/>
    <w:rsid w:val="00A67284"/>
    <w:rsid w:val="00A678C3"/>
    <w:rsid w:val="00A806AF"/>
    <w:rsid w:val="00A80AC4"/>
    <w:rsid w:val="00A82593"/>
    <w:rsid w:val="00A82625"/>
    <w:rsid w:val="00A8752E"/>
    <w:rsid w:val="00A90BA2"/>
    <w:rsid w:val="00A95DFA"/>
    <w:rsid w:val="00A96118"/>
    <w:rsid w:val="00AA0A32"/>
    <w:rsid w:val="00AA19C0"/>
    <w:rsid w:val="00AA475C"/>
    <w:rsid w:val="00AC2DEC"/>
    <w:rsid w:val="00AD38A3"/>
    <w:rsid w:val="00AD5112"/>
    <w:rsid w:val="00AD5BA9"/>
    <w:rsid w:val="00AD77FF"/>
    <w:rsid w:val="00AE0814"/>
    <w:rsid w:val="00AF015E"/>
    <w:rsid w:val="00AF4A87"/>
    <w:rsid w:val="00B00033"/>
    <w:rsid w:val="00B027EA"/>
    <w:rsid w:val="00B02B60"/>
    <w:rsid w:val="00B071A9"/>
    <w:rsid w:val="00B07FE2"/>
    <w:rsid w:val="00B10BB2"/>
    <w:rsid w:val="00B1113D"/>
    <w:rsid w:val="00B1402D"/>
    <w:rsid w:val="00B15BF2"/>
    <w:rsid w:val="00B23DB5"/>
    <w:rsid w:val="00B3015A"/>
    <w:rsid w:val="00B34310"/>
    <w:rsid w:val="00B34B29"/>
    <w:rsid w:val="00B35BDE"/>
    <w:rsid w:val="00B369FB"/>
    <w:rsid w:val="00B45C9C"/>
    <w:rsid w:val="00B62C51"/>
    <w:rsid w:val="00B63439"/>
    <w:rsid w:val="00B64380"/>
    <w:rsid w:val="00B65736"/>
    <w:rsid w:val="00B6796B"/>
    <w:rsid w:val="00B72C73"/>
    <w:rsid w:val="00B736F2"/>
    <w:rsid w:val="00B76750"/>
    <w:rsid w:val="00B8009E"/>
    <w:rsid w:val="00B80AC6"/>
    <w:rsid w:val="00B817B3"/>
    <w:rsid w:val="00B90544"/>
    <w:rsid w:val="00B96612"/>
    <w:rsid w:val="00BA036F"/>
    <w:rsid w:val="00BA0604"/>
    <w:rsid w:val="00BA17CC"/>
    <w:rsid w:val="00BA1974"/>
    <w:rsid w:val="00BA1CBA"/>
    <w:rsid w:val="00BB3ACF"/>
    <w:rsid w:val="00BC64E7"/>
    <w:rsid w:val="00BC6C11"/>
    <w:rsid w:val="00BD6859"/>
    <w:rsid w:val="00BD730D"/>
    <w:rsid w:val="00BF5694"/>
    <w:rsid w:val="00C00E98"/>
    <w:rsid w:val="00C010AD"/>
    <w:rsid w:val="00C10EA4"/>
    <w:rsid w:val="00C16A1F"/>
    <w:rsid w:val="00C27C12"/>
    <w:rsid w:val="00C32DDB"/>
    <w:rsid w:val="00C33069"/>
    <w:rsid w:val="00C3619F"/>
    <w:rsid w:val="00C410E9"/>
    <w:rsid w:val="00C5268B"/>
    <w:rsid w:val="00C546A0"/>
    <w:rsid w:val="00C6171D"/>
    <w:rsid w:val="00C63994"/>
    <w:rsid w:val="00C7314E"/>
    <w:rsid w:val="00C91268"/>
    <w:rsid w:val="00C95CEC"/>
    <w:rsid w:val="00CA22D2"/>
    <w:rsid w:val="00CA4A02"/>
    <w:rsid w:val="00CB0025"/>
    <w:rsid w:val="00CC15F2"/>
    <w:rsid w:val="00CC2C89"/>
    <w:rsid w:val="00CC420C"/>
    <w:rsid w:val="00CC5F32"/>
    <w:rsid w:val="00CD1FEB"/>
    <w:rsid w:val="00CD360A"/>
    <w:rsid w:val="00CF2D1D"/>
    <w:rsid w:val="00CF7412"/>
    <w:rsid w:val="00D01EB6"/>
    <w:rsid w:val="00D02590"/>
    <w:rsid w:val="00D04CF4"/>
    <w:rsid w:val="00D217F8"/>
    <w:rsid w:val="00D2365B"/>
    <w:rsid w:val="00D25079"/>
    <w:rsid w:val="00D264EA"/>
    <w:rsid w:val="00D361B4"/>
    <w:rsid w:val="00D41919"/>
    <w:rsid w:val="00D420B1"/>
    <w:rsid w:val="00D42B31"/>
    <w:rsid w:val="00D44F67"/>
    <w:rsid w:val="00D45C31"/>
    <w:rsid w:val="00D51F05"/>
    <w:rsid w:val="00D5347D"/>
    <w:rsid w:val="00D54EFF"/>
    <w:rsid w:val="00D569BF"/>
    <w:rsid w:val="00D61102"/>
    <w:rsid w:val="00D65307"/>
    <w:rsid w:val="00D65800"/>
    <w:rsid w:val="00D65C13"/>
    <w:rsid w:val="00D80D15"/>
    <w:rsid w:val="00D8185E"/>
    <w:rsid w:val="00D82B9B"/>
    <w:rsid w:val="00D8357F"/>
    <w:rsid w:val="00D83C24"/>
    <w:rsid w:val="00D84B01"/>
    <w:rsid w:val="00D871B2"/>
    <w:rsid w:val="00D92246"/>
    <w:rsid w:val="00D92F7F"/>
    <w:rsid w:val="00DA03A7"/>
    <w:rsid w:val="00DA44BB"/>
    <w:rsid w:val="00DA7D21"/>
    <w:rsid w:val="00DB0216"/>
    <w:rsid w:val="00DB4F9E"/>
    <w:rsid w:val="00DB5711"/>
    <w:rsid w:val="00DB5D81"/>
    <w:rsid w:val="00DC1042"/>
    <w:rsid w:val="00DD695B"/>
    <w:rsid w:val="00DE3ECD"/>
    <w:rsid w:val="00DF0CCC"/>
    <w:rsid w:val="00DF5DCD"/>
    <w:rsid w:val="00DF7A06"/>
    <w:rsid w:val="00E00CB1"/>
    <w:rsid w:val="00E01315"/>
    <w:rsid w:val="00E02EE1"/>
    <w:rsid w:val="00E05727"/>
    <w:rsid w:val="00E0657D"/>
    <w:rsid w:val="00E147F8"/>
    <w:rsid w:val="00E1565B"/>
    <w:rsid w:val="00E200DE"/>
    <w:rsid w:val="00E21839"/>
    <w:rsid w:val="00E231CC"/>
    <w:rsid w:val="00E411D3"/>
    <w:rsid w:val="00E43077"/>
    <w:rsid w:val="00E43106"/>
    <w:rsid w:val="00E44F13"/>
    <w:rsid w:val="00E50188"/>
    <w:rsid w:val="00E50E73"/>
    <w:rsid w:val="00E52550"/>
    <w:rsid w:val="00E52AFF"/>
    <w:rsid w:val="00E533F5"/>
    <w:rsid w:val="00E5443F"/>
    <w:rsid w:val="00E55194"/>
    <w:rsid w:val="00E60727"/>
    <w:rsid w:val="00E80241"/>
    <w:rsid w:val="00E85EF0"/>
    <w:rsid w:val="00E9467F"/>
    <w:rsid w:val="00E96AA9"/>
    <w:rsid w:val="00E97E29"/>
    <w:rsid w:val="00EA1BC0"/>
    <w:rsid w:val="00EA3E8F"/>
    <w:rsid w:val="00EA61E9"/>
    <w:rsid w:val="00EA65B4"/>
    <w:rsid w:val="00EA71AE"/>
    <w:rsid w:val="00EB083B"/>
    <w:rsid w:val="00EB3B6F"/>
    <w:rsid w:val="00EB79BE"/>
    <w:rsid w:val="00EB7B46"/>
    <w:rsid w:val="00EC42CC"/>
    <w:rsid w:val="00ED22B8"/>
    <w:rsid w:val="00ED306D"/>
    <w:rsid w:val="00ED4DEB"/>
    <w:rsid w:val="00EE2BD2"/>
    <w:rsid w:val="00EE6A4A"/>
    <w:rsid w:val="00EF3363"/>
    <w:rsid w:val="00EF4C91"/>
    <w:rsid w:val="00F03236"/>
    <w:rsid w:val="00F105BA"/>
    <w:rsid w:val="00F1275E"/>
    <w:rsid w:val="00F12859"/>
    <w:rsid w:val="00F244A8"/>
    <w:rsid w:val="00F248E1"/>
    <w:rsid w:val="00F266B3"/>
    <w:rsid w:val="00F27CAC"/>
    <w:rsid w:val="00F27E48"/>
    <w:rsid w:val="00F33D61"/>
    <w:rsid w:val="00F34B29"/>
    <w:rsid w:val="00F371E5"/>
    <w:rsid w:val="00F431B9"/>
    <w:rsid w:val="00F454C1"/>
    <w:rsid w:val="00F4614B"/>
    <w:rsid w:val="00F52BA0"/>
    <w:rsid w:val="00F56799"/>
    <w:rsid w:val="00F6118F"/>
    <w:rsid w:val="00F65CC5"/>
    <w:rsid w:val="00F770E3"/>
    <w:rsid w:val="00F80C36"/>
    <w:rsid w:val="00F80DB0"/>
    <w:rsid w:val="00F85EB3"/>
    <w:rsid w:val="00F92C17"/>
    <w:rsid w:val="00F93ECB"/>
    <w:rsid w:val="00F9482A"/>
    <w:rsid w:val="00FA3DC6"/>
    <w:rsid w:val="00FA7FEB"/>
    <w:rsid w:val="00FB46E5"/>
    <w:rsid w:val="00FB52DA"/>
    <w:rsid w:val="00FB6983"/>
    <w:rsid w:val="00FC6E09"/>
    <w:rsid w:val="00FC7160"/>
    <w:rsid w:val="00FD4289"/>
    <w:rsid w:val="00FD6F79"/>
    <w:rsid w:val="00FD7656"/>
    <w:rsid w:val="00FE16F4"/>
    <w:rsid w:val="00FE361C"/>
    <w:rsid w:val="00FF09F8"/>
    <w:rsid w:val="00FF124D"/>
    <w:rsid w:val="00FF5D45"/>
    <w:rsid w:val="012915E3"/>
    <w:rsid w:val="01493C14"/>
    <w:rsid w:val="022255E8"/>
    <w:rsid w:val="023922AC"/>
    <w:rsid w:val="03161103"/>
    <w:rsid w:val="03FF249C"/>
    <w:rsid w:val="04CB7D44"/>
    <w:rsid w:val="0521524C"/>
    <w:rsid w:val="0567657C"/>
    <w:rsid w:val="06B33FE2"/>
    <w:rsid w:val="06C312F2"/>
    <w:rsid w:val="07921196"/>
    <w:rsid w:val="08A94D98"/>
    <w:rsid w:val="08D9326E"/>
    <w:rsid w:val="0A5A7DF8"/>
    <w:rsid w:val="0A920AFF"/>
    <w:rsid w:val="0A9E66FF"/>
    <w:rsid w:val="0AB1626F"/>
    <w:rsid w:val="0AC24F28"/>
    <w:rsid w:val="0AD7144A"/>
    <w:rsid w:val="0B722062"/>
    <w:rsid w:val="0B7A38F7"/>
    <w:rsid w:val="0BBB1D5E"/>
    <w:rsid w:val="0BF15A1E"/>
    <w:rsid w:val="0C4F533A"/>
    <w:rsid w:val="0C790DA1"/>
    <w:rsid w:val="0CDB3D10"/>
    <w:rsid w:val="0D206876"/>
    <w:rsid w:val="0D770C7D"/>
    <w:rsid w:val="0D94044A"/>
    <w:rsid w:val="0EC460A7"/>
    <w:rsid w:val="0ED506C9"/>
    <w:rsid w:val="0ED6368A"/>
    <w:rsid w:val="0F2C1372"/>
    <w:rsid w:val="10277734"/>
    <w:rsid w:val="104548B3"/>
    <w:rsid w:val="10943961"/>
    <w:rsid w:val="11CF0ACB"/>
    <w:rsid w:val="12F9786F"/>
    <w:rsid w:val="135505C5"/>
    <w:rsid w:val="136F5508"/>
    <w:rsid w:val="137A3AF4"/>
    <w:rsid w:val="13FB6FC1"/>
    <w:rsid w:val="144A7BD8"/>
    <w:rsid w:val="150841CD"/>
    <w:rsid w:val="159C3E63"/>
    <w:rsid w:val="15E35857"/>
    <w:rsid w:val="1721707B"/>
    <w:rsid w:val="177D2360"/>
    <w:rsid w:val="17B470E5"/>
    <w:rsid w:val="17FB4DA3"/>
    <w:rsid w:val="17FC177D"/>
    <w:rsid w:val="18617738"/>
    <w:rsid w:val="187E7B9C"/>
    <w:rsid w:val="187F0986"/>
    <w:rsid w:val="18A847B6"/>
    <w:rsid w:val="18EC718A"/>
    <w:rsid w:val="19EA4424"/>
    <w:rsid w:val="1A0E7E42"/>
    <w:rsid w:val="1A522456"/>
    <w:rsid w:val="1AC51855"/>
    <w:rsid w:val="1B401848"/>
    <w:rsid w:val="1BDB388E"/>
    <w:rsid w:val="1C7617B0"/>
    <w:rsid w:val="1D162485"/>
    <w:rsid w:val="1D5C4852"/>
    <w:rsid w:val="1D5F6E75"/>
    <w:rsid w:val="1D8E3A45"/>
    <w:rsid w:val="1D8F24F0"/>
    <w:rsid w:val="1DA610DA"/>
    <w:rsid w:val="1DCD3476"/>
    <w:rsid w:val="1DDB19C8"/>
    <w:rsid w:val="1F5560B5"/>
    <w:rsid w:val="20AC5302"/>
    <w:rsid w:val="22193104"/>
    <w:rsid w:val="22D36F01"/>
    <w:rsid w:val="234C55B3"/>
    <w:rsid w:val="23887012"/>
    <w:rsid w:val="24527C52"/>
    <w:rsid w:val="24B10BDE"/>
    <w:rsid w:val="24E67AD7"/>
    <w:rsid w:val="25B216B3"/>
    <w:rsid w:val="25D62909"/>
    <w:rsid w:val="260B60F3"/>
    <w:rsid w:val="262A7BF1"/>
    <w:rsid w:val="270C5546"/>
    <w:rsid w:val="27845B67"/>
    <w:rsid w:val="279C6628"/>
    <w:rsid w:val="286066BD"/>
    <w:rsid w:val="286350CE"/>
    <w:rsid w:val="28C94656"/>
    <w:rsid w:val="29912D05"/>
    <w:rsid w:val="29FB44CF"/>
    <w:rsid w:val="2AFC25AF"/>
    <w:rsid w:val="2B8262E9"/>
    <w:rsid w:val="2B960E7A"/>
    <w:rsid w:val="2BAD54FF"/>
    <w:rsid w:val="2C0B1D75"/>
    <w:rsid w:val="2C0B2418"/>
    <w:rsid w:val="2CA5555E"/>
    <w:rsid w:val="2D0B6E02"/>
    <w:rsid w:val="2DAC1A99"/>
    <w:rsid w:val="2DCC6901"/>
    <w:rsid w:val="2DF41531"/>
    <w:rsid w:val="2E076B43"/>
    <w:rsid w:val="2EAB6999"/>
    <w:rsid w:val="2FCF76FC"/>
    <w:rsid w:val="2FDE7B65"/>
    <w:rsid w:val="30393DA7"/>
    <w:rsid w:val="315A0474"/>
    <w:rsid w:val="319E31CF"/>
    <w:rsid w:val="31CD0F32"/>
    <w:rsid w:val="34B1225D"/>
    <w:rsid w:val="35387004"/>
    <w:rsid w:val="356A3446"/>
    <w:rsid w:val="35E743DE"/>
    <w:rsid w:val="370C4CAB"/>
    <w:rsid w:val="37891834"/>
    <w:rsid w:val="37C107BB"/>
    <w:rsid w:val="37E34D29"/>
    <w:rsid w:val="38284601"/>
    <w:rsid w:val="383D491B"/>
    <w:rsid w:val="390C786F"/>
    <w:rsid w:val="390E3D0A"/>
    <w:rsid w:val="39FE7C2B"/>
    <w:rsid w:val="3A510C56"/>
    <w:rsid w:val="3B4165D3"/>
    <w:rsid w:val="3BEA229C"/>
    <w:rsid w:val="3C7242BF"/>
    <w:rsid w:val="3D2761A5"/>
    <w:rsid w:val="3DC13DB8"/>
    <w:rsid w:val="3DE05973"/>
    <w:rsid w:val="3EBE072B"/>
    <w:rsid w:val="3F320624"/>
    <w:rsid w:val="3F400725"/>
    <w:rsid w:val="40782A5E"/>
    <w:rsid w:val="41230C9A"/>
    <w:rsid w:val="424C2C52"/>
    <w:rsid w:val="43743178"/>
    <w:rsid w:val="43CF4FDF"/>
    <w:rsid w:val="43E17BFC"/>
    <w:rsid w:val="441F4BE6"/>
    <w:rsid w:val="447F1BCB"/>
    <w:rsid w:val="44DE546E"/>
    <w:rsid w:val="46066EFC"/>
    <w:rsid w:val="46F31A07"/>
    <w:rsid w:val="47911F7D"/>
    <w:rsid w:val="47AB2E99"/>
    <w:rsid w:val="47CF61D8"/>
    <w:rsid w:val="4AAD72C7"/>
    <w:rsid w:val="4B1B41B7"/>
    <w:rsid w:val="4B771F72"/>
    <w:rsid w:val="4B9471F1"/>
    <w:rsid w:val="4C0B1086"/>
    <w:rsid w:val="4CD945DE"/>
    <w:rsid w:val="4CED5368"/>
    <w:rsid w:val="4D425ABC"/>
    <w:rsid w:val="4D454F16"/>
    <w:rsid w:val="4DA30D2A"/>
    <w:rsid w:val="4E1966BE"/>
    <w:rsid w:val="4E8E1034"/>
    <w:rsid w:val="4EE658BA"/>
    <w:rsid w:val="4F24133F"/>
    <w:rsid w:val="501C6505"/>
    <w:rsid w:val="502177DB"/>
    <w:rsid w:val="50465E29"/>
    <w:rsid w:val="50822B6E"/>
    <w:rsid w:val="50987AB4"/>
    <w:rsid w:val="522D7836"/>
    <w:rsid w:val="524947B8"/>
    <w:rsid w:val="52505D50"/>
    <w:rsid w:val="527F38F1"/>
    <w:rsid w:val="52B1060B"/>
    <w:rsid w:val="53155362"/>
    <w:rsid w:val="53180C78"/>
    <w:rsid w:val="53A310F9"/>
    <w:rsid w:val="54355F81"/>
    <w:rsid w:val="5452511F"/>
    <w:rsid w:val="5478094C"/>
    <w:rsid w:val="552C77D4"/>
    <w:rsid w:val="5533150F"/>
    <w:rsid w:val="55994884"/>
    <w:rsid w:val="55D03923"/>
    <w:rsid w:val="562C6B64"/>
    <w:rsid w:val="5644297B"/>
    <w:rsid w:val="564C0BD1"/>
    <w:rsid w:val="56A85043"/>
    <w:rsid w:val="56AD6856"/>
    <w:rsid w:val="56DF2324"/>
    <w:rsid w:val="57302998"/>
    <w:rsid w:val="573A01BE"/>
    <w:rsid w:val="57AE014F"/>
    <w:rsid w:val="581A3E3D"/>
    <w:rsid w:val="582D1C5E"/>
    <w:rsid w:val="585C1E56"/>
    <w:rsid w:val="59761FAC"/>
    <w:rsid w:val="5A117118"/>
    <w:rsid w:val="5AB4481D"/>
    <w:rsid w:val="5B8A6CEF"/>
    <w:rsid w:val="5CBD7016"/>
    <w:rsid w:val="5E407ADC"/>
    <w:rsid w:val="5E6C4C44"/>
    <w:rsid w:val="5EDE701B"/>
    <w:rsid w:val="5F0B35BC"/>
    <w:rsid w:val="5FF25921"/>
    <w:rsid w:val="60E649DD"/>
    <w:rsid w:val="61166AB3"/>
    <w:rsid w:val="61602967"/>
    <w:rsid w:val="616E4A82"/>
    <w:rsid w:val="61836B0D"/>
    <w:rsid w:val="61E46F2C"/>
    <w:rsid w:val="61EC4048"/>
    <w:rsid w:val="623C1B9A"/>
    <w:rsid w:val="627F4E4A"/>
    <w:rsid w:val="628D0930"/>
    <w:rsid w:val="62E71878"/>
    <w:rsid w:val="631423BC"/>
    <w:rsid w:val="636A6DA9"/>
    <w:rsid w:val="640B7CA4"/>
    <w:rsid w:val="64276C68"/>
    <w:rsid w:val="65414813"/>
    <w:rsid w:val="65FA3849"/>
    <w:rsid w:val="66AC0ACB"/>
    <w:rsid w:val="677657E1"/>
    <w:rsid w:val="677A089A"/>
    <w:rsid w:val="67D25879"/>
    <w:rsid w:val="6951196F"/>
    <w:rsid w:val="69660078"/>
    <w:rsid w:val="69CC5325"/>
    <w:rsid w:val="6AA86E30"/>
    <w:rsid w:val="6B224D46"/>
    <w:rsid w:val="6B6E3096"/>
    <w:rsid w:val="6BD63104"/>
    <w:rsid w:val="6CC24574"/>
    <w:rsid w:val="6D6A7F63"/>
    <w:rsid w:val="6E7C751E"/>
    <w:rsid w:val="6EFA4312"/>
    <w:rsid w:val="6F9E1CCF"/>
    <w:rsid w:val="705D5016"/>
    <w:rsid w:val="716B63D5"/>
    <w:rsid w:val="73441022"/>
    <w:rsid w:val="73963C59"/>
    <w:rsid w:val="73B41467"/>
    <w:rsid w:val="74E94C34"/>
    <w:rsid w:val="752856FA"/>
    <w:rsid w:val="753D3DCF"/>
    <w:rsid w:val="76AA447E"/>
    <w:rsid w:val="774A6547"/>
    <w:rsid w:val="79A52B69"/>
    <w:rsid w:val="79E71F6C"/>
    <w:rsid w:val="7A411C31"/>
    <w:rsid w:val="7A874123"/>
    <w:rsid w:val="7BAB6E95"/>
    <w:rsid w:val="7BC62A91"/>
    <w:rsid w:val="7C5D4257"/>
    <w:rsid w:val="7C6E2326"/>
    <w:rsid w:val="7CB05F8C"/>
    <w:rsid w:val="7CD667B3"/>
    <w:rsid w:val="7D201F80"/>
    <w:rsid w:val="7D411BE3"/>
    <w:rsid w:val="7D736116"/>
    <w:rsid w:val="7DBD40EF"/>
    <w:rsid w:val="7E1E1EA9"/>
    <w:rsid w:val="7E6B1C52"/>
    <w:rsid w:val="7EA21C12"/>
    <w:rsid w:val="7F030C76"/>
    <w:rsid w:val="7F1902F1"/>
    <w:rsid w:val="7F6D3D26"/>
    <w:rsid w:val="7FAE6FCA"/>
    <w:rsid w:val="7FB7423A"/>
    <w:rsid w:val="7FF4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89"/>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173"/>
    <w:qFormat/>
    <w:uiPriority w:val="0"/>
    <w:pPr>
      <w:keepNext/>
      <w:keepLines/>
      <w:spacing w:before="260" w:after="260" w:line="415" w:lineRule="auto"/>
      <w:outlineLvl w:val="2"/>
    </w:pPr>
    <w:rPr>
      <w:b/>
      <w:bCs/>
      <w:sz w:val="32"/>
      <w:szCs w:val="32"/>
    </w:rPr>
  </w:style>
  <w:style w:type="paragraph" w:styleId="7">
    <w:name w:val="heading 4"/>
    <w:basedOn w:val="1"/>
    <w:next w:val="1"/>
    <w:link w:val="139"/>
    <w:qFormat/>
    <w:uiPriority w:val="0"/>
    <w:pPr>
      <w:widowControl/>
      <w:spacing w:before="100" w:beforeAutospacing="1" w:after="100" w:afterAutospacing="1"/>
      <w:jc w:val="left"/>
      <w:outlineLvl w:val="3"/>
    </w:pPr>
    <w:rPr>
      <w:rFonts w:ascii="宋体" w:hAnsi="宋体" w:cs="宋体"/>
      <w:b/>
      <w:bCs/>
      <w:sz w:val="24"/>
    </w:rPr>
  </w:style>
  <w:style w:type="paragraph" w:styleId="8">
    <w:name w:val="heading 5"/>
    <w:basedOn w:val="1"/>
    <w:next w:val="1"/>
    <w:link w:val="167"/>
    <w:qFormat/>
    <w:uiPriority w:val="0"/>
    <w:pPr>
      <w:widowControl/>
      <w:spacing w:before="100" w:beforeAutospacing="1" w:after="100" w:afterAutospacing="1"/>
      <w:jc w:val="left"/>
      <w:outlineLvl w:val="4"/>
    </w:pPr>
    <w:rPr>
      <w:rFonts w:ascii="宋体" w:hAnsi="宋体" w:cs="宋体"/>
      <w:b/>
      <w:bCs/>
    </w:rPr>
  </w:style>
  <w:style w:type="paragraph" w:styleId="9">
    <w:name w:val="heading 6"/>
    <w:basedOn w:val="10"/>
    <w:next w:val="1"/>
    <w:link w:val="141"/>
    <w:qFormat/>
    <w:uiPriority w:val="0"/>
    <w:pPr>
      <w:keepNext/>
      <w:keepLines/>
      <w:ind w:firstLine="200" w:firstLineChars="200"/>
      <w:outlineLvl w:val="5"/>
    </w:pPr>
    <w:rPr>
      <w:rFonts w:hAnsi="Arial"/>
    </w:rPr>
  </w:style>
  <w:style w:type="paragraph" w:styleId="11">
    <w:name w:val="heading 7"/>
    <w:basedOn w:val="1"/>
    <w:next w:val="1"/>
    <w:link w:val="118"/>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2">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3">
    <w:name w:val="heading 9"/>
    <w:basedOn w:val="1"/>
    <w:next w:val="1"/>
    <w:link w:val="90"/>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spacing w:line="360" w:lineRule="auto"/>
      <w:ind w:firstLine="420"/>
    </w:pPr>
    <w:rPr>
      <w:rFonts w:ascii="宋体"/>
      <w:sz w:val="24"/>
      <w:szCs w:val="20"/>
    </w:rPr>
  </w:style>
  <w:style w:type="paragraph" w:styleId="3">
    <w:name w:val="Body Text Indent"/>
    <w:basedOn w:val="1"/>
    <w:link w:val="63"/>
    <w:qFormat/>
    <w:uiPriority w:val="0"/>
    <w:pPr>
      <w:ind w:firstLine="407" w:firstLineChars="20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0"/>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40"/>
    <w:qFormat/>
    <w:uiPriority w:val="0"/>
    <w:pPr>
      <w:shd w:val="clear" w:color="auto" w:fill="000080"/>
    </w:pPr>
    <w:rPr>
      <w:shd w:val="clear" w:color="auto" w:fill="000080"/>
    </w:rPr>
  </w:style>
  <w:style w:type="paragraph" w:styleId="17">
    <w:name w:val="annotation text"/>
    <w:basedOn w:val="1"/>
    <w:link w:val="103"/>
    <w:qFormat/>
    <w:uiPriority w:val="0"/>
    <w:pPr>
      <w:jc w:val="left"/>
    </w:pPr>
  </w:style>
  <w:style w:type="paragraph" w:styleId="18">
    <w:name w:val="Body Text 3"/>
    <w:basedOn w:val="1"/>
    <w:link w:val="84"/>
    <w:qFormat/>
    <w:uiPriority w:val="0"/>
    <w:pPr>
      <w:spacing w:after="120"/>
    </w:pPr>
    <w:rPr>
      <w:sz w:val="16"/>
      <w:szCs w:val="16"/>
    </w:rPr>
  </w:style>
  <w:style w:type="paragraph" w:styleId="19">
    <w:name w:val="Body Text"/>
    <w:basedOn w:val="1"/>
    <w:link w:val="153"/>
    <w:qFormat/>
    <w:uiPriority w:val="0"/>
    <w:pPr>
      <w:spacing w:after="12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6"/>
    <w:next w:val="1"/>
    <w:qFormat/>
    <w:uiPriority w:val="0"/>
    <w:pPr>
      <w:keepNext w:val="0"/>
      <w:keepLines w:val="0"/>
      <w:spacing w:before="0" w:after="0" w:line="240" w:lineRule="auto"/>
      <w:ind w:left="420"/>
      <w:jc w:val="left"/>
      <w:outlineLvl w:val="9"/>
    </w:pPr>
    <w:rPr>
      <w:b w:val="0"/>
      <w:bCs w:val="0"/>
      <w:iCs/>
      <w:sz w:val="21"/>
      <w:szCs w:val="20"/>
    </w:rPr>
  </w:style>
  <w:style w:type="paragraph" w:styleId="24">
    <w:name w:val="Plain Text"/>
    <w:basedOn w:val="1"/>
    <w:link w:val="127"/>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135"/>
    <w:qFormat/>
    <w:uiPriority w:val="0"/>
    <w:pPr>
      <w:ind w:left="100" w:leftChars="2500"/>
    </w:pPr>
  </w:style>
  <w:style w:type="paragraph" w:styleId="27">
    <w:name w:val="Body Text Indent 2"/>
    <w:basedOn w:val="1"/>
    <w:link w:val="171"/>
    <w:qFormat/>
    <w:uiPriority w:val="0"/>
    <w:pPr>
      <w:widowControl/>
      <w:spacing w:line="480" w:lineRule="auto"/>
      <w:ind w:firstLine="560"/>
      <w:jc w:val="left"/>
    </w:pPr>
    <w:rPr>
      <w:sz w:val="28"/>
    </w:rPr>
  </w:style>
  <w:style w:type="paragraph" w:styleId="28">
    <w:name w:val="endnote text"/>
    <w:basedOn w:val="1"/>
    <w:link w:val="109"/>
    <w:qFormat/>
    <w:uiPriority w:val="0"/>
    <w:pPr>
      <w:widowControl/>
      <w:snapToGrid w:val="0"/>
      <w:jc w:val="left"/>
    </w:pPr>
    <w:rPr>
      <w:rFonts w:ascii="Arial" w:hAnsi="Arial" w:cs="Arial"/>
      <w:lang w:eastAsia="en-US"/>
    </w:rPr>
  </w:style>
  <w:style w:type="paragraph" w:styleId="29">
    <w:name w:val="Balloon Text"/>
    <w:basedOn w:val="1"/>
    <w:link w:val="61"/>
    <w:qFormat/>
    <w:uiPriority w:val="0"/>
    <w:rPr>
      <w:sz w:val="18"/>
      <w:szCs w:val="18"/>
    </w:rPr>
  </w:style>
  <w:style w:type="paragraph" w:styleId="30">
    <w:name w:val="footer"/>
    <w:basedOn w:val="1"/>
    <w:link w:val="78"/>
    <w:qFormat/>
    <w:uiPriority w:val="99"/>
    <w:pPr>
      <w:tabs>
        <w:tab w:val="center" w:pos="4153"/>
        <w:tab w:val="right" w:pos="8306"/>
      </w:tabs>
      <w:snapToGrid w:val="0"/>
      <w:jc w:val="left"/>
    </w:pPr>
    <w:rPr>
      <w:sz w:val="18"/>
      <w:szCs w:val="18"/>
    </w:rPr>
  </w:style>
  <w:style w:type="paragraph" w:styleId="31">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33">
    <w:name w:val="toc 4"/>
    <w:basedOn w:val="7"/>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4">
    <w:name w:val="Subtitle"/>
    <w:basedOn w:val="1"/>
    <w:link w:val="126"/>
    <w:qFormat/>
    <w:uiPriority w:val="0"/>
    <w:pPr>
      <w:widowControl/>
      <w:jc w:val="center"/>
    </w:pPr>
    <w:rPr>
      <w:u w:val="single"/>
      <w:lang w:eastAsia="en-US"/>
    </w:rPr>
  </w:style>
  <w:style w:type="paragraph" w:styleId="35">
    <w:name w:val="footnote text"/>
    <w:basedOn w:val="1"/>
    <w:link w:val="91"/>
    <w:qFormat/>
    <w:uiPriority w:val="0"/>
    <w:pPr>
      <w:widowControl/>
      <w:snapToGrid w:val="0"/>
      <w:jc w:val="left"/>
    </w:pPr>
    <w:rPr>
      <w:rFonts w:ascii="Arial" w:hAnsi="Arial" w:cs="Arial"/>
      <w:sz w:val="18"/>
      <w:szCs w:val="18"/>
      <w:lang w:eastAsia="en-US"/>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97"/>
    <w:qFormat/>
    <w:uiPriority w:val="0"/>
    <w:pPr>
      <w:spacing w:line="360" w:lineRule="auto"/>
      <w:ind w:firstLine="280" w:firstLineChars="100"/>
    </w:pPr>
    <w:rPr>
      <w:rFonts w:ascii="宋体" w:hAnsi="宋体"/>
      <w:sz w:val="28"/>
      <w:szCs w:val="28"/>
    </w:rPr>
  </w:style>
  <w:style w:type="paragraph" w:styleId="38">
    <w:name w:val="toc 2"/>
    <w:basedOn w:val="5"/>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rPr>
      <w:i/>
      <w:iCs/>
      <w:sz w:val="26"/>
    </w:rPr>
  </w:style>
  <w:style w:type="paragraph" w:styleId="41">
    <w:name w:val="List Continue 2"/>
    <w:basedOn w:val="1"/>
    <w:qFormat/>
    <w:uiPriority w:val="0"/>
    <w:pPr>
      <w:spacing w:after="120"/>
      <w:ind w:left="840" w:leftChars="400"/>
    </w:pPr>
  </w:style>
  <w:style w:type="paragraph" w:styleId="42">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143"/>
    <w:qFormat/>
    <w:uiPriority w:val="0"/>
    <w:pPr>
      <w:widowControl/>
      <w:jc w:val="center"/>
    </w:pPr>
    <w:rPr>
      <w:u w:val="single"/>
      <w:lang w:eastAsia="en-US"/>
    </w:rPr>
  </w:style>
  <w:style w:type="paragraph" w:styleId="46">
    <w:name w:val="annotation subject"/>
    <w:basedOn w:val="17"/>
    <w:next w:val="17"/>
    <w:link w:val="102"/>
    <w:qFormat/>
    <w:uiPriority w:val="0"/>
    <w:rPr>
      <w:b/>
      <w:bCs/>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intel3"/>
    <w:basedOn w:val="49"/>
    <w:qFormat/>
    <w:uiPriority w:val="0"/>
  </w:style>
  <w:style w:type="character" w:customStyle="1" w:styleId="60">
    <w:name w:val="Char Char17"/>
    <w:basedOn w:val="49"/>
    <w:qFormat/>
    <w:uiPriority w:val="0"/>
    <w:rPr>
      <w:rFonts w:hAnsi="Arial" w:eastAsia="仿宋_GB2312"/>
      <w:sz w:val="30"/>
      <w:lang w:val="en-US" w:eastAsia="zh-CN" w:bidi="ar-SA"/>
    </w:rPr>
  </w:style>
  <w:style w:type="character" w:customStyle="1" w:styleId="61">
    <w:name w:val="批注框文本 Char"/>
    <w:basedOn w:val="49"/>
    <w:link w:val="29"/>
    <w:qFormat/>
    <w:uiPriority w:val="0"/>
    <w:rPr>
      <w:kern w:val="2"/>
      <w:sz w:val="18"/>
      <w:szCs w:val="18"/>
    </w:rPr>
  </w:style>
  <w:style w:type="character" w:customStyle="1" w:styleId="62">
    <w:name w:val="Char Char4"/>
    <w:basedOn w:val="49"/>
    <w:qFormat/>
    <w:uiPriority w:val="0"/>
    <w:rPr>
      <w:rFonts w:ascii="宋体" w:hAnsi="Courier New" w:eastAsia="宋体"/>
      <w:kern w:val="2"/>
      <w:sz w:val="28"/>
      <w:szCs w:val="28"/>
      <w:lang w:val="en-US" w:eastAsia="zh-CN" w:bidi="ar-SA"/>
    </w:rPr>
  </w:style>
  <w:style w:type="character" w:customStyle="1" w:styleId="63">
    <w:name w:val="正文文本缩进 Char"/>
    <w:basedOn w:val="49"/>
    <w:link w:val="3"/>
    <w:qFormat/>
    <w:uiPriority w:val="0"/>
    <w:rPr>
      <w:kern w:val="2"/>
      <w:sz w:val="21"/>
      <w:szCs w:val="24"/>
    </w:rPr>
  </w:style>
  <w:style w:type="character" w:customStyle="1" w:styleId="64">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65">
    <w:name w:val="style121"/>
    <w:basedOn w:val="49"/>
    <w:qFormat/>
    <w:uiPriority w:val="0"/>
    <w:rPr>
      <w:rFonts w:hint="eastAsia" w:ascii="宋体" w:hAnsi="宋体" w:eastAsia="宋体"/>
      <w:sz w:val="18"/>
      <w:szCs w:val="18"/>
    </w:rPr>
  </w:style>
  <w:style w:type="character" w:customStyle="1" w:styleId="66">
    <w:name w:val="Char Char6"/>
    <w:basedOn w:val="49"/>
    <w:qFormat/>
    <w:uiPriority w:val="0"/>
    <w:rPr>
      <w:rFonts w:eastAsia="宋体"/>
      <w:kern w:val="2"/>
      <w:sz w:val="21"/>
      <w:szCs w:val="24"/>
      <w:lang w:val="en-US" w:eastAsia="zh-CN" w:bidi="ar-SA"/>
    </w:rPr>
  </w:style>
  <w:style w:type="character" w:customStyle="1" w:styleId="67">
    <w:name w:val="标题 8 Char"/>
    <w:basedOn w:val="49"/>
    <w:link w:val="12"/>
    <w:qFormat/>
    <w:uiPriority w:val="0"/>
    <w:rPr>
      <w:rFonts w:hAnsi="Arial" w:eastAsia="仿宋_GB2312"/>
      <w:sz w:val="30"/>
    </w:rPr>
  </w:style>
  <w:style w:type="character" w:customStyle="1" w:styleId="68">
    <w:name w:val="ca-141"/>
    <w:basedOn w:val="49"/>
    <w:qFormat/>
    <w:uiPriority w:val="0"/>
    <w:rPr>
      <w:rFonts w:hint="eastAsia" w:ascii="仿宋_GB2312" w:eastAsia="仿宋_GB2312"/>
      <w:sz w:val="21"/>
      <w:szCs w:val="21"/>
    </w:rPr>
  </w:style>
  <w:style w:type="character" w:customStyle="1" w:styleId="69">
    <w:name w:val="明显强调1"/>
    <w:qFormat/>
    <w:uiPriority w:val="0"/>
    <w:rPr>
      <w:b/>
      <w:i/>
      <w:color w:val="4F81BD"/>
    </w:rPr>
  </w:style>
  <w:style w:type="character" w:customStyle="1" w:styleId="70">
    <w:name w:val="日期 Char1"/>
    <w:qFormat/>
    <w:uiPriority w:val="0"/>
    <w:rPr>
      <w:kern w:val="2"/>
      <w:sz w:val="22"/>
    </w:rPr>
  </w:style>
  <w:style w:type="character" w:customStyle="1" w:styleId="71">
    <w:name w:val="Intense Quote Char"/>
    <w:link w:val="72"/>
    <w:qFormat/>
    <w:locked/>
    <w:uiPriority w:val="0"/>
    <w:rPr>
      <w:b/>
      <w:i/>
      <w:color w:val="4F81BD"/>
      <w:kern w:val="2"/>
      <w:sz w:val="22"/>
      <w:lang w:bidi="ar-SA"/>
    </w:rPr>
  </w:style>
  <w:style w:type="paragraph" w:customStyle="1" w:styleId="72">
    <w:name w:val="明显引用1"/>
    <w:basedOn w:val="1"/>
    <w:next w:val="1"/>
    <w:link w:val="71"/>
    <w:qFormat/>
    <w:uiPriority w:val="0"/>
    <w:pPr>
      <w:pBdr>
        <w:bottom w:val="single" w:color="4F81BD" w:sz="4" w:space="4"/>
      </w:pBdr>
      <w:spacing w:before="200" w:after="280"/>
      <w:ind w:left="936" w:right="936"/>
    </w:pPr>
    <w:rPr>
      <w:b/>
      <w:i/>
      <w:color w:val="4F81BD"/>
      <w:sz w:val="22"/>
      <w:szCs w:val="20"/>
    </w:rPr>
  </w:style>
  <w:style w:type="character" w:customStyle="1" w:styleId="73">
    <w:name w:val="textcontents"/>
    <w:basedOn w:val="49"/>
    <w:qFormat/>
    <w:uiPriority w:val="0"/>
  </w:style>
  <w:style w:type="character" w:customStyle="1" w:styleId="74">
    <w:name w:val="Char Char2"/>
    <w:qFormat/>
    <w:locked/>
    <w:uiPriority w:val="0"/>
    <w:rPr>
      <w:rFonts w:eastAsia="宋体"/>
      <w:kern w:val="2"/>
      <w:sz w:val="18"/>
      <w:szCs w:val="18"/>
      <w:lang w:val="en-US" w:eastAsia="zh-CN" w:bidi="ar-SA"/>
    </w:rPr>
  </w:style>
  <w:style w:type="character" w:customStyle="1" w:styleId="75">
    <w:name w:val="font161"/>
    <w:basedOn w:val="49"/>
    <w:qFormat/>
    <w:uiPriority w:val="0"/>
    <w:rPr>
      <w:b/>
      <w:bCs/>
      <w:sz w:val="32"/>
      <w:szCs w:val="32"/>
    </w:rPr>
  </w:style>
  <w:style w:type="character" w:customStyle="1" w:styleId="76">
    <w:name w:val="不明显强调1"/>
    <w:qFormat/>
    <w:uiPriority w:val="0"/>
    <w:rPr>
      <w:i/>
      <w:color w:val="808080"/>
    </w:rPr>
  </w:style>
  <w:style w:type="character" w:customStyle="1" w:styleId="77">
    <w:name w:val="Char Char11"/>
    <w:basedOn w:val="49"/>
    <w:qFormat/>
    <w:uiPriority w:val="0"/>
    <w:rPr>
      <w:rFonts w:eastAsia="黑体"/>
      <w:kern w:val="2"/>
      <w:sz w:val="44"/>
      <w:szCs w:val="44"/>
      <w:lang w:val="en-US" w:eastAsia="zh-CN" w:bidi="ar-SA"/>
    </w:rPr>
  </w:style>
  <w:style w:type="character" w:customStyle="1" w:styleId="78">
    <w:name w:val="页脚 Char"/>
    <w:basedOn w:val="49"/>
    <w:link w:val="30"/>
    <w:qFormat/>
    <w:uiPriority w:val="99"/>
    <w:rPr>
      <w:kern w:val="2"/>
      <w:sz w:val="18"/>
      <w:szCs w:val="18"/>
    </w:rPr>
  </w:style>
  <w:style w:type="character" w:customStyle="1" w:styleId="79">
    <w:name w:val="Char Char"/>
    <w:qFormat/>
    <w:locked/>
    <w:uiPriority w:val="0"/>
    <w:rPr>
      <w:rFonts w:eastAsia="宋体"/>
      <w:kern w:val="2"/>
      <w:sz w:val="21"/>
      <w:szCs w:val="24"/>
      <w:lang w:val="en-US" w:eastAsia="zh-CN" w:bidi="ar-SA"/>
    </w:rPr>
  </w:style>
  <w:style w:type="character" w:customStyle="1" w:styleId="80">
    <w:name w:val="批注主题 Char"/>
    <w:basedOn w:val="81"/>
    <w:qFormat/>
    <w:uiPriority w:val="0"/>
    <w:rPr>
      <w:rFonts w:ascii="宋体" w:hAnsi="宋体" w:eastAsia="仿宋_GB2312" w:cs="MingLiU"/>
      <w:kern w:val="2"/>
      <w:sz w:val="24"/>
      <w:szCs w:val="28"/>
      <w:lang w:val="en-US" w:eastAsia="zh-CN" w:bidi="ar-SA"/>
    </w:rPr>
  </w:style>
  <w:style w:type="character" w:customStyle="1" w:styleId="81">
    <w:name w:val="Char Char25"/>
    <w:basedOn w:val="49"/>
    <w:qFormat/>
    <w:uiPriority w:val="0"/>
    <w:rPr>
      <w:rFonts w:ascii="仿宋_GB2312" w:eastAsia="仿宋_GB2312" w:cs="MingLiU"/>
      <w:b/>
      <w:sz w:val="24"/>
      <w:szCs w:val="28"/>
      <w:lang w:val="en-US" w:eastAsia="zh-CN" w:bidi="ar-SA"/>
    </w:rPr>
  </w:style>
  <w:style w:type="character" w:customStyle="1" w:styleId="82">
    <w:name w:val="apple-style-span"/>
    <w:basedOn w:val="49"/>
    <w:qFormat/>
    <w:uiPriority w:val="0"/>
  </w:style>
  <w:style w:type="character" w:customStyle="1" w:styleId="83">
    <w:name w:val="Heading 2 Char"/>
    <w:qFormat/>
    <w:locked/>
    <w:uiPriority w:val="0"/>
    <w:rPr>
      <w:rFonts w:ascii="Cambria" w:hAnsi="Cambria" w:eastAsia="宋体"/>
      <w:b/>
      <w:kern w:val="2"/>
      <w:sz w:val="32"/>
    </w:rPr>
  </w:style>
  <w:style w:type="character" w:customStyle="1" w:styleId="84">
    <w:name w:val="正文文本 3 Char"/>
    <w:basedOn w:val="49"/>
    <w:link w:val="18"/>
    <w:qFormat/>
    <w:uiPriority w:val="0"/>
    <w:rPr>
      <w:kern w:val="2"/>
      <w:sz w:val="16"/>
      <w:szCs w:val="16"/>
    </w:rPr>
  </w:style>
  <w:style w:type="character" w:customStyle="1" w:styleId="85">
    <w:name w:val="subhead1"/>
    <w:qFormat/>
    <w:uiPriority w:val="0"/>
    <w:rPr>
      <w:rFonts w:hint="default" w:ascii="Tahoma" w:hAnsi="Tahoma" w:cs="Tahoma"/>
      <w:color w:val="000000"/>
      <w:sz w:val="18"/>
      <w:szCs w:val="18"/>
      <w:u w:val="none"/>
      <w:shd w:val="clear" w:color="auto" w:fill="FFFFFF"/>
    </w:rPr>
  </w:style>
  <w:style w:type="character" w:customStyle="1" w:styleId="86">
    <w:name w:val="Char Char20"/>
    <w:basedOn w:val="49"/>
    <w:qFormat/>
    <w:uiPriority w:val="0"/>
    <w:rPr>
      <w:rFonts w:ascii="宋体" w:hAnsi="宋体" w:eastAsia="宋体" w:cs="宋体"/>
      <w:b/>
      <w:bCs/>
      <w:lang w:val="en-US" w:eastAsia="zh-CN" w:bidi="ar-SA"/>
    </w:rPr>
  </w:style>
  <w:style w:type="character" w:customStyle="1" w:styleId="87">
    <w:name w:val="Char Char7"/>
    <w:basedOn w:val="49"/>
    <w:qFormat/>
    <w:uiPriority w:val="0"/>
    <w:rPr>
      <w:rFonts w:eastAsia="宋体"/>
      <w:kern w:val="2"/>
      <w:sz w:val="21"/>
      <w:szCs w:val="24"/>
      <w:lang w:val="en-US" w:eastAsia="zh-CN" w:bidi="ar-SA"/>
    </w:rPr>
  </w:style>
  <w:style w:type="character" w:customStyle="1" w:styleId="88">
    <w:name w:val="Char Char14"/>
    <w:basedOn w:val="49"/>
    <w:qFormat/>
    <w:uiPriority w:val="0"/>
    <w:rPr>
      <w:kern w:val="2"/>
      <w:sz w:val="18"/>
      <w:szCs w:val="18"/>
    </w:rPr>
  </w:style>
  <w:style w:type="character" w:customStyle="1" w:styleId="89">
    <w:name w:val="标题 2 Char"/>
    <w:basedOn w:val="49"/>
    <w:link w:val="5"/>
    <w:qFormat/>
    <w:uiPriority w:val="0"/>
    <w:rPr>
      <w:rFonts w:ascii="Cambria" w:hAnsi="Cambria" w:eastAsia="宋体" w:cs="Times New Roman"/>
      <w:b/>
      <w:bCs/>
      <w:kern w:val="2"/>
      <w:sz w:val="32"/>
      <w:szCs w:val="32"/>
    </w:rPr>
  </w:style>
  <w:style w:type="character" w:customStyle="1" w:styleId="90">
    <w:name w:val="标题 9 Char"/>
    <w:basedOn w:val="49"/>
    <w:link w:val="13"/>
    <w:qFormat/>
    <w:uiPriority w:val="0"/>
    <w:rPr>
      <w:rFonts w:eastAsia="仿宋_GB2312"/>
      <w:sz w:val="30"/>
    </w:rPr>
  </w:style>
  <w:style w:type="character" w:customStyle="1" w:styleId="91">
    <w:name w:val="脚注文本 Char"/>
    <w:basedOn w:val="49"/>
    <w:link w:val="35"/>
    <w:qFormat/>
    <w:uiPriority w:val="0"/>
    <w:rPr>
      <w:rFonts w:ascii="Arial" w:hAnsi="Arial" w:cs="Arial"/>
      <w:sz w:val="18"/>
      <w:szCs w:val="18"/>
      <w:lang w:eastAsia="en-US"/>
    </w:rPr>
  </w:style>
  <w:style w:type="character" w:customStyle="1" w:styleId="92">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93">
    <w:name w:val="Heading 6 Char"/>
    <w:qFormat/>
    <w:locked/>
    <w:uiPriority w:val="0"/>
    <w:rPr>
      <w:rFonts w:ascii="Cambria" w:hAnsi="Cambria" w:eastAsia="宋体"/>
      <w:b/>
      <w:kern w:val="2"/>
      <w:sz w:val="24"/>
    </w:rPr>
  </w:style>
  <w:style w:type="character" w:customStyle="1" w:styleId="94">
    <w:name w:val="normaltext1"/>
    <w:basedOn w:val="49"/>
    <w:qFormat/>
    <w:uiPriority w:val="0"/>
    <w:rPr>
      <w:rFonts w:hint="default" w:ascii="ˎ̥" w:hAnsi="ˎ̥"/>
      <w:sz w:val="9"/>
      <w:szCs w:val="9"/>
    </w:rPr>
  </w:style>
  <w:style w:type="character" w:customStyle="1" w:styleId="95">
    <w:name w:val="样式1 Char"/>
    <w:basedOn w:val="49"/>
    <w:link w:val="96"/>
    <w:qFormat/>
    <w:uiPriority w:val="0"/>
    <w:rPr>
      <w:rFonts w:ascii="宋体" w:hAnsi="宋体" w:eastAsia="宋体"/>
      <w:b/>
      <w:kern w:val="2"/>
      <w:sz w:val="24"/>
      <w:lang w:val="en-US" w:eastAsia="zh-CN" w:bidi="ar-SA"/>
    </w:rPr>
  </w:style>
  <w:style w:type="paragraph" w:customStyle="1" w:styleId="96">
    <w:name w:val="样式1"/>
    <w:basedOn w:val="1"/>
    <w:link w:val="95"/>
    <w:qFormat/>
    <w:uiPriority w:val="0"/>
    <w:pPr>
      <w:spacing w:before="120" w:after="120" w:line="300" w:lineRule="auto"/>
    </w:pPr>
    <w:rPr>
      <w:rFonts w:ascii="宋体" w:hAnsi="宋体"/>
      <w:b/>
      <w:sz w:val="24"/>
      <w:szCs w:val="20"/>
    </w:rPr>
  </w:style>
  <w:style w:type="character" w:customStyle="1" w:styleId="97">
    <w:name w:val="正文文本缩进 3 Char"/>
    <w:basedOn w:val="49"/>
    <w:link w:val="37"/>
    <w:qFormat/>
    <w:uiPriority w:val="0"/>
    <w:rPr>
      <w:rFonts w:ascii="宋体" w:hAnsi="宋体"/>
      <w:kern w:val="2"/>
      <w:sz w:val="28"/>
      <w:szCs w:val="28"/>
    </w:rPr>
  </w:style>
  <w:style w:type="character" w:customStyle="1" w:styleId="98">
    <w:name w:val="明显参考1"/>
    <w:qFormat/>
    <w:uiPriority w:val="0"/>
    <w:rPr>
      <w:b/>
      <w:smallCaps/>
      <w:color w:val="C0504D"/>
      <w:spacing w:val="5"/>
      <w:u w:val="single"/>
    </w:rPr>
  </w:style>
  <w:style w:type="character" w:customStyle="1" w:styleId="99">
    <w:name w:val="HTML 预设格式 Char"/>
    <w:basedOn w:val="49"/>
    <w:link w:val="42"/>
    <w:qFormat/>
    <w:uiPriority w:val="0"/>
    <w:rPr>
      <w:rFonts w:ascii="宋体" w:hAnsi="宋体" w:cs="宋体"/>
      <w:color w:val="000000"/>
      <w:sz w:val="24"/>
      <w:szCs w:val="24"/>
    </w:rPr>
  </w:style>
  <w:style w:type="character" w:customStyle="1" w:styleId="100">
    <w:name w:val="Char Char16"/>
    <w:basedOn w:val="49"/>
    <w:qFormat/>
    <w:uiPriority w:val="0"/>
    <w:rPr>
      <w:rFonts w:eastAsia="仿宋_GB2312"/>
      <w:sz w:val="30"/>
      <w:lang w:val="en-US" w:eastAsia="zh-CN" w:bidi="ar-SA"/>
    </w:rPr>
  </w:style>
  <w:style w:type="character" w:customStyle="1" w:styleId="101">
    <w:name w:val="Char Char3"/>
    <w:qFormat/>
    <w:locked/>
    <w:uiPriority w:val="0"/>
    <w:rPr>
      <w:rFonts w:eastAsia="宋体"/>
      <w:b/>
      <w:bCs/>
      <w:kern w:val="2"/>
      <w:sz w:val="21"/>
      <w:szCs w:val="24"/>
      <w:lang w:val="en-US" w:eastAsia="zh-CN" w:bidi="ar-SA"/>
    </w:rPr>
  </w:style>
  <w:style w:type="character" w:customStyle="1" w:styleId="102">
    <w:name w:val="批注主题 Char2"/>
    <w:basedOn w:val="103"/>
    <w:link w:val="46"/>
    <w:qFormat/>
    <w:uiPriority w:val="0"/>
    <w:rPr>
      <w:b/>
      <w:bCs/>
      <w:kern w:val="2"/>
      <w:sz w:val="21"/>
      <w:szCs w:val="24"/>
    </w:rPr>
  </w:style>
  <w:style w:type="character" w:customStyle="1" w:styleId="103">
    <w:name w:val="批注文字 Char"/>
    <w:basedOn w:val="49"/>
    <w:link w:val="17"/>
    <w:qFormat/>
    <w:uiPriority w:val="0"/>
    <w:rPr>
      <w:kern w:val="2"/>
      <w:sz w:val="21"/>
      <w:szCs w:val="24"/>
    </w:rPr>
  </w:style>
  <w:style w:type="character" w:customStyle="1" w:styleId="104">
    <w:name w:val="ht1"/>
    <w:basedOn w:val="49"/>
    <w:qFormat/>
    <w:uiPriority w:val="0"/>
    <w:rPr>
      <w:rFonts w:ascii="黑体" w:eastAsia="黑体"/>
      <w:b/>
      <w:bCs/>
    </w:rPr>
  </w:style>
  <w:style w:type="character" w:customStyle="1" w:styleId="105">
    <w:name w:val="14t1"/>
    <w:basedOn w:val="49"/>
    <w:qFormat/>
    <w:uiPriority w:val="0"/>
    <w:rPr>
      <w:rFonts w:hint="eastAsia" w:ascii="宋体" w:hAnsi="宋体" w:eastAsia="宋体"/>
      <w:sz w:val="11"/>
      <w:szCs w:val="11"/>
    </w:rPr>
  </w:style>
  <w:style w:type="character" w:customStyle="1" w:styleId="106">
    <w:name w:val="title11"/>
    <w:basedOn w:val="49"/>
    <w:qFormat/>
    <w:uiPriority w:val="0"/>
    <w:rPr>
      <w:b/>
      <w:bCs/>
      <w:color w:val="FFFFFF"/>
      <w:sz w:val="11"/>
      <w:szCs w:val="11"/>
    </w:rPr>
  </w:style>
  <w:style w:type="character" w:customStyle="1" w:styleId="107">
    <w:name w:val="Char Char22"/>
    <w:basedOn w:val="49"/>
    <w:qFormat/>
    <w:uiPriority w:val="0"/>
    <w:rPr>
      <w:b/>
      <w:bCs/>
      <w:kern w:val="2"/>
      <w:sz w:val="32"/>
      <w:szCs w:val="32"/>
    </w:rPr>
  </w:style>
  <w:style w:type="character" w:customStyle="1" w:styleId="108">
    <w:name w:val="Char Char26"/>
    <w:basedOn w:val="49"/>
    <w:qFormat/>
    <w:uiPriority w:val="0"/>
    <w:rPr>
      <w:rFonts w:ascii="仿宋_GB2312" w:eastAsia="仿宋_GB2312" w:cs="MingLiU"/>
      <w:b/>
      <w:sz w:val="24"/>
      <w:szCs w:val="28"/>
      <w:lang w:val="en-US" w:eastAsia="zh-CN" w:bidi="ar-SA"/>
    </w:rPr>
  </w:style>
  <w:style w:type="character" w:customStyle="1" w:styleId="109">
    <w:name w:val="尾注文本 Char"/>
    <w:basedOn w:val="49"/>
    <w:link w:val="28"/>
    <w:qFormat/>
    <w:uiPriority w:val="0"/>
    <w:rPr>
      <w:rFonts w:ascii="Arial" w:hAnsi="Arial" w:cs="Arial"/>
      <w:szCs w:val="24"/>
      <w:lang w:eastAsia="en-US"/>
    </w:rPr>
  </w:style>
  <w:style w:type="character" w:customStyle="1" w:styleId="110">
    <w:name w:val="批注框文本 Char1"/>
    <w:qFormat/>
    <w:uiPriority w:val="0"/>
    <w:rPr>
      <w:kern w:val="2"/>
      <w:sz w:val="18"/>
    </w:rPr>
  </w:style>
  <w:style w:type="character" w:customStyle="1" w:styleId="111">
    <w:name w:val="Char Char9"/>
    <w:basedOn w:val="49"/>
    <w:qFormat/>
    <w:uiPriority w:val="0"/>
    <w:rPr>
      <w:rFonts w:eastAsia="宋体"/>
      <w:kern w:val="2"/>
      <w:sz w:val="18"/>
      <w:szCs w:val="18"/>
      <w:lang w:val="en-US" w:eastAsia="zh-CN" w:bidi="ar-SA"/>
    </w:rPr>
  </w:style>
  <w:style w:type="character" w:customStyle="1" w:styleId="112">
    <w:name w:val="批注主题 Char Char"/>
    <w:basedOn w:val="97"/>
    <w:qFormat/>
    <w:uiPriority w:val="0"/>
    <w:rPr>
      <w:rFonts w:ascii="宋体" w:hAnsi="宋体"/>
      <w:kern w:val="2"/>
      <w:sz w:val="24"/>
      <w:szCs w:val="28"/>
    </w:rPr>
  </w:style>
  <w:style w:type="character" w:customStyle="1" w:styleId="113">
    <w:name w:val="0d1471"/>
    <w:basedOn w:val="49"/>
    <w:qFormat/>
    <w:uiPriority w:val="0"/>
    <w:rPr>
      <w:color w:val="000000"/>
      <w:sz w:val="11"/>
      <w:szCs w:val="11"/>
      <w:u w:val="none"/>
    </w:rPr>
  </w:style>
  <w:style w:type="character" w:customStyle="1" w:styleId="114">
    <w:name w:val="Char Char41"/>
    <w:basedOn w:val="49"/>
    <w:qFormat/>
    <w:uiPriority w:val="0"/>
    <w:rPr>
      <w:rFonts w:ascii="仿宋_GB2312" w:eastAsia="仿宋_GB2312" w:cs="MingLiU"/>
      <w:b/>
      <w:sz w:val="24"/>
      <w:szCs w:val="28"/>
      <w:lang w:val="en-US" w:eastAsia="zh-CN" w:bidi="ar-SA"/>
    </w:rPr>
  </w:style>
  <w:style w:type="character" w:customStyle="1" w:styleId="115">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16">
    <w:name w:val="docpro"/>
    <w:basedOn w:val="49"/>
    <w:qFormat/>
    <w:uiPriority w:val="0"/>
  </w:style>
  <w:style w:type="character" w:customStyle="1" w:styleId="117">
    <w:name w:val="标题 1 Char"/>
    <w:link w:val="4"/>
    <w:qFormat/>
    <w:uiPriority w:val="0"/>
    <w:rPr>
      <w:b/>
      <w:bCs/>
      <w:kern w:val="44"/>
      <w:sz w:val="44"/>
      <w:szCs w:val="44"/>
    </w:rPr>
  </w:style>
  <w:style w:type="character" w:customStyle="1" w:styleId="118">
    <w:name w:val="标题 7 Char"/>
    <w:basedOn w:val="49"/>
    <w:link w:val="11"/>
    <w:qFormat/>
    <w:uiPriority w:val="0"/>
    <w:rPr>
      <w:rFonts w:eastAsia="仿宋_GB2312"/>
      <w:sz w:val="30"/>
    </w:rPr>
  </w:style>
  <w:style w:type="character" w:customStyle="1" w:styleId="119">
    <w:name w:val="页眉 Char"/>
    <w:basedOn w:val="49"/>
    <w:link w:val="31"/>
    <w:qFormat/>
    <w:uiPriority w:val="0"/>
    <w:rPr>
      <w:kern w:val="2"/>
      <w:sz w:val="18"/>
      <w:szCs w:val="18"/>
    </w:rPr>
  </w:style>
  <w:style w:type="character" w:customStyle="1" w:styleId="120">
    <w:name w:val="Heading 8 Char"/>
    <w:qFormat/>
    <w:locked/>
    <w:uiPriority w:val="0"/>
    <w:rPr>
      <w:rFonts w:ascii="Cambria" w:hAnsi="Cambria" w:eastAsia="宋体"/>
      <w:kern w:val="2"/>
      <w:sz w:val="24"/>
    </w:rPr>
  </w:style>
  <w:style w:type="character" w:customStyle="1" w:styleId="121">
    <w:name w:val="Char Char5"/>
    <w:basedOn w:val="49"/>
    <w:qFormat/>
    <w:uiPriority w:val="0"/>
    <w:rPr>
      <w:rFonts w:ascii="宋体" w:hAnsi="Courier New" w:eastAsia="宋体"/>
      <w:kern w:val="2"/>
      <w:sz w:val="28"/>
      <w:szCs w:val="28"/>
      <w:lang w:val="en-US" w:eastAsia="zh-CN" w:bidi="ar-SA"/>
    </w:rPr>
  </w:style>
  <w:style w:type="character" w:customStyle="1" w:styleId="122">
    <w:name w:val="Char Char15"/>
    <w:basedOn w:val="49"/>
    <w:qFormat/>
    <w:uiPriority w:val="0"/>
    <w:rPr>
      <w:kern w:val="2"/>
      <w:sz w:val="21"/>
      <w:szCs w:val="24"/>
    </w:rPr>
  </w:style>
  <w:style w:type="character" w:customStyle="1" w:styleId="123">
    <w:name w:val="Char Char1"/>
    <w:qFormat/>
    <w:locked/>
    <w:uiPriority w:val="0"/>
    <w:rPr>
      <w:rFonts w:eastAsia="宋体"/>
      <w:szCs w:val="24"/>
      <w:u w:val="single"/>
      <w:lang w:val="en-US" w:eastAsia="en-US" w:bidi="ar-SA"/>
    </w:rPr>
  </w:style>
  <w:style w:type="character" w:customStyle="1" w:styleId="124">
    <w:name w:val="Char Char21"/>
    <w:basedOn w:val="49"/>
    <w:qFormat/>
    <w:uiPriority w:val="0"/>
    <w:rPr>
      <w:rFonts w:ascii="宋体" w:hAnsi="宋体" w:cs="宋体"/>
      <w:b/>
      <w:bCs/>
      <w:sz w:val="24"/>
      <w:szCs w:val="24"/>
    </w:rPr>
  </w:style>
  <w:style w:type="character" w:customStyle="1" w:styleId="125">
    <w:name w:val="Char Char28"/>
    <w:basedOn w:val="49"/>
    <w:qFormat/>
    <w:uiPriority w:val="0"/>
    <w:rPr>
      <w:rFonts w:eastAsia="宋体"/>
      <w:b/>
      <w:bCs/>
      <w:kern w:val="44"/>
      <w:sz w:val="44"/>
      <w:szCs w:val="44"/>
      <w:lang w:val="en-US" w:eastAsia="zh-CN" w:bidi="ar-SA"/>
    </w:rPr>
  </w:style>
  <w:style w:type="character" w:customStyle="1" w:styleId="126">
    <w:name w:val="副标题 Char"/>
    <w:basedOn w:val="49"/>
    <w:link w:val="34"/>
    <w:qFormat/>
    <w:uiPriority w:val="0"/>
    <w:rPr>
      <w:szCs w:val="24"/>
      <w:u w:val="single"/>
      <w:lang w:eastAsia="en-US"/>
    </w:rPr>
  </w:style>
  <w:style w:type="character" w:customStyle="1" w:styleId="127">
    <w:name w:val="纯文本 Char"/>
    <w:basedOn w:val="49"/>
    <w:link w:val="24"/>
    <w:qFormat/>
    <w:uiPriority w:val="0"/>
    <w:rPr>
      <w:rFonts w:ascii="宋体" w:hAnsi="Courier New" w:cs="Courier New"/>
      <w:kern w:val="2"/>
      <w:sz w:val="21"/>
      <w:szCs w:val="21"/>
    </w:rPr>
  </w:style>
  <w:style w:type="character" w:customStyle="1" w:styleId="128">
    <w:name w:val="Comment Text Char"/>
    <w:qFormat/>
    <w:locked/>
    <w:uiPriority w:val="0"/>
    <w:rPr>
      <w:kern w:val="2"/>
      <w:sz w:val="22"/>
    </w:rPr>
  </w:style>
  <w:style w:type="character" w:customStyle="1" w:styleId="129">
    <w:name w:val="批注文字 Char Char"/>
    <w:qFormat/>
    <w:uiPriority w:val="0"/>
    <w:rPr>
      <w:rFonts w:ascii="宋体" w:hAnsi="Times New Roman" w:eastAsia="宋体"/>
      <w:sz w:val="20"/>
    </w:rPr>
  </w:style>
  <w:style w:type="character" w:customStyle="1" w:styleId="130">
    <w:name w:val="Heading 5 Char"/>
    <w:qFormat/>
    <w:locked/>
    <w:uiPriority w:val="0"/>
    <w:rPr>
      <w:b/>
      <w:kern w:val="2"/>
      <w:sz w:val="28"/>
    </w:rPr>
  </w:style>
  <w:style w:type="character" w:customStyle="1" w:styleId="131">
    <w:name w:val="普通文字 Char Char1"/>
    <w:basedOn w:val="49"/>
    <w:qFormat/>
    <w:uiPriority w:val="0"/>
    <w:rPr>
      <w:rFonts w:ascii="宋体" w:hAnsi="Courier New" w:eastAsia="宋体"/>
      <w:kern w:val="2"/>
      <w:sz w:val="28"/>
      <w:szCs w:val="28"/>
      <w:lang w:bidi="ar-SA"/>
    </w:rPr>
  </w:style>
  <w:style w:type="character" w:customStyle="1" w:styleId="132">
    <w:name w:val="Heading 3 Char"/>
    <w:qFormat/>
    <w:locked/>
    <w:uiPriority w:val="0"/>
    <w:rPr>
      <w:b/>
      <w:kern w:val="2"/>
      <w:sz w:val="32"/>
    </w:rPr>
  </w:style>
  <w:style w:type="character" w:customStyle="1" w:styleId="133">
    <w:name w:val="style21"/>
    <w:basedOn w:val="49"/>
    <w:qFormat/>
    <w:uiPriority w:val="0"/>
    <w:rPr>
      <w:b/>
      <w:bCs/>
      <w:sz w:val="28"/>
      <w:szCs w:val="28"/>
    </w:rPr>
  </w:style>
  <w:style w:type="character" w:customStyle="1" w:styleId="134">
    <w:name w:val="文档结构图 Char1"/>
    <w:qFormat/>
    <w:uiPriority w:val="0"/>
    <w:rPr>
      <w:rFonts w:ascii="宋体"/>
      <w:kern w:val="2"/>
      <w:sz w:val="18"/>
    </w:rPr>
  </w:style>
  <w:style w:type="character" w:customStyle="1" w:styleId="135">
    <w:name w:val="日期 Char"/>
    <w:basedOn w:val="49"/>
    <w:link w:val="26"/>
    <w:qFormat/>
    <w:uiPriority w:val="0"/>
    <w:rPr>
      <w:kern w:val="2"/>
      <w:sz w:val="21"/>
      <w:szCs w:val="24"/>
    </w:rPr>
  </w:style>
  <w:style w:type="character" w:customStyle="1" w:styleId="136">
    <w:name w:val="Heading 9 Char"/>
    <w:qFormat/>
    <w:locked/>
    <w:uiPriority w:val="0"/>
    <w:rPr>
      <w:rFonts w:ascii="Cambria" w:hAnsi="Cambria" w:eastAsia="宋体"/>
      <w:kern w:val="2"/>
      <w:sz w:val="21"/>
    </w:rPr>
  </w:style>
  <w:style w:type="character" w:customStyle="1" w:styleId="137">
    <w:name w:val="style31"/>
    <w:basedOn w:val="49"/>
    <w:qFormat/>
    <w:uiPriority w:val="0"/>
    <w:rPr>
      <w:sz w:val="10"/>
      <w:szCs w:val="10"/>
    </w:rPr>
  </w:style>
  <w:style w:type="character" w:customStyle="1" w:styleId="138">
    <w:name w:val="书籍标题1"/>
    <w:qFormat/>
    <w:uiPriority w:val="0"/>
    <w:rPr>
      <w:b/>
      <w:smallCaps/>
      <w:spacing w:val="5"/>
    </w:rPr>
  </w:style>
  <w:style w:type="character" w:customStyle="1" w:styleId="139">
    <w:name w:val="标题 4 Char"/>
    <w:basedOn w:val="49"/>
    <w:link w:val="7"/>
    <w:qFormat/>
    <w:uiPriority w:val="0"/>
    <w:rPr>
      <w:rFonts w:ascii="宋体" w:hAnsi="宋体" w:cs="宋体"/>
      <w:b/>
      <w:bCs/>
      <w:sz w:val="24"/>
      <w:szCs w:val="24"/>
    </w:rPr>
  </w:style>
  <w:style w:type="character" w:customStyle="1" w:styleId="140">
    <w:name w:val="文档结构图 Char"/>
    <w:basedOn w:val="49"/>
    <w:link w:val="16"/>
    <w:qFormat/>
    <w:uiPriority w:val="0"/>
    <w:rPr>
      <w:kern w:val="2"/>
      <w:sz w:val="21"/>
      <w:szCs w:val="24"/>
      <w:shd w:val="clear" w:color="auto" w:fill="000080"/>
    </w:rPr>
  </w:style>
  <w:style w:type="character" w:customStyle="1" w:styleId="141">
    <w:name w:val="标题 6 Char"/>
    <w:basedOn w:val="49"/>
    <w:link w:val="9"/>
    <w:qFormat/>
    <w:uiPriority w:val="0"/>
    <w:rPr>
      <w:rFonts w:hAnsi="Arial" w:eastAsia="仿宋_GB2312"/>
      <w:sz w:val="30"/>
    </w:rPr>
  </w:style>
  <w:style w:type="character" w:customStyle="1" w:styleId="142">
    <w:name w:val="Subtitle Char"/>
    <w:qFormat/>
    <w:locked/>
    <w:uiPriority w:val="0"/>
    <w:rPr>
      <w:rFonts w:ascii="Cambria" w:hAnsi="Cambria"/>
      <w:b/>
      <w:kern w:val="28"/>
      <w:sz w:val="32"/>
    </w:rPr>
  </w:style>
  <w:style w:type="character" w:customStyle="1" w:styleId="143">
    <w:name w:val="标题 Char"/>
    <w:basedOn w:val="49"/>
    <w:link w:val="45"/>
    <w:qFormat/>
    <w:uiPriority w:val="0"/>
    <w:rPr>
      <w:szCs w:val="24"/>
      <w:u w:val="single"/>
      <w:lang w:eastAsia="en-US"/>
    </w:rPr>
  </w:style>
  <w:style w:type="character" w:customStyle="1" w:styleId="144">
    <w:name w:val="正文文本 Char1"/>
    <w:qFormat/>
    <w:uiPriority w:val="0"/>
    <w:rPr>
      <w:kern w:val="2"/>
      <w:sz w:val="22"/>
    </w:rPr>
  </w:style>
  <w:style w:type="character" w:customStyle="1" w:styleId="145">
    <w:name w:val="批注主题 Char1"/>
    <w:qFormat/>
    <w:uiPriority w:val="0"/>
    <w:rPr>
      <w:b/>
      <w:kern w:val="2"/>
      <w:sz w:val="22"/>
    </w:rPr>
  </w:style>
  <w:style w:type="character" w:customStyle="1" w:styleId="146">
    <w:name w:val="Char Char91"/>
    <w:basedOn w:val="49"/>
    <w:qFormat/>
    <w:uiPriority w:val="0"/>
    <w:rPr>
      <w:rFonts w:ascii="仿宋_GB2312" w:eastAsia="仿宋_GB2312" w:cs="MingLiU"/>
      <w:b/>
      <w:sz w:val="24"/>
      <w:szCs w:val="28"/>
      <w:lang w:val="en-US" w:eastAsia="zh-CN" w:bidi="ar-SA"/>
    </w:rPr>
  </w:style>
  <w:style w:type="character" w:customStyle="1" w:styleId="147">
    <w:name w:val="Footer Char"/>
    <w:qFormat/>
    <w:locked/>
    <w:uiPriority w:val="0"/>
    <w:rPr>
      <w:kern w:val="2"/>
      <w:sz w:val="18"/>
    </w:rPr>
  </w:style>
  <w:style w:type="character" w:customStyle="1" w:styleId="148">
    <w:name w:val="手改 Char Char"/>
    <w:basedOn w:val="49"/>
    <w:qFormat/>
    <w:uiPriority w:val="0"/>
    <w:rPr>
      <w:rFonts w:eastAsia="宋体"/>
      <w:kern w:val="2"/>
      <w:sz w:val="21"/>
      <w:szCs w:val="24"/>
      <w:lang w:val="en-US" w:eastAsia="zh-CN" w:bidi="ar-SA"/>
    </w:rPr>
  </w:style>
  <w:style w:type="character" w:customStyle="1" w:styleId="149">
    <w:name w:val="Char Char19"/>
    <w:basedOn w:val="49"/>
    <w:qFormat/>
    <w:uiPriority w:val="0"/>
    <w:rPr>
      <w:rFonts w:hAnsi="Arial" w:eastAsia="仿宋_GB2312"/>
      <w:sz w:val="30"/>
      <w:lang w:val="en-US" w:eastAsia="zh-CN" w:bidi="ar-SA"/>
    </w:rPr>
  </w:style>
  <w:style w:type="character" w:customStyle="1" w:styleId="150">
    <w:name w:val="Date Char"/>
    <w:qFormat/>
    <w:locked/>
    <w:uiPriority w:val="0"/>
    <w:rPr>
      <w:rFonts w:ascii="宋体" w:hAnsi="Times New Roman"/>
      <w:sz w:val="28"/>
    </w:rPr>
  </w:style>
  <w:style w:type="character" w:customStyle="1" w:styleId="151">
    <w:name w:val="Heading 4 Char"/>
    <w:qFormat/>
    <w:locked/>
    <w:uiPriority w:val="0"/>
    <w:rPr>
      <w:rFonts w:ascii="Cambria" w:hAnsi="Cambria" w:eastAsia="宋体"/>
      <w:b/>
      <w:kern w:val="2"/>
      <w:sz w:val="28"/>
    </w:rPr>
  </w:style>
  <w:style w:type="character" w:customStyle="1" w:styleId="152">
    <w:name w:val="Char Char18"/>
    <w:basedOn w:val="49"/>
    <w:qFormat/>
    <w:uiPriority w:val="0"/>
    <w:rPr>
      <w:rFonts w:eastAsia="仿宋_GB2312"/>
      <w:sz w:val="30"/>
      <w:lang w:val="en-US" w:eastAsia="zh-CN" w:bidi="ar-SA"/>
    </w:rPr>
  </w:style>
  <w:style w:type="character" w:customStyle="1" w:styleId="153">
    <w:name w:val="正文文本 Char"/>
    <w:basedOn w:val="49"/>
    <w:link w:val="19"/>
    <w:qFormat/>
    <w:uiPriority w:val="0"/>
    <w:rPr>
      <w:kern w:val="2"/>
      <w:sz w:val="21"/>
      <w:szCs w:val="24"/>
    </w:rPr>
  </w:style>
  <w:style w:type="character" w:customStyle="1" w:styleId="154">
    <w:name w:val="标题4 Char Char"/>
    <w:link w:val="155"/>
    <w:qFormat/>
    <w:locked/>
    <w:uiPriority w:val="0"/>
    <w:rPr>
      <w:rFonts w:ascii="Arial" w:hAnsi="Arial"/>
      <w:b/>
      <w:sz w:val="32"/>
      <w:lang w:bidi="ar-SA"/>
    </w:rPr>
  </w:style>
  <w:style w:type="paragraph" w:customStyle="1" w:styleId="155">
    <w:name w:val="标题4"/>
    <w:basedOn w:val="5"/>
    <w:next w:val="21"/>
    <w:link w:val="154"/>
    <w:qFormat/>
    <w:uiPriority w:val="0"/>
    <w:pPr>
      <w:spacing w:line="413" w:lineRule="auto"/>
    </w:pPr>
    <w:rPr>
      <w:rFonts w:ascii="Arial" w:hAnsi="Arial"/>
      <w:bCs w:val="0"/>
      <w:kern w:val="0"/>
      <w:szCs w:val="20"/>
    </w:rPr>
  </w:style>
  <w:style w:type="character" w:customStyle="1" w:styleId="156">
    <w:name w:val="main_tdbg_7601"/>
    <w:basedOn w:val="49"/>
    <w:qFormat/>
    <w:uiPriority w:val="0"/>
    <w:rPr>
      <w:sz w:val="14"/>
      <w:szCs w:val="14"/>
    </w:rPr>
  </w:style>
  <w:style w:type="character" w:customStyle="1" w:styleId="157">
    <w:name w:val="style161"/>
    <w:basedOn w:val="49"/>
    <w:qFormat/>
    <w:uiPriority w:val="0"/>
    <w:rPr>
      <w:b/>
      <w:bCs/>
      <w:color w:val="333333"/>
    </w:rPr>
  </w:style>
  <w:style w:type="character" w:customStyle="1" w:styleId="158">
    <w:name w:val="Quote Char"/>
    <w:link w:val="159"/>
    <w:qFormat/>
    <w:locked/>
    <w:uiPriority w:val="0"/>
    <w:rPr>
      <w:i/>
      <w:color w:val="000000"/>
      <w:kern w:val="2"/>
      <w:sz w:val="22"/>
      <w:lang w:bidi="ar-SA"/>
    </w:rPr>
  </w:style>
  <w:style w:type="paragraph" w:customStyle="1" w:styleId="159">
    <w:name w:val="引用1"/>
    <w:basedOn w:val="1"/>
    <w:next w:val="1"/>
    <w:link w:val="158"/>
    <w:qFormat/>
    <w:uiPriority w:val="0"/>
    <w:rPr>
      <w:i/>
      <w:color w:val="000000"/>
      <w:sz w:val="22"/>
      <w:szCs w:val="20"/>
    </w:rPr>
  </w:style>
  <w:style w:type="character" w:customStyle="1" w:styleId="160">
    <w:name w:val="Char Char101"/>
    <w:basedOn w:val="49"/>
    <w:qFormat/>
    <w:uiPriority w:val="0"/>
    <w:rPr>
      <w:rFonts w:eastAsia="宋体"/>
      <w:kern w:val="2"/>
      <w:sz w:val="18"/>
      <w:szCs w:val="18"/>
      <w:lang w:val="en-US" w:eastAsia="zh-CN" w:bidi="ar-SA"/>
    </w:rPr>
  </w:style>
  <w:style w:type="character" w:customStyle="1" w:styleId="161">
    <w:name w:val="Heading 1 Char"/>
    <w:qFormat/>
    <w:locked/>
    <w:uiPriority w:val="0"/>
    <w:rPr>
      <w:b/>
      <w:kern w:val="44"/>
      <w:sz w:val="44"/>
    </w:rPr>
  </w:style>
  <w:style w:type="character" w:customStyle="1" w:styleId="162">
    <w:name w:val="l1"/>
    <w:basedOn w:val="49"/>
    <w:qFormat/>
    <w:uiPriority w:val="0"/>
  </w:style>
  <w:style w:type="character" w:customStyle="1" w:styleId="163">
    <w:name w:val="Char Char24"/>
    <w:basedOn w:val="49"/>
    <w:qFormat/>
    <w:uiPriority w:val="0"/>
    <w:rPr>
      <w:b/>
      <w:bCs/>
      <w:kern w:val="44"/>
      <w:sz w:val="44"/>
      <w:szCs w:val="44"/>
    </w:rPr>
  </w:style>
  <w:style w:type="character" w:customStyle="1" w:styleId="164">
    <w:name w:val="Heading 7 Char"/>
    <w:qFormat/>
    <w:locked/>
    <w:uiPriority w:val="0"/>
    <w:rPr>
      <w:b/>
      <w:kern w:val="2"/>
      <w:sz w:val="24"/>
    </w:rPr>
  </w:style>
  <w:style w:type="character" w:customStyle="1" w:styleId="165">
    <w:name w:val="unnamed1"/>
    <w:basedOn w:val="49"/>
    <w:qFormat/>
    <w:uiPriority w:val="0"/>
  </w:style>
  <w:style w:type="character" w:customStyle="1" w:styleId="166">
    <w:name w:val="Body Text Char"/>
    <w:qFormat/>
    <w:locked/>
    <w:uiPriority w:val="0"/>
    <w:rPr>
      <w:rFonts w:ascii="Times New Roman" w:hAnsi="Times New Roman"/>
    </w:rPr>
  </w:style>
  <w:style w:type="character" w:customStyle="1" w:styleId="167">
    <w:name w:val="标题 5 Char"/>
    <w:basedOn w:val="49"/>
    <w:link w:val="8"/>
    <w:qFormat/>
    <w:uiPriority w:val="0"/>
    <w:rPr>
      <w:rFonts w:ascii="宋体" w:hAnsi="宋体" w:cs="宋体"/>
      <w:b/>
      <w:bCs/>
    </w:rPr>
  </w:style>
  <w:style w:type="character" w:customStyle="1" w:styleId="168">
    <w:name w:val="color_red1"/>
    <w:basedOn w:val="49"/>
    <w:qFormat/>
    <w:uiPriority w:val="0"/>
    <w:rPr>
      <w:color w:val="FA0004"/>
    </w:rPr>
  </w:style>
  <w:style w:type="character" w:customStyle="1" w:styleId="169">
    <w:name w:val="标题5 Char Char"/>
    <w:link w:val="170"/>
    <w:qFormat/>
    <w:locked/>
    <w:uiPriority w:val="0"/>
    <w:rPr>
      <w:rFonts w:ascii="Arial" w:hAnsi="Arial"/>
      <w:b/>
      <w:sz w:val="32"/>
      <w:lang w:bidi="ar-SA"/>
    </w:rPr>
  </w:style>
  <w:style w:type="paragraph" w:customStyle="1" w:styleId="170">
    <w:name w:val="标题5"/>
    <w:basedOn w:val="6"/>
    <w:link w:val="169"/>
    <w:qFormat/>
    <w:uiPriority w:val="0"/>
    <w:pPr>
      <w:spacing w:line="413" w:lineRule="auto"/>
    </w:pPr>
    <w:rPr>
      <w:rFonts w:ascii="Arial" w:hAnsi="Arial"/>
      <w:bCs w:val="0"/>
      <w:kern w:val="0"/>
      <w:szCs w:val="20"/>
    </w:rPr>
  </w:style>
  <w:style w:type="character" w:customStyle="1" w:styleId="171">
    <w:name w:val="正文文本缩进 2 Char"/>
    <w:basedOn w:val="49"/>
    <w:link w:val="27"/>
    <w:qFormat/>
    <w:uiPriority w:val="0"/>
    <w:rPr>
      <w:sz w:val="28"/>
      <w:szCs w:val="24"/>
    </w:rPr>
  </w:style>
  <w:style w:type="character" w:customStyle="1" w:styleId="172">
    <w:name w:val="不明显参考1"/>
    <w:qFormat/>
    <w:uiPriority w:val="0"/>
    <w:rPr>
      <w:smallCaps/>
      <w:color w:val="C0504D"/>
      <w:u w:val="single"/>
    </w:rPr>
  </w:style>
  <w:style w:type="character" w:customStyle="1" w:styleId="173">
    <w:name w:val="标题 3 Char"/>
    <w:basedOn w:val="49"/>
    <w:link w:val="6"/>
    <w:qFormat/>
    <w:uiPriority w:val="0"/>
    <w:rPr>
      <w:b/>
      <w:bCs/>
      <w:kern w:val="2"/>
      <w:sz w:val="32"/>
      <w:szCs w:val="32"/>
    </w:rPr>
  </w:style>
  <w:style w:type="character" w:customStyle="1" w:styleId="174">
    <w:name w:val="Header Char"/>
    <w:qFormat/>
    <w:locked/>
    <w:uiPriority w:val="0"/>
    <w:rPr>
      <w:kern w:val="2"/>
      <w:sz w:val="18"/>
    </w:rPr>
  </w:style>
  <w:style w:type="character" w:customStyle="1" w:styleId="175">
    <w:name w:val="ss16"/>
    <w:basedOn w:val="49"/>
    <w:qFormat/>
    <w:uiPriority w:val="0"/>
    <w:rPr>
      <w:rFonts w:hint="eastAsia" w:ascii="宋体" w:hAnsi="宋体" w:eastAsia="宋体"/>
      <w:color w:val="000000"/>
      <w:sz w:val="9"/>
      <w:szCs w:val="9"/>
    </w:rPr>
  </w:style>
  <w:style w:type="character" w:customStyle="1" w:styleId="176">
    <w:name w:val="Char Char111"/>
    <w:basedOn w:val="49"/>
    <w:qFormat/>
    <w:uiPriority w:val="0"/>
    <w:rPr>
      <w:rFonts w:eastAsia="宋体"/>
      <w:kern w:val="2"/>
      <w:sz w:val="18"/>
      <w:szCs w:val="18"/>
      <w:lang w:val="en-US" w:eastAsia="zh-CN" w:bidi="ar-SA"/>
    </w:rPr>
  </w:style>
  <w:style w:type="character" w:customStyle="1" w:styleId="177">
    <w:name w:val="Char Char8"/>
    <w:basedOn w:val="49"/>
    <w:qFormat/>
    <w:uiPriority w:val="0"/>
    <w:rPr>
      <w:rFonts w:eastAsia="宋体"/>
      <w:kern w:val="2"/>
      <w:sz w:val="18"/>
      <w:szCs w:val="18"/>
      <w:lang w:val="en-US" w:eastAsia="zh-CN" w:bidi="ar-SA"/>
    </w:rPr>
  </w:style>
  <w:style w:type="character" w:customStyle="1" w:styleId="178">
    <w:name w:val="Char Char13"/>
    <w:basedOn w:val="49"/>
    <w:qFormat/>
    <w:uiPriority w:val="0"/>
    <w:rPr>
      <w:rFonts w:eastAsia="宋体"/>
      <w:b/>
      <w:bCs/>
      <w:kern w:val="44"/>
      <w:sz w:val="44"/>
      <w:szCs w:val="44"/>
      <w:lang w:val="en-US" w:eastAsia="zh-CN" w:bidi="ar-SA"/>
    </w:rPr>
  </w:style>
  <w:style w:type="character" w:customStyle="1" w:styleId="179">
    <w:name w:val="正文文字4 Char Char"/>
    <w:basedOn w:val="49"/>
    <w:qFormat/>
    <w:uiPriority w:val="0"/>
    <w:rPr>
      <w:rFonts w:eastAsia="宋体"/>
      <w:kern w:val="2"/>
      <w:sz w:val="21"/>
      <w:szCs w:val="24"/>
      <w:lang w:val="en-US" w:eastAsia="zh-CN" w:bidi="ar-SA"/>
    </w:rPr>
  </w:style>
  <w:style w:type="character" w:customStyle="1" w:styleId="180">
    <w:name w:val="Char Char23"/>
    <w:basedOn w:val="49"/>
    <w:qFormat/>
    <w:uiPriority w:val="0"/>
    <w:rPr>
      <w:rFonts w:ascii="Cambria" w:hAnsi="Cambria" w:eastAsia="宋体" w:cs="Times New Roman"/>
      <w:b/>
      <w:bCs/>
      <w:kern w:val="2"/>
      <w:sz w:val="32"/>
      <w:szCs w:val="32"/>
    </w:rPr>
  </w:style>
  <w:style w:type="paragraph" w:customStyle="1" w:styleId="181">
    <w:name w:val="WW-表格标题"/>
    <w:basedOn w:val="182"/>
    <w:qFormat/>
    <w:uiPriority w:val="0"/>
  </w:style>
  <w:style w:type="paragraph" w:customStyle="1" w:styleId="182">
    <w:name w:val="WW-表格内容"/>
    <w:basedOn w:val="1"/>
    <w:qFormat/>
    <w:uiPriority w:val="0"/>
    <w:pPr>
      <w:suppressLineNumbers/>
      <w:suppressAutoHyphens/>
    </w:pPr>
  </w:style>
  <w:style w:type="paragraph" w:customStyle="1" w:styleId="18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表格标题"/>
    <w:basedOn w:val="186"/>
    <w:qFormat/>
    <w:uiPriority w:val="0"/>
  </w:style>
  <w:style w:type="paragraph" w:customStyle="1" w:styleId="186">
    <w:name w:val="表格内容"/>
    <w:basedOn w:val="1"/>
    <w:qFormat/>
    <w:uiPriority w:val="0"/>
    <w:pPr>
      <w:suppressLineNumbers/>
      <w:suppressAutoHyphens/>
    </w:pPr>
  </w:style>
  <w:style w:type="paragraph" w:customStyle="1" w:styleId="187">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88">
    <w:name w:val="样式3"/>
    <w:basedOn w:val="6"/>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189">
    <w:name w:val="默认段落字体 Para Char Char Char Char"/>
    <w:basedOn w:val="1"/>
    <w:qFormat/>
    <w:uiPriority w:val="0"/>
    <w:rPr>
      <w:rFonts w:ascii="宋体"/>
      <w:kern w:val="0"/>
      <w:sz w:val="18"/>
      <w:szCs w:val="20"/>
      <w:u w:val="single"/>
    </w:r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93">
    <w:name w:val="pa-34"/>
    <w:basedOn w:val="1"/>
    <w:qFormat/>
    <w:uiPriority w:val="0"/>
    <w:pPr>
      <w:widowControl/>
      <w:spacing w:line="360" w:lineRule="atLeast"/>
      <w:ind w:firstLine="420"/>
      <w:jc w:val="left"/>
    </w:pPr>
    <w:rPr>
      <w:rFonts w:ascii="宋体" w:hAnsi="宋体" w:cs="宋体"/>
      <w:kern w:val="0"/>
      <w:sz w:val="24"/>
    </w:rPr>
  </w:style>
  <w:style w:type="paragraph" w:customStyle="1" w:styleId="194">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5">
    <w:name w:val="自定样式1"/>
    <w:basedOn w:val="1"/>
    <w:qFormat/>
    <w:uiPriority w:val="0"/>
    <w:pPr>
      <w:suppressAutoHyphens/>
      <w:jc w:val="center"/>
    </w:pPr>
    <w:rPr>
      <w:rFonts w:ascii="宋体" w:hAnsi="宋体"/>
      <w:color w:val="000000"/>
      <w:sz w:val="18"/>
    </w:rPr>
  </w:style>
  <w:style w:type="paragraph" w:customStyle="1" w:styleId="196">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9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列表段落1"/>
    <w:basedOn w:val="1"/>
    <w:qFormat/>
    <w:uiPriority w:val="1"/>
    <w:pPr>
      <w:ind w:firstLine="420" w:firstLineChars="200"/>
    </w:pPr>
    <w:rPr>
      <w:rFonts w:ascii="Calibri" w:hAnsi="Calibri"/>
      <w:szCs w:val="22"/>
    </w:rPr>
  </w:style>
  <w:style w:type="paragraph" w:customStyle="1" w:styleId="201">
    <w:name w:val="1 Char Char Char Char Char Char Char"/>
    <w:basedOn w:val="1"/>
    <w:qFormat/>
    <w:uiPriority w:val="0"/>
    <w:pPr>
      <w:widowControl/>
      <w:spacing w:line="400" w:lineRule="exact"/>
      <w:jc w:val="center"/>
    </w:pPr>
  </w:style>
  <w:style w:type="paragraph" w:customStyle="1" w:styleId="202">
    <w:name w:val="列出段落1"/>
    <w:basedOn w:val="1"/>
    <w:qFormat/>
    <w:uiPriority w:val="0"/>
    <w:pPr>
      <w:ind w:firstLine="420" w:firstLineChars="200"/>
    </w:pPr>
    <w:rPr>
      <w:sz w:val="28"/>
      <w:szCs w:val="28"/>
    </w:rPr>
  </w:style>
  <w:style w:type="paragraph" w:customStyle="1" w:styleId="203">
    <w:name w:val="修订1"/>
    <w:qFormat/>
    <w:uiPriority w:val="0"/>
    <w:rPr>
      <w:rFonts w:ascii="Times New Roman" w:hAnsi="Times New Roman" w:eastAsia="宋体" w:cs="Times New Roman"/>
      <w:kern w:val="2"/>
      <w:sz w:val="21"/>
      <w:szCs w:val="24"/>
      <w:lang w:val="en-US" w:eastAsia="zh-CN" w:bidi="ar-SA"/>
    </w:rPr>
  </w:style>
  <w:style w:type="paragraph" w:customStyle="1" w:styleId="20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0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9">
    <w:name w:val="Char Char Char Char"/>
    <w:basedOn w:val="16"/>
    <w:qFormat/>
    <w:uiPriority w:val="0"/>
    <w:pPr>
      <w:widowControl/>
      <w:ind w:firstLine="454"/>
      <w:jc w:val="left"/>
    </w:pPr>
    <w:rPr>
      <w:shd w:val="clear" w:color="auto" w:fill="auto"/>
    </w:rPr>
  </w:style>
  <w:style w:type="paragraph" w:customStyle="1" w:styleId="210">
    <w:name w:val="pa-27"/>
    <w:basedOn w:val="1"/>
    <w:qFormat/>
    <w:uiPriority w:val="0"/>
    <w:pPr>
      <w:widowControl/>
      <w:spacing w:line="360" w:lineRule="atLeast"/>
      <w:ind w:firstLine="420"/>
    </w:pPr>
    <w:rPr>
      <w:rFonts w:ascii="宋体" w:hAnsi="宋体" w:cs="宋体"/>
      <w:kern w:val="0"/>
      <w:sz w:val="24"/>
    </w:rPr>
  </w:style>
  <w:style w:type="paragraph" w:customStyle="1" w:styleId="21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Char Char1 Char Char Char Char Char Char Char"/>
    <w:basedOn w:val="1"/>
    <w:qFormat/>
    <w:uiPriority w:val="0"/>
    <w:pPr>
      <w:pageBreakBefore/>
    </w:pPr>
    <w:rPr>
      <w:rFonts w:ascii="宋体" w:eastAsia="仿宋_GB2312" w:cs="宋体"/>
      <w:sz w:val="28"/>
      <w:szCs w:val="28"/>
    </w:rPr>
  </w:style>
  <w:style w:type="paragraph" w:customStyle="1" w:styleId="214">
    <w:name w:val="Char1 Char Char Char"/>
    <w:basedOn w:val="1"/>
    <w:qFormat/>
    <w:uiPriority w:val="0"/>
    <w:rPr>
      <w:szCs w:val="20"/>
    </w:rPr>
  </w:style>
  <w:style w:type="paragraph" w:customStyle="1" w:styleId="215">
    <w:name w:val="Char"/>
    <w:basedOn w:val="1"/>
    <w:qFormat/>
    <w:uiPriority w:val="0"/>
    <w:rPr>
      <w:rFonts w:eastAsia="仿宋_GB2312"/>
      <w:sz w:val="32"/>
    </w:rPr>
  </w:style>
  <w:style w:type="paragraph" w:customStyle="1" w:styleId="216">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7">
    <w:name w:val="Char1"/>
    <w:basedOn w:val="1"/>
    <w:qFormat/>
    <w:uiPriority w:val="0"/>
    <w:pPr>
      <w:spacing w:beforeLines="50" w:afterLines="50"/>
    </w:pPr>
    <w:rPr>
      <w:rFonts w:ascii="Tahoma" w:hAnsi="Tahoma"/>
      <w:sz w:val="24"/>
      <w:szCs w:val="20"/>
    </w:rPr>
  </w:style>
  <w:style w:type="paragraph" w:customStyle="1" w:styleId="218">
    <w:name w:val="Char Char Char"/>
    <w:basedOn w:val="1"/>
    <w:qFormat/>
    <w:uiPriority w:val="0"/>
    <w:pPr>
      <w:spacing w:line="240" w:lineRule="atLeast"/>
      <w:ind w:left="420" w:firstLine="420"/>
    </w:pPr>
  </w:style>
  <w:style w:type="paragraph" w:customStyle="1" w:styleId="219">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220">
    <w:name w:val="TOC 标题11"/>
    <w:basedOn w:val="4"/>
    <w:next w:val="1"/>
    <w:qFormat/>
    <w:uiPriority w:val="0"/>
    <w:pPr>
      <w:outlineLvl w:val="9"/>
    </w:pPr>
    <w:rPr>
      <w:rFonts w:ascii="Calibri" w:hAnsi="Calibri"/>
    </w:rPr>
  </w:style>
  <w:style w:type="paragraph" w:customStyle="1" w:styleId="22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3">
    <w:name w:val="表格文字"/>
    <w:basedOn w:val="1"/>
    <w:qFormat/>
    <w:uiPriority w:val="0"/>
    <w:pPr>
      <w:adjustRightInd w:val="0"/>
      <w:spacing w:line="420" w:lineRule="atLeast"/>
      <w:jc w:val="left"/>
      <w:textAlignment w:val="baseline"/>
    </w:pPr>
    <w:rPr>
      <w:kern w:val="0"/>
      <w:szCs w:val="20"/>
    </w:rPr>
  </w:style>
  <w:style w:type="paragraph" w:customStyle="1" w:styleId="22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5">
    <w:name w:val="Char Char Char1"/>
    <w:basedOn w:val="1"/>
    <w:qFormat/>
    <w:uiPriority w:val="0"/>
    <w:rPr>
      <w:rFonts w:ascii="Tahoma" w:hAnsi="Tahoma"/>
      <w:sz w:val="24"/>
      <w:szCs w:val="20"/>
    </w:rPr>
  </w:style>
  <w:style w:type="paragraph" w:customStyle="1" w:styleId="22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2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2">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33">
    <w:name w:val="Char2"/>
    <w:basedOn w:val="1"/>
    <w:qFormat/>
    <w:uiPriority w:val="0"/>
    <w:pPr>
      <w:snapToGrid w:val="0"/>
      <w:spacing w:line="360" w:lineRule="auto"/>
      <w:ind w:firstLine="200" w:firstLineChars="200"/>
    </w:pPr>
  </w:style>
  <w:style w:type="paragraph" w:customStyle="1" w:styleId="234">
    <w:name w:val="Char Char16 Char Char"/>
    <w:basedOn w:val="1"/>
    <w:qFormat/>
    <w:uiPriority w:val="0"/>
  </w:style>
  <w:style w:type="paragraph" w:customStyle="1" w:styleId="235">
    <w:name w:val="列表段落11"/>
    <w:basedOn w:val="1"/>
    <w:qFormat/>
    <w:uiPriority w:val="1"/>
    <w:pPr>
      <w:ind w:left="258" w:firstLine="480"/>
    </w:pPr>
    <w:rPr>
      <w:rFonts w:asciiTheme="minorHAnsi" w:hAnsiTheme="minorHAnsi" w:eastAsiaTheme="minorEastAsia" w:cstheme="minorBidi"/>
    </w:rPr>
  </w:style>
  <w:style w:type="paragraph" w:customStyle="1" w:styleId="236">
    <w:name w:val="正文文本 (15)"/>
    <w:basedOn w:val="1"/>
    <w:qFormat/>
    <w:uiPriority w:val="0"/>
    <w:pPr>
      <w:shd w:val="clear" w:color="auto" w:fill="FFFFFF"/>
      <w:spacing w:line="0" w:lineRule="atLeast"/>
    </w:pPr>
    <w:rPr>
      <w:rFonts w:ascii="MingLiU" w:hAnsi="MingLiU" w:eastAsia="MingLiU" w:cs="MingLiU"/>
      <w:spacing w:val="1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3F79C-2986-4F6E-98EF-18AE673200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3181</Words>
  <Characters>18134</Characters>
  <Lines>151</Lines>
  <Paragraphs>42</Paragraphs>
  <TotalTime>10</TotalTime>
  <ScaleCrop>false</ScaleCrop>
  <LinksUpToDate>false</LinksUpToDate>
  <CharactersWithSpaces>21273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2020-08-12T12:44:00Z</dcterms:created>
  <dc:creator>周林</dc:creator>
  <cp:lastModifiedBy>蹇锡伟</cp:lastModifiedBy>
  <cp:lastPrinted>2022-03-07T07:07:00Z</cp:lastPrinted>
  <dcterms:modified xsi:type="dcterms:W3CDTF">2022-12-26T07:44:34Z</dcterms:modified>
  <dc:title>招标文件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698BF042EF5D43C3BB2A6027F04185EB</vt:lpwstr>
  </property>
</Properties>
</file>