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sz w:val="32"/>
          <w:szCs w:val="32"/>
        </w:rPr>
      </w:pPr>
    </w:p>
    <w:p>
      <w:pPr>
        <w:spacing w:line="400" w:lineRule="exact"/>
        <w:jc w:val="center"/>
        <w:rPr>
          <w:rFonts w:ascii="宋体" w:hAnsi="宋体" w:cs="宋体"/>
          <w:b/>
          <w:sz w:val="32"/>
          <w:szCs w:val="32"/>
        </w:rPr>
      </w:pPr>
      <w:r>
        <w:rPr>
          <w:rFonts w:hint="eastAsia" w:ascii="宋体" w:hAnsi="宋体" w:cs="宋体"/>
          <w:b/>
          <w:sz w:val="32"/>
          <w:szCs w:val="32"/>
        </w:rPr>
        <w:t>项目名称：</w:t>
      </w:r>
      <w:r>
        <w:rPr>
          <w:rFonts w:hint="eastAsia" w:ascii="宋体" w:hAnsi="宋体" w:cs="宋体"/>
          <w:b/>
          <w:sz w:val="32"/>
          <w:szCs w:val="32"/>
          <w:lang w:eastAsia="zh-CN"/>
        </w:rPr>
        <w:t>2021年股份二期项目光缆采购项目（第二次）</w:t>
      </w:r>
      <w:r>
        <w:rPr>
          <w:rFonts w:hint="eastAsia" w:ascii="宋体" w:hAnsi="宋体" w:cs="宋体"/>
          <w:b/>
          <w:sz w:val="32"/>
          <w:szCs w:val="32"/>
        </w:rPr>
        <w:t xml:space="preserve"> </w:t>
      </w:r>
    </w:p>
    <w:p>
      <w:pPr>
        <w:rPr>
          <w:rFonts w:ascii="宋体" w:hAnsi="宋体" w:cs="宋体"/>
          <w:sz w:val="28"/>
          <w:szCs w:val="28"/>
        </w:rPr>
      </w:pPr>
    </w:p>
    <w:p>
      <w:pPr>
        <w:jc w:val="center"/>
        <w:rPr>
          <w:rFonts w:ascii="宋体" w:hAnsi="宋体" w:cs="宋体"/>
          <w:b/>
          <w:sz w:val="48"/>
          <w:szCs w:val="48"/>
        </w:rPr>
      </w:pPr>
      <w:r>
        <w:rPr>
          <w:rFonts w:hint="eastAsia" w:ascii="宋体" w:hAnsi="宋体" w:cs="宋体"/>
          <w:b/>
          <w:sz w:val="48"/>
          <w:szCs w:val="48"/>
        </w:rPr>
        <w:t>竞</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性</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比</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文</w:t>
      </w:r>
    </w:p>
    <w:p>
      <w:pPr>
        <w:jc w:val="center"/>
        <w:rPr>
          <w:rFonts w:ascii="宋体" w:hAnsi="宋体" w:cs="宋体"/>
          <w:b/>
          <w:sz w:val="48"/>
          <w:szCs w:val="48"/>
        </w:rPr>
      </w:pPr>
    </w:p>
    <w:p>
      <w:pPr>
        <w:jc w:val="center"/>
        <w:rPr>
          <w:rFonts w:ascii="宋体" w:hAnsi="宋体" w:cs="宋体"/>
          <w:b/>
          <w:sz w:val="96"/>
          <w:szCs w:val="72"/>
        </w:rPr>
      </w:pPr>
      <w:r>
        <w:rPr>
          <w:rFonts w:hint="eastAsia" w:ascii="宋体" w:hAnsi="宋体" w:cs="宋体"/>
          <w:b/>
          <w:sz w:val="48"/>
          <w:szCs w:val="48"/>
        </w:rPr>
        <w:t>件</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
    <w:p>
      <w:pPr>
        <w:jc w:val="center"/>
        <w:rPr>
          <w:rFonts w:ascii="宋体" w:hAnsi="宋体" w:cs="宋体"/>
          <w:b/>
          <w:sz w:val="28"/>
          <w:szCs w:val="28"/>
        </w:rPr>
      </w:pPr>
      <w:r>
        <w:rPr>
          <w:rFonts w:hint="eastAsia" w:ascii="宋体" w:hAnsi="宋体" w:cs="宋体"/>
          <w:b/>
          <w:sz w:val="28"/>
          <w:szCs w:val="28"/>
        </w:rPr>
        <w:t>采购人：重庆首讯科技股份有限公司</w:t>
      </w:r>
    </w:p>
    <w:p>
      <w:pPr>
        <w:jc w:val="center"/>
        <w:rPr>
          <w:rFonts w:ascii="宋体" w:hAnsi="宋体" w:cs="宋体"/>
          <w:b/>
          <w:sz w:val="28"/>
          <w:szCs w:val="28"/>
        </w:rPr>
      </w:pPr>
      <w:r>
        <w:rPr>
          <w:rFonts w:hint="eastAsia" w:ascii="宋体" w:hAnsi="宋体" w:cs="宋体"/>
          <w:b/>
          <w:sz w:val="28"/>
          <w:szCs w:val="28"/>
          <w:u w:val="single"/>
        </w:rPr>
        <w:t>2021</w:t>
      </w:r>
      <w:r>
        <w:rPr>
          <w:rFonts w:hint="eastAsia" w:ascii="宋体" w:hAnsi="宋体" w:cs="宋体"/>
          <w:b/>
          <w:sz w:val="28"/>
          <w:szCs w:val="28"/>
        </w:rPr>
        <w:t>年</w:t>
      </w:r>
      <w:r>
        <w:rPr>
          <w:rFonts w:hint="eastAsia" w:ascii="宋体" w:hAnsi="宋体" w:cs="宋体"/>
          <w:b/>
          <w:sz w:val="28"/>
          <w:szCs w:val="28"/>
          <w:u w:val="single"/>
        </w:rPr>
        <w:t xml:space="preserve"> </w:t>
      </w:r>
      <w:r>
        <w:rPr>
          <w:rFonts w:hint="eastAsia" w:ascii="宋体" w:hAnsi="宋体" w:cs="宋体"/>
          <w:b/>
          <w:sz w:val="28"/>
          <w:szCs w:val="28"/>
          <w:u w:val="single"/>
          <w:lang w:val="en-US" w:eastAsia="zh-CN"/>
        </w:rPr>
        <w:t>11</w:t>
      </w:r>
      <w:r>
        <w:rPr>
          <w:rFonts w:hint="eastAsia" w:ascii="宋体" w:hAnsi="宋体" w:cs="宋体"/>
          <w:b/>
          <w:sz w:val="28"/>
          <w:szCs w:val="28"/>
        </w:rPr>
        <w:t>月</w:t>
      </w:r>
    </w:p>
    <w:p>
      <w:pPr>
        <w:pStyle w:val="2"/>
        <w:jc w:val="center"/>
        <w:rPr>
          <w:rFonts w:ascii="宋体" w:hAnsi="宋体" w:cs="宋体"/>
          <w:szCs w:val="21"/>
        </w:rPr>
      </w:pPr>
      <w:r>
        <w:br w:type="page"/>
      </w:r>
      <w:bookmarkStart w:id="0" w:name="_Toc507319889"/>
      <w:bookmarkStart w:id="1" w:name="_Toc246996898"/>
      <w:bookmarkStart w:id="2" w:name="_Toc296602400"/>
      <w:bookmarkStart w:id="3" w:name="_Toc247085669"/>
      <w:bookmarkStart w:id="4" w:name="_Toc507428442"/>
      <w:r>
        <w:rPr>
          <w:rFonts w:hint="eastAsia" w:ascii="宋体" w:hAnsi="宋体" w:cs="宋体"/>
          <w:b w:val="0"/>
          <w:sz w:val="32"/>
        </w:rPr>
        <w:t>目   录</w:t>
      </w:r>
      <w:bookmarkEnd w:id="0"/>
      <w:bookmarkEnd w:id="1"/>
      <w:bookmarkEnd w:id="2"/>
      <w:bookmarkEnd w:id="3"/>
      <w:bookmarkEnd w:id="4"/>
    </w:p>
    <w:p>
      <w:pPr>
        <w:pStyle w:val="2"/>
        <w:tabs>
          <w:tab w:val="right" w:leader="dot" w:pos="9638"/>
        </w:tabs>
      </w:pPr>
      <w:r>
        <w:rPr>
          <w:rFonts w:hint="eastAsia" w:ascii="宋体" w:hAnsi="宋体" w:cs="宋体"/>
          <w:b w:val="0"/>
          <w:bCs w:val="0"/>
          <w:caps w:val="0"/>
        </w:rPr>
        <w:fldChar w:fldCharType="begin"/>
      </w:r>
      <w:r>
        <w:rPr>
          <w:rFonts w:hint="eastAsia" w:ascii="宋体" w:hAnsi="宋体" w:cs="宋体"/>
          <w:b w:val="0"/>
          <w:bCs w:val="0"/>
          <w:caps w:val="0"/>
        </w:rPr>
        <w:instrText xml:space="preserve"> TOC \o "1-2" \h \z \u </w:instrText>
      </w:r>
      <w:r>
        <w:rPr>
          <w:rFonts w:hint="eastAsia" w:ascii="宋体" w:hAnsi="宋体" w:cs="宋体"/>
          <w:b w:val="0"/>
          <w:bCs w:val="0"/>
          <w:caps w:val="0"/>
        </w:rPr>
        <w:fldChar w:fldCharType="separate"/>
      </w:r>
      <w:r>
        <w:fldChar w:fldCharType="begin"/>
      </w:r>
      <w:r>
        <w:instrText xml:space="preserve"> HYPERLINK \l "_Toc10533" </w:instrText>
      </w:r>
      <w:r>
        <w:fldChar w:fldCharType="separate"/>
      </w:r>
      <w:r>
        <w:rPr>
          <w:rFonts w:hint="eastAsia" w:ascii="宋体" w:hAnsi="宋体" w:cs="宋体"/>
        </w:rPr>
        <w:t>第一章 比选公告</w:t>
      </w:r>
      <w:r>
        <w:tab/>
      </w:r>
      <w:r>
        <w:fldChar w:fldCharType="end"/>
      </w:r>
    </w:p>
    <w:p>
      <w:pPr>
        <w:pStyle w:val="2"/>
        <w:tabs>
          <w:tab w:val="right" w:leader="dot" w:pos="9638"/>
        </w:tabs>
      </w:pPr>
      <w:r>
        <w:fldChar w:fldCharType="begin"/>
      </w:r>
      <w:r>
        <w:instrText xml:space="preserve"> HYPERLINK \l "_Toc21719" </w:instrText>
      </w:r>
      <w:r>
        <w:fldChar w:fldCharType="separate"/>
      </w:r>
      <w:r>
        <w:rPr>
          <w:rFonts w:hint="eastAsia" w:ascii="宋体" w:hAnsi="宋体" w:cs="宋体"/>
        </w:rPr>
        <w:t>第二章 报价人须知</w:t>
      </w:r>
      <w:r>
        <w:tab/>
      </w:r>
      <w:r>
        <w:fldChar w:fldCharType="end"/>
      </w:r>
    </w:p>
    <w:p>
      <w:pPr>
        <w:pStyle w:val="2"/>
        <w:tabs>
          <w:tab w:val="right" w:leader="dot" w:pos="9638"/>
        </w:tabs>
      </w:pPr>
      <w:r>
        <w:fldChar w:fldCharType="begin"/>
      </w:r>
      <w:r>
        <w:instrText xml:space="preserve"> HYPERLINK \l "_Toc7682" </w:instrText>
      </w:r>
      <w:r>
        <w:fldChar w:fldCharType="separate"/>
      </w:r>
      <w:r>
        <w:rPr>
          <w:rFonts w:hint="eastAsia" w:ascii="宋体" w:hAnsi="宋体" w:cs="宋体"/>
        </w:rPr>
        <w:t>第三章 评标办法（经评审的最低投标价法）</w:t>
      </w:r>
      <w:r>
        <w:tab/>
      </w:r>
      <w:r>
        <w:fldChar w:fldCharType="end"/>
      </w:r>
    </w:p>
    <w:p>
      <w:pPr>
        <w:pStyle w:val="2"/>
        <w:tabs>
          <w:tab w:val="right" w:leader="dot" w:pos="9638"/>
        </w:tabs>
      </w:pPr>
      <w:r>
        <w:fldChar w:fldCharType="begin"/>
      </w:r>
      <w:r>
        <w:instrText xml:space="preserve"> HYPERLINK \l "_Toc13787" </w:instrText>
      </w:r>
      <w:r>
        <w:fldChar w:fldCharType="separate"/>
      </w:r>
      <w:r>
        <w:rPr>
          <w:rFonts w:hint="eastAsia"/>
        </w:rPr>
        <w:t>第四章 报价说明</w:t>
      </w:r>
      <w:r>
        <w:tab/>
      </w:r>
      <w:r>
        <w:fldChar w:fldCharType="end"/>
      </w:r>
    </w:p>
    <w:p>
      <w:pPr>
        <w:pStyle w:val="2"/>
        <w:tabs>
          <w:tab w:val="right" w:leader="dot" w:pos="9638"/>
        </w:tabs>
      </w:pPr>
      <w:r>
        <w:fldChar w:fldCharType="begin"/>
      </w:r>
      <w:r>
        <w:instrText xml:space="preserve"> HYPERLINK \l "_Toc24503" </w:instrText>
      </w:r>
      <w:r>
        <w:fldChar w:fldCharType="separate"/>
      </w:r>
      <w:r>
        <w:rPr>
          <w:rFonts w:hint="eastAsia" w:ascii="宋体" w:hAnsi="宋体" w:cs="宋体"/>
        </w:rPr>
        <w:t>第五章  工程量清单</w:t>
      </w:r>
      <w:r>
        <w:tab/>
      </w:r>
      <w:r>
        <w:fldChar w:fldCharType="end"/>
      </w:r>
    </w:p>
    <w:p>
      <w:pPr>
        <w:pStyle w:val="2"/>
        <w:tabs>
          <w:tab w:val="right" w:leader="dot" w:pos="9638"/>
        </w:tabs>
      </w:pPr>
      <w:r>
        <w:fldChar w:fldCharType="begin"/>
      </w:r>
      <w:r>
        <w:instrText xml:space="preserve"> HYPERLINK \l "_Toc12440" </w:instrText>
      </w:r>
      <w:r>
        <w:fldChar w:fldCharType="separate"/>
      </w:r>
      <w:r>
        <w:rPr>
          <w:rFonts w:hint="eastAsia" w:ascii="宋体" w:hAnsi="宋体" w:cs="宋体"/>
        </w:rPr>
        <w:t>第六章  图  纸</w:t>
      </w:r>
      <w:r>
        <w:tab/>
      </w:r>
      <w:r>
        <w:fldChar w:fldCharType="end"/>
      </w:r>
    </w:p>
    <w:p>
      <w:pPr>
        <w:pStyle w:val="2"/>
        <w:tabs>
          <w:tab w:val="right" w:leader="dot" w:pos="9638"/>
        </w:tabs>
      </w:pPr>
      <w:r>
        <w:fldChar w:fldCharType="begin"/>
      </w:r>
      <w:r>
        <w:instrText xml:space="preserve"> HYPERLINK \l "_Toc10887" </w:instrText>
      </w:r>
      <w:r>
        <w:fldChar w:fldCharType="separate"/>
      </w:r>
      <w:r>
        <w:rPr>
          <w:rFonts w:hint="eastAsia" w:ascii="宋体" w:hAnsi="宋体" w:cs="宋体"/>
        </w:rPr>
        <w:t>第七章  技术标准和工作要求</w:t>
      </w:r>
      <w:r>
        <w:tab/>
      </w:r>
      <w:r>
        <w:fldChar w:fldCharType="end"/>
      </w:r>
    </w:p>
    <w:p>
      <w:pPr>
        <w:pStyle w:val="2"/>
        <w:tabs>
          <w:tab w:val="right" w:leader="dot" w:pos="9638"/>
        </w:tabs>
      </w:pPr>
      <w:r>
        <w:fldChar w:fldCharType="begin"/>
      </w:r>
      <w:r>
        <w:instrText xml:space="preserve"> HYPERLINK \l "_Toc12089" </w:instrText>
      </w:r>
      <w:r>
        <w:fldChar w:fldCharType="separate"/>
      </w:r>
      <w:r>
        <w:rPr>
          <w:rFonts w:hint="eastAsia" w:ascii="宋体" w:hAnsi="宋体" w:cs="宋体"/>
        </w:rPr>
        <w:t>第八章  工程量清单计量规则</w:t>
      </w:r>
      <w:r>
        <w:tab/>
      </w:r>
      <w:r>
        <w:fldChar w:fldCharType="end"/>
      </w:r>
    </w:p>
    <w:p>
      <w:pPr>
        <w:pStyle w:val="2"/>
        <w:tabs>
          <w:tab w:val="right" w:leader="dot" w:pos="9638"/>
        </w:tabs>
      </w:pPr>
      <w:r>
        <w:fldChar w:fldCharType="begin"/>
      </w:r>
      <w:r>
        <w:instrText xml:space="preserve"> HYPERLINK \l "_Toc24853" </w:instrText>
      </w:r>
      <w:r>
        <w:fldChar w:fldCharType="separate"/>
      </w:r>
      <w:r>
        <w:rPr>
          <w:rFonts w:hint="eastAsia" w:ascii="宋体" w:hAnsi="宋体" w:cs="宋体"/>
        </w:rPr>
        <w:t>第九章  竞争性比选响应文件格式</w:t>
      </w:r>
      <w:r>
        <w:tab/>
      </w:r>
      <w:r>
        <w:fldChar w:fldCharType="end"/>
      </w:r>
    </w:p>
    <w:p>
      <w:pPr>
        <w:pStyle w:val="33"/>
        <w:tabs>
          <w:tab w:val="right" w:leader="dot" w:pos="9628"/>
        </w:tabs>
        <w:rPr>
          <w:rFonts w:ascii="宋体" w:hAnsi="宋体" w:cs="宋体"/>
          <w:b/>
          <w:bCs/>
          <w:caps/>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rPr>
        <w:fldChar w:fldCharType="end"/>
      </w:r>
    </w:p>
    <w:p>
      <w:pPr>
        <w:pStyle w:val="3"/>
        <w:spacing w:before="0" w:after="0" w:line="360" w:lineRule="auto"/>
        <w:jc w:val="center"/>
        <w:rPr>
          <w:rFonts w:ascii="宋体" w:hAnsi="宋体" w:cs="宋体"/>
        </w:rPr>
      </w:pPr>
      <w:bookmarkStart w:id="5" w:name="_Toc246996900"/>
      <w:bookmarkStart w:id="6" w:name="_Toc2000404"/>
      <w:bookmarkStart w:id="7" w:name="_Toc179632527"/>
      <w:bookmarkStart w:id="8" w:name="_Toc246996157"/>
      <w:bookmarkStart w:id="9" w:name="_Toc507319890"/>
      <w:bookmarkStart w:id="10" w:name="_Toc247085671"/>
      <w:bookmarkStart w:id="11" w:name="_Toc152042287"/>
      <w:bookmarkStart w:id="12" w:name="_Toc144974479"/>
      <w:bookmarkStart w:id="13" w:name="_Toc152045511"/>
      <w:bookmarkStart w:id="14" w:name="_Toc247096243"/>
      <w:bookmarkStart w:id="15" w:name="_Toc10533"/>
      <w:r>
        <w:rPr>
          <w:rFonts w:hint="eastAsia" w:ascii="宋体" w:hAnsi="宋体" w:cs="宋体"/>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rPr>
        <w:t>比选公告</w:t>
      </w:r>
      <w:bookmarkEnd w:id="15"/>
    </w:p>
    <w:p>
      <w:pPr>
        <w:spacing w:line="440" w:lineRule="exact"/>
        <w:jc w:val="center"/>
        <w:rPr>
          <w:rFonts w:ascii="宋体" w:hAnsi="宋体" w:cs="宋体"/>
          <w:b/>
          <w:sz w:val="28"/>
          <w:szCs w:val="28"/>
        </w:rPr>
      </w:pPr>
      <w:bookmarkStart w:id="16" w:name="OLE_LINK2"/>
      <w:bookmarkStart w:id="17" w:name="OLE_LINK3"/>
      <w:r>
        <w:rPr>
          <w:rFonts w:hint="eastAsia" w:ascii="宋体" w:hAnsi="宋体" w:cs="宋体"/>
          <w:b/>
          <w:sz w:val="28"/>
          <w:lang w:eastAsia="zh-CN"/>
        </w:rPr>
        <w:t>2021年股份二期项目光缆采购项目（第二次）</w:t>
      </w:r>
      <w:r>
        <w:rPr>
          <w:rFonts w:hint="eastAsia" w:ascii="宋体" w:hAnsi="宋体" w:cs="宋体"/>
          <w:b/>
          <w:sz w:val="28"/>
        </w:rPr>
        <w:t xml:space="preserve"> </w:t>
      </w:r>
    </w:p>
    <w:p>
      <w:pPr>
        <w:spacing w:line="440" w:lineRule="exact"/>
        <w:jc w:val="center"/>
        <w:rPr>
          <w:rFonts w:ascii="宋体" w:hAnsi="宋体" w:cs="宋体"/>
          <w:b/>
          <w:sz w:val="28"/>
          <w:szCs w:val="28"/>
        </w:rPr>
      </w:pPr>
      <w:r>
        <w:rPr>
          <w:rFonts w:hint="eastAsia" w:ascii="宋体" w:hAnsi="宋体" w:cs="宋体"/>
          <w:b/>
          <w:sz w:val="28"/>
          <w:szCs w:val="28"/>
        </w:rPr>
        <w:t>竞争性比选公告</w:t>
      </w:r>
    </w:p>
    <w:p>
      <w:pPr>
        <w:spacing w:line="440" w:lineRule="exact"/>
        <w:jc w:val="center"/>
        <w:rPr>
          <w:rFonts w:ascii="宋体" w:hAnsi="宋体" w:cs="宋体"/>
          <w:b/>
          <w:sz w:val="28"/>
          <w:szCs w:val="28"/>
        </w:rPr>
      </w:pPr>
    </w:p>
    <w:p>
      <w:pPr>
        <w:pStyle w:val="4"/>
        <w:spacing w:before="0" w:after="0" w:line="360" w:lineRule="auto"/>
        <w:rPr>
          <w:rFonts w:ascii="宋体" w:hAnsi="宋体" w:eastAsia="宋体" w:cs="宋体"/>
        </w:rPr>
      </w:pPr>
      <w:bookmarkStart w:id="18" w:name="_Toc144974480"/>
      <w:bookmarkStart w:id="19" w:name="_Toc152042288"/>
      <w:bookmarkStart w:id="20" w:name="_Toc246996901"/>
      <w:bookmarkStart w:id="21" w:name="_Toc247085672"/>
      <w:bookmarkStart w:id="22" w:name="_Toc10076"/>
      <w:bookmarkStart w:id="23" w:name="_Toc24874"/>
      <w:bookmarkStart w:id="24" w:name="_Toc179632528"/>
      <w:bookmarkStart w:id="25" w:name="_Toc507319891"/>
      <w:bookmarkStart w:id="26" w:name="_Toc6549"/>
      <w:bookmarkStart w:id="27" w:name="_Toc246996158"/>
      <w:bookmarkStart w:id="28" w:name="_Toc152045512"/>
      <w:bookmarkStart w:id="29" w:name="_Toc11329213"/>
      <w:r>
        <w:rPr>
          <w:rFonts w:hint="eastAsia" w:ascii="宋体" w:hAnsi="宋体" w:eastAsia="宋体" w:cs="宋体"/>
        </w:rPr>
        <w:t>1. 比选条件</w:t>
      </w:r>
      <w:bookmarkEnd w:id="18"/>
      <w:bookmarkEnd w:id="19"/>
      <w:bookmarkEnd w:id="20"/>
      <w:bookmarkEnd w:id="21"/>
      <w:bookmarkEnd w:id="22"/>
      <w:bookmarkEnd w:id="23"/>
      <w:bookmarkEnd w:id="24"/>
      <w:bookmarkEnd w:id="25"/>
      <w:bookmarkEnd w:id="26"/>
      <w:bookmarkEnd w:id="27"/>
      <w:bookmarkEnd w:id="28"/>
      <w:bookmarkEnd w:id="29"/>
    </w:p>
    <w:p>
      <w:pPr>
        <w:spacing w:line="400" w:lineRule="exact"/>
        <w:rPr>
          <w:rFonts w:ascii="宋体" w:hAnsi="宋体" w:cs="宋体"/>
          <w:szCs w:val="21"/>
        </w:rPr>
      </w:pPr>
      <w:r>
        <w:rPr>
          <w:rFonts w:hint="eastAsia" w:ascii="宋体" w:hAnsi="宋体" w:cs="宋体"/>
          <w:szCs w:val="21"/>
        </w:rPr>
        <w:t>　　本竞争性比选项目</w:t>
      </w:r>
      <w:r>
        <w:rPr>
          <w:rFonts w:hint="eastAsia" w:ascii="宋体" w:hAnsi="宋体" w:cs="宋体"/>
          <w:szCs w:val="21"/>
          <w:u w:val="single"/>
          <w:lang w:eastAsia="zh-CN"/>
        </w:rPr>
        <w:t>2021年股份二期项目光缆采购项目（第二次）</w:t>
      </w:r>
      <w:r>
        <w:rPr>
          <w:rFonts w:hint="eastAsia" w:ascii="宋体" w:hAnsi="宋体" w:cs="宋体"/>
          <w:szCs w:val="21"/>
          <w:u w:val="single"/>
        </w:rPr>
        <w:t xml:space="preserve"> </w:t>
      </w:r>
      <w:r>
        <w:rPr>
          <w:rFonts w:hint="eastAsia" w:ascii="宋体" w:hAnsi="宋体" w:cs="宋体"/>
          <w:szCs w:val="21"/>
        </w:rPr>
        <w:t>，采购人为</w:t>
      </w:r>
      <w:r>
        <w:rPr>
          <w:rFonts w:hint="eastAsia" w:ascii="宋体" w:hAnsi="宋体" w:cs="宋体"/>
          <w:szCs w:val="21"/>
          <w:u w:val="single"/>
        </w:rPr>
        <w:t xml:space="preserve"> 重庆首讯科技股份有限公司 </w:t>
      </w:r>
      <w:r>
        <w:rPr>
          <w:rFonts w:hint="eastAsia" w:ascii="宋体" w:hAnsi="宋体" w:cs="宋体"/>
          <w:szCs w:val="21"/>
        </w:rPr>
        <w:t>，该项目已具备比选条件，现对该项目进行竞争性比选。</w:t>
      </w:r>
    </w:p>
    <w:p>
      <w:pPr>
        <w:pStyle w:val="4"/>
        <w:spacing w:before="120" w:after="0" w:line="360" w:lineRule="auto"/>
        <w:rPr>
          <w:rFonts w:ascii="宋体" w:hAnsi="宋体" w:eastAsia="宋体" w:cs="宋体"/>
        </w:rPr>
      </w:pPr>
      <w:bookmarkStart w:id="30" w:name="_Toc21343"/>
      <w:bookmarkStart w:id="31" w:name="_Toc179632529"/>
      <w:bookmarkStart w:id="32" w:name="_Toc507319892"/>
      <w:bookmarkStart w:id="33" w:name="_Toc152042289"/>
      <w:bookmarkStart w:id="34" w:name="_Toc246996902"/>
      <w:bookmarkStart w:id="35" w:name="_Toc11329214"/>
      <w:bookmarkStart w:id="36" w:name="_Toc152045513"/>
      <w:bookmarkStart w:id="37" w:name="_Toc18109"/>
      <w:bookmarkStart w:id="38" w:name="_Toc246996159"/>
      <w:bookmarkStart w:id="39" w:name="_Toc10952"/>
      <w:bookmarkStart w:id="40" w:name="_Toc144974481"/>
      <w:bookmarkStart w:id="41" w:name="_Toc247085673"/>
      <w:r>
        <w:rPr>
          <w:rFonts w:hint="eastAsia" w:ascii="宋体" w:hAnsi="宋体" w:eastAsia="宋体" w:cs="宋体"/>
        </w:rPr>
        <w:t>2. 项目概况与比选范围</w:t>
      </w:r>
      <w:bookmarkEnd w:id="30"/>
      <w:bookmarkEnd w:id="31"/>
      <w:bookmarkEnd w:id="32"/>
      <w:bookmarkEnd w:id="33"/>
      <w:bookmarkEnd w:id="34"/>
      <w:bookmarkEnd w:id="35"/>
      <w:bookmarkEnd w:id="36"/>
      <w:bookmarkEnd w:id="37"/>
      <w:bookmarkEnd w:id="38"/>
      <w:bookmarkEnd w:id="39"/>
      <w:bookmarkEnd w:id="40"/>
      <w:bookmarkEnd w:id="41"/>
    </w:p>
    <w:p>
      <w:pPr>
        <w:spacing w:line="360" w:lineRule="auto"/>
        <w:ind w:firstLine="420" w:firstLineChars="200"/>
        <w:rPr>
          <w:rFonts w:ascii="宋体" w:hAnsi="宋体" w:cs="宋体"/>
        </w:rPr>
      </w:pPr>
      <w:bookmarkStart w:id="42" w:name="_Toc446247226"/>
      <w:r>
        <w:rPr>
          <w:rFonts w:hint="eastAsia" w:ascii="宋体" w:hAnsi="宋体" w:cs="宋体"/>
        </w:rPr>
        <w:t xml:space="preserve">2.1 </w:t>
      </w:r>
      <w:r>
        <w:rPr>
          <w:rFonts w:hint="eastAsia" w:ascii="宋体" w:hAnsi="宋体" w:cs="宋体"/>
          <w:lang w:val="en-US" w:eastAsia="zh-CN"/>
        </w:rPr>
        <w:t>项目供货</w:t>
      </w:r>
      <w:r>
        <w:rPr>
          <w:rFonts w:hint="eastAsia" w:ascii="宋体" w:hAnsi="宋体" w:cs="宋体"/>
        </w:rPr>
        <w:t>地点：</w:t>
      </w:r>
      <w:bookmarkEnd w:id="42"/>
      <w:r>
        <w:rPr>
          <w:rFonts w:hint="eastAsia" w:ascii="宋体" w:hAnsi="宋体" w:cs="宋体"/>
          <w:szCs w:val="21"/>
          <w:u w:val="single"/>
          <w:lang w:val="en-US" w:eastAsia="zh-CN"/>
        </w:rPr>
        <w:t>石忠路、长万路</w:t>
      </w:r>
      <w:r>
        <w:rPr>
          <w:rFonts w:hint="eastAsia" w:ascii="宋体" w:hAnsi="宋体" w:cs="宋体"/>
        </w:rPr>
        <w:t>。</w:t>
      </w:r>
    </w:p>
    <w:p>
      <w:pPr>
        <w:pStyle w:val="12"/>
        <w:adjustRightInd w:val="0"/>
        <w:spacing w:line="400" w:lineRule="exact"/>
        <w:rPr>
          <w:rFonts w:ascii="宋体" w:hAnsi="宋体" w:cs="宋体"/>
        </w:rPr>
      </w:pPr>
      <w:r>
        <w:rPr>
          <w:rFonts w:hint="eastAsia" w:ascii="宋体" w:hAnsi="宋体" w:cs="宋体"/>
          <w:szCs w:val="21"/>
        </w:rPr>
        <w:t>2.2 项目概况：本项目为关于</w:t>
      </w:r>
      <w:r>
        <w:rPr>
          <w:rFonts w:hint="eastAsia" w:ascii="宋体" w:hAnsi="宋体" w:cs="宋体"/>
          <w:szCs w:val="21"/>
          <w:lang w:eastAsia="zh-CN"/>
        </w:rPr>
        <w:t>2021年股份二期项目光缆采购项目（第二次）</w:t>
      </w:r>
      <w:r>
        <w:rPr>
          <w:rFonts w:hint="eastAsia" w:ascii="宋体" w:hAnsi="宋体" w:cs="宋体"/>
          <w:szCs w:val="21"/>
        </w:rPr>
        <w:t>，主要包括</w:t>
      </w:r>
      <w:r>
        <w:rPr>
          <w:rFonts w:hint="eastAsia" w:ascii="宋体" w:hAnsi="宋体" w:cs="宋体"/>
          <w:szCs w:val="21"/>
          <w:lang w:val="en-US" w:eastAsia="zh-CN"/>
        </w:rPr>
        <w:t>石忠路、长万路光缆供货</w:t>
      </w:r>
      <w:r>
        <w:rPr>
          <w:rFonts w:hint="eastAsia" w:ascii="宋体" w:hAnsi="宋体" w:cs="宋体"/>
          <w:szCs w:val="21"/>
        </w:rPr>
        <w:t>，具体见相关设计图纸及工程量清单。</w:t>
      </w:r>
    </w:p>
    <w:p>
      <w:pPr>
        <w:pStyle w:val="12"/>
        <w:adjustRightInd w:val="0"/>
        <w:spacing w:line="400" w:lineRule="exact"/>
        <w:rPr>
          <w:rFonts w:ascii="宋体" w:hAnsi="宋体" w:cs="宋体"/>
        </w:rPr>
      </w:pPr>
      <w:r>
        <w:rPr>
          <w:rFonts w:hint="eastAsia" w:ascii="宋体" w:hAnsi="宋体" w:cs="宋体"/>
        </w:rPr>
        <w:t>2.3 比选范围：</w:t>
      </w:r>
      <w:r>
        <w:rPr>
          <w:rFonts w:hint="eastAsia" w:ascii="宋体" w:hAnsi="宋体" w:cs="宋体"/>
          <w:szCs w:val="21"/>
        </w:rPr>
        <w:t>工程量清单所包含范围</w:t>
      </w:r>
    </w:p>
    <w:p>
      <w:pPr>
        <w:pStyle w:val="12"/>
        <w:adjustRightInd w:val="0"/>
        <w:spacing w:line="400" w:lineRule="exact"/>
        <w:rPr>
          <w:rFonts w:ascii="宋体" w:hAnsi="宋体" w:cs="宋体"/>
          <w:szCs w:val="21"/>
        </w:rPr>
      </w:pPr>
      <w:r>
        <w:rPr>
          <w:rFonts w:hint="eastAsia" w:ascii="宋体" w:hAnsi="宋体" w:cs="宋体"/>
          <w:szCs w:val="21"/>
        </w:rPr>
        <w:t>上述实施内容包含</w:t>
      </w:r>
      <w:r>
        <w:rPr>
          <w:rFonts w:hint="eastAsia" w:ascii="宋体" w:hAnsi="宋体" w:cs="宋体"/>
        </w:rPr>
        <w:t>材料</w:t>
      </w:r>
      <w:r>
        <w:rPr>
          <w:rFonts w:hint="eastAsia" w:ascii="宋体" w:hAnsi="宋体" w:cs="宋体"/>
          <w:lang w:val="en-US" w:eastAsia="zh-CN"/>
        </w:rPr>
        <w:t>费用及</w:t>
      </w:r>
      <w:r>
        <w:rPr>
          <w:rFonts w:hint="eastAsia" w:ascii="宋体" w:hAnsi="宋体" w:cs="宋体"/>
        </w:rPr>
        <w:t>运输</w:t>
      </w:r>
      <w:r>
        <w:rPr>
          <w:rFonts w:hint="eastAsia" w:ascii="宋体" w:hAnsi="宋体" w:cs="宋体"/>
          <w:lang w:val="en-US" w:eastAsia="zh-CN"/>
        </w:rPr>
        <w:t>费用</w:t>
      </w:r>
      <w:r>
        <w:rPr>
          <w:rFonts w:hint="eastAsia" w:ascii="宋体" w:hAnsi="宋体" w:cs="宋体"/>
        </w:rPr>
        <w:t>、工程资料和其他相关标准规范开展的工程质量检验及设备24个月（7*24小时响应服务）质量保证与工程缺陷责任期2年等服务内容。</w:t>
      </w:r>
    </w:p>
    <w:p>
      <w:pPr>
        <w:spacing w:line="400" w:lineRule="exact"/>
        <w:ind w:firstLine="422" w:firstLineChars="200"/>
        <w:rPr>
          <w:rFonts w:ascii="宋体" w:hAnsi="宋体" w:cs="宋体"/>
          <w:b/>
          <w:bCs/>
        </w:rPr>
      </w:pPr>
      <w:bookmarkStart w:id="43" w:name="_Hlk77265929"/>
      <w:r>
        <w:rPr>
          <w:rFonts w:hint="eastAsia" w:ascii="宋体" w:hAnsi="宋体" w:cs="宋体"/>
          <w:b/>
          <w:bCs/>
        </w:rPr>
        <w:t>2.4</w:t>
      </w:r>
      <w:bookmarkEnd w:id="43"/>
      <w:r>
        <w:rPr>
          <w:rFonts w:hint="eastAsia" w:ascii="宋体" w:hAnsi="宋体" w:cs="宋体"/>
          <w:b/>
          <w:bCs/>
        </w:rPr>
        <w:t xml:space="preserve"> 计划工期：中标单位必须在中标通知书发出3日内组织人员、材料</w:t>
      </w:r>
      <w:r>
        <w:rPr>
          <w:rFonts w:hint="eastAsia" w:ascii="宋体" w:hAnsi="宋体" w:cs="宋体"/>
          <w:b/>
          <w:bCs/>
          <w:lang w:eastAsia="zh-CN"/>
        </w:rPr>
        <w:t>，</w:t>
      </w:r>
      <w:r>
        <w:rPr>
          <w:rFonts w:hint="eastAsia" w:ascii="宋体" w:hAnsi="宋体" w:cs="宋体"/>
          <w:b/>
          <w:bCs/>
          <w:lang w:val="en-US" w:eastAsia="zh-CN"/>
        </w:rPr>
        <w:t>分批供货（分批供货数量联系现场联系人），关门工期前务必第一批光缆供货完成（供货具体点位由现场负责人分配）</w:t>
      </w:r>
      <w:r>
        <w:rPr>
          <w:rFonts w:hint="eastAsia" w:ascii="宋体" w:hAnsi="宋体" w:cs="宋体"/>
          <w:b/>
          <w:bCs/>
        </w:rPr>
        <w:t>；</w:t>
      </w:r>
    </w:p>
    <w:p>
      <w:pPr>
        <w:spacing w:line="400" w:lineRule="exact"/>
        <w:ind w:firstLine="422" w:firstLineChars="200"/>
        <w:rPr>
          <w:rFonts w:ascii="宋体" w:hAnsi="宋体" w:cs="宋体"/>
          <w:b/>
          <w:bCs/>
          <w:highlight w:val="yellow"/>
        </w:rPr>
      </w:pPr>
      <w:r>
        <w:rPr>
          <w:rFonts w:hint="eastAsia" w:ascii="宋体" w:hAnsi="宋体" w:cs="宋体"/>
          <w:b/>
          <w:bCs/>
        </w:rPr>
        <w:t xml:space="preserve">    关门工期：</w:t>
      </w:r>
      <w:r>
        <w:rPr>
          <w:rFonts w:hint="eastAsia" w:ascii="宋体" w:hAnsi="宋体" w:cs="宋体"/>
          <w:b/>
          <w:bCs/>
          <w:u w:val="single"/>
        </w:rPr>
        <w:t>2021</w:t>
      </w:r>
      <w:r>
        <w:rPr>
          <w:rFonts w:hint="eastAsia" w:ascii="宋体" w:hAnsi="宋体" w:cs="宋体"/>
          <w:b/>
          <w:bCs/>
        </w:rPr>
        <w:t>年</w:t>
      </w:r>
      <w:r>
        <w:rPr>
          <w:rFonts w:ascii="宋体" w:hAnsi="宋体" w:cs="宋体"/>
          <w:b/>
          <w:bCs/>
          <w:u w:val="single"/>
        </w:rPr>
        <w:t>11</w:t>
      </w:r>
      <w:r>
        <w:rPr>
          <w:rFonts w:hint="eastAsia" w:ascii="宋体" w:hAnsi="宋体" w:cs="宋体"/>
          <w:b/>
          <w:bCs/>
        </w:rPr>
        <w:t>月</w:t>
      </w:r>
      <w:r>
        <w:rPr>
          <w:rFonts w:hint="eastAsia" w:ascii="宋体" w:hAnsi="宋体" w:cs="宋体"/>
          <w:b/>
          <w:bCs/>
          <w:u w:val="single"/>
          <w:lang w:val="en-US" w:eastAsia="zh-CN"/>
        </w:rPr>
        <w:t>15</w:t>
      </w:r>
      <w:r>
        <w:rPr>
          <w:rFonts w:hint="eastAsia" w:ascii="宋体" w:hAnsi="宋体" w:cs="宋体"/>
          <w:b/>
          <w:bCs/>
        </w:rPr>
        <w:t>日。</w:t>
      </w:r>
    </w:p>
    <w:p>
      <w:pPr>
        <w:pStyle w:val="4"/>
        <w:spacing w:before="120" w:after="0" w:line="360" w:lineRule="auto"/>
        <w:rPr>
          <w:rFonts w:ascii="宋体" w:hAnsi="宋体" w:eastAsia="宋体" w:cs="宋体"/>
        </w:rPr>
      </w:pPr>
      <w:bookmarkStart w:id="44" w:name="_Toc152045514"/>
      <w:bookmarkStart w:id="45" w:name="_Toc144974482"/>
      <w:bookmarkStart w:id="46" w:name="_Toc246996160"/>
      <w:bookmarkStart w:id="47" w:name="_Toc30356"/>
      <w:bookmarkStart w:id="48" w:name="_Toc152042290"/>
      <w:bookmarkStart w:id="49" w:name="_Toc7065"/>
      <w:bookmarkStart w:id="50" w:name="_Toc10171"/>
      <w:bookmarkStart w:id="51" w:name="_Toc246996903"/>
      <w:bookmarkStart w:id="52" w:name="_Toc179632530"/>
      <w:bookmarkStart w:id="53" w:name="_Toc507319893"/>
      <w:bookmarkStart w:id="54" w:name="_Toc247085674"/>
      <w:bookmarkStart w:id="55" w:name="_Toc11329215"/>
      <w:r>
        <w:rPr>
          <w:rFonts w:hint="eastAsia" w:ascii="宋体" w:hAnsi="宋体" w:eastAsia="宋体" w:cs="宋体"/>
        </w:rPr>
        <w:t>3. 报价人资格要求</w:t>
      </w:r>
      <w:bookmarkEnd w:id="44"/>
      <w:bookmarkEnd w:id="45"/>
      <w:bookmarkEnd w:id="46"/>
      <w:bookmarkEnd w:id="47"/>
      <w:bookmarkEnd w:id="48"/>
      <w:bookmarkEnd w:id="49"/>
      <w:bookmarkEnd w:id="50"/>
      <w:bookmarkEnd w:id="51"/>
      <w:bookmarkEnd w:id="52"/>
      <w:bookmarkEnd w:id="53"/>
      <w:bookmarkEnd w:id="54"/>
      <w:bookmarkEnd w:id="55"/>
    </w:p>
    <w:p>
      <w:pPr>
        <w:spacing w:line="400" w:lineRule="exact"/>
        <w:ind w:firstLine="420" w:firstLineChars="200"/>
        <w:rPr>
          <w:rFonts w:ascii="宋体" w:hAnsi="宋体" w:cs="宋体"/>
          <w:szCs w:val="21"/>
          <w:shd w:val="clear" w:color="auto" w:fill="FFFFFF"/>
        </w:rPr>
      </w:pPr>
      <w:bookmarkStart w:id="56" w:name="_Toc152042291"/>
      <w:bookmarkStart w:id="57" w:name="_Toc246996161"/>
      <w:bookmarkStart w:id="58" w:name="_Toc144974483"/>
      <w:bookmarkStart w:id="59" w:name="_Toc247085675"/>
      <w:bookmarkStart w:id="60" w:name="_Toc246996904"/>
      <w:bookmarkStart w:id="61" w:name="_Toc179632531"/>
      <w:bookmarkStart w:id="62" w:name="_Toc152045515"/>
      <w:r>
        <w:rPr>
          <w:rFonts w:hint="eastAsia" w:ascii="宋体" w:hAnsi="宋体" w:cs="宋体"/>
          <w:szCs w:val="21"/>
          <w:shd w:val="clear" w:color="auto" w:fill="FFFFFF"/>
        </w:rPr>
        <w:t>3.1 资质要求：</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（1）具有独立法人资格；</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（2）具有有效的营业执照；</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（3）</w:t>
      </w:r>
      <w:bookmarkStart w:id="63" w:name="_Hlk81904183"/>
      <w:r>
        <w:rPr>
          <w:rFonts w:hint="eastAsia" w:ascii="宋体" w:hAnsi="宋体" w:cs="宋体"/>
          <w:szCs w:val="21"/>
          <w:shd w:val="clear" w:color="auto" w:fill="FFFFFF"/>
        </w:rPr>
        <w:t>报价单需为</w:t>
      </w:r>
      <w:r>
        <w:rPr>
          <w:rFonts w:hint="eastAsia" w:ascii="宋体" w:hAnsi="宋体" w:cs="宋体"/>
          <w:szCs w:val="21"/>
          <w:shd w:val="clear" w:color="auto" w:fill="FFFFFF"/>
          <w:lang w:eastAsia="zh-CN"/>
        </w:rPr>
        <w:t>光缆</w:t>
      </w:r>
      <w:r>
        <w:rPr>
          <w:rFonts w:hint="eastAsia" w:ascii="宋体" w:hAnsi="宋体" w:cs="宋体"/>
          <w:szCs w:val="21"/>
          <w:shd w:val="clear" w:color="auto" w:fill="FFFFFF"/>
        </w:rPr>
        <w:t>制造商；</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（4）报价单位投标须针对本项目的售后服务进行承诺以及产品资质认证。</w:t>
      </w:r>
      <w:bookmarkEnd w:id="63"/>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（5）在“信用中国”网站（http://www.creditchina.gov.cn/）中未被列入失信惩戒执行人名单；</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（6）在国家企业信用信息公示系统（http://www.gsxt.gov.cn/）中未被列入严重违法失信企业名单（黑名单）信息；</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3.2 本次比选不接受联合体报价。</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3.3与采购人存在利害关系可能影响比选公正性的法人、其他组织或者个人，不得参加本项目报价；单位负责人为同一人或者存在控股、管理关系的不同单位，不得同时参加本项目报价，否则均按无效报价处理。</w:t>
      </w:r>
    </w:p>
    <w:p>
      <w:pPr>
        <w:pStyle w:val="4"/>
        <w:spacing w:before="120" w:after="0" w:line="400" w:lineRule="exact"/>
        <w:rPr>
          <w:rFonts w:ascii="宋体" w:hAnsi="宋体" w:eastAsia="宋体" w:cs="宋体"/>
        </w:rPr>
      </w:pPr>
      <w:bookmarkStart w:id="64" w:name="_Toc14361"/>
      <w:bookmarkStart w:id="65" w:name="_Toc12460"/>
      <w:bookmarkStart w:id="66" w:name="_Toc25619"/>
      <w:bookmarkStart w:id="67" w:name="_Toc507319894"/>
      <w:bookmarkStart w:id="68" w:name="_Toc11329216"/>
      <w:r>
        <w:rPr>
          <w:rFonts w:hint="eastAsia" w:ascii="宋体" w:hAnsi="宋体" w:eastAsia="宋体" w:cs="宋体"/>
        </w:rPr>
        <w:t>4. 比选文件的获取</w:t>
      </w:r>
      <w:bookmarkEnd w:id="56"/>
      <w:bookmarkEnd w:id="57"/>
      <w:bookmarkEnd w:id="58"/>
      <w:bookmarkEnd w:id="59"/>
      <w:bookmarkEnd w:id="60"/>
      <w:bookmarkEnd w:id="61"/>
      <w:bookmarkEnd w:id="62"/>
      <w:bookmarkEnd w:id="64"/>
      <w:bookmarkEnd w:id="65"/>
      <w:bookmarkEnd w:id="66"/>
      <w:bookmarkEnd w:id="67"/>
      <w:bookmarkEnd w:id="68"/>
    </w:p>
    <w:p>
      <w:pPr>
        <w:spacing w:line="360" w:lineRule="auto"/>
        <w:ind w:firstLine="420" w:firstLineChars="200"/>
        <w:rPr>
          <w:rFonts w:ascii="宋体" w:hAnsi="宋体"/>
          <w:szCs w:val="21"/>
        </w:rPr>
      </w:pPr>
      <w:bookmarkStart w:id="69" w:name="_Toc152045516"/>
      <w:bookmarkStart w:id="70" w:name="_Toc152042292"/>
      <w:bookmarkStart w:id="71" w:name="_Toc246996905"/>
      <w:bookmarkStart w:id="72" w:name="_Toc179632532"/>
      <w:bookmarkStart w:id="73" w:name="_Toc144974484"/>
      <w:bookmarkStart w:id="74" w:name="_Toc247085676"/>
      <w:bookmarkStart w:id="75" w:name="_Toc11329217"/>
      <w:bookmarkStart w:id="76" w:name="_Toc246996162"/>
      <w:bookmarkStart w:id="77" w:name="_Toc507319895"/>
      <w:r>
        <w:rPr>
          <w:rFonts w:ascii="宋体" w:hAnsi="宋体"/>
          <w:szCs w:val="21"/>
        </w:rPr>
        <w:t>凡愿意参加的潜在</w:t>
      </w:r>
      <w:r>
        <w:rPr>
          <w:rFonts w:hint="eastAsia" w:ascii="宋体" w:hAnsi="宋体"/>
          <w:szCs w:val="21"/>
        </w:rPr>
        <w:t>报价</w:t>
      </w:r>
      <w:r>
        <w:rPr>
          <w:rFonts w:ascii="宋体" w:hAnsi="宋体"/>
          <w:szCs w:val="21"/>
        </w:rPr>
        <w:t>人，</w:t>
      </w:r>
      <w:r>
        <w:rPr>
          <w:rFonts w:hint="eastAsia" w:ascii="宋体" w:hAnsi="宋体"/>
          <w:szCs w:val="21"/>
        </w:rPr>
        <w:t>在</w:t>
      </w:r>
      <w:r>
        <w:rPr>
          <w:rFonts w:hint="eastAsia" w:ascii="宋体" w:hAnsi="宋体"/>
          <w:szCs w:val="21"/>
          <w:lang w:val="en-US" w:eastAsia="zh-CN"/>
        </w:rPr>
        <w:t>重庆高速公路集团官网</w:t>
      </w:r>
      <w:r>
        <w:rPr>
          <w:rFonts w:hint="eastAsia" w:ascii="宋体" w:hAnsi="宋体"/>
          <w:szCs w:val="21"/>
        </w:rPr>
        <w:t>上进行</w:t>
      </w:r>
      <w:r>
        <w:rPr>
          <w:rFonts w:hint="eastAsia" w:ascii="宋体" w:hAnsi="宋体"/>
          <w:szCs w:val="21"/>
          <w:lang w:val="en-US" w:eastAsia="zh-CN"/>
        </w:rPr>
        <w:t>获取</w:t>
      </w:r>
      <w:r>
        <w:rPr>
          <w:rFonts w:hint="eastAsia" w:ascii="宋体" w:hAnsi="宋体"/>
          <w:szCs w:val="21"/>
        </w:rPr>
        <w:t>，各报价人应随时关注网上发布的竞争性比选文件答疑、补遗、澄清等文件内容，不管报价人是否下载，均视为已知晓竞争性比选文件的全部内容和有关事宜。</w:t>
      </w:r>
    </w:p>
    <w:p>
      <w:pPr>
        <w:pStyle w:val="4"/>
        <w:spacing w:before="120" w:after="0" w:line="400" w:lineRule="exact"/>
        <w:rPr>
          <w:rFonts w:ascii="宋体" w:hAnsi="宋体" w:eastAsia="宋体" w:cs="宋体"/>
        </w:rPr>
      </w:pPr>
      <w:bookmarkStart w:id="78" w:name="_Toc16686"/>
      <w:bookmarkStart w:id="79" w:name="_Toc31493"/>
      <w:bookmarkStart w:id="80" w:name="_Toc9131"/>
      <w:r>
        <w:rPr>
          <w:rFonts w:hint="eastAsia" w:ascii="宋体" w:hAnsi="宋体" w:eastAsia="宋体" w:cs="宋体"/>
        </w:rPr>
        <w:t>5. 竞争性比选响应文件的递交</w:t>
      </w:r>
      <w:bookmarkEnd w:id="69"/>
      <w:bookmarkEnd w:id="70"/>
      <w:bookmarkEnd w:id="71"/>
      <w:bookmarkEnd w:id="72"/>
      <w:bookmarkEnd w:id="73"/>
      <w:bookmarkEnd w:id="74"/>
      <w:bookmarkEnd w:id="75"/>
      <w:bookmarkEnd w:id="76"/>
      <w:bookmarkEnd w:id="77"/>
      <w:r>
        <w:rPr>
          <w:rFonts w:hint="eastAsia" w:ascii="宋体" w:hAnsi="宋体" w:eastAsia="宋体" w:cs="宋体"/>
        </w:rPr>
        <w:t>及相关事宜</w:t>
      </w:r>
      <w:bookmarkEnd w:id="78"/>
      <w:bookmarkEnd w:id="79"/>
      <w:bookmarkEnd w:id="80"/>
    </w:p>
    <w:p>
      <w:pPr>
        <w:tabs>
          <w:tab w:val="left" w:pos="360"/>
        </w:tabs>
        <w:spacing w:line="400" w:lineRule="exact"/>
        <w:ind w:firstLine="420" w:firstLineChars="200"/>
        <w:rPr>
          <w:rFonts w:ascii="宋体" w:hAnsi="宋体" w:cs="宋体"/>
          <w:szCs w:val="21"/>
        </w:rPr>
      </w:pPr>
      <w:r>
        <w:rPr>
          <w:rFonts w:hint="eastAsia" w:ascii="宋体" w:hAnsi="宋体" w:cs="宋体"/>
          <w:szCs w:val="21"/>
        </w:rPr>
        <w:t>5.1报价截止时间和开标时间：</w:t>
      </w:r>
      <w:r>
        <w:rPr>
          <w:rFonts w:hint="eastAsia" w:ascii="宋体" w:hAnsi="宋体" w:cs="宋体"/>
          <w:szCs w:val="21"/>
          <w:u w:val="single"/>
        </w:rPr>
        <w:t>2021</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u w:val="single"/>
          <w:lang w:val="en-US" w:eastAsia="zh-CN"/>
        </w:rPr>
        <w:t>11</w:t>
      </w:r>
      <w:r>
        <w:rPr>
          <w:rFonts w:hint="eastAsia" w:ascii="宋体" w:hAnsi="宋体" w:cs="宋体"/>
          <w:szCs w:val="21"/>
        </w:rPr>
        <w:t>月</w:t>
      </w:r>
      <w:r>
        <w:rPr>
          <w:rFonts w:hint="eastAsia" w:ascii="宋体" w:hAnsi="宋体" w:cs="宋体"/>
          <w:szCs w:val="21"/>
          <w:u w:val="single"/>
          <w:lang w:val="en-US" w:eastAsia="zh-CN"/>
        </w:rPr>
        <w:t>4</w:t>
      </w:r>
      <w:r>
        <w:rPr>
          <w:rFonts w:hint="eastAsia" w:ascii="宋体" w:hAnsi="宋体" w:cs="宋体"/>
          <w:szCs w:val="21"/>
        </w:rPr>
        <w:t>日下午</w:t>
      </w:r>
      <w:r>
        <w:rPr>
          <w:rFonts w:hint="eastAsia" w:ascii="宋体" w:hAnsi="宋体" w:cs="宋体"/>
          <w:szCs w:val="21"/>
          <w:u w:val="single"/>
        </w:rPr>
        <w:t xml:space="preserve"> 1</w:t>
      </w:r>
      <w:r>
        <w:rPr>
          <w:rFonts w:hint="eastAsia" w:ascii="宋体" w:hAnsi="宋体" w:cs="宋体"/>
          <w:szCs w:val="21"/>
          <w:u w:val="single"/>
          <w:lang w:val="en-US" w:eastAsia="zh-CN"/>
        </w:rPr>
        <w:t>5</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00 </w:t>
      </w:r>
      <w:r>
        <w:rPr>
          <w:rFonts w:hint="eastAsia" w:ascii="宋体" w:hAnsi="宋体" w:cs="宋体"/>
          <w:szCs w:val="21"/>
        </w:rPr>
        <w:t>分（北京时间）。</w:t>
      </w:r>
    </w:p>
    <w:p>
      <w:pPr>
        <w:tabs>
          <w:tab w:val="left" w:pos="360"/>
        </w:tabs>
        <w:spacing w:line="400" w:lineRule="exact"/>
        <w:ind w:firstLine="420" w:firstLineChars="200"/>
        <w:rPr>
          <w:rFonts w:ascii="宋体" w:hAnsi="宋体" w:cs="宋体"/>
          <w:szCs w:val="21"/>
          <w:highlight w:val="yellow"/>
        </w:rPr>
      </w:pPr>
      <w:r>
        <w:rPr>
          <w:rFonts w:hint="eastAsia" w:ascii="宋体" w:hAnsi="宋体" w:cs="宋体"/>
          <w:szCs w:val="21"/>
        </w:rPr>
        <w:t>5.2报价的</w:t>
      </w:r>
      <w:r>
        <w:rPr>
          <w:rFonts w:hint="eastAsia" w:ascii="宋体" w:hAnsi="宋体" w:cs="宋体"/>
          <w:szCs w:val="21"/>
          <w:lang w:val="en-US" w:eastAsia="zh-CN"/>
        </w:rPr>
        <w:t>递交</w:t>
      </w:r>
      <w:r>
        <w:rPr>
          <w:rFonts w:hint="eastAsia" w:ascii="宋体" w:hAnsi="宋体" w:cs="宋体"/>
          <w:szCs w:val="21"/>
        </w:rPr>
        <w:t>：报价人将完整的报价资料</w:t>
      </w:r>
      <w:r>
        <w:rPr>
          <w:rFonts w:hint="eastAsia" w:ascii="宋体" w:hAnsi="宋体" w:cs="宋体"/>
          <w:szCs w:val="21"/>
          <w:lang w:val="en-US" w:eastAsia="zh-CN"/>
        </w:rPr>
        <w:t>于开标日期递交至重庆市南岸区四公里内环入口高速集团首讯科技大楼</w:t>
      </w:r>
      <w:r>
        <w:rPr>
          <w:rFonts w:hint="eastAsia" w:ascii="宋体" w:hAnsi="宋体"/>
          <w:szCs w:val="21"/>
        </w:rPr>
        <w:t>。</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5.3</w:t>
      </w:r>
      <w:r>
        <w:rPr>
          <w:rFonts w:ascii="宋体" w:hAnsi="宋体" w:cs="宋体"/>
          <w:szCs w:val="21"/>
        </w:rPr>
        <w:t>采购人不组织工程现场踏勘，不召开报价预备会。</w:t>
      </w:r>
    </w:p>
    <w:p>
      <w:pPr>
        <w:pStyle w:val="4"/>
        <w:spacing w:before="120" w:after="0" w:line="400" w:lineRule="exact"/>
        <w:rPr>
          <w:rFonts w:ascii="宋体" w:hAnsi="宋体" w:eastAsia="宋体" w:cs="宋体"/>
        </w:rPr>
      </w:pPr>
      <w:bookmarkStart w:id="81" w:name="_Toc11329219"/>
      <w:bookmarkStart w:id="82" w:name="_Toc507319897"/>
      <w:bookmarkStart w:id="83" w:name="_Toc247085678"/>
      <w:bookmarkStart w:id="84" w:name="_Toc152042293"/>
      <w:bookmarkStart w:id="85" w:name="_Toc21615"/>
      <w:bookmarkStart w:id="86" w:name="_Toc246996907"/>
      <w:bookmarkStart w:id="87" w:name="_Toc18402"/>
      <w:bookmarkStart w:id="88" w:name="_Toc246996164"/>
      <w:bookmarkStart w:id="89" w:name="_Toc152045517"/>
      <w:bookmarkStart w:id="90" w:name="_Toc179632534"/>
      <w:bookmarkStart w:id="91" w:name="_Toc393"/>
      <w:bookmarkStart w:id="92" w:name="_Toc144974485"/>
      <w:r>
        <w:rPr>
          <w:rFonts w:hint="eastAsia" w:ascii="宋体" w:hAnsi="宋体" w:eastAsia="宋体" w:cs="宋体"/>
        </w:rPr>
        <w:t>6. 联系方式</w:t>
      </w:r>
      <w:bookmarkEnd w:id="81"/>
      <w:bookmarkEnd w:id="82"/>
      <w:bookmarkEnd w:id="83"/>
      <w:bookmarkEnd w:id="84"/>
      <w:bookmarkEnd w:id="85"/>
      <w:bookmarkEnd w:id="86"/>
      <w:bookmarkEnd w:id="87"/>
      <w:bookmarkEnd w:id="88"/>
      <w:bookmarkEnd w:id="89"/>
      <w:bookmarkEnd w:id="90"/>
      <w:bookmarkEnd w:id="91"/>
      <w:bookmarkEnd w:id="92"/>
    </w:p>
    <w:tbl>
      <w:tblPr>
        <w:tblStyle w:val="40"/>
        <w:tblW w:w="9628" w:type="dxa"/>
        <w:tblInd w:w="0"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pStyle w:val="99"/>
              <w:spacing w:before="0" w:beforeAutospacing="0" w:after="0" w:afterAutospacing="0" w:line="400" w:lineRule="exact"/>
              <w:ind w:firstLine="420" w:firstLineChars="200"/>
              <w:jc w:val="both"/>
              <w:rPr>
                <w:rFonts w:ascii="宋体" w:hAnsi="宋体" w:cs="宋体"/>
                <w:kern w:val="2"/>
                <w:sz w:val="21"/>
                <w:szCs w:val="21"/>
              </w:rPr>
            </w:pPr>
            <w:r>
              <w:rPr>
                <w:rFonts w:hint="eastAsia" w:ascii="宋体" w:hAnsi="宋体" w:cs="宋体"/>
                <w:kern w:val="2"/>
                <w:sz w:val="21"/>
                <w:szCs w:val="21"/>
              </w:rPr>
              <w:t>采购人：重庆首讯科技股份有限公司</w:t>
            </w:r>
          </w:p>
        </w:tc>
        <w:tc>
          <w:tcPr>
            <w:tcW w:w="1415" w:type="dxa"/>
            <w:vAlign w:val="center"/>
          </w:tcPr>
          <w:p>
            <w:pPr>
              <w:pStyle w:val="99"/>
              <w:spacing w:before="0" w:beforeAutospacing="0" w:after="0" w:afterAutospacing="0" w:line="400" w:lineRule="exact"/>
              <w:ind w:firstLine="420" w:firstLineChars="200"/>
              <w:jc w:val="both"/>
              <w:rPr>
                <w:rFonts w:ascii="宋体" w:hAnsi="宋体" w:cs="宋体"/>
                <w:kern w:val="2"/>
                <w:sz w:val="21"/>
                <w:szCs w:val="21"/>
              </w:rPr>
            </w:pPr>
          </w:p>
        </w:tc>
      </w:tr>
      <w:tr>
        <w:tblPrEx>
          <w:tblCellMar>
            <w:top w:w="0" w:type="dxa"/>
            <w:left w:w="108" w:type="dxa"/>
            <w:bottom w:w="0" w:type="dxa"/>
            <w:right w:w="108" w:type="dxa"/>
          </w:tblCellMar>
        </w:tblPrEx>
        <w:trPr>
          <w:trHeight w:val="461" w:hRule="atLeast"/>
        </w:trPr>
        <w:tc>
          <w:tcPr>
            <w:tcW w:w="8213" w:type="dxa"/>
            <w:vAlign w:val="center"/>
          </w:tcPr>
          <w:p>
            <w:pPr>
              <w:topLinePunct/>
              <w:spacing w:line="400" w:lineRule="exact"/>
              <w:ind w:left="1050" w:leftChars="200" w:hanging="630" w:hangingChars="300"/>
              <w:rPr>
                <w:rFonts w:ascii="宋体" w:hAnsi="宋体" w:cs="宋体"/>
                <w:szCs w:val="21"/>
              </w:rPr>
            </w:pPr>
            <w:r>
              <w:rPr>
                <w:rFonts w:hint="eastAsia" w:ascii="宋体" w:hAnsi="宋体" w:cs="宋体"/>
                <w:szCs w:val="21"/>
              </w:rPr>
              <w:t>地址：重庆市南岸区四公里内环入口高速集团首讯科技大楼</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470" w:hRule="atLeast"/>
        </w:trPr>
        <w:tc>
          <w:tcPr>
            <w:tcW w:w="8213" w:type="dxa"/>
            <w:vAlign w:val="center"/>
          </w:tcPr>
          <w:p>
            <w:pPr>
              <w:topLinePunct/>
              <w:spacing w:line="400" w:lineRule="exact"/>
              <w:ind w:firstLine="420" w:firstLineChars="200"/>
              <w:rPr>
                <w:rFonts w:ascii="宋体" w:hAnsi="宋体" w:cs="宋体"/>
                <w:szCs w:val="21"/>
              </w:rPr>
            </w:pPr>
            <w:r>
              <w:rPr>
                <w:rFonts w:hint="eastAsia" w:ascii="宋体" w:hAnsi="宋体" w:cs="宋体"/>
                <w:szCs w:val="21"/>
              </w:rPr>
              <w:t>现场联系人：刘老师</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80" w:hRule="atLeast"/>
        </w:trPr>
        <w:tc>
          <w:tcPr>
            <w:tcW w:w="8213" w:type="dxa"/>
            <w:vAlign w:val="center"/>
          </w:tcPr>
          <w:p>
            <w:pPr>
              <w:topLinePunct/>
              <w:spacing w:line="420" w:lineRule="exact"/>
              <w:ind w:firstLine="420" w:firstLineChars="200"/>
              <w:rPr>
                <w:rFonts w:hint="default" w:eastAsia="宋体"/>
                <w:lang w:val="en-US" w:eastAsia="zh-CN"/>
              </w:rPr>
            </w:pPr>
            <w:r>
              <w:rPr>
                <w:rFonts w:hint="eastAsia" w:ascii="宋体" w:hAnsi="宋体" w:cs="宋体"/>
                <w:szCs w:val="21"/>
              </w:rPr>
              <w:t>电 话：</w:t>
            </w:r>
            <w:r>
              <w:rPr>
                <w:rFonts w:hint="eastAsia" w:ascii="宋体" w:hAnsi="宋体" w:cs="宋体"/>
                <w:szCs w:val="21"/>
                <w:lang w:val="en-US" w:eastAsia="zh-CN"/>
              </w:rPr>
              <w:t>15902377663</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80" w:hRule="atLeast"/>
        </w:trPr>
        <w:tc>
          <w:tcPr>
            <w:tcW w:w="8213" w:type="dxa"/>
            <w:vAlign w:val="center"/>
          </w:tcPr>
          <w:p>
            <w:pPr>
              <w:topLinePunct/>
              <w:spacing w:line="400" w:lineRule="exact"/>
              <w:ind w:firstLine="420" w:firstLineChars="200"/>
              <w:rPr>
                <w:rFonts w:ascii="宋体" w:hAnsi="宋体" w:cs="宋体"/>
                <w:szCs w:val="21"/>
              </w:rPr>
            </w:pPr>
            <w:r>
              <w:rPr>
                <w:rFonts w:hint="eastAsia" w:ascii="宋体" w:hAnsi="宋体" w:cs="宋体"/>
                <w:szCs w:val="21"/>
              </w:rPr>
              <w:t>联系人：</w:t>
            </w:r>
            <w:r>
              <w:rPr>
                <w:rFonts w:hint="eastAsia" w:ascii="宋体" w:hAnsi="宋体" w:cs="宋体"/>
                <w:szCs w:val="21"/>
                <w:lang w:eastAsia="zh-CN"/>
              </w:rPr>
              <w:t>陈</w:t>
            </w:r>
            <w:r>
              <w:rPr>
                <w:rFonts w:hint="eastAsia" w:ascii="宋体" w:hAnsi="宋体" w:cs="宋体"/>
                <w:szCs w:val="21"/>
              </w:rPr>
              <w:t>老师</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80" w:hRule="atLeast"/>
        </w:trPr>
        <w:tc>
          <w:tcPr>
            <w:tcW w:w="8213" w:type="dxa"/>
            <w:vAlign w:val="center"/>
          </w:tcPr>
          <w:p>
            <w:pPr>
              <w:topLinePunct/>
              <w:spacing w:line="420" w:lineRule="exact"/>
              <w:ind w:firstLine="420" w:firstLineChars="200"/>
              <w:rPr>
                <w:rFonts w:hint="default" w:ascii="宋体" w:hAnsi="宋体" w:eastAsia="宋体" w:cs="宋体"/>
                <w:szCs w:val="21"/>
                <w:lang w:val="en-US" w:eastAsia="zh-CN"/>
              </w:rPr>
            </w:pPr>
            <w:r>
              <w:rPr>
                <w:rFonts w:hint="eastAsia" w:ascii="宋体" w:hAnsi="宋体" w:cs="宋体"/>
                <w:szCs w:val="21"/>
              </w:rPr>
              <w:t>电 话：</w:t>
            </w:r>
            <w:r>
              <w:rPr>
                <w:rFonts w:hint="eastAsia" w:ascii="宋体" w:hAnsi="宋体" w:cs="宋体"/>
                <w:szCs w:val="21"/>
                <w:lang w:val="en-US" w:eastAsia="zh-CN"/>
              </w:rPr>
              <w:t>13996114170</w:t>
            </w:r>
          </w:p>
        </w:tc>
        <w:tc>
          <w:tcPr>
            <w:tcW w:w="1415" w:type="dxa"/>
            <w:vAlign w:val="center"/>
          </w:tcPr>
          <w:p>
            <w:pPr>
              <w:spacing w:line="400" w:lineRule="exact"/>
              <w:ind w:firstLine="420" w:firstLineChars="200"/>
              <w:rPr>
                <w:rFonts w:ascii="宋体" w:hAnsi="宋体" w:cs="宋体"/>
                <w:szCs w:val="21"/>
              </w:rPr>
            </w:pPr>
          </w:p>
        </w:tc>
      </w:tr>
    </w:tbl>
    <w:p/>
    <w:p>
      <w:pPr>
        <w:pStyle w:val="2"/>
      </w:pPr>
    </w:p>
    <w:p/>
    <w:p>
      <w:pPr>
        <w:pStyle w:val="2"/>
      </w:pPr>
    </w:p>
    <w:p/>
    <w:p>
      <w:pPr>
        <w:pStyle w:val="2"/>
      </w:pPr>
    </w:p>
    <w:p/>
    <w:p>
      <w:pPr>
        <w:pStyle w:val="2"/>
      </w:pPr>
    </w:p>
    <w:p/>
    <w:p>
      <w:pPr>
        <w:pStyle w:val="2"/>
      </w:pPr>
    </w:p>
    <w:p/>
    <w:p>
      <w:pPr>
        <w:pStyle w:val="2"/>
      </w:pPr>
    </w:p>
    <w:p/>
    <w:p>
      <w:pPr>
        <w:pStyle w:val="2"/>
      </w:pPr>
    </w:p>
    <w:bookmarkEnd w:id="16"/>
    <w:bookmarkEnd w:id="17"/>
    <w:p>
      <w:pPr>
        <w:pStyle w:val="3"/>
        <w:spacing w:before="0" w:after="0" w:line="360" w:lineRule="auto"/>
        <w:jc w:val="center"/>
        <w:rPr>
          <w:rFonts w:ascii="宋体" w:hAnsi="宋体" w:cs="宋体"/>
        </w:rPr>
      </w:pPr>
      <w:bookmarkStart w:id="93" w:name="_Toc246996916"/>
      <w:bookmarkStart w:id="94" w:name="_Toc507319898"/>
      <w:bookmarkStart w:id="95" w:name="_Toc152042303"/>
      <w:bookmarkStart w:id="96" w:name="_Toc246996173"/>
      <w:bookmarkStart w:id="97" w:name="_Toc2000405"/>
      <w:bookmarkStart w:id="98" w:name="_Toc179632544"/>
      <w:bookmarkStart w:id="99" w:name="_Toc21719"/>
      <w:bookmarkStart w:id="100" w:name="_Toc152045527"/>
      <w:bookmarkStart w:id="101" w:name="_Toc247085687"/>
      <w:bookmarkStart w:id="102" w:name="_Toc144974495"/>
      <w:r>
        <w:rPr>
          <w:rFonts w:hint="eastAsia" w:ascii="宋体" w:hAnsi="宋体" w:cs="宋体"/>
        </w:rPr>
        <w:br w:type="page"/>
      </w:r>
      <w:r>
        <w:rPr>
          <w:rFonts w:hint="eastAsia" w:ascii="宋体" w:hAnsi="宋体" w:cs="宋体"/>
        </w:rPr>
        <w:t>第二章 报价人须知</w:t>
      </w:r>
      <w:bookmarkEnd w:id="93"/>
      <w:bookmarkEnd w:id="94"/>
      <w:bookmarkEnd w:id="95"/>
      <w:bookmarkEnd w:id="96"/>
      <w:bookmarkEnd w:id="97"/>
      <w:bookmarkEnd w:id="98"/>
      <w:bookmarkEnd w:id="99"/>
      <w:bookmarkEnd w:id="100"/>
      <w:bookmarkEnd w:id="101"/>
      <w:bookmarkEnd w:id="102"/>
    </w:p>
    <w:p/>
    <w:tbl>
      <w:tblPr>
        <w:tblStyle w:val="40"/>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97" w:type="dxa"/>
            <w:vAlign w:val="center"/>
          </w:tcPr>
          <w:p>
            <w:pPr>
              <w:spacing w:line="400" w:lineRule="exact"/>
              <w:jc w:val="center"/>
              <w:rPr>
                <w:rFonts w:ascii="宋体" w:hAnsi="宋体" w:cs="宋体"/>
                <w:b/>
                <w:kern w:val="0"/>
                <w:szCs w:val="21"/>
              </w:rPr>
            </w:pPr>
            <w:bookmarkStart w:id="103" w:name="_Toc326760840"/>
            <w:r>
              <w:rPr>
                <w:rFonts w:hint="eastAsia" w:ascii="宋体" w:hAnsi="宋体" w:cs="宋体"/>
                <w:b/>
                <w:kern w:val="0"/>
                <w:szCs w:val="21"/>
              </w:rPr>
              <w:t>序号</w:t>
            </w:r>
          </w:p>
        </w:tc>
        <w:tc>
          <w:tcPr>
            <w:tcW w:w="2106" w:type="dxa"/>
            <w:vAlign w:val="center"/>
          </w:tcPr>
          <w:p>
            <w:pPr>
              <w:spacing w:line="400" w:lineRule="exact"/>
              <w:jc w:val="center"/>
              <w:rPr>
                <w:rFonts w:ascii="宋体" w:hAnsi="宋体" w:cs="宋体"/>
                <w:b/>
                <w:kern w:val="0"/>
                <w:szCs w:val="21"/>
              </w:rPr>
            </w:pPr>
            <w:r>
              <w:rPr>
                <w:rFonts w:hint="eastAsia" w:ascii="宋体" w:hAnsi="宋体" w:cs="宋体"/>
                <w:b/>
                <w:kern w:val="0"/>
                <w:szCs w:val="21"/>
              </w:rPr>
              <w:t>条款名称</w:t>
            </w:r>
          </w:p>
        </w:tc>
        <w:tc>
          <w:tcPr>
            <w:tcW w:w="7104" w:type="dxa"/>
            <w:vAlign w:val="center"/>
          </w:tcPr>
          <w:p>
            <w:pPr>
              <w:spacing w:line="400" w:lineRule="exact"/>
              <w:ind w:firstLine="422" w:firstLineChars="200"/>
              <w:jc w:val="center"/>
              <w:rPr>
                <w:rFonts w:ascii="宋体" w:hAnsi="宋体" w:cs="宋体"/>
                <w:b/>
                <w:kern w:val="0"/>
                <w:szCs w:val="21"/>
              </w:rPr>
            </w:pPr>
            <w:r>
              <w:rPr>
                <w:rFonts w:hint="eastAsia" w:ascii="宋体" w:hAnsi="宋体" w:cs="宋体"/>
                <w:b/>
                <w:kern w:val="0"/>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采购人</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采购人：重庆首讯科技股份有限公司</w:t>
            </w:r>
          </w:p>
          <w:p>
            <w:pPr>
              <w:spacing w:line="400" w:lineRule="exact"/>
              <w:ind w:firstLine="420" w:firstLineChars="200"/>
              <w:rPr>
                <w:rFonts w:ascii="宋体" w:hAnsi="宋体" w:cs="宋体"/>
                <w:szCs w:val="21"/>
              </w:rPr>
            </w:pPr>
            <w:r>
              <w:rPr>
                <w:rFonts w:hint="eastAsia" w:ascii="宋体" w:hAnsi="宋体" w:cs="宋体"/>
                <w:szCs w:val="21"/>
              </w:rPr>
              <w:t>地  址：重庆市南岸区四公里内环入口高速集团首讯科技大楼</w:t>
            </w:r>
          </w:p>
          <w:p>
            <w:pPr>
              <w:spacing w:line="400" w:lineRule="exact"/>
              <w:ind w:firstLine="420" w:firstLineChars="200"/>
              <w:rPr>
                <w:rFonts w:ascii="宋体" w:hAnsi="宋体" w:cs="宋体"/>
                <w:szCs w:val="21"/>
              </w:rPr>
            </w:pPr>
            <w:r>
              <w:rPr>
                <w:rFonts w:hint="eastAsia" w:ascii="宋体" w:hAnsi="宋体" w:cs="宋体"/>
                <w:szCs w:val="21"/>
              </w:rPr>
              <w:t>联系人：</w:t>
            </w:r>
            <w:r>
              <w:rPr>
                <w:rFonts w:hint="eastAsia" w:ascii="宋体" w:hAnsi="宋体" w:cs="宋体"/>
                <w:szCs w:val="21"/>
                <w:lang w:eastAsia="zh-CN"/>
              </w:rPr>
              <w:t>陈</w:t>
            </w:r>
            <w:r>
              <w:rPr>
                <w:rFonts w:hint="eastAsia" w:ascii="宋体" w:hAnsi="宋体" w:cs="宋体"/>
                <w:szCs w:val="21"/>
              </w:rPr>
              <w:t>老师</w:t>
            </w:r>
          </w:p>
          <w:p>
            <w:pPr>
              <w:topLinePunct/>
              <w:spacing w:line="420" w:lineRule="exact"/>
              <w:ind w:firstLine="420" w:firstLineChars="200"/>
              <w:rPr>
                <w:rFonts w:hint="default" w:eastAsia="宋体"/>
                <w:lang w:val="en-US" w:eastAsia="zh-CN"/>
              </w:rPr>
            </w:pPr>
            <w:r>
              <w:rPr>
                <w:rFonts w:hint="eastAsia" w:ascii="宋体" w:hAnsi="宋体" w:cs="宋体"/>
                <w:szCs w:val="21"/>
              </w:rPr>
              <w:t>电  话：</w:t>
            </w:r>
            <w:r>
              <w:rPr>
                <w:rFonts w:hint="eastAsia" w:ascii="宋体" w:hAnsi="宋体" w:cs="宋体"/>
                <w:szCs w:val="21"/>
                <w:lang w:val="en-US" w:eastAsia="zh-CN"/>
              </w:rPr>
              <w:t>13996114170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项目名称</w:t>
            </w:r>
          </w:p>
        </w:tc>
        <w:tc>
          <w:tcPr>
            <w:tcW w:w="7104" w:type="dxa"/>
            <w:vAlign w:val="center"/>
          </w:tcPr>
          <w:p>
            <w:pPr>
              <w:spacing w:line="400" w:lineRule="exact"/>
              <w:ind w:firstLine="420" w:firstLineChars="200"/>
              <w:rPr>
                <w:rFonts w:hint="eastAsia" w:ascii="宋体" w:hAnsi="宋体" w:eastAsia="宋体" w:cs="宋体"/>
                <w:szCs w:val="21"/>
                <w:lang w:eastAsia="zh-CN"/>
              </w:rPr>
            </w:pPr>
            <w:r>
              <w:rPr>
                <w:rFonts w:hint="eastAsia" w:ascii="宋体" w:hAnsi="宋体" w:cs="宋体"/>
                <w:szCs w:val="21"/>
                <w:lang w:eastAsia="zh-CN"/>
              </w:rPr>
              <w:t>2021年股份二期项目光缆采购项目（第二次）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3</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项目地点</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4</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资金来源</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重庆高速公路集团有限公司年度预算资金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5</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出资比例</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业主100%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6</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资金落实情况</w:t>
            </w:r>
          </w:p>
        </w:tc>
        <w:tc>
          <w:tcPr>
            <w:tcW w:w="7104" w:type="dxa"/>
            <w:vAlign w:val="center"/>
          </w:tcPr>
          <w:p>
            <w:pPr>
              <w:autoSpaceDE w:val="0"/>
              <w:autoSpaceDN w:val="0"/>
              <w:adjustRightInd w:val="0"/>
              <w:spacing w:line="400" w:lineRule="exact"/>
              <w:ind w:firstLine="420" w:firstLineChars="200"/>
              <w:rPr>
                <w:rFonts w:ascii="宋体" w:hAnsi="宋体" w:cs="宋体"/>
                <w:szCs w:val="21"/>
              </w:rPr>
            </w:pPr>
            <w:r>
              <w:rPr>
                <w:rFonts w:hint="eastAsia" w:ascii="宋体" w:hAnsi="宋体" w:cs="宋体"/>
                <w:szCs w:val="21"/>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7</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比选范围</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8</w:t>
            </w:r>
          </w:p>
        </w:tc>
        <w:tc>
          <w:tcPr>
            <w:tcW w:w="2106" w:type="dxa"/>
            <w:vAlign w:val="center"/>
          </w:tcPr>
          <w:p>
            <w:pPr>
              <w:spacing w:line="400" w:lineRule="exact"/>
              <w:jc w:val="center"/>
              <w:rPr>
                <w:rFonts w:ascii="宋体" w:hAnsi="宋体" w:cs="宋体"/>
                <w:szCs w:val="21"/>
              </w:rPr>
            </w:pPr>
            <w:r>
              <w:rPr>
                <w:rFonts w:hint="eastAsia" w:ascii="宋体" w:hAnsi="宋体" w:cs="宋体"/>
                <w:kern w:val="0"/>
                <w:szCs w:val="21"/>
              </w:rPr>
              <w:t>计划工期</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kern w:val="10"/>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9</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质量要求</w:t>
            </w:r>
          </w:p>
        </w:tc>
        <w:tc>
          <w:tcPr>
            <w:tcW w:w="7104" w:type="dxa"/>
          </w:tcPr>
          <w:p>
            <w:pPr>
              <w:spacing w:line="400" w:lineRule="exact"/>
              <w:ind w:firstLine="420" w:firstLineChars="200"/>
              <w:rPr>
                <w:rFonts w:ascii="宋体" w:hAnsi="宋体" w:cs="宋体"/>
                <w:kern w:val="0"/>
                <w:szCs w:val="21"/>
              </w:rPr>
            </w:pPr>
            <w:r>
              <w:rPr>
                <w:rFonts w:hint="eastAsia" w:ascii="宋体" w:hAnsi="宋体" w:cs="宋体"/>
                <w:szCs w:val="21"/>
              </w:rPr>
              <w:t>达到国家和地方现行有关质量标准和比选文件第七章技术标准和工作要求，并且一次性验收合格，缺陷责任期为24个月。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10</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安全目标</w:t>
            </w:r>
          </w:p>
        </w:tc>
        <w:tc>
          <w:tcPr>
            <w:tcW w:w="7104" w:type="dxa"/>
          </w:tcPr>
          <w:p>
            <w:pPr>
              <w:spacing w:line="400" w:lineRule="exact"/>
              <w:ind w:firstLine="420" w:firstLineChars="200"/>
              <w:rPr>
                <w:rFonts w:ascii="宋体" w:hAnsi="宋体" w:cs="宋体"/>
                <w:szCs w:val="21"/>
              </w:rPr>
            </w:pPr>
            <w:r>
              <w:rPr>
                <w:rFonts w:hint="eastAsia" w:ascii="宋体" w:hAnsi="宋体" w:cs="宋体"/>
                <w:szCs w:val="21"/>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11</w:t>
            </w:r>
          </w:p>
        </w:tc>
        <w:tc>
          <w:tcPr>
            <w:tcW w:w="2106" w:type="dxa"/>
            <w:vAlign w:val="center"/>
          </w:tcPr>
          <w:p>
            <w:pPr>
              <w:spacing w:line="400" w:lineRule="exact"/>
              <w:jc w:val="center"/>
              <w:rPr>
                <w:rFonts w:ascii="宋体" w:hAnsi="宋体" w:cs="宋体"/>
                <w:kern w:val="0"/>
                <w:szCs w:val="21"/>
              </w:rPr>
            </w:pPr>
            <w:r>
              <w:rPr>
                <w:rFonts w:hint="eastAsia" w:ascii="宋体" w:hAnsi="宋体" w:cs="宋体"/>
                <w:szCs w:val="21"/>
              </w:rPr>
              <w:t>报价人资质条件、能力与信誉</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（1）资质条件：见附录1</w:t>
            </w:r>
          </w:p>
          <w:p>
            <w:pPr>
              <w:spacing w:line="400" w:lineRule="exact"/>
              <w:ind w:firstLine="420" w:firstLineChars="200"/>
              <w:rPr>
                <w:rFonts w:ascii="宋体" w:hAnsi="宋体" w:cs="宋体"/>
                <w:szCs w:val="21"/>
              </w:rPr>
            </w:pPr>
            <w:r>
              <w:rPr>
                <w:rFonts w:hint="eastAsia" w:ascii="宋体" w:hAnsi="宋体" w:cs="宋体"/>
                <w:szCs w:val="21"/>
              </w:rPr>
              <w:t>（2）财务要求：见附录2</w:t>
            </w:r>
          </w:p>
          <w:p>
            <w:pPr>
              <w:spacing w:line="400" w:lineRule="exact"/>
              <w:ind w:firstLine="420" w:firstLineChars="200"/>
              <w:rPr>
                <w:rFonts w:ascii="宋体" w:hAnsi="宋体" w:cs="宋体"/>
                <w:szCs w:val="21"/>
              </w:rPr>
            </w:pPr>
            <w:r>
              <w:rPr>
                <w:rFonts w:hint="eastAsia" w:ascii="宋体" w:hAnsi="宋体" w:cs="宋体"/>
                <w:szCs w:val="21"/>
              </w:rPr>
              <w:t>（3）业绩要求：见附录3</w:t>
            </w:r>
          </w:p>
          <w:p>
            <w:pPr>
              <w:spacing w:line="400" w:lineRule="exact"/>
              <w:ind w:firstLine="420" w:firstLineChars="200"/>
              <w:rPr>
                <w:rFonts w:ascii="宋体" w:hAnsi="宋体" w:cs="宋体"/>
                <w:szCs w:val="21"/>
              </w:rPr>
            </w:pPr>
            <w:r>
              <w:rPr>
                <w:rFonts w:hint="eastAsia" w:ascii="宋体" w:hAnsi="宋体" w:cs="宋体"/>
                <w:szCs w:val="21"/>
              </w:rPr>
              <w:t>（4）信誉要求：见附录4</w:t>
            </w:r>
          </w:p>
          <w:p>
            <w:pPr>
              <w:spacing w:line="400" w:lineRule="exact"/>
              <w:ind w:firstLine="420" w:firstLineChars="200"/>
              <w:rPr>
                <w:rFonts w:ascii="宋体" w:hAnsi="宋体" w:cs="宋体"/>
                <w:szCs w:val="21"/>
              </w:rPr>
            </w:pPr>
            <w:r>
              <w:rPr>
                <w:rFonts w:hint="eastAsia" w:ascii="宋体" w:hAnsi="宋体" w:cs="宋体"/>
                <w:szCs w:val="21"/>
              </w:rPr>
              <w:t>（5）项目主要人员要求：见附录5</w:t>
            </w:r>
          </w:p>
          <w:p>
            <w:pPr>
              <w:spacing w:line="400" w:lineRule="exact"/>
              <w:ind w:firstLine="420" w:firstLineChars="200"/>
              <w:rPr>
                <w:rFonts w:ascii="宋体" w:hAnsi="宋体" w:cs="宋体"/>
                <w:szCs w:val="21"/>
              </w:rPr>
            </w:pPr>
            <w:r>
              <w:rPr>
                <w:rFonts w:hint="eastAsia" w:ascii="宋体" w:hAnsi="宋体" w:cs="宋体"/>
                <w:szCs w:val="21"/>
              </w:rPr>
              <w:t>（6）其他要求：见附录6、见附录7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是否接受</w:t>
            </w:r>
          </w:p>
          <w:p>
            <w:pPr>
              <w:spacing w:line="400" w:lineRule="exact"/>
              <w:jc w:val="center"/>
              <w:rPr>
                <w:rFonts w:ascii="宋体" w:hAnsi="宋体" w:cs="宋体"/>
                <w:kern w:val="0"/>
                <w:szCs w:val="21"/>
              </w:rPr>
            </w:pPr>
            <w:r>
              <w:rPr>
                <w:rFonts w:hint="eastAsia" w:ascii="宋体" w:hAnsi="宋体" w:cs="宋体"/>
                <w:kern w:val="0"/>
                <w:szCs w:val="21"/>
              </w:rPr>
              <w:t>联合体报价</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13</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踏勘现场</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14</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分包</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15</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偏差</w:t>
            </w:r>
          </w:p>
        </w:tc>
        <w:tc>
          <w:tcPr>
            <w:tcW w:w="7104" w:type="dxa"/>
            <w:vAlign w:val="center"/>
          </w:tcPr>
          <w:p>
            <w:pPr>
              <w:spacing w:line="400" w:lineRule="exact"/>
              <w:ind w:firstLine="422" w:firstLineChars="200"/>
              <w:rPr>
                <w:rFonts w:ascii="宋体" w:hAnsi="宋体" w:cs="宋体"/>
                <w:kern w:val="0"/>
                <w:szCs w:val="21"/>
              </w:rPr>
            </w:pPr>
            <w:r>
              <w:rPr>
                <w:rFonts w:hint="eastAsia" w:ascii="宋体" w:hAnsi="宋体" w:cs="宋体"/>
                <w:b/>
                <w:kern w:val="0"/>
                <w:szCs w:val="21"/>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16</w:t>
            </w:r>
          </w:p>
        </w:tc>
        <w:tc>
          <w:tcPr>
            <w:tcW w:w="2106" w:type="dxa"/>
            <w:vAlign w:val="center"/>
          </w:tcPr>
          <w:p>
            <w:pPr>
              <w:spacing w:line="440" w:lineRule="exact"/>
              <w:jc w:val="center"/>
              <w:rPr>
                <w:rFonts w:ascii="宋体" w:hAnsi="宋体" w:cs="宋体"/>
                <w:kern w:val="0"/>
                <w:szCs w:val="21"/>
              </w:rPr>
            </w:pPr>
            <w:r>
              <w:rPr>
                <w:rFonts w:hint="eastAsia" w:ascii="宋体" w:hAnsi="宋体" w:cs="宋体"/>
                <w:bCs/>
                <w:szCs w:val="21"/>
              </w:rPr>
              <w:t>构成比选文件的其他材料</w:t>
            </w:r>
          </w:p>
        </w:tc>
        <w:tc>
          <w:tcPr>
            <w:tcW w:w="7104" w:type="dxa"/>
            <w:vAlign w:val="center"/>
          </w:tcPr>
          <w:p>
            <w:pPr>
              <w:spacing w:line="440" w:lineRule="exact"/>
              <w:ind w:firstLine="420" w:firstLineChars="200"/>
              <w:rPr>
                <w:rFonts w:ascii="宋体" w:hAnsi="宋体" w:cs="宋体"/>
                <w:szCs w:val="21"/>
              </w:rPr>
            </w:pPr>
            <w:r>
              <w:rPr>
                <w:rFonts w:hint="eastAsia" w:ascii="宋体" w:hAnsi="宋体" w:cs="宋体"/>
                <w:szCs w:val="21"/>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97" w:type="dxa"/>
            <w:vAlign w:val="center"/>
          </w:tcPr>
          <w:p>
            <w:pPr>
              <w:spacing w:line="400" w:lineRule="exact"/>
              <w:jc w:val="center"/>
              <w:rPr>
                <w:rFonts w:ascii="宋体" w:hAnsi="宋体" w:cs="宋体"/>
                <w:kern w:val="0"/>
                <w:szCs w:val="21"/>
              </w:rPr>
            </w:pPr>
            <w:bookmarkStart w:id="104" w:name="_Hlt227984024"/>
            <w:bookmarkEnd w:id="104"/>
            <w:r>
              <w:rPr>
                <w:rFonts w:hint="eastAsia" w:ascii="宋体" w:hAnsi="宋体" w:cs="宋体"/>
                <w:kern w:val="0"/>
                <w:szCs w:val="21"/>
              </w:rPr>
              <w:t>17</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构成竞争性比选响应文件的其他材料</w:t>
            </w:r>
          </w:p>
        </w:tc>
        <w:tc>
          <w:tcPr>
            <w:tcW w:w="7104" w:type="dxa"/>
            <w:vAlign w:val="center"/>
          </w:tcPr>
          <w:p>
            <w:pPr>
              <w:pStyle w:val="146"/>
              <w:spacing w:before="72" w:line="400" w:lineRule="exact"/>
              <w:ind w:firstLine="420" w:firstLineChars="200"/>
              <w:jc w:val="both"/>
              <w:rPr>
                <w:rFonts w:hAnsi="宋体"/>
                <w:color w:val="auto"/>
                <w:sz w:val="21"/>
                <w:szCs w:val="21"/>
              </w:rPr>
            </w:pPr>
            <w:r>
              <w:rPr>
                <w:rFonts w:hint="eastAsia" w:hAnsi="宋体"/>
                <w:color w:val="auto"/>
                <w:sz w:val="21"/>
                <w:szCs w:val="21"/>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18</w:t>
            </w:r>
          </w:p>
        </w:tc>
        <w:tc>
          <w:tcPr>
            <w:tcW w:w="2106" w:type="dxa"/>
            <w:tcBorders>
              <w:bottom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工程量清单的填写方式</w:t>
            </w:r>
          </w:p>
        </w:tc>
        <w:tc>
          <w:tcPr>
            <w:tcW w:w="7104" w:type="dxa"/>
            <w:tcBorders>
              <w:bottom w:val="single" w:color="auto" w:sz="4" w:space="0"/>
            </w:tcBorders>
          </w:tcPr>
          <w:p>
            <w:pPr>
              <w:spacing w:line="400" w:lineRule="exact"/>
              <w:ind w:firstLine="420" w:firstLineChars="200"/>
              <w:jc w:val="left"/>
              <w:rPr>
                <w:rFonts w:ascii="宋体" w:hAnsi="宋体" w:cs="宋体"/>
                <w:szCs w:val="21"/>
              </w:rPr>
            </w:pPr>
            <w:r>
              <w:rPr>
                <w:rFonts w:hint="eastAsia" w:ascii="宋体" w:hAnsi="宋体" w:cs="宋体"/>
              </w:rPr>
              <w:t>报价人按照采购人提供的工程量清单填写工程量清单</w:t>
            </w:r>
          </w:p>
          <w:p>
            <w:pPr>
              <w:spacing w:line="400" w:lineRule="exact"/>
              <w:ind w:firstLine="422" w:firstLineChars="200"/>
              <w:rPr>
                <w:rFonts w:ascii="宋体" w:hAnsi="宋体" w:cs="宋体"/>
                <w:b/>
                <w:szCs w:val="21"/>
              </w:rPr>
            </w:pPr>
            <w:r>
              <w:rPr>
                <w:rFonts w:hint="eastAsia" w:ascii="宋体" w:hAnsi="宋体" w:cs="宋体"/>
                <w:b/>
                <w:szCs w:val="21"/>
              </w:rPr>
              <w:t>综合单价取小数点后两位，小数点后第三位四舍五入。</w:t>
            </w:r>
          </w:p>
          <w:p>
            <w:pPr>
              <w:spacing w:line="400" w:lineRule="exact"/>
              <w:ind w:firstLine="422" w:firstLineChars="200"/>
              <w:rPr>
                <w:rFonts w:ascii="宋体" w:hAnsi="宋体" w:cs="宋体"/>
                <w:szCs w:val="21"/>
              </w:rPr>
            </w:pPr>
            <w:r>
              <w:rPr>
                <w:rFonts w:hint="eastAsia" w:ascii="宋体" w:hAnsi="宋体" w:cs="宋体"/>
                <w:b/>
                <w:bCs/>
                <w:szCs w:val="21"/>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19</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最高投标限价</w:t>
            </w:r>
          </w:p>
        </w:tc>
        <w:tc>
          <w:tcPr>
            <w:tcW w:w="7104" w:type="dxa"/>
            <w:tcBorders>
              <w:bottom w:val="single" w:color="auto" w:sz="4" w:space="0"/>
            </w:tcBorders>
          </w:tcPr>
          <w:p>
            <w:pPr>
              <w:spacing w:line="400" w:lineRule="exact"/>
              <w:ind w:firstLine="422" w:firstLineChars="200"/>
              <w:rPr>
                <w:rFonts w:ascii="宋体" w:hAnsi="宋体"/>
                <w:szCs w:val="21"/>
              </w:rPr>
            </w:pPr>
            <w:r>
              <w:rPr>
                <w:rFonts w:hint="eastAsia" w:ascii="宋体" w:hAnsi="宋体"/>
                <w:b/>
                <w:bCs/>
                <w:szCs w:val="21"/>
              </w:rPr>
              <w:t>本项目最高限价</w:t>
            </w:r>
            <w:r>
              <w:rPr>
                <w:rFonts w:hint="eastAsia" w:ascii="宋体" w:hAnsi="宋体"/>
                <w:b/>
                <w:bCs/>
                <w:szCs w:val="21"/>
                <w:u w:val="single"/>
                <w:lang w:val="en-US" w:eastAsia="zh-CN"/>
              </w:rPr>
              <w:t>367227.33</w:t>
            </w:r>
            <w:r>
              <w:rPr>
                <w:rFonts w:hint="eastAsia" w:ascii="宋体" w:hAnsi="宋体"/>
                <w:b/>
                <w:bCs/>
                <w:szCs w:val="21"/>
              </w:rPr>
              <w:t>元。</w:t>
            </w:r>
          </w:p>
          <w:p>
            <w:pPr>
              <w:spacing w:line="400" w:lineRule="exact"/>
              <w:ind w:firstLine="422" w:firstLineChars="200"/>
              <w:rPr>
                <w:rFonts w:ascii="宋体" w:hAnsi="宋体" w:cs="宋体"/>
                <w:b/>
                <w:bCs/>
                <w:kern w:val="0"/>
                <w:szCs w:val="21"/>
              </w:rPr>
            </w:pPr>
            <w:r>
              <w:rPr>
                <w:rFonts w:hint="eastAsia" w:ascii="宋体" w:hAnsi="宋体" w:cs="宋体"/>
                <w:b/>
                <w:szCs w:val="21"/>
              </w:rPr>
              <w:t>报价人总价及单项目报价均不得高于采购人发布的最高限价和单项目限价，否则其竞争性比选响应文件视为重大偏差，竞争性比选响应文件将按否决报价处理</w:t>
            </w:r>
            <w:r>
              <w:rPr>
                <w:rFonts w:hint="eastAsia" w:ascii="宋体" w:hAnsi="宋体" w:cs="宋体"/>
                <w:b/>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20</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合同支付办法</w:t>
            </w:r>
          </w:p>
        </w:tc>
        <w:tc>
          <w:tcPr>
            <w:tcW w:w="7104" w:type="dxa"/>
            <w:tcBorders>
              <w:bottom w:val="single" w:color="auto" w:sz="4" w:space="0"/>
            </w:tcBorders>
          </w:tcPr>
          <w:p>
            <w:pPr>
              <w:spacing w:line="400" w:lineRule="exact"/>
              <w:ind w:firstLine="420" w:firstLineChars="200"/>
            </w:pPr>
            <w:r>
              <w:rPr>
                <w:rFonts w:hint="eastAsia"/>
                <w:lang w:val="en-US" w:eastAsia="zh-CN"/>
              </w:rPr>
              <w:t>供货</w:t>
            </w:r>
            <w:r>
              <w:rPr>
                <w:rFonts w:hint="eastAsia"/>
              </w:rPr>
              <w:t>完成且通过业主验收合格后，支付合同价款的95%，缺陷责任期满2年后支付剩余5%的质保金。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21</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乙方人员的管理</w:t>
            </w:r>
          </w:p>
        </w:tc>
        <w:tc>
          <w:tcPr>
            <w:tcW w:w="7104" w:type="dxa"/>
            <w:tcBorders>
              <w:bottom w:val="single" w:color="auto" w:sz="4" w:space="0"/>
            </w:tcBorders>
            <w:shd w:val="clear" w:color="auto" w:fill="FFFFFF"/>
          </w:tcPr>
          <w:p>
            <w:pPr>
              <w:spacing w:line="400" w:lineRule="exact"/>
              <w:ind w:firstLine="420" w:firstLineChars="200"/>
            </w:pPr>
            <w:r>
              <w:rPr>
                <w:rFonts w:hint="eastAsia"/>
              </w:rPr>
              <w:t>对乙方的管理要求如下：</w:t>
            </w:r>
          </w:p>
          <w:p>
            <w:pPr>
              <w:spacing w:line="400" w:lineRule="exact"/>
              <w:ind w:firstLine="420" w:firstLineChars="200"/>
            </w:pPr>
            <w:r>
              <w:rPr>
                <w:rFonts w:hint="eastAsia"/>
              </w:rPr>
              <w:t>1.乙方在本项目工作开展期间，其现场负责人、项目安全负责人必须驻施工现场开展工作，其在岗驻场工作时间按计划工期的工作日天数按实计量，若不在岗将处以1千元/人·天的违约处理。若离开必须书面向业主请假，未经批准擅自离开，按1千元/人·天处违约处理。</w:t>
            </w:r>
          </w:p>
          <w:p>
            <w:pPr>
              <w:spacing w:line="400" w:lineRule="exact"/>
              <w:ind w:firstLine="420" w:firstLineChars="200"/>
            </w:pPr>
            <w:r>
              <w:rPr>
                <w:rFonts w:hint="eastAsia"/>
              </w:rPr>
              <w:t>2.乙方在本项目工作开展期间，更换现场负责人，甲方按5万元/人进行违约处理；更换安全负责人，甲方按2万元/人进行违约处理。新更换的人员不低于比选文件人员资质要求。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1"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22</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szCs w:val="21"/>
              </w:rPr>
              <w:t>乙方人员违约的处理</w:t>
            </w:r>
          </w:p>
        </w:tc>
        <w:tc>
          <w:tcPr>
            <w:tcW w:w="7104" w:type="dxa"/>
            <w:tcBorders>
              <w:bottom w:val="single" w:color="auto" w:sz="4" w:space="0"/>
            </w:tcBorders>
            <w:shd w:val="clear" w:color="auto" w:fill="FFFFFF"/>
          </w:tcPr>
          <w:p>
            <w:pPr>
              <w:spacing w:line="400" w:lineRule="exact"/>
              <w:ind w:firstLine="420" w:firstLineChars="200"/>
            </w:pPr>
            <w:r>
              <w:rPr>
                <w:rFonts w:hint="eastAsia"/>
              </w:rPr>
              <w:t>1</w:t>
            </w:r>
            <w:r>
              <w:t>.</w:t>
            </w:r>
            <w:r>
              <w:rPr>
                <w:rFonts w:hint="eastAsia"/>
              </w:rPr>
              <w:t>合同拖期延误的违约处理：若2021年</w:t>
            </w:r>
            <w:r>
              <w:t>11</w:t>
            </w:r>
            <w:r>
              <w:rPr>
                <w:rFonts w:hint="eastAsia"/>
              </w:rPr>
              <w:t>月</w:t>
            </w:r>
            <w:r>
              <w:rPr>
                <w:rFonts w:hint="eastAsia"/>
                <w:lang w:val="en-US" w:eastAsia="zh-CN"/>
              </w:rPr>
              <w:t>15</w:t>
            </w:r>
            <w:r>
              <w:rPr>
                <w:rFonts w:hint="eastAsia"/>
              </w:rPr>
              <w:t>日前未</w:t>
            </w:r>
            <w:r>
              <w:rPr>
                <w:rFonts w:hint="eastAsia"/>
                <w:lang w:val="en-US" w:eastAsia="zh-CN"/>
              </w:rPr>
              <w:t>进行第一次供货</w:t>
            </w:r>
            <w:r>
              <w:rPr>
                <w:rFonts w:hint="eastAsia"/>
              </w:rPr>
              <w:t>，每延期1日，乙方应向甲方支付合同总价款1%的违约金。</w:t>
            </w:r>
          </w:p>
          <w:p>
            <w:pPr>
              <w:spacing w:line="400" w:lineRule="exact"/>
              <w:ind w:firstLine="420" w:firstLineChars="200"/>
            </w:pPr>
            <w:r>
              <w:rPr>
                <w:rFonts w:hint="eastAsia"/>
              </w:rPr>
              <w:t xml:space="preserve">2. 乙方报价所选设备不能按期提供，甲方有权终止乙方对该设备的供货，并在合同金额中扣除该部分金额，由甲方另行选择设备供应商，且因此产生的额外增加费用由乙方承担。 </w:t>
            </w:r>
            <w:bookmarkStart w:id="259" w:name="_GoBack"/>
            <w:bookmarkEnd w:id="259"/>
          </w:p>
          <w:p>
            <w:pPr>
              <w:spacing w:line="400" w:lineRule="exact"/>
              <w:ind w:firstLine="420" w:firstLineChars="200"/>
            </w:pPr>
            <w:r>
              <w:rPr>
                <w:rFonts w:hint="eastAsia"/>
              </w:rPr>
              <w:t>3. 乙方未能按合同进度计划及时完成合同约定的工作，已造成或预期造成工期延误，甲方有权终止乙方不能按合同约定或预期不能按时完成的剩余工程，并由甲方另行选择单位实施，且因此产生的费用由乙方承担。</w:t>
            </w:r>
          </w:p>
          <w:p>
            <w:pPr>
              <w:pStyle w:val="2"/>
              <w:ind w:firstLine="420" w:firstLineChars="200"/>
              <w:rPr>
                <w:rFonts w:ascii="Times New Roman" w:hAnsi="Times New Roman"/>
                <w:b w:val="0"/>
                <w:bCs w:val="0"/>
                <w:caps w:val="0"/>
                <w:sz w:val="21"/>
                <w:szCs w:val="24"/>
              </w:rPr>
            </w:pPr>
            <w:r>
              <w:rPr>
                <w:rFonts w:hint="eastAsia" w:ascii="Times New Roman" w:hAnsi="Times New Roman"/>
                <w:b w:val="0"/>
                <w:bCs w:val="0"/>
                <w:caps w:val="0"/>
                <w:sz w:val="21"/>
                <w:szCs w:val="24"/>
              </w:rPr>
              <w:t>4、乙方人员未能按照合同约定开工日期进场，逾期开工或乙方逾期履行任何一项有期限要求的义务的，每逾期一天，乙方应向甲方支付合同总价款1%的违约金，逾期超过3日的，甲方有权解除本合同。</w:t>
            </w:r>
          </w:p>
          <w:p>
            <w:pPr>
              <w:ind w:firstLine="420" w:firstLineChars="200"/>
            </w:pPr>
            <w:r>
              <w:rPr>
                <w:rFonts w:hint="eastAsia"/>
              </w:rPr>
              <w:t>5、乙方必须重视安全生产，严格按照施工安全规范进行施工，出现违规操作或违反安全规范，每处违约金500-2000元/次，并责令停工整改，造成损失的乙方自行承担，甲方有权向乙方追偿。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pPr>
              <w:spacing w:line="400" w:lineRule="exact"/>
              <w:jc w:val="center"/>
              <w:rPr>
                <w:rFonts w:ascii="宋体" w:hAnsi="宋体" w:cs="宋体"/>
                <w:szCs w:val="21"/>
              </w:rPr>
            </w:pPr>
            <w:r>
              <w:rPr>
                <w:rFonts w:hint="eastAsia" w:ascii="宋体" w:hAnsi="宋体" w:cs="宋体"/>
                <w:szCs w:val="21"/>
              </w:rPr>
              <w:t>22</w:t>
            </w:r>
          </w:p>
        </w:tc>
        <w:tc>
          <w:tcPr>
            <w:tcW w:w="2106" w:type="dxa"/>
          </w:tcPr>
          <w:p>
            <w:pPr>
              <w:spacing w:line="400" w:lineRule="exact"/>
              <w:jc w:val="center"/>
              <w:rPr>
                <w:rFonts w:ascii="宋体" w:hAnsi="宋体" w:cs="宋体"/>
                <w:szCs w:val="21"/>
              </w:rPr>
            </w:pPr>
            <w:r>
              <w:rPr>
                <w:rFonts w:hint="eastAsia" w:ascii="宋体" w:hAnsi="宋体" w:cs="宋体"/>
                <w:szCs w:val="21"/>
              </w:rPr>
              <w:t>中标候选人的人数</w:t>
            </w:r>
          </w:p>
        </w:tc>
        <w:tc>
          <w:tcPr>
            <w:tcW w:w="7104" w:type="dxa"/>
            <w:vAlign w:val="center"/>
          </w:tcPr>
          <w:p>
            <w:pPr>
              <w:spacing w:line="400" w:lineRule="exact"/>
              <w:ind w:firstLine="420" w:firstLineChars="200"/>
              <w:rPr>
                <w:rFonts w:ascii="宋体" w:hAnsi="宋体" w:cs="宋体"/>
              </w:rPr>
            </w:pPr>
            <w:r>
              <w:rPr>
                <w:rFonts w:hint="eastAsia" w:ascii="宋体" w:hAnsi="宋体" w:cs="宋体"/>
              </w:rPr>
              <w:t>推荐的中标候选人数：1名。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6"/>
              <w:spacing w:line="400" w:lineRule="exact"/>
              <w:jc w:val="center"/>
              <w:rPr>
                <w:rFonts w:hAnsi="宋体"/>
                <w:color w:val="auto"/>
                <w:sz w:val="21"/>
                <w:szCs w:val="21"/>
              </w:rPr>
            </w:pPr>
            <w:r>
              <w:rPr>
                <w:rFonts w:hint="eastAsia" w:hAnsi="宋体"/>
                <w:color w:val="auto"/>
                <w:kern w:val="2"/>
                <w:sz w:val="21"/>
                <w:szCs w:val="21"/>
              </w:rPr>
              <w:t>23</w:t>
            </w:r>
          </w:p>
        </w:tc>
        <w:tc>
          <w:tcPr>
            <w:tcW w:w="2106" w:type="dxa"/>
            <w:vAlign w:val="center"/>
          </w:tcPr>
          <w:p>
            <w:pPr>
              <w:pStyle w:val="146"/>
              <w:spacing w:line="400" w:lineRule="exact"/>
              <w:jc w:val="center"/>
              <w:rPr>
                <w:rFonts w:hAnsi="宋体"/>
                <w:color w:val="auto"/>
                <w:sz w:val="21"/>
                <w:szCs w:val="21"/>
              </w:rPr>
            </w:pPr>
            <w:r>
              <w:rPr>
                <w:rFonts w:hint="eastAsia" w:hAnsi="宋体"/>
                <w:color w:val="auto"/>
                <w:kern w:val="2"/>
                <w:sz w:val="21"/>
                <w:szCs w:val="21"/>
              </w:rPr>
              <w:t>监督部门</w:t>
            </w:r>
          </w:p>
        </w:tc>
        <w:tc>
          <w:tcPr>
            <w:tcW w:w="7104" w:type="dxa"/>
            <w:vAlign w:val="center"/>
          </w:tcPr>
          <w:p>
            <w:pPr>
              <w:pStyle w:val="146"/>
              <w:spacing w:line="400" w:lineRule="exact"/>
              <w:ind w:firstLine="420" w:firstLineChars="200"/>
              <w:rPr>
                <w:rFonts w:hAnsi="宋体"/>
                <w:color w:val="auto"/>
                <w:kern w:val="2"/>
                <w:sz w:val="21"/>
                <w:szCs w:val="21"/>
              </w:rPr>
            </w:pPr>
            <w:r>
              <w:rPr>
                <w:rFonts w:hint="eastAsia" w:hAnsi="宋体"/>
                <w:color w:val="auto"/>
                <w:kern w:val="2"/>
                <w:sz w:val="21"/>
                <w:szCs w:val="21"/>
              </w:rPr>
              <w:t>监督部门：重庆首讯科技股份有限公司纪检监察室</w:t>
            </w:r>
          </w:p>
          <w:p>
            <w:pPr>
              <w:pStyle w:val="146"/>
              <w:spacing w:line="400" w:lineRule="exact"/>
              <w:ind w:firstLine="420" w:firstLineChars="200"/>
              <w:rPr>
                <w:rFonts w:hAnsi="宋体"/>
                <w:color w:val="auto"/>
                <w:kern w:val="2"/>
                <w:sz w:val="21"/>
                <w:szCs w:val="21"/>
              </w:rPr>
            </w:pPr>
            <w:r>
              <w:rPr>
                <w:rFonts w:hint="eastAsia" w:hAnsi="宋体"/>
                <w:color w:val="auto"/>
                <w:kern w:val="2"/>
                <w:sz w:val="21"/>
                <w:szCs w:val="21"/>
              </w:rPr>
              <w:t>地    址：重庆市南岸区四公里内环入口高速集团首讯科技大楼</w:t>
            </w:r>
          </w:p>
          <w:p>
            <w:pPr>
              <w:pStyle w:val="146"/>
              <w:spacing w:line="400" w:lineRule="exact"/>
              <w:ind w:firstLine="420" w:firstLineChars="200"/>
              <w:rPr>
                <w:rFonts w:hAnsi="宋体"/>
                <w:color w:val="auto"/>
                <w:sz w:val="21"/>
                <w:szCs w:val="21"/>
              </w:rPr>
            </w:pPr>
            <w:r>
              <w:rPr>
                <w:rFonts w:hint="eastAsia" w:hAnsi="宋体"/>
                <w:color w:val="auto"/>
                <w:kern w:val="2"/>
                <w:sz w:val="21"/>
                <w:szCs w:val="21"/>
              </w:rPr>
              <w:t>电    话：023-86376833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6"/>
              <w:spacing w:line="400" w:lineRule="exact"/>
              <w:jc w:val="center"/>
              <w:rPr>
                <w:rFonts w:hAnsi="宋体"/>
                <w:color w:val="auto"/>
                <w:kern w:val="2"/>
                <w:sz w:val="21"/>
                <w:szCs w:val="21"/>
              </w:rPr>
            </w:pPr>
            <w:r>
              <w:rPr>
                <w:rFonts w:hint="eastAsia" w:hAnsi="宋体"/>
                <w:color w:val="auto"/>
                <w:kern w:val="2"/>
                <w:sz w:val="21"/>
                <w:szCs w:val="21"/>
              </w:rPr>
              <w:t>24</w:t>
            </w:r>
          </w:p>
        </w:tc>
        <w:tc>
          <w:tcPr>
            <w:tcW w:w="9210" w:type="dxa"/>
            <w:gridSpan w:val="2"/>
            <w:vAlign w:val="center"/>
          </w:tcPr>
          <w:p>
            <w:pPr>
              <w:pStyle w:val="146"/>
              <w:spacing w:line="400" w:lineRule="exact"/>
              <w:ind w:firstLine="482" w:firstLineChars="200"/>
              <w:jc w:val="center"/>
              <w:rPr>
                <w:rFonts w:hAnsi="宋体"/>
                <w:color w:val="auto"/>
                <w:kern w:val="2"/>
                <w:sz w:val="21"/>
                <w:szCs w:val="21"/>
              </w:rPr>
            </w:pPr>
            <w:r>
              <w:rPr>
                <w:rFonts w:hAnsi="宋体"/>
                <w:b/>
                <w:bCs/>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6"/>
              <w:spacing w:line="400" w:lineRule="exact"/>
              <w:jc w:val="center"/>
              <w:rPr>
                <w:rFonts w:hAnsi="宋体"/>
                <w:color w:val="auto"/>
                <w:kern w:val="2"/>
                <w:sz w:val="21"/>
                <w:szCs w:val="21"/>
              </w:rPr>
            </w:pPr>
            <w:r>
              <w:rPr>
                <w:rFonts w:hint="eastAsia" w:hAnsi="宋体"/>
                <w:color w:val="auto"/>
                <w:kern w:val="2"/>
                <w:sz w:val="21"/>
                <w:szCs w:val="21"/>
              </w:rPr>
              <w:t>24.1</w:t>
            </w:r>
          </w:p>
        </w:tc>
        <w:tc>
          <w:tcPr>
            <w:tcW w:w="9210" w:type="dxa"/>
            <w:gridSpan w:val="2"/>
            <w:vAlign w:val="center"/>
          </w:tcPr>
          <w:p>
            <w:pPr>
              <w:pStyle w:val="146"/>
              <w:spacing w:line="400" w:lineRule="exact"/>
              <w:ind w:firstLine="420" w:firstLineChars="200"/>
              <w:rPr>
                <w:rFonts w:hint="eastAsia" w:hAnsi="宋体"/>
                <w:sz w:val="21"/>
                <w:szCs w:val="21"/>
              </w:rPr>
            </w:pPr>
            <w:r>
              <w:rPr>
                <w:rFonts w:hint="eastAsia" w:hAnsi="宋体"/>
                <w:sz w:val="21"/>
                <w:szCs w:val="21"/>
              </w:rPr>
              <w:t>截止竞争性比选响应文件递交时间，递交竞争性比选响应文件不足3家的不得开启竞争性比选文件。</w:t>
            </w:r>
          </w:p>
          <w:p>
            <w:pPr>
              <w:pStyle w:val="146"/>
              <w:spacing w:line="400" w:lineRule="exact"/>
              <w:ind w:firstLine="420" w:firstLineChars="200"/>
              <w:rPr>
                <w:rFonts w:hint="default" w:hAnsi="宋体" w:eastAsia="宋体"/>
                <w:sz w:val="21"/>
                <w:szCs w:val="21"/>
                <w:lang w:val="en-US" w:eastAsia="zh-CN"/>
              </w:rPr>
            </w:pPr>
            <w:r>
              <w:rPr>
                <w:rFonts w:hint="default" w:hAnsi="宋体" w:eastAsia="宋体"/>
                <w:sz w:val="21"/>
                <w:szCs w:val="21"/>
                <w:lang w:val="en-US" w:eastAsia="zh-CN"/>
              </w:rPr>
              <w:t>1、报价文件由正本一份，副本一份组成，封面右上角需标注“正本”、“副本”加以区别，所有报价文件需密封到一个封袋中（需将已签字文件扫描后存入U盘并与文件密封）。</w:t>
            </w:r>
          </w:p>
          <w:p>
            <w:pPr>
              <w:pStyle w:val="146"/>
              <w:spacing w:line="400" w:lineRule="exact"/>
              <w:ind w:firstLine="420" w:firstLineChars="200"/>
              <w:rPr>
                <w:rFonts w:hint="default" w:hAnsi="宋体" w:eastAsia="宋体"/>
                <w:sz w:val="21"/>
                <w:szCs w:val="21"/>
                <w:lang w:val="en-US" w:eastAsia="zh-CN"/>
              </w:rPr>
            </w:pPr>
            <w:r>
              <w:rPr>
                <w:rFonts w:hint="default" w:hAnsi="宋体" w:eastAsia="宋体"/>
                <w:sz w:val="21"/>
                <w:szCs w:val="21"/>
                <w:lang w:val="en-US" w:eastAsia="zh-CN"/>
              </w:rPr>
              <w:t>2.竞争性比选响应声明书、报价函、资格要求材料、报价人认为需要提供的其他相关文件（注：以上所有文件均须逐页加盖报价人的公章）。</w:t>
            </w:r>
          </w:p>
          <w:p>
            <w:pPr>
              <w:pStyle w:val="146"/>
              <w:spacing w:line="400" w:lineRule="exact"/>
              <w:ind w:firstLine="420" w:firstLineChars="200"/>
              <w:rPr>
                <w:rFonts w:hint="eastAsia" w:hAnsi="宋体"/>
                <w:sz w:val="21"/>
                <w:szCs w:val="21"/>
                <w:lang w:val="en-US" w:eastAsia="zh-CN"/>
              </w:rPr>
            </w:pPr>
            <w:r>
              <w:rPr>
                <w:rFonts w:hint="default" w:hAnsi="宋体" w:eastAsia="宋体"/>
                <w:sz w:val="21"/>
                <w:szCs w:val="21"/>
                <w:lang w:val="en-US" w:eastAsia="zh-CN"/>
              </w:rPr>
              <w:t>密封要求：竞争性比选响应文件密封到一个封袋中，在封套上写明：</w:t>
            </w:r>
            <w:r>
              <w:rPr>
                <w:rFonts w:hint="eastAsia" w:hAnsi="宋体"/>
                <w:sz w:val="21"/>
                <w:szCs w:val="21"/>
                <w:lang w:val="en-US" w:eastAsia="zh-CN"/>
              </w:rPr>
              <w:t>2021年股份二期项目光缆采购项目（第二次）</w:t>
            </w:r>
            <w:r>
              <w:rPr>
                <w:rFonts w:hint="default" w:hAnsi="宋体" w:eastAsia="宋体"/>
                <w:sz w:val="21"/>
                <w:szCs w:val="21"/>
                <w:lang w:val="en-US" w:eastAsia="zh-CN"/>
              </w:rPr>
              <w:t>竞争性比选响应文件在2021年</w:t>
            </w:r>
            <w:r>
              <w:rPr>
                <w:rFonts w:hint="eastAsia" w:hAnsi="宋体"/>
                <w:sz w:val="21"/>
                <w:szCs w:val="21"/>
                <w:lang w:val="en-US" w:eastAsia="zh-CN"/>
              </w:rPr>
              <w:t>11</w:t>
            </w:r>
            <w:r>
              <w:rPr>
                <w:rFonts w:hint="default" w:hAnsi="宋体" w:eastAsia="宋体"/>
                <w:sz w:val="21"/>
                <w:szCs w:val="21"/>
                <w:lang w:val="en-US" w:eastAsia="zh-CN"/>
              </w:rPr>
              <w:t>月</w:t>
            </w:r>
            <w:r>
              <w:rPr>
                <w:rFonts w:hint="eastAsia" w:hAnsi="宋体"/>
                <w:sz w:val="21"/>
                <w:szCs w:val="21"/>
                <w:lang w:val="en-US" w:eastAsia="zh-CN"/>
              </w:rPr>
              <w:t>4</w:t>
            </w:r>
            <w:r>
              <w:rPr>
                <w:rFonts w:hint="default" w:hAnsi="宋体" w:eastAsia="宋体"/>
                <w:sz w:val="21"/>
                <w:szCs w:val="21"/>
                <w:lang w:val="en-US" w:eastAsia="zh-CN"/>
              </w:rPr>
              <w:t>日下午15：00时前不得开启</w:t>
            </w:r>
            <w:r>
              <w:rPr>
                <w:rFonts w:hint="eastAsia" w:hAnsi="宋体"/>
                <w:sz w:val="21"/>
                <w:szCs w:val="21"/>
                <w:lang w:val="en-US" w:eastAsia="zh-CN"/>
              </w:rPr>
              <w:t>.</w:t>
            </w:r>
          </w:p>
          <w:p>
            <w:pPr>
              <w:pStyle w:val="146"/>
              <w:numPr>
                <w:ilvl w:val="0"/>
                <w:numId w:val="2"/>
              </w:numPr>
              <w:spacing w:line="400" w:lineRule="exact"/>
              <w:ind w:firstLine="420" w:firstLineChars="200"/>
              <w:rPr>
                <w:rFonts w:hint="default" w:hAnsi="宋体"/>
                <w:sz w:val="21"/>
                <w:szCs w:val="21"/>
                <w:lang w:val="en-US" w:eastAsia="zh-CN"/>
              </w:rPr>
            </w:pPr>
            <w:r>
              <w:rPr>
                <w:rFonts w:hint="default" w:hAnsi="宋体"/>
                <w:sz w:val="21"/>
                <w:szCs w:val="21"/>
                <w:lang w:val="en-US" w:eastAsia="zh-CN"/>
              </w:rPr>
              <w:t>在甲方发出中标通知书后，合同签订前，乙方向甲方提供履约担保。履约保函或履约保证金在完成合同约定的全部工作内容后28天后自动失效或无息退还剩余部分。担保金额为合同金额的10%（履约保函开具银行的分支行必须在重庆市主城区内有经营网点），履约担保作为本合同附件。履约担保有效期：自双方签订的合同文件生效之日起，至合同验收完成止。如果乙方出具的履约保函有效期早于合同约定的履约担保有效期，乙方应在保函到期1个月之前延长保函的有效期，否则甲方有权停止支付合同价格。担保形式：银行保函担保或现金转账</w:t>
            </w:r>
            <w:r>
              <w:rPr>
                <w:rFonts w:hint="eastAsia" w:hAnsi="宋体"/>
                <w:sz w:val="21"/>
                <w:szCs w:val="21"/>
                <w:lang w:val="en-US" w:eastAsia="zh-CN"/>
              </w:rPr>
              <w:t>。</w:t>
            </w:r>
          </w:p>
        </w:tc>
      </w:tr>
      <w:bookmarkEnd w:id="103"/>
    </w:tbl>
    <w:p>
      <w:pPr>
        <w:spacing w:line="360" w:lineRule="auto"/>
        <w:jc w:val="center"/>
        <w:rPr>
          <w:rFonts w:ascii="宋体" w:hAnsi="宋体" w:cs="宋体"/>
          <w:b/>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pPr>
        <w:pStyle w:val="4"/>
        <w:jc w:val="center"/>
        <w:rPr>
          <w:rFonts w:ascii="宋体" w:hAnsi="宋体" w:eastAsia="宋体" w:cs="宋体"/>
          <w:sz w:val="30"/>
          <w:szCs w:val="30"/>
        </w:rPr>
      </w:pPr>
      <w:bookmarkStart w:id="105" w:name="_Toc17532"/>
      <w:bookmarkStart w:id="106" w:name="_Toc11284"/>
      <w:bookmarkStart w:id="107" w:name="_Toc11329222"/>
      <w:bookmarkStart w:id="108" w:name="_Toc30198"/>
      <w:r>
        <w:rPr>
          <w:rFonts w:hint="eastAsia" w:ascii="宋体" w:hAnsi="宋体" w:eastAsia="宋体" w:cs="宋体"/>
          <w:sz w:val="28"/>
          <w:szCs w:val="28"/>
        </w:rPr>
        <w:t>附录1  资格审查条件（资质最低要求）</w:t>
      </w:r>
      <w:bookmarkEnd w:id="105"/>
      <w:bookmarkEnd w:id="106"/>
      <w:bookmarkEnd w:id="107"/>
      <w:bookmarkEnd w:id="108"/>
    </w:p>
    <w:tbl>
      <w:tblPr>
        <w:tblStyle w:val="40"/>
        <w:tblW w:w="9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9108" w:type="dxa"/>
            <w:vAlign w:val="center"/>
          </w:tcPr>
          <w:p>
            <w:pPr>
              <w:spacing w:line="400" w:lineRule="exact"/>
              <w:jc w:val="center"/>
              <w:rPr>
                <w:rFonts w:ascii="宋体" w:hAnsi="宋体" w:cs="宋体"/>
                <w:szCs w:val="21"/>
              </w:rPr>
            </w:pPr>
            <w:r>
              <w:rPr>
                <w:rFonts w:hint="eastAsia" w:ascii="宋体" w:hAnsi="宋体" w:cs="宋体"/>
                <w:szCs w:val="21"/>
              </w:rPr>
              <w:t>施工企业资质要求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jc w:val="center"/>
        </w:trPr>
        <w:tc>
          <w:tcPr>
            <w:tcW w:w="9108" w:type="dxa"/>
          </w:tcPr>
          <w:p>
            <w:pPr>
              <w:spacing w:line="360" w:lineRule="auto"/>
            </w:pPr>
            <w:r>
              <w:rPr>
                <w:rFonts w:hint="eastAsia"/>
              </w:rPr>
              <w:t>1.具有独立法人资格；</w:t>
            </w:r>
          </w:p>
          <w:p>
            <w:pPr>
              <w:spacing w:line="360" w:lineRule="auto"/>
            </w:pPr>
            <w:r>
              <w:rPr>
                <w:rFonts w:hint="eastAsia"/>
              </w:rPr>
              <w:t>2.具有有效的营业执照；</w:t>
            </w:r>
          </w:p>
          <w:p>
            <w:pPr>
              <w:spacing w:line="360" w:lineRule="auto"/>
            </w:pPr>
            <w:r>
              <w:rPr>
                <w:rFonts w:hint="eastAsia"/>
              </w:rPr>
              <w:t>3报价单需为</w:t>
            </w:r>
            <w:r>
              <w:rPr>
                <w:rFonts w:hint="eastAsia"/>
                <w:lang w:eastAsia="zh-CN"/>
              </w:rPr>
              <w:t>光缆</w:t>
            </w:r>
            <w:r>
              <w:rPr>
                <w:rFonts w:hint="eastAsia"/>
              </w:rPr>
              <w:t>制造商；</w:t>
            </w:r>
          </w:p>
          <w:p>
            <w:pPr>
              <w:spacing w:line="400" w:lineRule="exact"/>
            </w:pPr>
            <w:r>
              <w:rPr>
                <w:rFonts w:hint="eastAsia"/>
              </w:rPr>
              <w:t>4.</w:t>
            </w:r>
            <w:r>
              <w:rPr>
                <w:rFonts w:hint="eastAsia"/>
              </w:rPr>
              <w:tab/>
            </w:r>
            <w:r>
              <w:rPr>
                <w:rFonts w:hint="eastAsia"/>
              </w:rPr>
              <w:t>报价单位投标须针对本项目的售后服务进行承诺以及产品资质认证。</w:t>
            </w:r>
          </w:p>
        </w:tc>
      </w:tr>
    </w:tbl>
    <w:p>
      <w:pPr>
        <w:spacing w:line="440" w:lineRule="exact"/>
        <w:ind w:firstLine="420" w:firstLineChars="200"/>
        <w:rPr>
          <w:rFonts w:ascii="宋体" w:hAnsi="宋体" w:cs="宋体"/>
        </w:rPr>
      </w:pPr>
      <w:r>
        <w:rPr>
          <w:rFonts w:hint="eastAsia" w:ascii="宋体" w:hAnsi="宋体" w:cs="宋体"/>
        </w:rPr>
        <w:t>注：须提供报价人营业执照、资质证书等复印件并加盖单位鲜公章。</w:t>
      </w:r>
    </w:p>
    <w:p>
      <w:pPr>
        <w:spacing w:line="440" w:lineRule="exact"/>
        <w:ind w:firstLine="413" w:firstLineChars="147"/>
        <w:jc w:val="center"/>
        <w:rPr>
          <w:rFonts w:ascii="宋体" w:hAnsi="宋体" w:cs="宋体"/>
          <w:b/>
          <w:sz w:val="28"/>
          <w:szCs w:val="28"/>
        </w:rPr>
      </w:pPr>
    </w:p>
    <w:p>
      <w:pPr>
        <w:pStyle w:val="4"/>
        <w:jc w:val="center"/>
        <w:rPr>
          <w:rFonts w:ascii="宋体" w:hAnsi="宋体" w:eastAsia="宋体" w:cs="宋体"/>
          <w:bCs w:val="0"/>
        </w:rPr>
      </w:pPr>
      <w:bookmarkStart w:id="109" w:name="_Toc11329223"/>
      <w:bookmarkStart w:id="110" w:name="_Toc17235"/>
      <w:bookmarkStart w:id="111" w:name="_Toc30995"/>
      <w:bookmarkStart w:id="112" w:name="_Toc1778"/>
      <w:r>
        <w:rPr>
          <w:rFonts w:hint="eastAsia" w:ascii="宋体" w:hAnsi="宋体" w:eastAsia="宋体" w:cs="宋体"/>
          <w:bCs w:val="0"/>
          <w:sz w:val="28"/>
          <w:szCs w:val="28"/>
        </w:rPr>
        <w:t>附录2  资格审查条件（财务最低要求）</w:t>
      </w:r>
      <w:bookmarkEnd w:id="109"/>
      <w:bookmarkEnd w:id="110"/>
      <w:bookmarkEnd w:id="111"/>
      <w:bookmarkEnd w:id="112"/>
    </w:p>
    <w:tbl>
      <w:tblPr>
        <w:tblStyle w:val="40"/>
        <w:tblW w:w="94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484" w:type="dxa"/>
            <w:vAlign w:val="center"/>
          </w:tcPr>
          <w:p>
            <w:pPr>
              <w:spacing w:line="400" w:lineRule="exact"/>
              <w:jc w:val="center"/>
              <w:rPr>
                <w:rFonts w:ascii="宋体" w:hAnsi="宋体" w:cs="宋体"/>
                <w:szCs w:val="21"/>
              </w:rPr>
            </w:pPr>
            <w:r>
              <w:rPr>
                <w:rFonts w:hint="eastAsia" w:ascii="宋体" w:hAnsi="宋体" w:cs="宋体"/>
                <w:szCs w:val="21"/>
              </w:rPr>
              <w:t>财务要求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9484" w:type="dxa"/>
          </w:tcPr>
          <w:p>
            <w:pPr>
              <w:spacing w:line="400" w:lineRule="exact"/>
            </w:pPr>
            <w:r>
              <w:rPr>
                <w:rFonts w:hint="eastAsia"/>
              </w:rPr>
              <w:t>无要求</w:t>
            </w:r>
          </w:p>
        </w:tc>
      </w:tr>
    </w:tbl>
    <w:p>
      <w:pPr>
        <w:pStyle w:val="4"/>
        <w:jc w:val="center"/>
        <w:rPr>
          <w:rFonts w:ascii="宋体" w:hAnsi="宋体" w:eastAsia="宋体" w:cs="宋体"/>
          <w:bCs w:val="0"/>
          <w:sz w:val="28"/>
          <w:szCs w:val="28"/>
        </w:rPr>
      </w:pPr>
      <w:bookmarkStart w:id="113" w:name="_Toc11329224"/>
    </w:p>
    <w:p>
      <w:pPr>
        <w:pStyle w:val="4"/>
        <w:jc w:val="center"/>
        <w:rPr>
          <w:rFonts w:ascii="宋体" w:hAnsi="宋体" w:eastAsia="宋体" w:cs="宋体"/>
          <w:bCs w:val="0"/>
          <w:sz w:val="28"/>
          <w:szCs w:val="28"/>
        </w:rPr>
      </w:pPr>
      <w:bookmarkStart w:id="114" w:name="_Toc28315"/>
      <w:bookmarkStart w:id="115" w:name="_Toc16638"/>
      <w:bookmarkStart w:id="116" w:name="_Toc6263"/>
      <w:r>
        <w:rPr>
          <w:rFonts w:hint="eastAsia" w:ascii="宋体" w:hAnsi="宋体" w:eastAsia="宋体" w:cs="宋体"/>
          <w:bCs w:val="0"/>
          <w:sz w:val="28"/>
          <w:szCs w:val="28"/>
        </w:rPr>
        <w:t>附录3  资格审查条件（业绩最低要求）</w:t>
      </w:r>
      <w:bookmarkEnd w:id="113"/>
      <w:bookmarkEnd w:id="114"/>
      <w:bookmarkEnd w:id="115"/>
      <w:bookmarkEnd w:id="116"/>
    </w:p>
    <w:tbl>
      <w:tblPr>
        <w:tblStyle w:val="40"/>
        <w:tblW w:w="9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9322" w:type="dxa"/>
            <w:vAlign w:val="center"/>
          </w:tcPr>
          <w:p>
            <w:pPr>
              <w:spacing w:line="400" w:lineRule="exact"/>
              <w:jc w:val="center"/>
              <w:rPr>
                <w:rFonts w:ascii="宋体" w:hAnsi="宋体" w:cs="宋体"/>
                <w:szCs w:val="21"/>
              </w:rPr>
            </w:pPr>
            <w:r>
              <w:rPr>
                <w:rFonts w:hint="eastAsia" w:ascii="宋体" w:hAnsi="宋体" w:cs="宋体"/>
                <w:szCs w:val="21"/>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322" w:type="dxa"/>
          </w:tcPr>
          <w:p>
            <w:pPr>
              <w:spacing w:line="400" w:lineRule="exact"/>
            </w:pPr>
            <w:r>
              <w:rPr>
                <w:rFonts w:hint="eastAsia"/>
              </w:rPr>
              <w:t>无要求</w:t>
            </w:r>
          </w:p>
        </w:tc>
      </w:tr>
    </w:tbl>
    <w:p>
      <w:pPr>
        <w:pStyle w:val="4"/>
        <w:jc w:val="center"/>
        <w:rPr>
          <w:rFonts w:ascii="宋体" w:hAnsi="宋体" w:eastAsia="宋体" w:cs="宋体"/>
          <w:bCs w:val="0"/>
          <w:sz w:val="28"/>
          <w:szCs w:val="28"/>
        </w:rPr>
      </w:pPr>
      <w:bookmarkStart w:id="117" w:name="_Toc11329225"/>
    </w:p>
    <w:p>
      <w:pPr>
        <w:pStyle w:val="4"/>
        <w:jc w:val="center"/>
        <w:rPr>
          <w:rFonts w:ascii="宋体" w:hAnsi="宋体" w:cs="宋体"/>
          <w:b w:val="0"/>
          <w:sz w:val="28"/>
          <w:szCs w:val="28"/>
        </w:rPr>
      </w:pPr>
      <w:bookmarkStart w:id="118" w:name="_Toc10083"/>
      <w:bookmarkStart w:id="119" w:name="_Toc12296"/>
      <w:bookmarkStart w:id="120" w:name="_Toc26749"/>
      <w:r>
        <w:rPr>
          <w:rFonts w:hint="eastAsia" w:ascii="宋体" w:hAnsi="宋体" w:eastAsia="宋体" w:cs="宋体"/>
          <w:bCs w:val="0"/>
          <w:sz w:val="28"/>
          <w:szCs w:val="28"/>
        </w:rPr>
        <w:t>附录4 资格审查条件（信誉最低要求）</w:t>
      </w:r>
      <w:bookmarkEnd w:id="117"/>
      <w:bookmarkEnd w:id="118"/>
      <w:bookmarkEnd w:id="119"/>
      <w:bookmarkEnd w:id="120"/>
    </w:p>
    <w:tbl>
      <w:tblPr>
        <w:tblStyle w:val="40"/>
        <w:tblW w:w="92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9213" w:type="dxa"/>
          </w:tcPr>
          <w:p>
            <w:pPr>
              <w:spacing w:line="400" w:lineRule="exact"/>
              <w:jc w:val="center"/>
              <w:rPr>
                <w:rFonts w:ascii="宋体" w:hAnsi="宋体" w:cs="宋体"/>
                <w:szCs w:val="21"/>
              </w:rPr>
            </w:pPr>
            <w:r>
              <w:rPr>
                <w:rFonts w:hint="eastAsia" w:ascii="宋体" w:hAnsi="宋体" w:cs="宋体"/>
                <w:szCs w:val="21"/>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9213" w:type="dxa"/>
          </w:tcPr>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在“信用中国”网站（http://www.creditchina.gov.cn/）中未被列入失信惩戒执行人名单；</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在国家企业信用信息公示系统（http://www.gsxt.gov.cn/）中未被列入严重违法失信企业名单（黑名单）信息</w:t>
            </w:r>
          </w:p>
        </w:tc>
      </w:tr>
    </w:tbl>
    <w:p>
      <w:pPr>
        <w:pStyle w:val="2"/>
        <w:ind w:firstLine="402" w:firstLineChars="200"/>
      </w:pPr>
      <w:r>
        <w:rPr>
          <w:rFonts w:hint="eastAsia"/>
        </w:rPr>
        <w:t>注：</w:t>
      </w:r>
      <w:r>
        <w:rPr>
          <w:rFonts w:hint="eastAsia" w:ascii="Times New Roman" w:hAnsi="宋体"/>
          <w:sz w:val="21"/>
          <w:szCs w:val="21"/>
        </w:rPr>
        <w:t>报价人自行承诺即可，无需</w:t>
      </w:r>
      <w:r>
        <w:rPr>
          <w:rFonts w:hint="eastAsia" w:hAnsi="宋体"/>
          <w:sz w:val="21"/>
          <w:szCs w:val="21"/>
        </w:rPr>
        <w:t>提供相关证明材料，并加盖单位鲜公章。</w:t>
      </w:r>
    </w:p>
    <w:p>
      <w:pPr>
        <w:pStyle w:val="4"/>
        <w:jc w:val="center"/>
        <w:rPr>
          <w:rFonts w:ascii="宋体" w:hAnsi="宋体" w:eastAsia="宋体" w:cs="宋体"/>
          <w:bCs w:val="0"/>
          <w:sz w:val="28"/>
          <w:szCs w:val="28"/>
        </w:rPr>
      </w:pPr>
      <w:bookmarkStart w:id="121" w:name="_Toc25591"/>
      <w:bookmarkStart w:id="122" w:name="_Toc12773"/>
      <w:bookmarkStart w:id="123" w:name="_Toc11329226"/>
      <w:bookmarkStart w:id="124" w:name="_Toc27096"/>
      <w:r>
        <w:rPr>
          <w:rFonts w:hint="eastAsia" w:ascii="宋体" w:hAnsi="宋体" w:eastAsia="宋体" w:cs="宋体"/>
          <w:bCs w:val="0"/>
          <w:sz w:val="28"/>
          <w:szCs w:val="28"/>
        </w:rPr>
        <w:t>附录5 资格审查文件（项目主要管理人员最低要求）</w:t>
      </w:r>
      <w:bookmarkEnd w:id="121"/>
      <w:bookmarkEnd w:id="122"/>
      <w:bookmarkEnd w:id="123"/>
      <w:bookmarkEnd w:id="124"/>
    </w:p>
    <w:p>
      <w:pPr>
        <w:spacing w:line="400" w:lineRule="exact"/>
        <w:jc w:val="center"/>
      </w:pPr>
      <w:r>
        <w:rPr>
          <w:rFonts w:hint="eastAsia" w:ascii="宋体" w:hAnsi="宋体" w:cs="宋体"/>
          <w:b/>
          <w:szCs w:val="21"/>
        </w:rPr>
        <w:t>主要管理人员最低要求</w:t>
      </w:r>
    </w:p>
    <w:tbl>
      <w:tblPr>
        <w:tblStyle w:val="40"/>
        <w:tblW w:w="9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bookmarkStart w:id="125" w:name="_Toc388534043"/>
            <w:bookmarkStart w:id="126" w:name="_Toc387234996"/>
            <w:r>
              <w:rPr>
                <w:rFonts w:hint="eastAsia" w:ascii="宋体" w:hAnsi="宋体" w:cs="宋体"/>
                <w:szCs w:val="21"/>
              </w:rPr>
              <w:t>序号</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人  员</w:t>
            </w: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数量</w:t>
            </w: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1</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420" w:firstLineChars="20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r>
              <w:rPr>
                <w:rFonts w:hint="eastAsia" w:ascii="宋体" w:hAnsi="宋体" w:cs="宋体"/>
                <w:szCs w:val="21"/>
              </w:rPr>
              <w:t>2</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p>
        </w:tc>
        <w:tc>
          <w:tcPr>
            <w:tcW w:w="73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宋体" w:hAnsi="宋体" w:cs="宋体"/>
                <w:szCs w:val="21"/>
              </w:rPr>
            </w:pPr>
          </w:p>
        </w:tc>
        <w:tc>
          <w:tcPr>
            <w:tcW w:w="67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ind w:firstLine="420" w:firstLineChars="200"/>
              <w:rPr>
                <w:rFonts w:hint="eastAsia" w:ascii="宋体" w:hAnsi="宋体" w:eastAsia="宋体" w:cs="宋体"/>
                <w:szCs w:val="21"/>
                <w:lang w:eastAsia="zh-CN"/>
              </w:rPr>
            </w:pPr>
          </w:p>
        </w:tc>
      </w:tr>
    </w:tbl>
    <w:p>
      <w:pPr>
        <w:spacing w:line="400" w:lineRule="exact"/>
        <w:jc w:val="center"/>
        <w:rPr>
          <w:rFonts w:ascii="宋体" w:hAnsi="宋体" w:cs="宋体"/>
          <w:szCs w:val="21"/>
        </w:rPr>
      </w:pPr>
      <w:r>
        <w:rPr>
          <w:rFonts w:hint="eastAsia" w:ascii="宋体" w:hAnsi="宋体" w:cs="宋体"/>
          <w:szCs w:val="21"/>
        </w:rPr>
        <w:t xml:space="preserve">   </w:t>
      </w:r>
      <w:r>
        <w:rPr>
          <w:rFonts w:hint="eastAsia" w:hAnsi="宋体"/>
          <w:b/>
          <w:bCs/>
          <w:szCs w:val="21"/>
        </w:rPr>
        <w:t>注：以上人员不得重复任职。报价人自行承诺即可，无需提供相关证明材料，并加盖单位鲜公章。</w:t>
      </w:r>
    </w:p>
    <w:p>
      <w:pPr>
        <w:pStyle w:val="2"/>
      </w:pPr>
    </w:p>
    <w:p>
      <w:pPr>
        <w:outlineLvl w:val="1"/>
        <w:rPr>
          <w:rFonts w:ascii="宋体" w:hAnsi="宋体" w:cs="宋体"/>
          <w:b/>
          <w:sz w:val="28"/>
          <w:szCs w:val="28"/>
        </w:rPr>
        <w:sectPr>
          <w:pgSz w:w="11906" w:h="16838"/>
          <w:pgMar w:top="1418" w:right="1134" w:bottom="1418" w:left="1134" w:header="851" w:footer="992" w:gutter="0"/>
          <w:cols w:space="720" w:num="1"/>
          <w:docGrid w:type="lines" w:linePitch="312" w:charSpace="0"/>
        </w:sectPr>
      </w:pPr>
    </w:p>
    <w:p>
      <w:pPr>
        <w:pStyle w:val="4"/>
        <w:rPr>
          <w:rFonts w:ascii="宋体" w:hAnsi="宋体" w:cs="宋体"/>
          <w:b w:val="0"/>
          <w:sz w:val="28"/>
          <w:szCs w:val="28"/>
          <w:highlight w:val="red"/>
        </w:rPr>
      </w:pPr>
      <w:bookmarkStart w:id="127" w:name="_Toc21487"/>
      <w:bookmarkStart w:id="128" w:name="_Toc8293"/>
      <w:bookmarkStart w:id="129" w:name="_Toc11329227"/>
      <w:bookmarkStart w:id="130" w:name="_Toc27148"/>
      <w:r>
        <w:rPr>
          <w:rFonts w:hint="eastAsia" w:ascii="宋体" w:hAnsi="宋体" w:cs="宋体"/>
          <w:b w:val="0"/>
          <w:sz w:val="28"/>
          <w:szCs w:val="28"/>
        </w:rPr>
        <w:t>附录6 资格审查文件（项目其他人员最低要求）</w:t>
      </w:r>
      <w:bookmarkEnd w:id="127"/>
      <w:bookmarkEnd w:id="128"/>
      <w:bookmarkEnd w:id="129"/>
      <w:bookmarkEnd w:id="130"/>
    </w:p>
    <w:tbl>
      <w:tblPr>
        <w:tblStyle w:val="40"/>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highlight w:val="green"/>
              </w:rPr>
            </w:pPr>
            <w:bookmarkStart w:id="131" w:name="_Toc23696"/>
            <w:bookmarkStart w:id="132" w:name="_Toc413241584"/>
            <w:bookmarkStart w:id="133" w:name="_Toc507319900"/>
            <w:r>
              <w:rPr>
                <w:rFonts w:hint="eastAsia" w:ascii="宋体" w:hAnsi="宋体" w:cs="宋体"/>
                <w:szCs w:val="21"/>
              </w:rPr>
              <w:t>项目施工、安装及调试劳务人员最低要求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ind w:firstLine="420" w:firstLineChars="200"/>
              <w:rPr>
                <w:rFonts w:hint="eastAsia" w:eastAsia="宋体"/>
                <w:lang w:eastAsia="zh-CN"/>
              </w:rPr>
            </w:pPr>
            <w:r>
              <w:rPr>
                <w:rFonts w:hint="eastAsia" w:hAnsi="宋体"/>
                <w:bCs/>
                <w:szCs w:val="21"/>
                <w:lang w:val="en-US" w:eastAsia="zh-CN"/>
              </w:rPr>
              <w:t>无</w:t>
            </w:r>
          </w:p>
        </w:tc>
      </w:tr>
    </w:tbl>
    <w:p>
      <w:pPr>
        <w:pStyle w:val="146"/>
        <w:adjustRightInd/>
        <w:spacing w:line="360" w:lineRule="auto"/>
        <w:jc w:val="both"/>
        <w:rPr>
          <w:rFonts w:hAnsi="宋体"/>
          <w:b/>
          <w:bCs/>
          <w:color w:val="FF0000"/>
          <w:sz w:val="21"/>
          <w:szCs w:val="21"/>
        </w:rPr>
      </w:pPr>
      <w:r>
        <w:rPr>
          <w:rFonts w:hint="eastAsia" w:hAnsi="宋体"/>
          <w:b/>
          <w:bCs/>
          <w:color w:val="auto"/>
          <w:sz w:val="21"/>
          <w:szCs w:val="21"/>
        </w:rPr>
        <w:t>注：</w:t>
      </w:r>
      <w:r>
        <w:rPr>
          <w:rFonts w:hint="eastAsia" w:ascii="Times New Roman" w:hAnsi="宋体" w:cs="Times New Roman"/>
          <w:b/>
          <w:bCs/>
          <w:color w:val="auto"/>
          <w:sz w:val="21"/>
          <w:szCs w:val="21"/>
        </w:rPr>
        <w:t>以上人员不得重复任职。报价人自行承诺即可，无需</w:t>
      </w:r>
      <w:r>
        <w:rPr>
          <w:rFonts w:hint="eastAsia" w:hAnsi="宋体"/>
          <w:b/>
          <w:bCs/>
          <w:color w:val="auto"/>
          <w:sz w:val="21"/>
          <w:szCs w:val="21"/>
        </w:rPr>
        <w:t>提供相关证明材料，并加盖单位鲜公章。</w:t>
      </w:r>
    </w:p>
    <w:bookmarkEnd w:id="131"/>
    <w:bookmarkEnd w:id="132"/>
    <w:bookmarkEnd w:id="133"/>
    <w:p>
      <w:pPr>
        <w:pStyle w:val="4"/>
        <w:rPr>
          <w:rStyle w:val="74"/>
          <w:rFonts w:ascii="宋体" w:hAnsi="宋体" w:eastAsia="宋体" w:cs="宋体"/>
          <w:b w:val="0"/>
          <w:bCs w:val="0"/>
          <w:sz w:val="28"/>
          <w:szCs w:val="28"/>
        </w:rPr>
      </w:pPr>
    </w:p>
    <w:p>
      <w:pPr>
        <w:pStyle w:val="4"/>
        <w:rPr>
          <w:rFonts w:hAnsi="宋体"/>
          <w:b w:val="0"/>
          <w:sz w:val="28"/>
          <w:szCs w:val="28"/>
        </w:rPr>
      </w:pPr>
      <w:bookmarkStart w:id="134" w:name="_Toc4169"/>
      <w:bookmarkStart w:id="135" w:name="_Toc6096"/>
      <w:bookmarkStart w:id="136" w:name="_Toc17384"/>
      <w:r>
        <w:rPr>
          <w:rFonts w:hint="eastAsia" w:ascii="宋体" w:hAnsi="宋体" w:cs="宋体"/>
          <w:b w:val="0"/>
          <w:sz w:val="28"/>
          <w:szCs w:val="28"/>
        </w:rPr>
        <w:t>附录7 资格审查文件（主要机械设备和试验检测设备最低要求）</w:t>
      </w:r>
      <w:bookmarkEnd w:id="134"/>
      <w:bookmarkEnd w:id="135"/>
      <w:bookmarkEnd w:id="136"/>
    </w:p>
    <w:tbl>
      <w:tblPr>
        <w:tblStyle w:val="40"/>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highlight w:val="green"/>
              </w:rPr>
            </w:pPr>
            <w:r>
              <w:rPr>
                <w:rFonts w:hint="eastAsia" w:ascii="宋体" w:hAnsi="宋体" w:cs="宋体"/>
                <w:szCs w:val="21"/>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ind w:firstLine="420" w:firstLineChars="200"/>
            </w:pPr>
            <w:r>
              <w:rPr>
                <w:rFonts w:hint="eastAsia" w:ascii="宋体" w:hAnsi="宋体" w:cs="宋体"/>
                <w:caps/>
                <w:szCs w:val="21"/>
              </w:rPr>
              <w:t>无</w:t>
            </w:r>
          </w:p>
        </w:tc>
      </w:tr>
    </w:tbl>
    <w:p>
      <w:pPr>
        <w:spacing w:line="400" w:lineRule="exact"/>
        <w:ind w:firstLine="420"/>
        <w:rPr>
          <w:rFonts w:ascii="宋体" w:hAnsi="宋体" w:cs="宋体"/>
          <w:kern w:val="0"/>
          <w:szCs w:val="21"/>
        </w:rPr>
      </w:pPr>
      <w:r>
        <w:rPr>
          <w:rFonts w:hint="eastAsia" w:ascii="宋体" w:hAnsi="宋体" w:cs="宋体"/>
          <w:bCs/>
          <w:kern w:val="0"/>
          <w:szCs w:val="21"/>
        </w:rPr>
        <w:t>注：以上设备</w:t>
      </w:r>
      <w:r>
        <w:rPr>
          <w:rFonts w:hint="eastAsia" w:ascii="宋体" w:hAnsi="宋体" w:cs="宋体"/>
          <w:kern w:val="0"/>
        </w:rPr>
        <w:t>由报价人</w:t>
      </w:r>
      <w:r>
        <w:rPr>
          <w:rFonts w:hint="eastAsia" w:ascii="宋体" w:hAnsi="宋体" w:cs="宋体"/>
          <w:b/>
          <w:kern w:val="0"/>
        </w:rPr>
        <w:t>自行承诺</w:t>
      </w:r>
      <w:r>
        <w:rPr>
          <w:rFonts w:hint="eastAsia" w:ascii="宋体" w:hAnsi="宋体" w:cs="宋体"/>
          <w:kern w:val="0"/>
        </w:rPr>
        <w:t>，</w:t>
      </w:r>
      <w:r>
        <w:rPr>
          <w:rFonts w:hint="eastAsia" w:ascii="宋体" w:hAnsi="宋体" w:cs="宋体"/>
          <w:kern w:val="0"/>
          <w:szCs w:val="21"/>
        </w:rPr>
        <w:t>无需提供有关证明资料，并加盖单位鲜公章。</w:t>
      </w:r>
    </w:p>
    <w:p>
      <w:pPr>
        <w:pStyle w:val="146"/>
        <w:adjustRightInd/>
        <w:spacing w:line="400" w:lineRule="exact"/>
        <w:ind w:firstLine="422" w:firstLineChars="200"/>
        <w:jc w:val="both"/>
        <w:rPr>
          <w:rFonts w:hAnsi="宋体"/>
          <w:bCs/>
          <w:color w:val="auto"/>
          <w:sz w:val="21"/>
          <w:szCs w:val="21"/>
        </w:rPr>
      </w:pPr>
      <w:r>
        <w:rPr>
          <w:rFonts w:hint="eastAsia" w:hAnsi="宋体"/>
          <w:b/>
          <w:bCs/>
          <w:color w:val="auto"/>
          <w:sz w:val="21"/>
          <w:szCs w:val="21"/>
        </w:rPr>
        <w:t>以上（附录1-附录7中的资格审查）的要求均为强制性条件，其中任何一条不满足要求，则按否决报价处理。</w:t>
      </w:r>
    </w:p>
    <w:p>
      <w:pPr>
        <w:pStyle w:val="146"/>
        <w:adjustRightInd/>
        <w:spacing w:line="360" w:lineRule="auto"/>
        <w:jc w:val="both"/>
        <w:rPr>
          <w:rFonts w:hAnsi="宋体"/>
          <w:bCs/>
          <w:color w:val="auto"/>
          <w:sz w:val="21"/>
          <w:szCs w:val="21"/>
        </w:rPr>
      </w:pPr>
    </w:p>
    <w:bookmarkEnd w:id="125"/>
    <w:bookmarkEnd w:id="126"/>
    <w:p>
      <w:pPr>
        <w:spacing w:line="440" w:lineRule="exact"/>
        <w:rPr>
          <w:rFonts w:ascii="宋体" w:hAnsi="宋体" w:cs="宋体"/>
          <w:szCs w:val="21"/>
        </w:rPr>
        <w:sectPr>
          <w:footerReference r:id="rId8" w:type="default"/>
          <w:pgSz w:w="11906" w:h="16838"/>
          <w:pgMar w:top="1440" w:right="1800" w:bottom="1440" w:left="1800" w:header="851" w:footer="992" w:gutter="0"/>
          <w:cols w:space="720" w:num="1"/>
          <w:titlePg/>
          <w:docGrid w:type="lines" w:linePitch="312" w:charSpace="0"/>
        </w:sectPr>
      </w:pPr>
    </w:p>
    <w:p>
      <w:pPr>
        <w:spacing w:line="440" w:lineRule="exact"/>
        <w:ind w:firstLine="210" w:firstLineChars="100"/>
        <w:rPr>
          <w:rFonts w:ascii="宋体" w:hAnsi="宋体" w:cs="宋体"/>
        </w:rPr>
      </w:pPr>
    </w:p>
    <w:p>
      <w:pPr>
        <w:pStyle w:val="3"/>
        <w:spacing w:before="0" w:after="0" w:line="360" w:lineRule="auto"/>
        <w:jc w:val="center"/>
        <w:rPr>
          <w:rFonts w:ascii="宋体" w:hAnsi="宋体" w:cs="宋体"/>
        </w:rPr>
      </w:pPr>
      <w:bookmarkStart w:id="137" w:name="_Toc246996230"/>
      <w:bookmarkStart w:id="138" w:name="_Toc507319957"/>
      <w:bookmarkStart w:id="139" w:name="_Toc7682"/>
      <w:bookmarkStart w:id="140" w:name="_Toc152042364"/>
      <w:bookmarkStart w:id="141" w:name="_Toc144974554"/>
      <w:bookmarkStart w:id="142" w:name="_Toc179632605"/>
      <w:bookmarkStart w:id="143" w:name="_Toc152045587"/>
      <w:bookmarkStart w:id="144" w:name="_Toc246996973"/>
      <w:bookmarkStart w:id="145" w:name="_Toc247085745"/>
      <w:bookmarkStart w:id="146" w:name="_Toc2000406"/>
      <w:r>
        <w:rPr>
          <w:rFonts w:hint="eastAsia" w:ascii="宋体" w:hAnsi="宋体" w:cs="宋体"/>
        </w:rPr>
        <w:t>第三章 评标办法（经评审的最低投标价法）</w:t>
      </w:r>
      <w:bookmarkEnd w:id="137"/>
      <w:bookmarkEnd w:id="138"/>
      <w:bookmarkEnd w:id="139"/>
      <w:bookmarkEnd w:id="140"/>
      <w:bookmarkEnd w:id="141"/>
      <w:bookmarkEnd w:id="142"/>
      <w:bookmarkEnd w:id="143"/>
      <w:bookmarkEnd w:id="144"/>
      <w:bookmarkEnd w:id="145"/>
      <w:bookmarkEnd w:id="146"/>
    </w:p>
    <w:p/>
    <w:tbl>
      <w:tblPr>
        <w:tblStyle w:val="40"/>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blHeader/>
          <w:jc w:val="center"/>
        </w:trPr>
        <w:tc>
          <w:tcPr>
            <w:tcW w:w="2024" w:type="dxa"/>
            <w:gridSpan w:val="2"/>
            <w:tcBorders>
              <w:top w:val="single" w:color="auto" w:sz="4" w:space="0"/>
              <w:bottom w:val="single" w:color="auto" w:sz="4" w:space="0"/>
              <w:right w:val="single" w:color="auto" w:sz="4" w:space="0"/>
            </w:tcBorders>
            <w:vAlign w:val="center"/>
          </w:tcPr>
          <w:p>
            <w:pPr>
              <w:spacing w:line="400" w:lineRule="exact"/>
              <w:jc w:val="center"/>
              <w:rPr>
                <w:b/>
              </w:rPr>
            </w:pPr>
            <w:r>
              <w:rPr>
                <w:b/>
              </w:rPr>
              <w:t>条款号</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rPr>
            </w:pPr>
            <w:r>
              <w:rPr>
                <w:b/>
              </w:rPr>
              <w:t>评审因素</w:t>
            </w:r>
          </w:p>
        </w:tc>
        <w:tc>
          <w:tcPr>
            <w:tcW w:w="5004" w:type="dxa"/>
            <w:tcBorders>
              <w:top w:val="single" w:color="auto" w:sz="4" w:space="0"/>
              <w:left w:val="single" w:color="auto" w:sz="4" w:space="0"/>
              <w:bottom w:val="single" w:color="auto" w:sz="4" w:space="0"/>
            </w:tcBorders>
            <w:vAlign w:val="center"/>
          </w:tcPr>
          <w:p>
            <w:pPr>
              <w:spacing w:line="400" w:lineRule="exact"/>
              <w:jc w:val="center"/>
              <w:rPr>
                <w:b/>
              </w:rPr>
            </w:pPr>
            <w:r>
              <w:rPr>
                <w:b/>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vAlign w:val="center"/>
          </w:tcPr>
          <w:p>
            <w:pPr>
              <w:spacing w:line="400" w:lineRule="exact"/>
              <w:jc w:val="center"/>
            </w:pPr>
            <w:r>
              <w:t>1</w:t>
            </w:r>
          </w:p>
        </w:tc>
        <w:tc>
          <w:tcPr>
            <w:tcW w:w="1124" w:type="dxa"/>
            <w:tcBorders>
              <w:top w:val="single" w:color="auto" w:sz="4" w:space="0"/>
              <w:left w:val="single" w:color="auto" w:sz="4" w:space="0"/>
              <w:right w:val="single" w:color="auto" w:sz="4" w:space="0"/>
            </w:tcBorders>
            <w:vAlign w:val="center"/>
          </w:tcPr>
          <w:p>
            <w:pPr>
              <w:spacing w:line="400" w:lineRule="exact"/>
              <w:jc w:val="center"/>
            </w:pPr>
            <w:r>
              <w:t>评标方法</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中标候选人排序方法</w:t>
            </w:r>
          </w:p>
        </w:tc>
        <w:tc>
          <w:tcPr>
            <w:tcW w:w="5004" w:type="dxa"/>
            <w:tcBorders>
              <w:top w:val="single" w:color="auto" w:sz="4" w:space="0"/>
              <w:left w:val="single" w:color="auto" w:sz="4" w:space="0"/>
              <w:bottom w:val="single" w:color="auto" w:sz="4" w:space="0"/>
            </w:tcBorders>
          </w:tcPr>
          <w:p>
            <w:pPr>
              <w:spacing w:line="360" w:lineRule="auto"/>
            </w:pPr>
            <w:r>
              <w:t>如出现报价相等时，评审小组按以下原则确定第一中标候选人：</w:t>
            </w:r>
          </w:p>
          <w:p>
            <w:pPr>
              <w:spacing w:line="360" w:lineRule="auto"/>
              <w:ind w:firstLine="210" w:firstLineChars="100"/>
            </w:pPr>
            <w:r>
              <w:rPr>
                <w:rFonts w:hint="eastAsia"/>
              </w:rPr>
              <w:t>以系统记录的最早提交报价文件的投标人为第一中标候选人</w:t>
            </w: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vAlign w:val="center"/>
          </w:tcPr>
          <w:p>
            <w:pPr>
              <w:spacing w:line="400" w:lineRule="exact"/>
              <w:jc w:val="center"/>
            </w:pPr>
            <w:r>
              <w:rPr>
                <w:rFonts w:hint="eastAsia"/>
              </w:rPr>
              <w:t>2</w:t>
            </w:r>
          </w:p>
        </w:tc>
        <w:tc>
          <w:tcPr>
            <w:tcW w:w="1124" w:type="dxa"/>
            <w:vMerge w:val="restart"/>
            <w:tcBorders>
              <w:top w:val="single" w:color="auto" w:sz="4" w:space="0"/>
              <w:left w:val="single" w:color="auto" w:sz="4" w:space="0"/>
              <w:right w:val="single" w:color="auto" w:sz="4" w:space="0"/>
            </w:tcBorders>
            <w:vAlign w:val="center"/>
          </w:tcPr>
          <w:p>
            <w:pPr>
              <w:spacing w:line="400" w:lineRule="exact"/>
              <w:jc w:val="center"/>
            </w:pPr>
            <w: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人名称</w:t>
            </w:r>
          </w:p>
        </w:tc>
        <w:tc>
          <w:tcPr>
            <w:tcW w:w="5004" w:type="dxa"/>
            <w:tcBorders>
              <w:top w:val="single" w:color="auto" w:sz="4" w:space="0"/>
              <w:left w:val="single" w:color="auto" w:sz="4" w:space="0"/>
              <w:bottom w:val="single" w:color="auto" w:sz="4" w:space="0"/>
            </w:tcBorders>
            <w:vAlign w:val="center"/>
          </w:tcPr>
          <w:p>
            <w:pPr>
              <w:spacing w:line="400" w:lineRule="exact"/>
            </w:pPr>
            <w:r>
              <w:t>与营业执照、资质证书、安全生产许可证一致。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函签字盖章</w:t>
            </w:r>
          </w:p>
        </w:tc>
        <w:tc>
          <w:tcPr>
            <w:tcW w:w="5004" w:type="dxa"/>
            <w:tcBorders>
              <w:top w:val="single" w:color="auto" w:sz="4" w:space="0"/>
              <w:left w:val="single" w:color="auto" w:sz="4" w:space="0"/>
              <w:bottom w:val="single" w:color="auto" w:sz="4" w:space="0"/>
            </w:tcBorders>
            <w:vAlign w:val="center"/>
          </w:tcPr>
          <w:p>
            <w:pPr>
              <w:spacing w:line="400" w:lineRule="exact"/>
            </w:pPr>
            <w: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竞争性</w:t>
            </w:r>
            <w:r>
              <w:t>比选响应文件格式</w:t>
            </w:r>
          </w:p>
        </w:tc>
        <w:tc>
          <w:tcPr>
            <w:tcW w:w="5004" w:type="dxa"/>
            <w:tcBorders>
              <w:top w:val="single" w:color="auto" w:sz="4" w:space="0"/>
              <w:left w:val="single" w:color="auto" w:sz="4" w:space="0"/>
              <w:bottom w:val="single" w:color="auto" w:sz="4" w:space="0"/>
            </w:tcBorders>
            <w:vAlign w:val="center"/>
          </w:tcPr>
          <w:p>
            <w:pPr>
              <w:spacing w:line="400" w:lineRule="exact"/>
            </w:pPr>
            <w:r>
              <w:t>符合第九章“</w:t>
            </w:r>
            <w:r>
              <w:rPr>
                <w:rFonts w:hint="eastAsia"/>
              </w:rPr>
              <w:t>竞争性</w:t>
            </w:r>
            <w:r>
              <w:t>比选响应文件格式”的要求，字迹清晰可辨。</w:t>
            </w:r>
          </w:p>
          <w:p>
            <w:pPr>
              <w:spacing w:line="400" w:lineRule="exact"/>
            </w:pPr>
            <w:r>
              <w:t>1.</w:t>
            </w:r>
            <w:r>
              <w:rPr>
                <w:rFonts w:hint="eastAsia"/>
              </w:rPr>
              <w:t>报价</w:t>
            </w:r>
            <w:r>
              <w:t>函的所有数据均符合</w:t>
            </w:r>
            <w:r>
              <w:rPr>
                <w:rFonts w:hint="eastAsia"/>
              </w:rPr>
              <w:t>比选</w:t>
            </w:r>
            <w:r>
              <w:t>文件的规定；</w:t>
            </w:r>
          </w:p>
          <w:p>
            <w:pPr>
              <w:spacing w:line="400" w:lineRule="exact"/>
            </w:pPr>
            <w:r>
              <w:t>2.</w:t>
            </w:r>
            <w:r>
              <w:rPr>
                <w:rFonts w:hint="eastAsia"/>
              </w:rPr>
              <w:t>竞争性</w:t>
            </w:r>
            <w:r>
              <w:t>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已标价工程量清单</w:t>
            </w:r>
          </w:p>
        </w:tc>
        <w:tc>
          <w:tcPr>
            <w:tcW w:w="5004" w:type="dxa"/>
            <w:tcBorders>
              <w:top w:val="single" w:color="auto" w:sz="4" w:space="0"/>
              <w:left w:val="single" w:color="auto" w:sz="4" w:space="0"/>
              <w:bottom w:val="single" w:color="auto" w:sz="4" w:space="0"/>
            </w:tcBorders>
            <w:vAlign w:val="center"/>
          </w:tcPr>
          <w:p>
            <w:pPr>
              <w:spacing w:line="440" w:lineRule="exact"/>
            </w:pPr>
            <w:r>
              <w:t>符合第五章“工程量清单”给出的范围及数量</w:t>
            </w:r>
            <w:r>
              <w:rPr>
                <w:rFonts w:hint="eastAsia"/>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报价其它要求</w:t>
            </w:r>
          </w:p>
        </w:tc>
        <w:tc>
          <w:tcPr>
            <w:tcW w:w="5004" w:type="dxa"/>
            <w:tcBorders>
              <w:top w:val="single" w:color="auto" w:sz="4" w:space="0"/>
              <w:left w:val="single" w:color="auto" w:sz="4" w:space="0"/>
              <w:bottom w:val="single" w:color="auto" w:sz="4" w:space="0"/>
            </w:tcBorders>
            <w:vAlign w:val="center"/>
          </w:tcPr>
          <w:p>
            <w:pPr>
              <w:spacing w:line="440" w:lineRule="exact"/>
            </w:pPr>
            <w:r>
              <w:rPr>
                <w:rFonts w:hint="eastAsia"/>
              </w:rPr>
              <w:t>竞争性</w:t>
            </w:r>
            <w:r>
              <w:t>比选响应文件报价表中的报价与</w:t>
            </w:r>
            <w:r>
              <w:rPr>
                <w:rFonts w:hint="eastAsia"/>
              </w:rPr>
              <w:t>报价</w:t>
            </w:r>
            <w:r>
              <w:t>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rPr>
                <w:rFonts w:hint="eastAsia"/>
              </w:rPr>
              <w:t>竞争性</w:t>
            </w:r>
            <w: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pPr>
              <w:spacing w:line="400" w:lineRule="exact"/>
            </w:pPr>
            <w:r>
              <w:rPr>
                <w:rFonts w:hint="eastAsia"/>
              </w:rPr>
              <w:t>竞争性</w:t>
            </w:r>
            <w:r>
              <w:t>比选响应文件正本中法定代表人或授权代理人签署姓名齐全，符合</w:t>
            </w:r>
            <w:r>
              <w:rPr>
                <w:rFonts w:hint="eastAsia"/>
              </w:rPr>
              <w:t>比选</w:t>
            </w:r>
            <w:r>
              <w:t>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7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t>其它材料</w:t>
            </w:r>
          </w:p>
        </w:tc>
        <w:tc>
          <w:tcPr>
            <w:tcW w:w="5004" w:type="dxa"/>
            <w:tcBorders>
              <w:top w:val="single" w:color="auto" w:sz="4" w:space="0"/>
              <w:left w:val="single" w:color="auto" w:sz="4" w:space="0"/>
            </w:tcBorders>
            <w:vAlign w:val="center"/>
          </w:tcPr>
          <w:p>
            <w:pPr>
              <w:spacing w:line="400" w:lineRule="exact"/>
            </w:pPr>
            <w:r>
              <w:t>与</w:t>
            </w:r>
            <w:r>
              <w:rPr>
                <w:rFonts w:hint="eastAsia"/>
              </w:rPr>
              <w:t>采购人</w:t>
            </w:r>
            <w:r>
              <w:t>存在利害关系可能影响</w:t>
            </w:r>
            <w:r>
              <w:rPr>
                <w:rFonts w:hint="eastAsia"/>
              </w:rPr>
              <w:t>比选</w:t>
            </w:r>
            <w:r>
              <w:t>公正性的法人、其他组织或者个人，不得参加</w:t>
            </w:r>
            <w:r>
              <w:rPr>
                <w:rFonts w:hint="eastAsia"/>
              </w:rPr>
              <w:t>报价</w:t>
            </w:r>
            <w:r>
              <w:t>；单位负责人为同一人或者存在控股、管理关系的不同单位，不得同时参加</w:t>
            </w:r>
            <w:r>
              <w:rPr>
                <w:rFonts w:hint="eastAsia"/>
              </w:rPr>
              <w:t>报价</w:t>
            </w:r>
            <w:r>
              <w:t>，否则相关</w:t>
            </w:r>
            <w:r>
              <w:rPr>
                <w:rFonts w:hint="eastAsia"/>
              </w:rPr>
              <w:t>报价</w:t>
            </w:r>
            <w:r>
              <w:t>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营业执照</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11</w:t>
            </w:r>
            <w:r>
              <w:t>项规定，具备有效的营业执照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资质要求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人须知”前附表附录1的规定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财务要求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人须知”前附表附录2的规定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业绩要求</w:t>
            </w:r>
          </w:p>
        </w:tc>
        <w:tc>
          <w:tcPr>
            <w:tcW w:w="5004" w:type="dxa"/>
            <w:tcBorders>
              <w:top w:val="single" w:color="auto" w:sz="4" w:space="0"/>
              <w:left w:val="single" w:color="auto" w:sz="4" w:space="0"/>
              <w:bottom w:val="single" w:color="auto" w:sz="4" w:space="0"/>
            </w:tcBorders>
          </w:tcPr>
          <w:p>
            <w:pPr>
              <w:spacing w:line="400" w:lineRule="exact"/>
            </w:pPr>
            <w:r>
              <w:t>符合第二章“</w:t>
            </w:r>
            <w:r>
              <w:rPr>
                <w:rFonts w:hint="eastAsia"/>
              </w:rPr>
              <w:t>报价</w:t>
            </w:r>
            <w:r>
              <w:t>人须知”前附表附录3的规定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信誉要求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人须知”前附表附录4的规定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7"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项目主要管理人员</w:t>
            </w:r>
            <w:r>
              <w:t>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人须知”前附表附录5的规定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项目施工、安装及调试劳务人员最低要求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人须知”前附表附录6的规定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kern w:val="1"/>
              </w:rPr>
            </w:pPr>
            <w:r>
              <w:rPr>
                <w:kern w:val="1"/>
              </w:rPr>
              <w:t>主要机械设备和试验检测设备最低要求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人须知”前附表附录7的规定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投标内容</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7</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报价</w:t>
            </w:r>
          </w:p>
        </w:tc>
        <w:tc>
          <w:tcPr>
            <w:tcW w:w="5004" w:type="dxa"/>
            <w:tcBorders>
              <w:top w:val="single" w:color="auto" w:sz="4" w:space="0"/>
              <w:left w:val="single" w:color="auto" w:sz="4" w:space="0"/>
              <w:bottom w:val="single" w:color="auto" w:sz="4" w:space="0"/>
            </w:tcBorders>
            <w:vAlign w:val="center"/>
          </w:tcPr>
          <w:p>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工期</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施工地点</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3</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质量标准</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9</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安全目标</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10</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spacing w:line="400" w:lineRule="exact"/>
              <w:jc w:val="center"/>
            </w:pPr>
            <w:r>
              <w:rPr>
                <w:rFonts w:hint="eastAsia"/>
              </w:rPr>
              <w:t>5</w:t>
            </w:r>
          </w:p>
        </w:tc>
        <w:tc>
          <w:tcPr>
            <w:tcW w:w="112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评标结果</w:t>
            </w:r>
          </w:p>
        </w:tc>
        <w:tc>
          <w:tcPr>
            <w:tcW w:w="7121" w:type="dxa"/>
            <w:gridSpan w:val="2"/>
            <w:tcBorders>
              <w:top w:val="single" w:color="auto" w:sz="4" w:space="0"/>
              <w:left w:val="single" w:color="auto" w:sz="4" w:space="0"/>
              <w:bottom w:val="single" w:color="auto" w:sz="4" w:space="0"/>
            </w:tcBorders>
          </w:tcPr>
          <w:p>
            <w:pPr>
              <w:spacing w:line="400" w:lineRule="exact"/>
              <w:ind w:firstLine="420"/>
            </w:pPr>
            <w:r>
              <w:t>补充细化：</w:t>
            </w:r>
          </w:p>
          <w:p>
            <w:pPr>
              <w:spacing w:line="400" w:lineRule="exact"/>
              <w:ind w:firstLine="420" w:firstLineChars="200"/>
            </w:pPr>
            <w:r>
              <w:t>本项目评标采用经评审的最低投标价法，对通过初步评审、详细评审的</w:t>
            </w:r>
            <w:r>
              <w:rPr>
                <w:rFonts w:hint="eastAsia"/>
              </w:rPr>
              <w:t>报价</w:t>
            </w:r>
            <w:r>
              <w:t>人按照</w:t>
            </w:r>
            <w:r>
              <w:rPr>
                <w:rFonts w:hint="eastAsia"/>
              </w:rPr>
              <w:t>报</w:t>
            </w:r>
            <w:r>
              <w:t>价从低到高的先后顺序，推荐</w:t>
            </w:r>
            <w:r>
              <w:rPr>
                <w:rFonts w:hint="eastAsia"/>
              </w:rPr>
              <w:t>1</w:t>
            </w:r>
            <w:r>
              <w:t>名中标候选人。</w:t>
            </w:r>
          </w:p>
          <w:p>
            <w:pPr>
              <w:pStyle w:val="2"/>
              <w:ind w:firstLine="420" w:firstLineChars="200"/>
            </w:pPr>
            <w:r>
              <w:rPr>
                <w:rFonts w:hint="eastAsia" w:ascii="Times New Roman" w:hAnsi="Times New Roman" w:eastAsia="宋体" w:cs="Times New Roman"/>
                <w:b w:val="0"/>
                <w:bCs w:val="0"/>
                <w:caps w:val="0"/>
                <w:kern w:val="2"/>
                <w:sz w:val="21"/>
                <w:szCs w:val="24"/>
                <w:lang w:val="en-US" w:eastAsia="zh-CN" w:bidi="ar-SA"/>
              </w:rPr>
              <w:t>评审小组对满足比选文件实质性要求且总报价未超过最高限价的竞争性比选响应文件，若报价相同则由报价相同的投标人进行第二轮报价，以有效报价较低的单位为中标候选人；若第二次有效报价仍相同，则以先提交二次有效报价的单位为中标后选人</w:t>
            </w:r>
            <w:r>
              <w:rPr>
                <w:rFonts w:hint="eastAsia" w:ascii="Times New Roman" w:hAnsi="Times New Roman" w:cs="Times New Roman"/>
                <w:b w:val="0"/>
                <w:bCs w:val="0"/>
                <w:caps w:val="0"/>
                <w:kern w:val="2"/>
                <w:sz w:val="21"/>
                <w:szCs w:val="24"/>
                <w:lang w:val="en-US" w:eastAsia="zh-CN" w:bidi="ar-SA"/>
              </w:rPr>
              <w:t>。</w:t>
            </w:r>
          </w:p>
        </w:tc>
      </w:tr>
    </w:tbl>
    <w:p>
      <w:pPr>
        <w:rPr>
          <w:rFonts w:ascii="宋体" w:hAnsi="宋体" w:cs="宋体"/>
        </w:rPr>
      </w:pPr>
    </w:p>
    <w:p>
      <w:pPr>
        <w:pStyle w:val="2"/>
        <w:jc w:val="center"/>
      </w:pPr>
      <w:r>
        <w:rPr>
          <w:rFonts w:hint="eastAsia"/>
        </w:rPr>
        <w:br w:type="page"/>
      </w:r>
      <w:bookmarkStart w:id="147" w:name="_Toc13787"/>
      <w:r>
        <w:rPr>
          <w:rStyle w:val="79"/>
          <w:rFonts w:hint="eastAsia"/>
          <w:b/>
          <w:bCs/>
        </w:rPr>
        <w:t>第四章 报价说明</w:t>
      </w:r>
      <w:bookmarkEnd w:id="147"/>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1、工程量清单应与本工程竞争性比选文件、技术标准和要求等文件结合起来查阅与理解。</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2、本竞争性比选报价采用综合单价报价。综合单价是指完成工程量清单中一个规定计量单位的分部分项工程量清单费用、措施项目清单费用、其他项目清单费用、规费、</w:t>
      </w:r>
      <w:r>
        <w:rPr>
          <w:rFonts w:hint="eastAsia" w:ascii="宋体" w:hAnsi="宋体" w:cs="宋体"/>
          <w:b w:val="0"/>
          <w:bCs w:val="0"/>
          <w:sz w:val="21"/>
          <w:szCs w:val="21"/>
          <w:lang w:val="en-US" w:eastAsia="zh-CN"/>
        </w:rPr>
        <w:t>13</w:t>
      </w:r>
      <w:r>
        <w:rPr>
          <w:rFonts w:hint="eastAsia" w:ascii="宋体" w:hAnsi="宋体" w:cs="宋体"/>
          <w:b w:val="0"/>
          <w:bCs w:val="0"/>
          <w:sz w:val="21"/>
          <w:szCs w:val="21"/>
        </w:rPr>
        <w:t>%税金等完成本项目的一切费用（即本项目除交通组织措施费和安全生产费以外的人工费、材料设备及采管费和二次转运费、工程照管费、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w:t>
      </w:r>
      <w:r>
        <w:rPr>
          <w:rFonts w:hint="eastAsia" w:ascii="宋体" w:hAnsi="宋体" w:cs="宋体"/>
          <w:b w:val="0"/>
          <w:bCs w:val="0"/>
          <w:sz w:val="21"/>
          <w:szCs w:val="21"/>
          <w:lang w:eastAsia="zh-CN"/>
        </w:rPr>
        <w:t>光缆</w:t>
      </w:r>
      <w:r>
        <w:rPr>
          <w:rFonts w:hint="eastAsia" w:ascii="宋体" w:hAnsi="宋体" w:cs="宋体"/>
          <w:b w:val="0"/>
          <w:bCs w:val="0"/>
          <w:sz w:val="21"/>
          <w:szCs w:val="21"/>
        </w:rPr>
        <w:t>应根据要求进行防盗包封，设备及线缆标识按采购人要求制作安装，以上工作内容采购人不再另行计量与支付。</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5、报价人应结合施工现场实际和现在的市场情况、自身技术及管理水平、经营状况、机械设备及制定的施工方案的要求自行报价，该报价不低于报价人完成该项目的成本。</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6、工程量清单中所列工程数量是估算的数量，仅作为报价的共同基础，不能作为最终结算与支付的依据。实际支付应按实际完成的工程量*工程量清单的单价来计算支付金额。</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7、工程量清单中所列工程量的变动，丝毫不会降低或影响合同条款的效力，也不免除报价人按规定的标准进行施工和修复缺陷的责任。</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9、工程量清单中的任何内容不得随意删除或涂改，若有误，在有效时间内书面向采购人提出，以“补遗”资料为准。</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10、不同单项及单位工程中的分部分项工程量清单中相同项目（项目特征及工作内容相同）的应报价统一，如有差异，按最低的一个报价进行结算；材料设备单价处理办法相同。</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11、对作业和材料的技术标准和要求及一般说明或规定，未重复写入工程量清单内，在给工程量清单各细目报价前，应参阅设计文件及竞争性比选文件中技术标准和要求的有关部分。</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12、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其竞争性响应文件将不予评审，并没收其履约担保。</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13、工程量清单中的任何内容不得随意删除或涂改，若有误，在有效时间内书面向采购人提出，以“补遗”资料为准。</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14、报价中的单价和合价全部以人民币（元）表示。</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pPr>
        <w:pStyle w:val="2"/>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16、合同为单价合同，合同期间不予调价。</w:t>
      </w:r>
    </w:p>
    <w:p>
      <w:pPr>
        <w:pStyle w:val="2"/>
        <w:spacing w:line="380" w:lineRule="exact"/>
        <w:ind w:firstLine="420" w:firstLineChars="200"/>
      </w:pPr>
      <w:r>
        <w:rPr>
          <w:rFonts w:hint="eastAsia" w:ascii="宋体" w:hAnsi="宋体" w:cs="宋体"/>
          <w:b w:val="0"/>
          <w:bCs w:val="0"/>
          <w:sz w:val="21"/>
          <w:szCs w:val="21"/>
        </w:rPr>
        <w:t>17、交通组织费按《重庆市营运高速公路施工标准化管理规定》或批复交通组织文件要求设置，包干使用，结算不再调整。报价人在施工期间根据高速公路安全施工的有关规定，在交通局、执法队办理相关手续，并按要求完成现场交通运营安全措施，如：购买、使用及维护摄像头、频闪灯、电子导向牌、锥标、水马、交通疏导指示牌，交通疏解维护车辆，交通安全管理与交通安全设施维护维修等发生的所有费用。</w:t>
      </w:r>
      <w:r>
        <w:t xml:space="preserve"> </w:t>
      </w:r>
    </w:p>
    <w:p>
      <w:pPr>
        <w:pStyle w:val="2"/>
        <w:sectPr>
          <w:footerReference r:id="rId9" w:type="default"/>
          <w:pgSz w:w="11906" w:h="16838"/>
          <w:pgMar w:top="1440" w:right="1800" w:bottom="1440" w:left="1800" w:header="851" w:footer="992" w:gutter="0"/>
          <w:cols w:space="720" w:num="1"/>
          <w:titlePg/>
          <w:docGrid w:type="lines" w:linePitch="312" w:charSpace="0"/>
        </w:sectPr>
      </w:pPr>
    </w:p>
    <w:p>
      <w:pPr>
        <w:spacing w:line="400" w:lineRule="exact"/>
        <w:rPr>
          <w:rFonts w:ascii="宋体" w:hAnsi="宋体" w:cs="宋体"/>
          <w:szCs w:val="21"/>
        </w:rPr>
      </w:pPr>
      <w:bookmarkStart w:id="148" w:name="_Toc144974855"/>
      <w:bookmarkStart w:id="149" w:name="_Toc246996354"/>
      <w:bookmarkStart w:id="150" w:name="_Toc152042575"/>
      <w:bookmarkStart w:id="151" w:name="_Toc152045786"/>
      <w:bookmarkStart w:id="152" w:name="_Toc179632806"/>
      <w:bookmarkStart w:id="153" w:name="_Toc247085872"/>
      <w:bookmarkStart w:id="154" w:name="_Toc246997097"/>
    </w:p>
    <w:p>
      <w:pPr>
        <w:pStyle w:val="3"/>
        <w:spacing w:before="0" w:after="0" w:line="360" w:lineRule="auto"/>
        <w:jc w:val="center"/>
        <w:rPr>
          <w:rFonts w:ascii="宋体" w:hAnsi="宋体" w:cs="宋体"/>
        </w:rPr>
      </w:pPr>
      <w:bookmarkStart w:id="155" w:name="_Toc179632789"/>
      <w:bookmarkStart w:id="156" w:name="_Toc2000409"/>
      <w:bookmarkStart w:id="157" w:name="_Toc144974834"/>
      <w:bookmarkStart w:id="158" w:name="_Toc152042554"/>
      <w:bookmarkStart w:id="159" w:name="_Toc247085855"/>
      <w:bookmarkStart w:id="160" w:name="_Toc514858705"/>
      <w:bookmarkStart w:id="161" w:name="_Toc152045772"/>
      <w:bookmarkStart w:id="162" w:name="_Toc246996340"/>
      <w:bookmarkStart w:id="163" w:name="_Toc24503"/>
      <w:bookmarkStart w:id="164" w:name="_Toc246997083"/>
      <w:r>
        <w:rPr>
          <w:rFonts w:hint="eastAsia" w:ascii="宋体" w:hAnsi="宋体" w:cs="宋体"/>
        </w:rPr>
        <w:t>第五章  工程量清单</w:t>
      </w:r>
      <w:bookmarkEnd w:id="155"/>
      <w:bookmarkEnd w:id="156"/>
      <w:bookmarkEnd w:id="157"/>
      <w:bookmarkEnd w:id="158"/>
      <w:bookmarkEnd w:id="159"/>
      <w:bookmarkEnd w:id="160"/>
      <w:bookmarkEnd w:id="161"/>
      <w:bookmarkEnd w:id="162"/>
      <w:bookmarkEnd w:id="163"/>
      <w:bookmarkEnd w:id="164"/>
    </w:p>
    <w:p>
      <w:pPr>
        <w:ind w:firstLine="420"/>
        <w:jc w:val="left"/>
        <w:rPr>
          <w:rFonts w:ascii="宋体" w:hAnsi="宋体" w:cs="宋体"/>
          <w:b/>
        </w:rPr>
      </w:pPr>
      <w:bookmarkStart w:id="165" w:name="_Toc179632800"/>
      <w:bookmarkStart w:id="166" w:name="_Toc247085866"/>
      <w:bookmarkStart w:id="167" w:name="_Toc152045782"/>
      <w:bookmarkStart w:id="168" w:name="_Toc246996350"/>
      <w:bookmarkStart w:id="169" w:name="_Toc247096438"/>
      <w:bookmarkStart w:id="170" w:name="_Toc246997093"/>
      <w:bookmarkStart w:id="171" w:name="_Toc152042571"/>
      <w:bookmarkStart w:id="172" w:name="_Toc144974851"/>
    </w:p>
    <w:p>
      <w:pPr>
        <w:jc w:val="center"/>
        <w:rPr>
          <w:rFonts w:ascii="宋体" w:hAnsi="宋体" w:cs="宋体"/>
          <w:b/>
        </w:rPr>
      </w:pPr>
      <w:r>
        <w:rPr>
          <w:rFonts w:hint="eastAsia" w:ascii="宋体" w:hAnsi="宋体" w:cs="宋体"/>
          <w:b/>
          <w:kern w:val="0"/>
          <w:sz w:val="24"/>
        </w:rPr>
        <w:t>详见竞争性比选文件附件</w:t>
      </w:r>
      <w:r>
        <w:rPr>
          <w:rFonts w:hint="eastAsia" w:ascii="宋体" w:hAnsi="宋体" w:cs="宋体"/>
          <w:b/>
          <w:kern w:val="0"/>
          <w:sz w:val="24"/>
          <w:lang w:eastAsia="zh-CN"/>
        </w:rPr>
        <w:t>，</w:t>
      </w:r>
      <w:r>
        <w:rPr>
          <w:rFonts w:hint="eastAsia" w:ascii="宋体" w:hAnsi="宋体" w:cs="宋体"/>
          <w:b/>
          <w:kern w:val="0"/>
          <w:sz w:val="24"/>
          <w:lang w:val="en-US" w:eastAsia="zh-CN"/>
        </w:rPr>
        <w:t>如超出清单量，采用现场据实计量进行变更</w:t>
      </w:r>
      <w:r>
        <w:rPr>
          <w:rFonts w:hint="eastAsia" w:ascii="宋体" w:hAnsi="宋体" w:cs="宋体"/>
          <w:b/>
          <w:kern w:val="0"/>
          <w:sz w:val="24"/>
        </w:rPr>
        <w:t>。</w:t>
      </w: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rPr>
          <w:rFonts w:ascii="宋体" w:hAnsi="宋体" w:cs="宋体"/>
          <w:b/>
        </w:rPr>
      </w:pPr>
    </w:p>
    <w:p>
      <w:pPr>
        <w:jc w:val="center"/>
        <w:rPr>
          <w:rFonts w:ascii="宋体" w:hAnsi="宋体" w:cs="宋体"/>
          <w:b/>
        </w:rPr>
        <w:sectPr>
          <w:pgSz w:w="11906" w:h="16838"/>
          <w:pgMar w:top="1440" w:right="1800" w:bottom="1440" w:left="1800" w:header="851" w:footer="992" w:gutter="0"/>
          <w:cols w:space="720" w:num="1"/>
          <w:titlePg/>
          <w:docGrid w:type="lines" w:linePitch="312" w:charSpace="0"/>
        </w:sectPr>
      </w:pPr>
    </w:p>
    <w:p>
      <w:pPr>
        <w:rPr>
          <w:rFonts w:ascii="宋体" w:hAnsi="宋体" w:cs="宋体"/>
          <w:b/>
        </w:rPr>
      </w:pPr>
    </w:p>
    <w:p>
      <w:pPr>
        <w:jc w:val="center"/>
        <w:rPr>
          <w:rFonts w:ascii="宋体" w:hAnsi="宋体" w:cs="宋体"/>
          <w:b/>
        </w:rPr>
      </w:pPr>
    </w:p>
    <w:p>
      <w:pPr>
        <w:pStyle w:val="3"/>
        <w:spacing w:before="0" w:after="0" w:line="360" w:lineRule="auto"/>
        <w:jc w:val="center"/>
        <w:rPr>
          <w:rFonts w:ascii="宋体" w:hAnsi="宋体" w:cs="宋体"/>
        </w:rPr>
      </w:pPr>
      <w:bookmarkStart w:id="173" w:name="_Toc514858706"/>
      <w:bookmarkStart w:id="174" w:name="_Toc513633963"/>
      <w:bookmarkStart w:id="175" w:name="_Toc2000410"/>
      <w:bookmarkStart w:id="176" w:name="_Toc447827048"/>
      <w:bookmarkStart w:id="177" w:name="_Toc12440"/>
      <w:bookmarkStart w:id="178" w:name="_Toc503951042"/>
      <w:r>
        <w:rPr>
          <w:rFonts w:hint="eastAsia" w:ascii="宋体" w:hAnsi="宋体" w:cs="宋体"/>
        </w:rPr>
        <w:t>第六章  图  纸</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pPr>
        <w:jc w:val="center"/>
        <w:rPr>
          <w:rFonts w:ascii="宋体" w:hAnsi="宋体" w:cs="宋体"/>
          <w:b/>
        </w:rPr>
      </w:pPr>
      <w:r>
        <w:rPr>
          <w:rFonts w:hint="eastAsia" w:ascii="宋体" w:hAnsi="宋体" w:cs="宋体"/>
          <w:b/>
          <w:kern w:val="0"/>
          <w:sz w:val="24"/>
        </w:rPr>
        <w:t>详见竞争性比选文件附件。</w:t>
      </w:r>
    </w:p>
    <w:p>
      <w:pPr>
        <w:spacing w:line="400" w:lineRule="exact"/>
        <w:rPr>
          <w:rFonts w:ascii="宋体" w:hAnsi="宋体" w:cs="宋体"/>
        </w:rPr>
      </w:pPr>
      <w:r>
        <w:rPr>
          <w:rFonts w:hint="eastAsia" w:ascii="宋体" w:hAnsi="宋体" w:cs="宋体"/>
        </w:rPr>
        <w:br w:type="page"/>
      </w:r>
      <w:bookmarkStart w:id="179" w:name="_Toc144974854"/>
      <w:bookmarkStart w:id="180" w:name="_Toc152042574"/>
      <w:bookmarkStart w:id="181" w:name="_Toc152045785"/>
    </w:p>
    <w:p>
      <w:pPr>
        <w:pStyle w:val="3"/>
        <w:spacing w:before="0" w:after="0" w:line="360" w:lineRule="auto"/>
        <w:jc w:val="center"/>
        <w:rPr>
          <w:rFonts w:ascii="宋体" w:hAnsi="宋体" w:cs="宋体"/>
        </w:rPr>
      </w:pPr>
      <w:bookmarkStart w:id="182" w:name="_Toc2000411"/>
      <w:bookmarkStart w:id="183" w:name="_Toc447827049"/>
      <w:bookmarkStart w:id="184" w:name="_Toc513633964"/>
      <w:bookmarkStart w:id="185" w:name="_Toc246996353"/>
      <w:bookmarkStart w:id="186" w:name="_Toc10887"/>
      <w:bookmarkStart w:id="187" w:name="_Toc514858707"/>
      <w:bookmarkStart w:id="188" w:name="_Toc247085870"/>
      <w:bookmarkStart w:id="189" w:name="_Toc246997096"/>
      <w:bookmarkStart w:id="190" w:name="_Toc503951043"/>
      <w:bookmarkStart w:id="191" w:name="_Toc179632804"/>
      <w:r>
        <w:rPr>
          <w:rFonts w:hint="eastAsia" w:ascii="宋体" w:hAnsi="宋体" w:cs="宋体"/>
        </w:rPr>
        <w:t>第七章  技术标准和工作要求</w:t>
      </w:r>
      <w:bookmarkEnd w:id="179"/>
      <w:bookmarkEnd w:id="180"/>
      <w:bookmarkEnd w:id="181"/>
      <w:bookmarkEnd w:id="182"/>
      <w:bookmarkEnd w:id="183"/>
      <w:bookmarkEnd w:id="184"/>
      <w:bookmarkEnd w:id="185"/>
      <w:bookmarkEnd w:id="186"/>
      <w:bookmarkEnd w:id="187"/>
      <w:bookmarkEnd w:id="188"/>
      <w:bookmarkEnd w:id="189"/>
      <w:bookmarkEnd w:id="190"/>
      <w:bookmarkEnd w:id="191"/>
    </w:p>
    <w:bookmarkEnd w:id="148"/>
    <w:bookmarkEnd w:id="149"/>
    <w:bookmarkEnd w:id="150"/>
    <w:bookmarkEnd w:id="151"/>
    <w:bookmarkEnd w:id="152"/>
    <w:bookmarkEnd w:id="153"/>
    <w:bookmarkEnd w:id="154"/>
    <w:p>
      <w:pPr>
        <w:pStyle w:val="3"/>
        <w:spacing w:before="0" w:after="0" w:line="360" w:lineRule="auto"/>
        <w:jc w:val="center"/>
        <w:rPr>
          <w:rFonts w:ascii="宋体" w:hAnsi="宋体" w:cs="宋体"/>
        </w:rPr>
      </w:pPr>
      <w:bookmarkStart w:id="192" w:name="_Toc514430114"/>
      <w:bookmarkStart w:id="193" w:name="_Toc2000412"/>
      <w:bookmarkStart w:id="194" w:name="_Toc514858708"/>
      <w:bookmarkStart w:id="195" w:name="_Toc12089"/>
      <w:bookmarkStart w:id="196" w:name="_Toc144974856"/>
      <w:bookmarkStart w:id="197" w:name="_Toc152042576"/>
      <w:bookmarkStart w:id="198" w:name="_Toc247085873"/>
      <w:bookmarkStart w:id="199" w:name="_Toc179632807"/>
      <w:bookmarkStart w:id="200" w:name="_Toc152045787"/>
      <w:bookmarkStart w:id="201" w:name="_Toc246997098"/>
      <w:bookmarkStart w:id="202" w:name="_Toc507320039"/>
      <w:bookmarkStart w:id="203" w:name="_Toc246996355"/>
      <w:r>
        <w:rPr>
          <w:rFonts w:hint="eastAsia"/>
          <w:sz w:val="24"/>
          <w:szCs w:val="24"/>
        </w:rPr>
        <w:t>见图纸和清单说明</w:t>
      </w:r>
      <w:r>
        <w:rPr>
          <w:rFonts w:hint="eastAsia" w:ascii="宋体" w:hAnsi="宋体" w:cs="宋体"/>
          <w:sz w:val="24"/>
          <w:szCs w:val="24"/>
        </w:rPr>
        <w:t>。</w:t>
      </w:r>
      <w:r>
        <w:rPr>
          <w:rFonts w:hint="eastAsia" w:ascii="宋体" w:hAnsi="宋体" w:cs="宋体"/>
        </w:rPr>
        <w:br w:type="page"/>
      </w:r>
      <w:r>
        <w:rPr>
          <w:rFonts w:hint="eastAsia" w:ascii="宋体" w:hAnsi="宋体" w:cs="宋体"/>
        </w:rPr>
        <w:t>第八章  工程量清单计量规则</w:t>
      </w:r>
      <w:bookmarkEnd w:id="192"/>
      <w:bookmarkEnd w:id="193"/>
      <w:bookmarkEnd w:id="194"/>
      <w:bookmarkEnd w:id="195"/>
    </w:p>
    <w:p>
      <w:pPr>
        <w:spacing w:line="360" w:lineRule="auto"/>
        <w:ind w:firstLine="420" w:firstLineChars="200"/>
        <w:rPr>
          <w:rFonts w:ascii="宋体" w:hAnsi="宋体" w:cs="宋体"/>
          <w:szCs w:val="21"/>
        </w:rPr>
      </w:pPr>
    </w:p>
    <w:p>
      <w:pPr>
        <w:spacing w:line="400" w:lineRule="exact"/>
        <w:ind w:firstLine="420" w:firstLineChars="200"/>
        <w:rPr>
          <w:rFonts w:ascii="宋体" w:hAnsi="宋体" w:cs="宋体"/>
          <w:szCs w:val="21"/>
        </w:rPr>
      </w:pPr>
      <w:r>
        <w:rPr>
          <w:rFonts w:hint="eastAsia" w:ascii="宋体" w:hAnsi="宋体" w:cs="宋体"/>
          <w:szCs w:val="21"/>
        </w:rPr>
        <w:t>按照重庆市交通委员会2016年4月11日发布的《公路工程工程量清单及计量规范》渝内字【2016】009号执行。</w:t>
      </w: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bookmarkStart w:id="204" w:name="_Toc513633965"/>
    </w:p>
    <w:p>
      <w:pPr>
        <w:rPr>
          <w:rFonts w:ascii="宋体" w:hAnsi="宋体" w:cs="宋体"/>
        </w:rPr>
      </w:pPr>
    </w:p>
    <w:p>
      <w:pPr>
        <w:pStyle w:val="3"/>
        <w:spacing w:before="0" w:after="0" w:line="360" w:lineRule="auto"/>
        <w:jc w:val="center"/>
        <w:rPr>
          <w:rFonts w:ascii="宋体" w:hAnsi="宋体" w:cs="宋体"/>
        </w:rPr>
      </w:pPr>
      <w:bookmarkStart w:id="205" w:name="_Toc2000413"/>
      <w:bookmarkStart w:id="206" w:name="_Toc24853"/>
      <w:bookmarkStart w:id="207" w:name="_Toc514858709"/>
      <w:r>
        <w:rPr>
          <w:rFonts w:hint="eastAsia" w:ascii="宋体" w:hAnsi="宋体" w:cs="宋体"/>
        </w:rPr>
        <w:t>第九章  竞争性比选响应文件格式</w:t>
      </w:r>
      <w:bookmarkEnd w:id="204"/>
      <w:bookmarkEnd w:id="205"/>
      <w:bookmarkEnd w:id="206"/>
      <w:bookmarkEnd w:id="207"/>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p>
    <w:p>
      <w:pPr>
        <w:rPr>
          <w:rFonts w:ascii="宋体" w:hAnsi="宋体" w:cs="宋体"/>
        </w:rPr>
      </w:pPr>
    </w:p>
    <w:p>
      <w:pPr>
        <w:jc w:val="center"/>
        <w:rPr>
          <w:rFonts w:ascii="宋体" w:hAnsi="宋体" w:cs="宋体"/>
          <w:sz w:val="52"/>
          <w:szCs w:val="52"/>
          <w:u w:val="single"/>
        </w:rPr>
      </w:pPr>
      <w:bookmarkStart w:id="208" w:name="_Toc503971829"/>
      <w:bookmarkStart w:id="209" w:name="_Toc513646738"/>
      <w:bookmarkStart w:id="210" w:name="_Toc513633967"/>
      <w:bookmarkStart w:id="211" w:name="_Toc503951046"/>
      <w:bookmarkStart w:id="212" w:name="_Toc514858710"/>
      <w:r>
        <w:rPr>
          <w:rFonts w:hint="eastAsia" w:ascii="宋体" w:hAnsi="宋体" w:cs="宋体"/>
          <w:u w:val="single"/>
        </w:rPr>
        <w:t xml:space="preserve">                           </w:t>
      </w:r>
      <w:r>
        <w:rPr>
          <w:rFonts w:hint="eastAsia" w:ascii="宋体" w:hAnsi="宋体" w:cs="宋体"/>
          <w:sz w:val="52"/>
          <w:szCs w:val="52"/>
          <w:u w:val="single"/>
        </w:rPr>
        <w:t>（项目名称）</w:t>
      </w:r>
      <w:bookmarkEnd w:id="208"/>
      <w:bookmarkEnd w:id="209"/>
      <w:bookmarkEnd w:id="210"/>
      <w:bookmarkEnd w:id="211"/>
      <w:bookmarkEnd w:id="212"/>
      <w:r>
        <w:rPr>
          <w:rFonts w:hint="eastAsia" w:ascii="宋体" w:hAnsi="宋体" w:cs="宋体"/>
          <w:sz w:val="52"/>
          <w:szCs w:val="52"/>
          <w:u w:val="single"/>
        </w:rPr>
        <w:t xml:space="preserve"> </w:t>
      </w:r>
    </w:p>
    <w:p>
      <w:pPr>
        <w:rPr>
          <w:rFonts w:ascii="宋体" w:hAnsi="宋体" w:cs="宋体"/>
          <w:sz w:val="20"/>
          <w:szCs w:val="20"/>
        </w:rPr>
      </w:pPr>
    </w:p>
    <w:p>
      <w:pPr>
        <w:jc w:val="center"/>
        <w:rPr>
          <w:rFonts w:ascii="宋体" w:hAnsi="宋体" w:cs="宋体"/>
          <w:sz w:val="44"/>
          <w:szCs w:val="44"/>
        </w:rPr>
      </w:pPr>
      <w:r>
        <w:rPr>
          <w:rFonts w:hint="eastAsia" w:ascii="宋体" w:hAnsi="宋体" w:cs="宋体"/>
          <w:sz w:val="44"/>
          <w:szCs w:val="44"/>
        </w:rPr>
        <w:t xml:space="preserve"> </w:t>
      </w: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jc w:val="center"/>
        <w:rPr>
          <w:rFonts w:ascii="宋体" w:hAnsi="宋体" w:cs="宋体"/>
          <w:b/>
          <w:sz w:val="72"/>
          <w:szCs w:val="44"/>
        </w:rPr>
      </w:pPr>
      <w:r>
        <w:rPr>
          <w:rFonts w:hint="eastAsia" w:ascii="宋体" w:hAnsi="宋体" w:cs="宋体"/>
          <w:b/>
          <w:sz w:val="72"/>
          <w:szCs w:val="44"/>
        </w:rPr>
        <w:t>竞争性比选响应文件</w:t>
      </w:r>
    </w:p>
    <w:p>
      <w:pPr>
        <w:jc w:val="center"/>
        <w:rPr>
          <w:rFonts w:ascii="宋体" w:hAnsi="宋体" w:cs="宋体"/>
          <w:b/>
          <w:sz w:val="32"/>
          <w:szCs w:val="32"/>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pStyle w:val="2"/>
      </w:pPr>
    </w:p>
    <w:p/>
    <w:p>
      <w:pPr>
        <w:pStyle w:val="2"/>
      </w:pPr>
    </w:p>
    <w:p/>
    <w:p>
      <w:pPr>
        <w:pStyle w:val="2"/>
      </w:pPr>
    </w:p>
    <w:p>
      <w:pPr>
        <w:jc w:val="center"/>
        <w:rPr>
          <w:rFonts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（盖单位鲜公章）</w:t>
      </w:r>
    </w:p>
    <w:p>
      <w:pPr>
        <w:jc w:val="center"/>
        <w:rPr>
          <w:rFonts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pPr>
        <w:jc w:val="center"/>
        <w:rPr>
          <w:rFonts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pStyle w:val="4"/>
        <w:jc w:val="center"/>
        <w:rPr>
          <w:rFonts w:ascii="宋体" w:hAnsi="宋体" w:eastAsia="宋体" w:cs="宋体"/>
        </w:rPr>
      </w:pPr>
      <w:bookmarkStart w:id="213" w:name="_Toc11329273"/>
      <w:bookmarkStart w:id="214" w:name="_Toc28780"/>
      <w:bookmarkStart w:id="215" w:name="_Toc1368"/>
      <w:bookmarkStart w:id="216" w:name="_Toc5459"/>
      <w:r>
        <w:rPr>
          <w:rFonts w:hint="eastAsia" w:ascii="宋体" w:hAnsi="宋体" w:eastAsia="宋体" w:cs="宋体"/>
        </w:rPr>
        <w:t>目    录</w:t>
      </w:r>
      <w:bookmarkEnd w:id="196"/>
      <w:bookmarkEnd w:id="197"/>
      <w:bookmarkEnd w:id="198"/>
      <w:bookmarkEnd w:id="199"/>
      <w:bookmarkEnd w:id="200"/>
      <w:bookmarkEnd w:id="201"/>
      <w:bookmarkEnd w:id="202"/>
      <w:bookmarkEnd w:id="203"/>
      <w:bookmarkEnd w:id="213"/>
      <w:bookmarkEnd w:id="214"/>
      <w:bookmarkEnd w:id="215"/>
      <w:bookmarkEnd w:id="216"/>
    </w:p>
    <w:p>
      <w:pPr>
        <w:spacing w:line="400" w:lineRule="exact"/>
        <w:rPr>
          <w:rFonts w:ascii="宋体" w:hAnsi="宋体" w:cs="宋体"/>
        </w:rPr>
      </w:pPr>
      <w:r>
        <w:rPr>
          <w:rFonts w:hint="eastAsia" w:ascii="宋体" w:hAnsi="宋体" w:cs="宋体"/>
        </w:rPr>
        <w:t>一、竞争性响应声明书</w:t>
      </w:r>
    </w:p>
    <w:p>
      <w:pPr>
        <w:spacing w:line="400" w:lineRule="exact"/>
        <w:rPr>
          <w:rFonts w:ascii="宋体" w:hAnsi="宋体" w:cs="宋体"/>
        </w:rPr>
      </w:pPr>
      <w:r>
        <w:rPr>
          <w:rFonts w:hint="eastAsia" w:ascii="宋体" w:hAnsi="宋体" w:cs="宋体"/>
        </w:rPr>
        <w:t>二、报价一览表</w:t>
      </w:r>
    </w:p>
    <w:p>
      <w:pPr>
        <w:spacing w:line="400" w:lineRule="exact"/>
        <w:rPr>
          <w:rFonts w:ascii="宋体" w:hAnsi="宋体" w:cs="宋体"/>
        </w:rPr>
      </w:pPr>
      <w:r>
        <w:rPr>
          <w:rFonts w:hint="eastAsia" w:ascii="宋体" w:hAnsi="宋体" w:cs="宋体"/>
        </w:rPr>
        <w:t>三、资格审查资料</w:t>
      </w:r>
    </w:p>
    <w:p>
      <w:pPr>
        <w:spacing w:line="400" w:lineRule="exact"/>
        <w:rPr>
          <w:rFonts w:ascii="宋体" w:hAnsi="宋体" w:cs="宋体"/>
          <w:szCs w:val="21"/>
        </w:rPr>
      </w:pPr>
      <w:r>
        <w:rPr>
          <w:rFonts w:hint="eastAsia" w:ascii="宋体" w:hAnsi="宋体" w:cs="宋体"/>
        </w:rPr>
        <w:t>四、</w:t>
      </w:r>
      <w:r>
        <w:rPr>
          <w:rFonts w:hint="eastAsia" w:ascii="宋体" w:hAnsi="宋体" w:cs="宋体"/>
          <w:szCs w:val="21"/>
        </w:rPr>
        <w:t>报价人须知前附表规定的其他材料</w:t>
      </w:r>
    </w:p>
    <w:p>
      <w:pPr>
        <w:pStyle w:val="2"/>
        <w:rPr>
          <w:rFonts w:ascii="宋体" w:hAnsi="宋体" w:cs="宋体"/>
          <w:b w:val="0"/>
          <w:bCs w:val="0"/>
          <w:caps w:val="0"/>
          <w:sz w:val="21"/>
          <w:szCs w:val="21"/>
        </w:rPr>
      </w:pPr>
      <w:r>
        <w:rPr>
          <w:rFonts w:hint="eastAsia" w:ascii="宋体" w:hAnsi="宋体" w:cs="宋体"/>
          <w:b w:val="0"/>
          <w:bCs w:val="0"/>
          <w:caps w:val="0"/>
          <w:sz w:val="21"/>
          <w:szCs w:val="21"/>
        </w:rPr>
        <w:t>五、</w:t>
      </w:r>
      <w:r>
        <w:rPr>
          <w:rFonts w:hint="eastAsia" w:ascii="宋体" w:hAnsi="宋体" w:cs="宋体"/>
          <w:b w:val="0"/>
          <w:bCs w:val="0"/>
          <w:caps w:val="0"/>
          <w:sz w:val="21"/>
          <w:szCs w:val="21"/>
          <w:lang w:val="en-US" w:eastAsia="zh-CN"/>
        </w:rPr>
        <w:t>售后服务</w:t>
      </w:r>
      <w:r>
        <w:rPr>
          <w:rFonts w:hint="eastAsia" w:ascii="宋体" w:hAnsi="宋体" w:cs="宋体"/>
          <w:b w:val="0"/>
          <w:bCs w:val="0"/>
          <w:caps w:val="0"/>
          <w:sz w:val="21"/>
          <w:szCs w:val="21"/>
        </w:rPr>
        <w:t>承诺书</w:t>
      </w:r>
    </w:p>
    <w:p>
      <w:pPr>
        <w:spacing w:line="400" w:lineRule="exact"/>
        <w:rPr>
          <w:rFonts w:ascii="宋体" w:hAnsi="宋体" w:cs="宋体"/>
        </w:rPr>
      </w:pPr>
      <w:r>
        <w:rPr>
          <w:rFonts w:hint="eastAsia" w:ascii="宋体" w:hAnsi="宋体" w:cs="宋体"/>
        </w:rPr>
        <w:t xml:space="preserve"> </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r>
        <w:rPr>
          <w:rFonts w:ascii="宋体" w:hAnsi="宋体" w:cs="宋体"/>
        </w:rPr>
        <w:br w:type="page"/>
      </w:r>
    </w:p>
    <w:p>
      <w:pPr>
        <w:pStyle w:val="4"/>
        <w:spacing w:before="0" w:after="0" w:line="360" w:lineRule="auto"/>
        <w:jc w:val="center"/>
        <w:rPr>
          <w:rFonts w:ascii="宋体" w:hAnsi="宋体" w:eastAsia="宋体" w:cs="宋体"/>
          <w:sz w:val="28"/>
        </w:rPr>
      </w:pPr>
      <w:bookmarkStart w:id="217" w:name="_Toc8870"/>
      <w:bookmarkStart w:id="218" w:name="_Toc11329274"/>
      <w:bookmarkStart w:id="219" w:name="_Toc15863"/>
      <w:bookmarkStart w:id="220" w:name="_Toc29547"/>
      <w:bookmarkStart w:id="221" w:name="_Toc25874"/>
      <w:bookmarkStart w:id="222" w:name="_Toc513633969"/>
      <w:bookmarkStart w:id="223" w:name="_Toc503951048"/>
      <w:bookmarkStart w:id="224" w:name="_Toc447827053"/>
      <w:r>
        <w:rPr>
          <w:rFonts w:hint="eastAsia" w:ascii="宋体" w:hAnsi="宋体" w:eastAsia="宋体" w:cs="宋体"/>
          <w:sz w:val="28"/>
        </w:rPr>
        <w:t>一、</w:t>
      </w:r>
      <w:bookmarkEnd w:id="217"/>
      <w:bookmarkEnd w:id="218"/>
      <w:r>
        <w:rPr>
          <w:rFonts w:hint="eastAsia" w:ascii="宋体" w:hAnsi="宋体" w:eastAsia="宋体" w:cs="宋体"/>
          <w:sz w:val="28"/>
        </w:rPr>
        <w:t>竞争比选响应声明书</w:t>
      </w:r>
      <w:bookmarkEnd w:id="219"/>
      <w:bookmarkEnd w:id="220"/>
      <w:bookmarkEnd w:id="221"/>
    </w:p>
    <w:p>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rPr>
          <w:rFonts w:ascii="Arial" w:hAnsi="Arial" w:cs="Arial"/>
          <w:color w:val="000000"/>
          <w:sz w:val="24"/>
        </w:rPr>
      </w:pPr>
      <w:r>
        <w:rPr>
          <w:rFonts w:hint="eastAsia" w:ascii="Arial" w:hAnsi="Arial" w:cs="Arial"/>
          <w:color w:val="000000"/>
          <w:sz w:val="24"/>
        </w:rPr>
        <w:t>根据贵</w:t>
      </w:r>
      <w:r>
        <w:rPr>
          <w:rFonts w:hint="eastAsia" w:ascii="Arial" w:hAnsi="Arial" w:cs="Arial"/>
          <w:sz w:val="24"/>
        </w:rPr>
        <w:t>方为</w:t>
      </w:r>
      <w:r>
        <w:rPr>
          <w:rFonts w:hint="eastAsia" w:ascii="Arial" w:hAnsi="Arial" w:cs="Arial"/>
          <w:color w:val="000000"/>
          <w:sz w:val="24"/>
          <w:u w:val="single"/>
          <w:lang w:eastAsia="zh-CN"/>
        </w:rPr>
        <w:t>2021年股份二期项目光缆采购项目（第二次）</w:t>
      </w:r>
      <w:r>
        <w:rPr>
          <w:rFonts w:hint="eastAsia" w:ascii="Arial" w:hAnsi="Arial" w:cs="Arial"/>
          <w:color w:val="000000"/>
          <w:sz w:val="24"/>
          <w:u w:val="single"/>
        </w:rPr>
        <w:t xml:space="preserve"> </w:t>
      </w:r>
      <w:r>
        <w:rPr>
          <w:rFonts w:hint="eastAsia" w:ascii="Arial" w:hAnsi="Arial" w:cs="Arial"/>
          <w:sz w:val="24"/>
        </w:rPr>
        <w:t>竞争比选项目及服</w:t>
      </w:r>
      <w:r>
        <w:rPr>
          <w:rFonts w:hint="eastAsia" w:ascii="Arial" w:hAnsi="Arial" w:cs="Arial"/>
          <w:color w:val="000000"/>
          <w:sz w:val="24"/>
        </w:rPr>
        <w:t>务的竞争比选邀请，签字代表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经正式授权并代表竞争比选响应单位</w:t>
      </w:r>
      <w:r>
        <w:rPr>
          <w:rFonts w:ascii="Arial" w:hAnsi="Arial" w:cs="Arial"/>
          <w:color w:val="000000"/>
          <w:sz w:val="24"/>
          <w:u w:val="single"/>
        </w:rPr>
        <w:t xml:space="preserve"> </w:t>
      </w:r>
      <w:r>
        <w:rPr>
          <w:rFonts w:hint="eastAsia" w:ascii="Arial" w:hAnsi="Arial" w:cs="Arial"/>
          <w:color w:val="000000"/>
          <w:sz w:val="24"/>
          <w:u w:val="single"/>
        </w:rPr>
        <w:t>（竞争比选响应单位名称）</w:t>
      </w:r>
      <w:r>
        <w:rPr>
          <w:rFonts w:ascii="Arial" w:hAnsi="Arial" w:cs="Arial"/>
          <w:color w:val="000000"/>
          <w:sz w:val="24"/>
          <w:u w:val="single"/>
        </w:rPr>
        <w:t xml:space="preserve"> </w:t>
      </w:r>
      <w:r>
        <w:rPr>
          <w:rFonts w:hint="eastAsia" w:ascii="Arial" w:hAnsi="Arial" w:cs="Arial"/>
          <w:color w:val="000000"/>
          <w:sz w:val="24"/>
        </w:rPr>
        <w:t>提交报价文件。</w:t>
      </w:r>
    </w:p>
    <w:p>
      <w:pPr>
        <w:spacing w:line="700" w:lineRule="atLeast"/>
        <w:ind w:firstLine="480" w:firstLineChars="200"/>
        <w:rPr>
          <w:rFonts w:ascii="Arial" w:hAnsi="Arial" w:cs="Arial"/>
          <w:color w:val="000000"/>
          <w:sz w:val="24"/>
          <w:u w:val="single"/>
        </w:rPr>
      </w:pPr>
      <w:r>
        <w:rPr>
          <w:rFonts w:hint="eastAsia" w:ascii="Arial" w:hAnsi="Arial" w:cs="Arial"/>
          <w:color w:val="000000"/>
          <w:sz w:val="24"/>
          <w:u w:val="single"/>
        </w:rPr>
        <w:t>我方愿以人民币：              元（大写              元）的报价总价，按照竞争比选文件的要求，承担本次竞争比选文件要求的安装工程。</w:t>
      </w:r>
    </w:p>
    <w:p>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pPr>
        <w:tabs>
          <w:tab w:val="left" w:pos="540"/>
          <w:tab w:val="left" w:pos="900"/>
        </w:tabs>
        <w:spacing w:line="300" w:lineRule="auto"/>
        <w:rPr>
          <w:rFonts w:ascii="Arial" w:hAnsi="Arial" w:cs="Arial"/>
          <w:color w:val="000000"/>
          <w:sz w:val="24"/>
        </w:rPr>
      </w:pPr>
      <w:r>
        <w:rPr>
          <w:rFonts w:hint="eastAsia" w:ascii="Arial" w:hAnsi="Arial" w:cs="Arial"/>
          <w:color w:val="000000"/>
          <w:sz w:val="24"/>
        </w:rPr>
        <w:t>据此函，签字代表宣布同意如下：</w:t>
      </w:r>
    </w:p>
    <w:p>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hint="eastAsia" w:ascii="Arial" w:hAnsi="Arial" w:cs="Arial"/>
          <w:color w:val="000000"/>
          <w:sz w:val="24"/>
        </w:rPr>
        <w:t>、竞争比选响应单位将按竞争比选文件规定履行合同责任和义务。</w:t>
      </w:r>
    </w:p>
    <w:p>
      <w:pPr>
        <w:tabs>
          <w:tab w:val="left" w:pos="900"/>
        </w:tabs>
        <w:spacing w:line="300" w:lineRule="auto"/>
        <w:rPr>
          <w:rFonts w:ascii="Arial" w:hAnsi="Arial" w:cs="Arial"/>
          <w:b/>
          <w:color w:val="000000"/>
          <w:sz w:val="24"/>
        </w:rPr>
      </w:pPr>
      <w:r>
        <w:rPr>
          <w:rFonts w:ascii="Arial" w:hAnsi="Arial" w:cs="Arial"/>
          <w:color w:val="000000"/>
          <w:sz w:val="24"/>
        </w:rPr>
        <w:t>2</w:t>
      </w:r>
      <w:r>
        <w:rPr>
          <w:rFonts w:hint="eastAsia" w:ascii="Arial" w:hAnsi="Arial" w:cs="Arial"/>
          <w:color w:val="000000"/>
          <w:sz w:val="24"/>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rPr>
      </w:pPr>
      <w:r>
        <w:rPr>
          <w:rFonts w:hint="eastAsia" w:ascii="Arial" w:hAnsi="Arial" w:cs="Arial"/>
          <w:color w:val="000000"/>
          <w:sz w:val="24"/>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sz w:val="24"/>
        </w:rPr>
      </w:pPr>
      <w:r>
        <w:rPr>
          <w:rFonts w:hint="eastAsia" w:ascii="Arial" w:hAnsi="Arial" w:cs="Arial"/>
          <w:color w:val="000000"/>
          <w:sz w:val="24"/>
        </w:rPr>
        <w:t>4、与本竞争比选响应有关的一切正式往来通讯请寄：</w:t>
      </w:r>
    </w:p>
    <w:p>
      <w:pPr>
        <w:tabs>
          <w:tab w:val="left" w:pos="900"/>
        </w:tabs>
        <w:spacing w:line="300" w:lineRule="auto"/>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pPr>
        <w:tabs>
          <w:tab w:val="left" w:pos="900"/>
        </w:tabs>
        <w:spacing w:line="300" w:lineRule="auto"/>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color w:val="000000"/>
          <w:sz w:val="24"/>
        </w:rPr>
      </w:pPr>
      <w:r>
        <w:rPr>
          <w:rFonts w:hint="eastAsia" w:ascii="Arial" w:hAnsi="Arial" w:cs="Arial"/>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pPr>
        <w:tabs>
          <w:tab w:val="left" w:pos="900"/>
        </w:tabs>
        <w:spacing w:line="300" w:lineRule="auto"/>
        <w:rPr>
          <w:rFonts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r>
        <w:rPr>
          <w:rFonts w:ascii="Arial" w:hAnsi="Arial" w:cs="Arial"/>
          <w:color w:val="000000"/>
          <w:sz w:val="24"/>
        </w:rPr>
        <w:t xml:space="preserve"> </w:t>
      </w: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bookmarkStart w:id="225" w:name="_Toc27412"/>
      <w:bookmarkStart w:id="226" w:name="_Toc318"/>
      <w:bookmarkStart w:id="227" w:name="_Toc15924"/>
      <w:r>
        <w:rPr>
          <w:rFonts w:hint="eastAsia"/>
          <w:b/>
          <w:sz w:val="24"/>
        </w:rPr>
        <w:t>附报价单位法定代表人或授权代表人身份证复印件（正、反面）</w:t>
      </w:r>
      <w:bookmarkEnd w:id="225"/>
      <w:bookmarkEnd w:id="226"/>
      <w:bookmarkEnd w:id="227"/>
    </w:p>
    <w:p>
      <w:pPr>
        <w:outlineLvl w:val="0"/>
        <w:rPr>
          <w:b/>
          <w:sz w:val="24"/>
        </w:rPr>
      </w:pPr>
    </w:p>
    <w:p>
      <w:pPr>
        <w:rPr>
          <w:rFonts w:ascii="宋体" w:hAnsi="宋体" w:cs="宋体"/>
          <w:snapToGrid w:val="0"/>
          <w:kern w:val="0"/>
          <w:szCs w:val="21"/>
        </w:rPr>
      </w:pPr>
    </w:p>
    <w:p>
      <w:pPr>
        <w:rPr>
          <w:rFonts w:ascii="宋体" w:hAnsi="宋体" w:cs="宋体"/>
        </w:rPr>
        <w:sectPr>
          <w:pgSz w:w="11906" w:h="16838"/>
          <w:pgMar w:top="1440" w:right="1803" w:bottom="1440" w:left="1803" w:header="851" w:footer="992" w:gutter="0"/>
          <w:cols w:space="720" w:num="1"/>
          <w:titlePg/>
          <w:docGrid w:type="lines" w:linePitch="319" w:charSpace="0"/>
        </w:sectPr>
      </w:pPr>
    </w:p>
    <w:p>
      <w:pPr>
        <w:jc w:val="center"/>
        <w:rPr>
          <w:rFonts w:ascii="宋体" w:hAnsi="宋体" w:cs="宋体"/>
          <w:b/>
        </w:rPr>
      </w:pPr>
      <w:bookmarkStart w:id="228" w:name="_Toc11329275"/>
      <w:r>
        <w:rPr>
          <w:rFonts w:hint="eastAsia" w:ascii="宋体" w:hAnsi="宋体" w:cs="宋体"/>
          <w:b/>
          <w:bCs/>
          <w:kern w:val="0"/>
          <w:sz w:val="28"/>
          <w:szCs w:val="32"/>
        </w:rPr>
        <w:t>二、</w:t>
      </w:r>
      <w:bookmarkEnd w:id="222"/>
      <w:bookmarkEnd w:id="223"/>
      <w:bookmarkEnd w:id="224"/>
      <w:bookmarkEnd w:id="228"/>
      <w:r>
        <w:rPr>
          <w:rFonts w:hint="eastAsia" w:ascii="宋体" w:hAnsi="宋体" w:cs="宋体"/>
          <w:b/>
          <w:bCs/>
          <w:kern w:val="0"/>
          <w:sz w:val="28"/>
          <w:szCs w:val="32"/>
        </w:rPr>
        <w:t>报价一览表</w:t>
      </w:r>
    </w:p>
    <w:p>
      <w:pPr>
        <w:ind w:left="765"/>
        <w:jc w:val="center"/>
        <w:rPr>
          <w:rFonts w:ascii="宋体" w:hAnsi="宋体" w:cs="宋体"/>
          <w:szCs w:val="21"/>
        </w:rPr>
      </w:pPr>
    </w:p>
    <w:p>
      <w:pPr>
        <w:pStyle w:val="37"/>
        <w:jc w:val="both"/>
        <w:rPr>
          <w:rFonts w:hAnsi="宋体"/>
        </w:rPr>
      </w:pPr>
      <w:r>
        <w:rPr>
          <w:rFonts w:hint="eastAsia" w:hAnsi="宋体"/>
        </w:rPr>
        <w:t>重庆首讯科技股份有限公司：</w:t>
      </w:r>
    </w:p>
    <w:p>
      <w:pPr>
        <w:spacing w:line="360" w:lineRule="auto"/>
        <w:ind w:firstLine="480" w:firstLineChars="200"/>
        <w:jc w:val="left"/>
        <w:rPr>
          <w:rFonts w:ascii="宋体" w:hAnsi="宋体"/>
          <w:b/>
          <w:color w:val="000000"/>
          <w:sz w:val="24"/>
        </w:rPr>
      </w:pPr>
      <w:r>
        <w:rPr>
          <w:rFonts w:hint="eastAsia" w:ascii="宋体" w:hAnsi="宋体"/>
          <w:color w:val="000000"/>
          <w:sz w:val="24"/>
        </w:rPr>
        <w:t>在研究了竞争比选文件中所有文件后，我司对</w:t>
      </w:r>
      <w:r>
        <w:rPr>
          <w:rFonts w:hint="eastAsia" w:ascii="Arial" w:hAnsi="Arial" w:cs="Arial"/>
          <w:color w:val="000000"/>
          <w:sz w:val="24"/>
          <w:u w:val="single"/>
          <w:lang w:eastAsia="zh-CN"/>
        </w:rPr>
        <w:t>2021年股份二期项目光缆采购项目（第二次）</w:t>
      </w:r>
      <w:r>
        <w:rPr>
          <w:rFonts w:hint="eastAsia" w:ascii="Arial" w:hAnsi="Arial" w:cs="Arial"/>
          <w:color w:val="000000"/>
          <w:sz w:val="24"/>
          <w:u w:val="single"/>
        </w:rPr>
        <w:t xml:space="preserve"> </w:t>
      </w:r>
      <w:r>
        <w:rPr>
          <w:rFonts w:hint="eastAsia" w:ascii="宋体" w:hAnsi="宋体"/>
          <w:color w:val="000000"/>
          <w:sz w:val="24"/>
        </w:rPr>
        <w:t>竞</w:t>
      </w:r>
      <w:r>
        <w:rPr>
          <w:rFonts w:hint="eastAsia" w:ascii="Arial" w:hAnsi="Arial" w:cs="Arial"/>
          <w:color w:val="000000"/>
          <w:sz w:val="24"/>
        </w:rPr>
        <w:t>争比选响应</w:t>
      </w:r>
      <w:r>
        <w:rPr>
          <w:rFonts w:hint="eastAsia" w:ascii="宋体" w:hAnsi="宋体"/>
          <w:color w:val="000000"/>
          <w:sz w:val="24"/>
        </w:rPr>
        <w:t>报价如下：</w:t>
      </w:r>
      <w:r>
        <w:rPr>
          <w:rFonts w:hint="eastAsia" w:ascii="宋体" w:hAnsi="宋体"/>
          <w:b/>
          <w:color w:val="000000"/>
          <w:sz w:val="24"/>
        </w:rPr>
        <w:t xml:space="preserve"> </w:t>
      </w:r>
    </w:p>
    <w:p>
      <w:pPr>
        <w:tabs>
          <w:tab w:val="left" w:pos="1680"/>
          <w:tab w:val="left" w:pos="4215"/>
          <w:tab w:val="left" w:pos="4305"/>
          <w:tab w:val="left" w:pos="8000"/>
        </w:tabs>
        <w:autoSpaceDE w:val="0"/>
        <w:autoSpaceDN w:val="0"/>
        <w:adjustRightInd w:val="0"/>
        <w:snapToGrid w:val="0"/>
        <w:spacing w:line="360" w:lineRule="auto"/>
        <w:ind w:firstLine="482" w:firstLineChars="200"/>
        <w:rPr>
          <w:rFonts w:ascii="宋体" w:hAnsi="宋体" w:cs="宋体"/>
          <w:b/>
          <w:kern w:val="0"/>
          <w:sz w:val="28"/>
          <w:szCs w:val="28"/>
        </w:rPr>
      </w:pPr>
      <w:r>
        <w:rPr>
          <w:rFonts w:hint="eastAsia" w:ascii="宋体" w:hAnsi="宋体"/>
          <w:b/>
          <w:bCs/>
          <w:color w:val="000000"/>
          <w:sz w:val="24"/>
        </w:rPr>
        <w:t>报价采用表格形式，见“工程量清单”。</w:t>
      </w:r>
      <w:r>
        <w:rPr>
          <w:rFonts w:hint="eastAsia" w:ascii="宋体" w:hAnsi="宋体" w:cs="宋体"/>
          <w:b/>
          <w:kern w:val="0"/>
          <w:sz w:val="28"/>
          <w:szCs w:val="28"/>
        </w:rPr>
        <w:t xml:space="preserve"> </w:t>
      </w:r>
    </w:p>
    <w:p>
      <w:pPr>
        <w:spacing w:line="400" w:lineRule="exact"/>
        <w:rPr>
          <w:rFonts w:ascii="宋体" w:hAnsi="宋体" w:cs="宋体"/>
          <w:kern w:val="0"/>
          <w:szCs w:val="21"/>
        </w:rPr>
      </w:pPr>
    </w:p>
    <w:p>
      <w:pPr>
        <w:pStyle w:val="4"/>
        <w:spacing w:before="0" w:after="0" w:line="360" w:lineRule="auto"/>
        <w:jc w:val="center"/>
        <w:rPr>
          <w:rFonts w:ascii="宋体" w:hAnsi="宋体" w:eastAsia="宋体" w:cs="宋体"/>
          <w:sz w:val="28"/>
        </w:rPr>
      </w:pPr>
      <w:bookmarkStart w:id="229" w:name="_Toc11329278"/>
      <w:bookmarkStart w:id="230" w:name="_Toc513633971"/>
      <w:bookmarkStart w:id="231" w:name="_Toc503951050"/>
      <w:bookmarkStart w:id="232" w:name="_Toc246997112"/>
      <w:bookmarkStart w:id="233" w:name="_Toc179632823"/>
      <w:bookmarkStart w:id="234" w:name="_Toc247085887"/>
      <w:bookmarkStart w:id="235" w:name="_Toc152042592"/>
      <w:bookmarkStart w:id="236" w:name="_Toc447827058"/>
      <w:bookmarkStart w:id="237" w:name="_Toc246996369"/>
      <w:bookmarkStart w:id="238" w:name="_Toc144974871"/>
      <w:bookmarkStart w:id="239" w:name="_Toc152045803"/>
      <w:r>
        <w:rPr>
          <w:rFonts w:hint="eastAsia" w:ascii="宋体" w:hAnsi="宋体" w:eastAsia="宋体" w:cs="宋体"/>
          <w:sz w:val="28"/>
        </w:rPr>
        <w:br w:type="page"/>
      </w:r>
      <w:bookmarkStart w:id="240" w:name="_Toc12910"/>
      <w:bookmarkStart w:id="241" w:name="_Toc18757"/>
      <w:bookmarkStart w:id="242" w:name="_Toc11961"/>
      <w:r>
        <w:rPr>
          <w:rFonts w:hint="eastAsia" w:ascii="宋体" w:hAnsi="宋体" w:eastAsia="宋体" w:cs="宋体"/>
          <w:sz w:val="28"/>
        </w:rPr>
        <w:t>三、资格审查资料</w:t>
      </w:r>
      <w:bookmarkEnd w:id="229"/>
      <w:bookmarkEnd w:id="230"/>
      <w:bookmarkEnd w:id="231"/>
      <w:bookmarkEnd w:id="240"/>
      <w:bookmarkEnd w:id="241"/>
      <w:bookmarkEnd w:id="242"/>
    </w:p>
    <w:p>
      <w:pPr>
        <w:pStyle w:val="4"/>
        <w:spacing w:before="0" w:after="0" w:line="360" w:lineRule="auto"/>
        <w:jc w:val="center"/>
        <w:rPr>
          <w:rFonts w:ascii="宋体" w:hAnsi="宋体" w:eastAsia="宋体" w:cs="宋体"/>
          <w:sz w:val="28"/>
        </w:rPr>
      </w:pPr>
      <w:bookmarkStart w:id="243" w:name="_Toc22003"/>
      <w:bookmarkStart w:id="244" w:name="_Toc17915"/>
      <w:bookmarkStart w:id="245" w:name="_Toc32456"/>
      <w:r>
        <w:rPr>
          <w:rFonts w:hint="eastAsia" w:ascii="宋体" w:hAnsi="宋体" w:eastAsia="宋体" w:cs="宋体"/>
          <w:sz w:val="28"/>
        </w:rPr>
        <w:t>（营业执照、资质证书、安全生产许可证等）</w:t>
      </w:r>
      <w:bookmarkEnd w:id="243"/>
      <w:bookmarkEnd w:id="244"/>
      <w:bookmarkEnd w:id="245"/>
    </w:p>
    <w:bookmarkEnd w:id="232"/>
    <w:bookmarkEnd w:id="233"/>
    <w:bookmarkEnd w:id="234"/>
    <w:bookmarkEnd w:id="235"/>
    <w:bookmarkEnd w:id="236"/>
    <w:bookmarkEnd w:id="237"/>
    <w:bookmarkEnd w:id="238"/>
    <w:bookmarkEnd w:id="239"/>
    <w:p>
      <w:bookmarkStart w:id="246" w:name="_Toc503951055"/>
      <w:bookmarkStart w:id="247" w:name="_Toc447827068"/>
      <w:bookmarkStart w:id="248" w:name="_Toc513633973"/>
    </w:p>
    <w:p>
      <w:pPr>
        <w:pStyle w:val="4"/>
        <w:spacing w:before="0" w:after="0" w:line="360" w:lineRule="auto"/>
        <w:jc w:val="center"/>
        <w:rPr>
          <w:rFonts w:ascii="宋体" w:hAnsi="宋体" w:eastAsia="宋体" w:cs="宋体"/>
          <w:sz w:val="28"/>
        </w:rPr>
      </w:pPr>
      <w:bookmarkStart w:id="249" w:name="_Toc11329281"/>
      <w:bookmarkStart w:id="250" w:name="_Toc11672"/>
      <w:r>
        <w:rPr>
          <w:rFonts w:hint="eastAsia" w:ascii="宋体" w:hAnsi="宋体" w:eastAsia="宋体" w:cs="宋体"/>
          <w:sz w:val="28"/>
        </w:rPr>
        <w:br w:type="page"/>
      </w:r>
      <w:bookmarkStart w:id="251" w:name="_Toc29559"/>
      <w:bookmarkStart w:id="252" w:name="_Toc11243"/>
      <w:r>
        <w:rPr>
          <w:rFonts w:hint="eastAsia" w:ascii="宋体" w:hAnsi="宋体" w:eastAsia="宋体" w:cs="宋体"/>
          <w:sz w:val="28"/>
        </w:rPr>
        <w:t>四、</w:t>
      </w:r>
      <w:bookmarkEnd w:id="246"/>
      <w:bookmarkEnd w:id="247"/>
      <w:bookmarkEnd w:id="248"/>
      <w:r>
        <w:rPr>
          <w:rFonts w:hint="eastAsia" w:ascii="宋体" w:hAnsi="宋体" w:eastAsia="宋体" w:cs="宋体"/>
          <w:sz w:val="28"/>
        </w:rPr>
        <w:t>报价人须知前附表规定的其他材料</w:t>
      </w:r>
      <w:bookmarkEnd w:id="249"/>
      <w:bookmarkEnd w:id="250"/>
      <w:bookmarkEnd w:id="251"/>
      <w:bookmarkEnd w:id="252"/>
    </w:p>
    <w:p>
      <w:pPr>
        <w:pStyle w:val="5"/>
        <w:jc w:val="center"/>
        <w:rPr>
          <w:rFonts w:ascii="宋体" w:hAnsi="宋体" w:cs="宋体"/>
          <w:sz w:val="28"/>
        </w:rPr>
      </w:pPr>
      <w:bookmarkStart w:id="253" w:name="bookmark81"/>
      <w:bookmarkStart w:id="254" w:name="_Toc513633974"/>
      <w:bookmarkStart w:id="255" w:name="_Toc503951058"/>
      <w:r>
        <w:rPr>
          <w:rFonts w:hint="eastAsia" w:ascii="宋体" w:hAnsi="宋体" w:cs="宋体"/>
          <w:sz w:val="28"/>
        </w:rPr>
        <w:t>（一）</w:t>
      </w:r>
      <w:bookmarkEnd w:id="253"/>
      <w:bookmarkStart w:id="256" w:name="_Toc507681700"/>
      <w:bookmarkStart w:id="257" w:name="_Toc504639215"/>
      <w:bookmarkStart w:id="258" w:name="_Toc507681488"/>
      <w:r>
        <w:rPr>
          <w:rFonts w:hint="eastAsia" w:ascii="宋体" w:hAnsi="宋体" w:cs="宋体"/>
          <w:sz w:val="28"/>
        </w:rPr>
        <w:t>报价人自行承诺部分</w:t>
      </w:r>
      <w:bookmarkEnd w:id="256"/>
      <w:bookmarkEnd w:id="257"/>
      <w:bookmarkEnd w:id="258"/>
    </w:p>
    <w:p>
      <w:pPr>
        <w:spacing w:line="360" w:lineRule="auto"/>
        <w:ind w:firstLine="420" w:firstLineChars="200"/>
        <w:jc w:val="left"/>
        <w:rPr>
          <w:rFonts w:ascii="宋体" w:hAnsi="宋体" w:cs="宋体"/>
          <w:kern w:val="0"/>
          <w:szCs w:val="21"/>
        </w:rPr>
      </w:pPr>
      <w:r>
        <w:rPr>
          <w:rFonts w:hint="eastAsia" w:ascii="宋体" w:hAnsi="宋体" w:cs="宋体"/>
          <w:kern w:val="0"/>
          <w:szCs w:val="21"/>
        </w:rPr>
        <w:t>比选文件中要求报价人自行承诺的，由报价人按比选文件要求内容承诺，格式自拟。</w:t>
      </w:r>
    </w:p>
    <w:p>
      <w:pPr>
        <w:pStyle w:val="5"/>
        <w:jc w:val="center"/>
        <w:rPr>
          <w:rFonts w:ascii="宋体" w:hAnsi="宋体" w:cs="宋体"/>
          <w:sz w:val="28"/>
        </w:rPr>
      </w:pPr>
    </w:p>
    <w:p>
      <w:pPr>
        <w:pStyle w:val="5"/>
        <w:jc w:val="center"/>
        <w:rPr>
          <w:rFonts w:ascii="宋体" w:hAnsi="宋体" w:cs="宋体"/>
          <w:sz w:val="28"/>
        </w:rPr>
      </w:pPr>
    </w:p>
    <w:p>
      <w:pPr>
        <w:pStyle w:val="5"/>
        <w:jc w:val="center"/>
        <w:rPr>
          <w:rFonts w:ascii="宋体" w:hAnsi="宋体" w:cs="宋体"/>
          <w:sz w:val="28"/>
        </w:rPr>
      </w:pPr>
      <w:r>
        <w:rPr>
          <w:rFonts w:hint="eastAsia" w:ascii="宋体" w:hAnsi="宋体" w:cs="宋体"/>
          <w:sz w:val="28"/>
        </w:rPr>
        <w:t>（二）其他材料（如有）</w:t>
      </w:r>
    </w:p>
    <w:p>
      <w:pPr>
        <w:pStyle w:val="4"/>
        <w:numPr>
          <w:ilvl w:val="0"/>
          <w:numId w:val="3"/>
        </w:numPr>
        <w:spacing w:before="0" w:after="0" w:line="360" w:lineRule="auto"/>
        <w:jc w:val="center"/>
        <w:rPr>
          <w:rFonts w:ascii="宋体" w:hAnsi="宋体" w:eastAsia="宋体" w:cs="宋体"/>
          <w:sz w:val="28"/>
        </w:rPr>
      </w:pPr>
      <w:r>
        <w:rPr>
          <w:rFonts w:hint="eastAsia" w:ascii="宋体" w:hAnsi="宋体" w:cs="宋体"/>
          <w:sz w:val="28"/>
        </w:rPr>
        <w:br w:type="page"/>
      </w:r>
      <w:r>
        <w:rPr>
          <w:rFonts w:hint="eastAsia" w:ascii="宋体" w:hAnsi="宋体" w:eastAsia="宋体" w:cs="宋体"/>
          <w:sz w:val="28"/>
        </w:rPr>
        <w:t>现场安全负责人承诺书</w:t>
      </w:r>
    </w:p>
    <w:p>
      <w:pPr>
        <w:tabs>
          <w:tab w:val="left" w:pos="900"/>
        </w:tabs>
        <w:spacing w:line="300" w:lineRule="auto"/>
        <w:rPr>
          <w:rFonts w:ascii="Arial" w:hAnsi="Arial" w:cs="Arial"/>
          <w:b/>
          <w:bCs/>
          <w:color w:val="000000"/>
          <w:sz w:val="24"/>
          <w:u w:val="single"/>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pPr>
      <w:r>
        <w:rPr>
          <w:rFonts w:hint="eastAsia" w:ascii="Arial" w:hAnsi="Arial" w:cs="Arial"/>
          <w:color w:val="000000"/>
          <w:sz w:val="24"/>
        </w:rPr>
        <w:t>根据贵方为</w:t>
      </w:r>
      <w:r>
        <w:rPr>
          <w:rFonts w:hint="eastAsia" w:ascii="Arial" w:hAnsi="Arial" w:cs="Arial"/>
          <w:color w:val="000000"/>
          <w:sz w:val="24"/>
          <w:u w:val="single"/>
          <w:lang w:eastAsia="zh-CN"/>
        </w:rPr>
        <w:t>2021年股份二期项目光缆采购项目（第二次）</w:t>
      </w:r>
      <w:r>
        <w:rPr>
          <w:rFonts w:hint="eastAsia" w:ascii="Arial" w:hAnsi="Arial" w:cs="Arial"/>
          <w:color w:val="000000"/>
          <w:sz w:val="24"/>
          <w:u w:val="single"/>
        </w:rPr>
        <w:t xml:space="preserve"> </w:t>
      </w:r>
      <w:r>
        <w:rPr>
          <w:rFonts w:hint="eastAsia" w:ascii="Arial" w:hAnsi="Arial" w:cs="Arial"/>
          <w:color w:val="000000"/>
          <w:sz w:val="24"/>
        </w:rPr>
        <w:t>竞争比选项目及服务的竞争比选邀请，</w:t>
      </w:r>
      <w:r>
        <w:rPr>
          <w:rFonts w:hint="eastAsia" w:ascii="Arial" w:hAnsi="Arial" w:cs="Arial"/>
          <w:color w:val="000000"/>
          <w:sz w:val="24"/>
          <w:u w:val="single"/>
        </w:rPr>
        <w:t>（姓名）</w:t>
      </w:r>
      <w:r>
        <w:rPr>
          <w:rFonts w:hint="eastAsia" w:ascii="Arial" w:hAnsi="Arial" w:cs="Arial"/>
          <w:color w:val="000000"/>
          <w:sz w:val="24"/>
        </w:rPr>
        <w:t>经正式任命为</w:t>
      </w:r>
      <w:r>
        <w:rPr>
          <w:rFonts w:hint="eastAsia" w:ascii="Arial" w:hAnsi="Arial" w:cs="Arial"/>
          <w:color w:val="000000"/>
          <w:sz w:val="24"/>
          <w:u w:val="single"/>
          <w:lang w:eastAsia="zh-CN"/>
        </w:rPr>
        <w:t>2021年股份二期项目光缆采购项目（第二次）</w:t>
      </w:r>
      <w:r>
        <w:rPr>
          <w:rFonts w:hint="eastAsia" w:ascii="Arial" w:hAnsi="Arial" w:cs="Arial"/>
          <w:color w:val="000000"/>
          <w:sz w:val="24"/>
          <w:u w:val="single"/>
        </w:rPr>
        <w:t xml:space="preserve"> </w:t>
      </w:r>
      <w:r>
        <w:rPr>
          <w:rFonts w:hint="eastAsia" w:ascii="Arial" w:hAnsi="Arial" w:cs="Arial"/>
          <w:color w:val="000000"/>
          <w:sz w:val="24"/>
        </w:rPr>
        <w:t>竞争比选项目及服务现场安全负责人，严格遵守国家有关安全生产的法律法规、交通部颁发的《公路养护安全作业规程》(JTGH30—2015）、《重庆市营运高速公路施工管理规范》DB50/T 959-2019及《首讯公司工程安全生产的违约处理细则》渝高速首讯文〔2019〕40 号等有关安全生产的规定，承诺施工期间在现场开展安全管理工作。</w:t>
      </w:r>
    </w:p>
    <w:p>
      <w:pPr>
        <w:tabs>
          <w:tab w:val="left" w:pos="540"/>
          <w:tab w:val="left" w:pos="900"/>
        </w:tabs>
        <w:spacing w:line="300" w:lineRule="auto"/>
        <w:rPr>
          <w:rFonts w:ascii="Arial" w:hAnsi="Arial" w:cs="Arial"/>
          <w:sz w:val="24"/>
        </w:rPr>
      </w:pPr>
      <w:r>
        <w:rPr>
          <w:rFonts w:hint="eastAsia" w:ascii="Arial" w:hAnsi="Arial" w:cs="Arial"/>
          <w:sz w:val="24"/>
        </w:rPr>
        <w:t xml:space="preserve">    </w:t>
      </w:r>
    </w:p>
    <w:p>
      <w:pPr>
        <w:pStyle w:val="2"/>
        <w:rPr>
          <w:rFonts w:ascii="Arial" w:hAnsi="Arial" w:cs="Arial"/>
          <w:caps w:val="0"/>
          <w:color w:val="000000"/>
          <w:sz w:val="24"/>
          <w:szCs w:val="24"/>
        </w:rPr>
      </w:pPr>
    </w:p>
    <w:p>
      <w:pPr>
        <w:rPr>
          <w:rFonts w:ascii="Arial" w:hAnsi="Arial" w:cs="Arial"/>
          <w:b/>
          <w:bCs/>
          <w:color w:val="000000"/>
          <w:sz w:val="24"/>
        </w:rPr>
      </w:pPr>
    </w:p>
    <w:p>
      <w:pPr>
        <w:pStyle w:val="2"/>
        <w:rPr>
          <w:rFonts w:ascii="Arial" w:hAnsi="Arial" w:cs="Arial"/>
          <w:caps w:val="0"/>
          <w:color w:val="000000"/>
          <w:sz w:val="24"/>
          <w:szCs w:val="24"/>
        </w:rPr>
      </w:pPr>
    </w:p>
    <w:p>
      <w:pPr>
        <w:rPr>
          <w:rFonts w:ascii="Arial" w:hAnsi="Arial" w:cs="Arial"/>
          <w:b/>
          <w:bCs/>
          <w:color w:val="000000"/>
          <w:sz w:val="24"/>
        </w:rPr>
      </w:pPr>
    </w:p>
    <w:p>
      <w:pPr>
        <w:rPr>
          <w:rFonts w:ascii="Arial" w:hAnsi="Arial" w:cs="Arial"/>
          <w:b/>
          <w:bCs/>
          <w:color w:val="000000"/>
          <w:sz w:val="24"/>
        </w:rPr>
      </w:pPr>
    </w:p>
    <w:p>
      <w:pPr>
        <w:pStyle w:val="2"/>
        <w:jc w:val="both"/>
        <w:rPr>
          <w:rFonts w:ascii="Arial" w:hAnsi="Arial" w:cs="Arial"/>
          <w:caps w:val="0"/>
          <w:color w:val="000000"/>
          <w:sz w:val="24"/>
          <w:szCs w:val="24"/>
          <w:u w:val="single"/>
        </w:rPr>
      </w:pPr>
      <w:r>
        <w:rPr>
          <w:rFonts w:ascii="Arial" w:hAnsi="Arial" w:cs="Arial"/>
          <w:caps w:val="0"/>
          <w:color w:val="000000"/>
          <w:sz w:val="24"/>
          <w:szCs w:val="24"/>
        </w:rPr>
        <w:t>竞争比选响应单位</w:t>
      </w:r>
      <w:r>
        <w:rPr>
          <w:rFonts w:hint="eastAsia" w:ascii="Arial" w:hAnsi="Arial" w:cs="Arial"/>
          <w:caps w:val="0"/>
          <w:color w:val="000000"/>
          <w:sz w:val="24"/>
          <w:szCs w:val="24"/>
        </w:rPr>
        <w:t>现场安全负责人</w:t>
      </w:r>
      <w:r>
        <w:rPr>
          <w:rFonts w:ascii="Arial" w:hAnsi="Arial" w:cs="Arial"/>
          <w:caps w:val="0"/>
          <w:color w:val="000000"/>
          <w:sz w:val="24"/>
          <w:szCs w:val="24"/>
        </w:rPr>
        <w:t>（签字）：</w:t>
      </w:r>
      <w:r>
        <w:rPr>
          <w:rFonts w:hint="eastAsia" w:ascii="Arial" w:hAnsi="Arial" w:cs="Arial"/>
          <w:caps w:val="0"/>
          <w:color w:val="000000"/>
          <w:sz w:val="24"/>
          <w:szCs w:val="24"/>
          <w:u w:val="single"/>
        </w:rPr>
        <w:t xml:space="preserve">               </w:t>
      </w:r>
    </w:p>
    <w:p>
      <w:pPr>
        <w:pStyle w:val="2"/>
        <w:jc w:val="both"/>
        <w:rPr>
          <w:rFonts w:ascii="Arial" w:hAnsi="Arial" w:cs="Arial"/>
          <w:caps w:val="0"/>
          <w:color w:val="000000"/>
          <w:sz w:val="24"/>
          <w:szCs w:val="24"/>
        </w:rPr>
      </w:pPr>
      <w:r>
        <w:rPr>
          <w:rFonts w:ascii="Arial" w:hAnsi="Arial" w:cs="Arial"/>
          <w:caps w:val="0"/>
          <w:color w:val="000000"/>
          <w:sz w:val="24"/>
          <w:szCs w:val="24"/>
        </w:rPr>
        <w:t>竞争比选响应单位名称（加盖公章）：</w:t>
      </w:r>
    </w:p>
    <w:p>
      <w:pPr>
        <w:pStyle w:val="2"/>
        <w:jc w:val="both"/>
        <w:rPr>
          <w:rFonts w:ascii="Arial" w:hAnsi="Arial" w:cs="Arial"/>
          <w:caps w:val="0"/>
          <w:color w:val="000000"/>
          <w:sz w:val="24"/>
          <w:szCs w:val="24"/>
        </w:rPr>
      </w:pPr>
      <w:r>
        <w:rPr>
          <w:rFonts w:ascii="Arial" w:hAnsi="Arial" w:cs="Arial"/>
          <w:caps w:val="0"/>
          <w:color w:val="000000"/>
          <w:sz w:val="24"/>
          <w:szCs w:val="24"/>
        </w:rPr>
        <w:t>日期：</w:t>
      </w:r>
      <w:r>
        <w:rPr>
          <w:rFonts w:ascii="Arial" w:hAnsi="Arial" w:cs="Arial"/>
          <w:caps w:val="0"/>
          <w:color w:val="000000"/>
          <w:sz w:val="24"/>
          <w:szCs w:val="24"/>
          <w:u w:val="single"/>
        </w:rPr>
        <w:t xml:space="preserve">     </w:t>
      </w:r>
      <w:r>
        <w:rPr>
          <w:rFonts w:ascii="Arial" w:hAnsi="Arial" w:cs="Arial"/>
          <w:caps w:val="0"/>
          <w:color w:val="000000"/>
          <w:sz w:val="24"/>
          <w:szCs w:val="24"/>
        </w:rPr>
        <w:t>年</w:t>
      </w:r>
      <w:r>
        <w:rPr>
          <w:rFonts w:ascii="Arial" w:hAnsi="Arial" w:cs="Arial"/>
          <w:caps w:val="0"/>
          <w:color w:val="000000"/>
          <w:sz w:val="24"/>
          <w:szCs w:val="24"/>
          <w:u w:val="single"/>
        </w:rPr>
        <w:t xml:space="preserve">      </w:t>
      </w:r>
      <w:r>
        <w:rPr>
          <w:rFonts w:ascii="Arial" w:hAnsi="Arial" w:cs="Arial"/>
          <w:caps w:val="0"/>
          <w:color w:val="000000"/>
          <w:sz w:val="24"/>
          <w:szCs w:val="24"/>
        </w:rPr>
        <w:t>月</w:t>
      </w:r>
      <w:r>
        <w:rPr>
          <w:rFonts w:ascii="Arial" w:hAnsi="Arial" w:cs="Arial"/>
          <w:caps w:val="0"/>
          <w:color w:val="000000"/>
          <w:sz w:val="24"/>
          <w:szCs w:val="24"/>
          <w:u w:val="single"/>
        </w:rPr>
        <w:t xml:space="preserve">      </w:t>
      </w:r>
      <w:r>
        <w:rPr>
          <w:rFonts w:ascii="Arial" w:hAnsi="Arial" w:cs="Arial"/>
          <w:caps w:val="0"/>
          <w:color w:val="000000"/>
          <w:sz w:val="24"/>
          <w:szCs w:val="24"/>
        </w:rPr>
        <w:t>日</w:t>
      </w:r>
    </w:p>
    <w:p>
      <w:pPr>
        <w:pStyle w:val="2"/>
        <w:rPr>
          <w:rFonts w:ascii="Arial" w:hAnsi="Arial" w:cs="Arial"/>
          <w:caps w:val="0"/>
          <w:color w:val="000000"/>
          <w:sz w:val="24"/>
          <w:szCs w:val="24"/>
        </w:rPr>
      </w:pPr>
    </w:p>
    <w:p>
      <w:pPr>
        <w:rPr>
          <w:rFonts w:ascii="Arial" w:hAnsi="Arial" w:cs="Arial"/>
          <w:b/>
          <w:bCs/>
          <w:color w:val="000000"/>
          <w:sz w:val="24"/>
        </w:rPr>
      </w:pPr>
    </w:p>
    <w:p>
      <w:pPr>
        <w:pStyle w:val="2"/>
        <w:rPr>
          <w:rFonts w:ascii="Arial" w:hAnsi="Arial" w:cs="Arial"/>
          <w:caps w:val="0"/>
          <w:color w:val="000000"/>
          <w:sz w:val="24"/>
          <w:szCs w:val="24"/>
        </w:rPr>
      </w:pPr>
    </w:p>
    <w:p>
      <w:pPr>
        <w:pStyle w:val="2"/>
        <w:rPr>
          <w:rFonts w:ascii="Arial" w:hAnsi="Arial" w:cs="Arial"/>
          <w:caps w:val="0"/>
          <w:color w:val="000000"/>
          <w:sz w:val="24"/>
          <w:szCs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rPr>
          <w:b/>
          <w:sz w:val="24"/>
        </w:rPr>
      </w:pPr>
    </w:p>
    <w:p>
      <w:pPr>
        <w:outlineLvl w:val="0"/>
      </w:pPr>
      <w:r>
        <w:rPr>
          <w:rFonts w:hint="eastAsia"/>
          <w:b/>
          <w:sz w:val="24"/>
        </w:rPr>
        <w:t>附报价单位现场安全负责人身份证复印件（正、反面）</w:t>
      </w:r>
      <w:bookmarkEnd w:id="254"/>
      <w:bookmarkEnd w:id="255"/>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A7F5A263-829A-403E-A420-B1BC9B2AAE4A}"/>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48A3158-DC63-4FFF-B223-6ABD19158007}"/>
  </w:font>
  <w:font w:name="仿宋_GB2312">
    <w:altName w:val="仿宋"/>
    <w:panose1 w:val="00000000000000000000"/>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10" w:usb3="00000000" w:csb0="0004009F" w:csb1="0000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4"/>
      </w:rPr>
    </w:pPr>
    <w:r>
      <w:fldChar w:fldCharType="begin"/>
    </w:r>
    <w:r>
      <w:rPr>
        <w:rStyle w:val="44"/>
      </w:rPr>
      <w:instrText xml:space="preserve">PAGE  </w:instrText>
    </w:r>
    <w:r>
      <w:fldChar w:fldCharType="end"/>
    </w:r>
  </w:p>
  <w:p>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79</w:t>
    </w:r>
    <w:r>
      <w:fldChar w:fldCharType="end"/>
    </w:r>
  </w:p>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35</w:t>
    </w:r>
    <w:r>
      <w:fldChar w:fldCharType="end"/>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4"/>
      </w:rPr>
    </w:pPr>
    <w:r>
      <w:fldChar w:fldCharType="begin"/>
    </w:r>
    <w:r>
      <w:rPr>
        <w:rStyle w:val="44"/>
      </w:rPr>
      <w:instrText xml:space="preserve">PAGE  </w:instrText>
    </w:r>
    <w:r>
      <w:fldChar w:fldCharType="separate"/>
    </w:r>
    <w:r>
      <w:rPr>
        <w:rStyle w:val="44"/>
      </w:rPr>
      <w:t>73</w:t>
    </w:r>
    <w:r>
      <w:fldChar w:fldCharType="end"/>
    </w:r>
  </w:p>
  <w:p>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4"/>
      </w:rPr>
    </w:pPr>
    <w:r>
      <w:fldChar w:fldCharType="begin"/>
    </w:r>
    <w:r>
      <w:rPr>
        <w:rStyle w:val="44"/>
      </w:rPr>
      <w:instrText xml:space="preserve">PAGE  </w:instrText>
    </w:r>
    <w:r>
      <w:fldChar w:fldCharType="separate"/>
    </w:r>
    <w:r>
      <w:rPr>
        <w:rStyle w:val="44"/>
      </w:rPr>
      <w:t>78</w:t>
    </w:r>
    <w:r>
      <w:fldChar w:fldCharType="end"/>
    </w:r>
  </w:p>
  <w:p>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Style w:val="44"/>
                            </w:rPr>
                          </w:pPr>
                          <w:r>
                            <w:fldChar w:fldCharType="begin"/>
                          </w:r>
                          <w:r>
                            <w:rPr>
                              <w:rStyle w:val="44"/>
                            </w:rPr>
                            <w:instrText xml:space="preserve">PAGE  </w:instrText>
                          </w:r>
                          <w:r>
                            <w:fldChar w:fldCharType="separate"/>
                          </w:r>
                          <w:r>
                            <w:rPr>
                              <w:rStyle w:val="44"/>
                            </w:rPr>
                            <w:t>95</w:t>
                          </w:r>
                          <w: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pPr>
                      <w:pStyle w:val="26"/>
                      <w:rPr>
                        <w:rStyle w:val="44"/>
                      </w:rPr>
                    </w:pPr>
                    <w:r>
                      <w:fldChar w:fldCharType="begin"/>
                    </w:r>
                    <w:r>
                      <w:rPr>
                        <w:rStyle w:val="44"/>
                      </w:rPr>
                      <w:instrText xml:space="preserve">PAGE  </w:instrText>
                    </w:r>
                    <w:r>
                      <w:fldChar w:fldCharType="separate"/>
                    </w:r>
                    <w:r>
                      <w:rPr>
                        <w:rStyle w:val="44"/>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kSrbzIAQAAmQMAAA4AAAAAAAAAAQAgAAAAHgEAAGRycy9lMm9Eb2Mu&#10;eG1sUEsFBgAAAAAGAAYAWQEAAFgFAAAAAA==&#10;">
              <v:fill on="f" focussize="0,0"/>
              <v:stroke on="f"/>
              <v:imagedata o:title=""/>
              <o:lock v:ext="edit" aspectratio="f"/>
              <v:textbox inset="0mm,0mm,0mm,0mm" style="mso-fit-shape-to-text:t;">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E6C72D"/>
    <w:multiLevelType w:val="singleLevel"/>
    <w:tmpl w:val="C9E6C72D"/>
    <w:lvl w:ilvl="0" w:tentative="0">
      <w:start w:val="3"/>
      <w:numFmt w:val="decimal"/>
      <w:suff w:val="nothing"/>
      <w:lvlText w:val="%1、"/>
      <w:lvlJc w:val="left"/>
    </w:lvl>
  </w:abstractNum>
  <w:abstractNum w:abstractNumId="1">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39"/>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2">
    <w:nsid w:val="53FF034E"/>
    <w:multiLevelType w:val="singleLevel"/>
    <w:tmpl w:val="53FF034E"/>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NotTrackMoves/>
  <w:documentProtection w:enforcement="0"/>
  <w:defaultTabStop w:val="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194"/>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5495"/>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212A"/>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7504E"/>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40"/>
    <w:rsid w:val="001D748A"/>
    <w:rsid w:val="001E2FBC"/>
    <w:rsid w:val="001E35E5"/>
    <w:rsid w:val="001E3AE0"/>
    <w:rsid w:val="001E4ED8"/>
    <w:rsid w:val="001F1ACA"/>
    <w:rsid w:val="001F5D0C"/>
    <w:rsid w:val="001F6241"/>
    <w:rsid w:val="00203576"/>
    <w:rsid w:val="002111A4"/>
    <w:rsid w:val="002136F9"/>
    <w:rsid w:val="00213846"/>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27AE"/>
    <w:rsid w:val="002339FF"/>
    <w:rsid w:val="00235CEC"/>
    <w:rsid w:val="002460EA"/>
    <w:rsid w:val="00246DBB"/>
    <w:rsid w:val="002537F9"/>
    <w:rsid w:val="00253875"/>
    <w:rsid w:val="0025448C"/>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00C0"/>
    <w:rsid w:val="002C1C4C"/>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3BB3"/>
    <w:rsid w:val="0037709D"/>
    <w:rsid w:val="00380543"/>
    <w:rsid w:val="00383AFE"/>
    <w:rsid w:val="00384108"/>
    <w:rsid w:val="00384E9A"/>
    <w:rsid w:val="003856B3"/>
    <w:rsid w:val="003858BE"/>
    <w:rsid w:val="003859B8"/>
    <w:rsid w:val="0039099F"/>
    <w:rsid w:val="00397134"/>
    <w:rsid w:val="003A063A"/>
    <w:rsid w:val="003A35CE"/>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9A3"/>
    <w:rsid w:val="004D6EA5"/>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099F"/>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6A8"/>
    <w:rsid w:val="005B2C7F"/>
    <w:rsid w:val="005B635A"/>
    <w:rsid w:val="005B75CF"/>
    <w:rsid w:val="005C1367"/>
    <w:rsid w:val="005C137A"/>
    <w:rsid w:val="005C3C93"/>
    <w:rsid w:val="005C7304"/>
    <w:rsid w:val="005D1938"/>
    <w:rsid w:val="005D1C59"/>
    <w:rsid w:val="005D3202"/>
    <w:rsid w:val="005D48DB"/>
    <w:rsid w:val="005E25FB"/>
    <w:rsid w:val="005E3EBE"/>
    <w:rsid w:val="005E3F38"/>
    <w:rsid w:val="005E782A"/>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4BF5"/>
    <w:rsid w:val="00625AF6"/>
    <w:rsid w:val="00626C3A"/>
    <w:rsid w:val="00631AA7"/>
    <w:rsid w:val="00633525"/>
    <w:rsid w:val="00634491"/>
    <w:rsid w:val="00640A2B"/>
    <w:rsid w:val="006410AE"/>
    <w:rsid w:val="00641DDB"/>
    <w:rsid w:val="00645AA4"/>
    <w:rsid w:val="0064614C"/>
    <w:rsid w:val="006501D9"/>
    <w:rsid w:val="0065343F"/>
    <w:rsid w:val="00656AE6"/>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B6AE6"/>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06ECF"/>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E5C5C"/>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0CE"/>
    <w:rsid w:val="008104E5"/>
    <w:rsid w:val="00810511"/>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47590"/>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1E95"/>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C0B60"/>
    <w:rsid w:val="00AC35C8"/>
    <w:rsid w:val="00AC5579"/>
    <w:rsid w:val="00AC77D9"/>
    <w:rsid w:val="00AD254C"/>
    <w:rsid w:val="00AD3F91"/>
    <w:rsid w:val="00AD5063"/>
    <w:rsid w:val="00AE0656"/>
    <w:rsid w:val="00AE0A52"/>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C369B"/>
    <w:rsid w:val="00BD6DC6"/>
    <w:rsid w:val="00BE1BEC"/>
    <w:rsid w:val="00BE4A86"/>
    <w:rsid w:val="00BE4A91"/>
    <w:rsid w:val="00BE60A7"/>
    <w:rsid w:val="00BF28B3"/>
    <w:rsid w:val="00BF6FA8"/>
    <w:rsid w:val="00BF76B0"/>
    <w:rsid w:val="00C0271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0801"/>
    <w:rsid w:val="00D1446B"/>
    <w:rsid w:val="00D230C6"/>
    <w:rsid w:val="00D2649C"/>
    <w:rsid w:val="00D273BE"/>
    <w:rsid w:val="00D3252E"/>
    <w:rsid w:val="00D32643"/>
    <w:rsid w:val="00D3367B"/>
    <w:rsid w:val="00D37D3B"/>
    <w:rsid w:val="00D55120"/>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1FAD"/>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E02114"/>
    <w:rsid w:val="00E03783"/>
    <w:rsid w:val="00E06502"/>
    <w:rsid w:val="00E0716D"/>
    <w:rsid w:val="00E10E7C"/>
    <w:rsid w:val="00E15007"/>
    <w:rsid w:val="00E17769"/>
    <w:rsid w:val="00E20ABC"/>
    <w:rsid w:val="00E23505"/>
    <w:rsid w:val="00E24890"/>
    <w:rsid w:val="00E259F4"/>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449B"/>
    <w:rsid w:val="00EF5A4C"/>
    <w:rsid w:val="00EF7399"/>
    <w:rsid w:val="00F02127"/>
    <w:rsid w:val="00F03096"/>
    <w:rsid w:val="00F04171"/>
    <w:rsid w:val="00F04CFE"/>
    <w:rsid w:val="00F04E3D"/>
    <w:rsid w:val="00F10690"/>
    <w:rsid w:val="00F14AAD"/>
    <w:rsid w:val="00F15A03"/>
    <w:rsid w:val="00F1614E"/>
    <w:rsid w:val="00F1787C"/>
    <w:rsid w:val="00F21666"/>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0AAD"/>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2A800C5"/>
    <w:rsid w:val="02C540E4"/>
    <w:rsid w:val="037D0CD2"/>
    <w:rsid w:val="038B3366"/>
    <w:rsid w:val="03981B5E"/>
    <w:rsid w:val="03996EAD"/>
    <w:rsid w:val="03F60BFA"/>
    <w:rsid w:val="04023CC8"/>
    <w:rsid w:val="042674F4"/>
    <w:rsid w:val="04C12ED8"/>
    <w:rsid w:val="04DC5749"/>
    <w:rsid w:val="04E26FED"/>
    <w:rsid w:val="04FD6633"/>
    <w:rsid w:val="05180B26"/>
    <w:rsid w:val="05871A0A"/>
    <w:rsid w:val="05A70EA9"/>
    <w:rsid w:val="05D55D36"/>
    <w:rsid w:val="060C2525"/>
    <w:rsid w:val="062756FD"/>
    <w:rsid w:val="067C53E7"/>
    <w:rsid w:val="06820F5E"/>
    <w:rsid w:val="06AE2ABA"/>
    <w:rsid w:val="06DD02BB"/>
    <w:rsid w:val="06E71F51"/>
    <w:rsid w:val="07050666"/>
    <w:rsid w:val="07362674"/>
    <w:rsid w:val="073B54B2"/>
    <w:rsid w:val="081748AE"/>
    <w:rsid w:val="08635851"/>
    <w:rsid w:val="08C2359B"/>
    <w:rsid w:val="09041814"/>
    <w:rsid w:val="092D7BDC"/>
    <w:rsid w:val="09332D2B"/>
    <w:rsid w:val="093E2D64"/>
    <w:rsid w:val="098B1DA7"/>
    <w:rsid w:val="09A31A61"/>
    <w:rsid w:val="09DE1094"/>
    <w:rsid w:val="09E2475B"/>
    <w:rsid w:val="0A372FF6"/>
    <w:rsid w:val="0A3E0C22"/>
    <w:rsid w:val="0A3F34B7"/>
    <w:rsid w:val="0A4B11BE"/>
    <w:rsid w:val="0A8E5B8D"/>
    <w:rsid w:val="0AA240FA"/>
    <w:rsid w:val="0AAC0CBB"/>
    <w:rsid w:val="0AD84BD3"/>
    <w:rsid w:val="0B1061C6"/>
    <w:rsid w:val="0B2B08D5"/>
    <w:rsid w:val="0BB825ED"/>
    <w:rsid w:val="0BC0647C"/>
    <w:rsid w:val="0BF26817"/>
    <w:rsid w:val="0C22464A"/>
    <w:rsid w:val="0C2612E3"/>
    <w:rsid w:val="0C623EAC"/>
    <w:rsid w:val="0CAD24AF"/>
    <w:rsid w:val="0D662EE5"/>
    <w:rsid w:val="0D9339BE"/>
    <w:rsid w:val="0D9F0DC4"/>
    <w:rsid w:val="0DDE695A"/>
    <w:rsid w:val="0E2D072E"/>
    <w:rsid w:val="0E3B295D"/>
    <w:rsid w:val="0E47249B"/>
    <w:rsid w:val="0E551882"/>
    <w:rsid w:val="0F4C19DA"/>
    <w:rsid w:val="0F4C7D05"/>
    <w:rsid w:val="0F5F17BD"/>
    <w:rsid w:val="0F90531D"/>
    <w:rsid w:val="0FAD64B5"/>
    <w:rsid w:val="0FFF5930"/>
    <w:rsid w:val="10A265EF"/>
    <w:rsid w:val="11485B0D"/>
    <w:rsid w:val="117076B2"/>
    <w:rsid w:val="11D56D08"/>
    <w:rsid w:val="125E1A9C"/>
    <w:rsid w:val="1276289F"/>
    <w:rsid w:val="1288522D"/>
    <w:rsid w:val="129D6A95"/>
    <w:rsid w:val="12AF4046"/>
    <w:rsid w:val="12CE506D"/>
    <w:rsid w:val="12F65490"/>
    <w:rsid w:val="12F73D2A"/>
    <w:rsid w:val="13112273"/>
    <w:rsid w:val="13511DF6"/>
    <w:rsid w:val="138B4634"/>
    <w:rsid w:val="138F1214"/>
    <w:rsid w:val="13D101C7"/>
    <w:rsid w:val="1400440E"/>
    <w:rsid w:val="144729D8"/>
    <w:rsid w:val="14AB614D"/>
    <w:rsid w:val="14C80DDC"/>
    <w:rsid w:val="15507C7E"/>
    <w:rsid w:val="15664AEF"/>
    <w:rsid w:val="158E23E1"/>
    <w:rsid w:val="159D7EA6"/>
    <w:rsid w:val="159F1BF9"/>
    <w:rsid w:val="160B0227"/>
    <w:rsid w:val="17081A7A"/>
    <w:rsid w:val="17292C0C"/>
    <w:rsid w:val="176F50FE"/>
    <w:rsid w:val="17DD0B49"/>
    <w:rsid w:val="181C1400"/>
    <w:rsid w:val="18223BBF"/>
    <w:rsid w:val="18D435BC"/>
    <w:rsid w:val="19BA69A5"/>
    <w:rsid w:val="19DF6D3F"/>
    <w:rsid w:val="19E24459"/>
    <w:rsid w:val="1A3D7EBE"/>
    <w:rsid w:val="1A4353A0"/>
    <w:rsid w:val="1B075A0C"/>
    <w:rsid w:val="1B67066F"/>
    <w:rsid w:val="1B7229E4"/>
    <w:rsid w:val="1B7A5EC7"/>
    <w:rsid w:val="1BA35EDC"/>
    <w:rsid w:val="1CF6260F"/>
    <w:rsid w:val="1CF83AEA"/>
    <w:rsid w:val="1D6914D5"/>
    <w:rsid w:val="1D7E09CF"/>
    <w:rsid w:val="1E7F32B0"/>
    <w:rsid w:val="1EBB622E"/>
    <w:rsid w:val="1EEA13A6"/>
    <w:rsid w:val="1EFE64E9"/>
    <w:rsid w:val="1F6207D0"/>
    <w:rsid w:val="1FE1627D"/>
    <w:rsid w:val="1FEA603B"/>
    <w:rsid w:val="20293E2F"/>
    <w:rsid w:val="206E3E8E"/>
    <w:rsid w:val="2093114F"/>
    <w:rsid w:val="209B57AA"/>
    <w:rsid w:val="20A87B06"/>
    <w:rsid w:val="20D83D6E"/>
    <w:rsid w:val="20EA6084"/>
    <w:rsid w:val="20F01139"/>
    <w:rsid w:val="20F1461D"/>
    <w:rsid w:val="212B522B"/>
    <w:rsid w:val="21736537"/>
    <w:rsid w:val="21977807"/>
    <w:rsid w:val="226827C0"/>
    <w:rsid w:val="227C6EFF"/>
    <w:rsid w:val="22942795"/>
    <w:rsid w:val="22A10D06"/>
    <w:rsid w:val="22E46F4A"/>
    <w:rsid w:val="22F20159"/>
    <w:rsid w:val="23486890"/>
    <w:rsid w:val="23AB4CDF"/>
    <w:rsid w:val="23C37A75"/>
    <w:rsid w:val="24436391"/>
    <w:rsid w:val="24AD6D9A"/>
    <w:rsid w:val="26154215"/>
    <w:rsid w:val="26666FDC"/>
    <w:rsid w:val="26B267E7"/>
    <w:rsid w:val="26F65310"/>
    <w:rsid w:val="27357F9F"/>
    <w:rsid w:val="27EF1935"/>
    <w:rsid w:val="280A1B75"/>
    <w:rsid w:val="283962F8"/>
    <w:rsid w:val="290212C1"/>
    <w:rsid w:val="29403128"/>
    <w:rsid w:val="29656DCE"/>
    <w:rsid w:val="298B4B23"/>
    <w:rsid w:val="29D875FE"/>
    <w:rsid w:val="2A194E5D"/>
    <w:rsid w:val="2A594BC2"/>
    <w:rsid w:val="2AA90FA0"/>
    <w:rsid w:val="2B552F60"/>
    <w:rsid w:val="2BB367B9"/>
    <w:rsid w:val="2C184D47"/>
    <w:rsid w:val="2C796A89"/>
    <w:rsid w:val="2CBD3A96"/>
    <w:rsid w:val="2CC74339"/>
    <w:rsid w:val="2CCE1414"/>
    <w:rsid w:val="2CF93ABF"/>
    <w:rsid w:val="2D1E27A3"/>
    <w:rsid w:val="2D707903"/>
    <w:rsid w:val="2D766528"/>
    <w:rsid w:val="2E6A704D"/>
    <w:rsid w:val="2E8A6255"/>
    <w:rsid w:val="2F0B1048"/>
    <w:rsid w:val="2F141AAA"/>
    <w:rsid w:val="2FF23F99"/>
    <w:rsid w:val="30236367"/>
    <w:rsid w:val="30331BC6"/>
    <w:rsid w:val="303E7E03"/>
    <w:rsid w:val="304A182B"/>
    <w:rsid w:val="30757C00"/>
    <w:rsid w:val="307D5D65"/>
    <w:rsid w:val="30B34CE3"/>
    <w:rsid w:val="30CB1C83"/>
    <w:rsid w:val="31832D29"/>
    <w:rsid w:val="31D20CDE"/>
    <w:rsid w:val="31F37E23"/>
    <w:rsid w:val="32223DC6"/>
    <w:rsid w:val="329032EF"/>
    <w:rsid w:val="329970EF"/>
    <w:rsid w:val="32B35AAA"/>
    <w:rsid w:val="334459AC"/>
    <w:rsid w:val="33705A64"/>
    <w:rsid w:val="342645AD"/>
    <w:rsid w:val="34335C8F"/>
    <w:rsid w:val="34617CD8"/>
    <w:rsid w:val="34A61339"/>
    <w:rsid w:val="34F3793E"/>
    <w:rsid w:val="352646C1"/>
    <w:rsid w:val="35574E9C"/>
    <w:rsid w:val="35712E34"/>
    <w:rsid w:val="35ED793B"/>
    <w:rsid w:val="366C082D"/>
    <w:rsid w:val="36C90DD1"/>
    <w:rsid w:val="37704489"/>
    <w:rsid w:val="37925427"/>
    <w:rsid w:val="37A55DCC"/>
    <w:rsid w:val="37CA04FF"/>
    <w:rsid w:val="394C68A5"/>
    <w:rsid w:val="395E479A"/>
    <w:rsid w:val="39A36C2D"/>
    <w:rsid w:val="39AA29B9"/>
    <w:rsid w:val="39C9079C"/>
    <w:rsid w:val="39E71AEC"/>
    <w:rsid w:val="39F60058"/>
    <w:rsid w:val="3A104089"/>
    <w:rsid w:val="3AB8426E"/>
    <w:rsid w:val="3ACF765C"/>
    <w:rsid w:val="3AD278CD"/>
    <w:rsid w:val="3AFA4BE5"/>
    <w:rsid w:val="3B144639"/>
    <w:rsid w:val="3B2A44B8"/>
    <w:rsid w:val="3B2B6476"/>
    <w:rsid w:val="3BBC038E"/>
    <w:rsid w:val="3C852047"/>
    <w:rsid w:val="3CA13116"/>
    <w:rsid w:val="3CA925AE"/>
    <w:rsid w:val="3CF877AB"/>
    <w:rsid w:val="3D306CB2"/>
    <w:rsid w:val="3D667959"/>
    <w:rsid w:val="3D8230F2"/>
    <w:rsid w:val="3D886E2C"/>
    <w:rsid w:val="3DD83D60"/>
    <w:rsid w:val="3E044CAE"/>
    <w:rsid w:val="3EAD4174"/>
    <w:rsid w:val="3EAD7F9C"/>
    <w:rsid w:val="3EB32892"/>
    <w:rsid w:val="3EBC3336"/>
    <w:rsid w:val="3F064AE9"/>
    <w:rsid w:val="3F3B0C43"/>
    <w:rsid w:val="3F4C62B0"/>
    <w:rsid w:val="402A34B8"/>
    <w:rsid w:val="40360CD1"/>
    <w:rsid w:val="40613E30"/>
    <w:rsid w:val="40736573"/>
    <w:rsid w:val="409B4A07"/>
    <w:rsid w:val="40F66678"/>
    <w:rsid w:val="4120577A"/>
    <w:rsid w:val="41FD121E"/>
    <w:rsid w:val="421A7627"/>
    <w:rsid w:val="4233112B"/>
    <w:rsid w:val="43702851"/>
    <w:rsid w:val="4424604A"/>
    <w:rsid w:val="445014AB"/>
    <w:rsid w:val="454F0B76"/>
    <w:rsid w:val="4579087C"/>
    <w:rsid w:val="457E2BBE"/>
    <w:rsid w:val="45E076C0"/>
    <w:rsid w:val="4662498C"/>
    <w:rsid w:val="46A022D9"/>
    <w:rsid w:val="46A9554B"/>
    <w:rsid w:val="46BE1A6C"/>
    <w:rsid w:val="471B3499"/>
    <w:rsid w:val="48037A8A"/>
    <w:rsid w:val="48377D23"/>
    <w:rsid w:val="486634EE"/>
    <w:rsid w:val="48807890"/>
    <w:rsid w:val="48A64B98"/>
    <w:rsid w:val="48BC156D"/>
    <w:rsid w:val="48F765BE"/>
    <w:rsid w:val="49320F23"/>
    <w:rsid w:val="49DD73AE"/>
    <w:rsid w:val="49F95BD6"/>
    <w:rsid w:val="4ACE2DDC"/>
    <w:rsid w:val="4AD703A4"/>
    <w:rsid w:val="4B86504E"/>
    <w:rsid w:val="4BD07B58"/>
    <w:rsid w:val="4C3176AB"/>
    <w:rsid w:val="4C6E278E"/>
    <w:rsid w:val="4D7251FF"/>
    <w:rsid w:val="4E472C92"/>
    <w:rsid w:val="4E9D5C2D"/>
    <w:rsid w:val="4EBA57C1"/>
    <w:rsid w:val="4F454A40"/>
    <w:rsid w:val="4FA91AAC"/>
    <w:rsid w:val="4FBD0FF5"/>
    <w:rsid w:val="4FC854D7"/>
    <w:rsid w:val="50142DE1"/>
    <w:rsid w:val="5015687B"/>
    <w:rsid w:val="501926CA"/>
    <w:rsid w:val="505E3D68"/>
    <w:rsid w:val="5094143C"/>
    <w:rsid w:val="516A440A"/>
    <w:rsid w:val="51791341"/>
    <w:rsid w:val="51C42E16"/>
    <w:rsid w:val="525351F4"/>
    <w:rsid w:val="525A6FBC"/>
    <w:rsid w:val="526C0997"/>
    <w:rsid w:val="533D33D1"/>
    <w:rsid w:val="53670B33"/>
    <w:rsid w:val="53775B6A"/>
    <w:rsid w:val="53D43855"/>
    <w:rsid w:val="53EE1101"/>
    <w:rsid w:val="53FC4E8E"/>
    <w:rsid w:val="541717DC"/>
    <w:rsid w:val="553C46BA"/>
    <w:rsid w:val="55494082"/>
    <w:rsid w:val="557D5B60"/>
    <w:rsid w:val="55834A19"/>
    <w:rsid w:val="55F526C6"/>
    <w:rsid w:val="56066DC9"/>
    <w:rsid w:val="564E1228"/>
    <w:rsid w:val="56A6131D"/>
    <w:rsid w:val="56A82B00"/>
    <w:rsid w:val="56BC5AD0"/>
    <w:rsid w:val="56D00C68"/>
    <w:rsid w:val="57895A45"/>
    <w:rsid w:val="57C5313B"/>
    <w:rsid w:val="57D807D4"/>
    <w:rsid w:val="57EA7969"/>
    <w:rsid w:val="58750691"/>
    <w:rsid w:val="58AB575D"/>
    <w:rsid w:val="59445F91"/>
    <w:rsid w:val="59815208"/>
    <w:rsid w:val="59F001A4"/>
    <w:rsid w:val="5A1E2DE7"/>
    <w:rsid w:val="5B123FA7"/>
    <w:rsid w:val="5B613C0E"/>
    <w:rsid w:val="5BCA6564"/>
    <w:rsid w:val="5C1E3775"/>
    <w:rsid w:val="5C381264"/>
    <w:rsid w:val="5C672644"/>
    <w:rsid w:val="5C8132C7"/>
    <w:rsid w:val="5CA23A25"/>
    <w:rsid w:val="5CC26330"/>
    <w:rsid w:val="5CD67F41"/>
    <w:rsid w:val="5D017C51"/>
    <w:rsid w:val="5D463591"/>
    <w:rsid w:val="5D4F2A78"/>
    <w:rsid w:val="5D792AE4"/>
    <w:rsid w:val="5E2F58D3"/>
    <w:rsid w:val="5E5A06FD"/>
    <w:rsid w:val="5E9342EC"/>
    <w:rsid w:val="5F3815EE"/>
    <w:rsid w:val="5F5C32D6"/>
    <w:rsid w:val="600E788A"/>
    <w:rsid w:val="604130CF"/>
    <w:rsid w:val="60794FD4"/>
    <w:rsid w:val="60814FEF"/>
    <w:rsid w:val="60D32F5A"/>
    <w:rsid w:val="610E2B4C"/>
    <w:rsid w:val="61DE43D4"/>
    <w:rsid w:val="61E06967"/>
    <w:rsid w:val="624216A0"/>
    <w:rsid w:val="626736F9"/>
    <w:rsid w:val="628E1BE9"/>
    <w:rsid w:val="62D06FF9"/>
    <w:rsid w:val="62D765EB"/>
    <w:rsid w:val="636B22CC"/>
    <w:rsid w:val="63B65AC7"/>
    <w:rsid w:val="63D7428B"/>
    <w:rsid w:val="640C4C0D"/>
    <w:rsid w:val="645830D7"/>
    <w:rsid w:val="647258C3"/>
    <w:rsid w:val="64AA2E73"/>
    <w:rsid w:val="64E8446E"/>
    <w:rsid w:val="65376B47"/>
    <w:rsid w:val="654042F5"/>
    <w:rsid w:val="660447CA"/>
    <w:rsid w:val="665622BC"/>
    <w:rsid w:val="665E5759"/>
    <w:rsid w:val="666C4EE6"/>
    <w:rsid w:val="66FB0FDC"/>
    <w:rsid w:val="66FC5AFF"/>
    <w:rsid w:val="67BA7741"/>
    <w:rsid w:val="680D0CA5"/>
    <w:rsid w:val="68A45648"/>
    <w:rsid w:val="68A5668C"/>
    <w:rsid w:val="6911241F"/>
    <w:rsid w:val="69B67115"/>
    <w:rsid w:val="69EF53B4"/>
    <w:rsid w:val="6A126DD2"/>
    <w:rsid w:val="6A420E56"/>
    <w:rsid w:val="6A724025"/>
    <w:rsid w:val="6A924E32"/>
    <w:rsid w:val="6A94008C"/>
    <w:rsid w:val="6AE60947"/>
    <w:rsid w:val="6B0B374F"/>
    <w:rsid w:val="6B1F0CCB"/>
    <w:rsid w:val="6B6234E5"/>
    <w:rsid w:val="6BBD11F5"/>
    <w:rsid w:val="6BD12800"/>
    <w:rsid w:val="6C5E02FC"/>
    <w:rsid w:val="6C721812"/>
    <w:rsid w:val="6C8B0F52"/>
    <w:rsid w:val="6CDD0DD0"/>
    <w:rsid w:val="6D0127E4"/>
    <w:rsid w:val="6D1C168A"/>
    <w:rsid w:val="6D3668DD"/>
    <w:rsid w:val="6DB941BD"/>
    <w:rsid w:val="6E5F1098"/>
    <w:rsid w:val="6EA41FA2"/>
    <w:rsid w:val="6F381CAC"/>
    <w:rsid w:val="6F9C6902"/>
    <w:rsid w:val="6FA0729C"/>
    <w:rsid w:val="70100CA2"/>
    <w:rsid w:val="70393572"/>
    <w:rsid w:val="70A24D48"/>
    <w:rsid w:val="70BA64EF"/>
    <w:rsid w:val="70C900DF"/>
    <w:rsid w:val="71326D32"/>
    <w:rsid w:val="715A596A"/>
    <w:rsid w:val="717C247D"/>
    <w:rsid w:val="71816B8E"/>
    <w:rsid w:val="71832D29"/>
    <w:rsid w:val="71907818"/>
    <w:rsid w:val="71E95916"/>
    <w:rsid w:val="7250588C"/>
    <w:rsid w:val="726F5278"/>
    <w:rsid w:val="727E786A"/>
    <w:rsid w:val="72BD0544"/>
    <w:rsid w:val="72C0472D"/>
    <w:rsid w:val="72D11D5C"/>
    <w:rsid w:val="72E85DAD"/>
    <w:rsid w:val="732303D9"/>
    <w:rsid w:val="73532CC9"/>
    <w:rsid w:val="744975DD"/>
    <w:rsid w:val="746920A5"/>
    <w:rsid w:val="74DE73F5"/>
    <w:rsid w:val="755169C7"/>
    <w:rsid w:val="75D07F8B"/>
    <w:rsid w:val="75EE5669"/>
    <w:rsid w:val="76957051"/>
    <w:rsid w:val="773E064E"/>
    <w:rsid w:val="774E1211"/>
    <w:rsid w:val="777B71D8"/>
    <w:rsid w:val="77A54D53"/>
    <w:rsid w:val="77FC6767"/>
    <w:rsid w:val="781A0BEC"/>
    <w:rsid w:val="78202415"/>
    <w:rsid w:val="78213FC9"/>
    <w:rsid w:val="78701D9C"/>
    <w:rsid w:val="7A0C1011"/>
    <w:rsid w:val="7A0E7A81"/>
    <w:rsid w:val="7A321CDB"/>
    <w:rsid w:val="7A6E32C8"/>
    <w:rsid w:val="7AC900CF"/>
    <w:rsid w:val="7B052FBD"/>
    <w:rsid w:val="7B5A5A6C"/>
    <w:rsid w:val="7B5C250E"/>
    <w:rsid w:val="7B6D0F87"/>
    <w:rsid w:val="7B783FD8"/>
    <w:rsid w:val="7B9A3DB8"/>
    <w:rsid w:val="7BF20E1E"/>
    <w:rsid w:val="7C9408F4"/>
    <w:rsid w:val="7CB90CC2"/>
    <w:rsid w:val="7CFB2CE9"/>
    <w:rsid w:val="7D212CA5"/>
    <w:rsid w:val="7D255EE2"/>
    <w:rsid w:val="7D293184"/>
    <w:rsid w:val="7D69777E"/>
    <w:rsid w:val="7DB34706"/>
    <w:rsid w:val="7E1A0A9F"/>
    <w:rsid w:val="7E3C401A"/>
    <w:rsid w:val="7E641213"/>
    <w:rsid w:val="7EF34773"/>
    <w:rsid w:val="7F0D08DC"/>
    <w:rsid w:val="7F714EE5"/>
    <w:rsid w:val="7F7F2734"/>
    <w:rsid w:val="7FA63F96"/>
    <w:rsid w:val="7FB9287C"/>
    <w:rsid w:val="7FCC47FD"/>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9"/>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4"/>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3"/>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88"/>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5"/>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5"/>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77"/>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69"/>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spacing w:before="120" w:after="120"/>
      <w:jc w:val="left"/>
    </w:pPr>
    <w:rPr>
      <w:rFonts w:ascii="Calibri" w:hAnsi="Calibri"/>
      <w:b/>
      <w:bCs/>
      <w:caps/>
      <w:sz w:val="20"/>
      <w:szCs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Normal Indent"/>
    <w:basedOn w:val="1"/>
    <w:link w:val="65"/>
    <w:qFormat/>
    <w:uiPriority w:val="0"/>
    <w:pPr>
      <w:ind w:firstLine="420" w:firstLineChars="200"/>
    </w:pPr>
  </w:style>
  <w:style w:type="paragraph" w:styleId="13">
    <w:name w:val="Document Map"/>
    <w:basedOn w:val="1"/>
    <w:link w:val="72"/>
    <w:qFormat/>
    <w:uiPriority w:val="0"/>
    <w:pPr>
      <w:shd w:val="clear" w:color="auto" w:fill="000080"/>
    </w:pPr>
    <w:rPr>
      <w:kern w:val="0"/>
      <w:sz w:val="20"/>
    </w:rPr>
  </w:style>
  <w:style w:type="paragraph" w:styleId="14">
    <w:name w:val="annotation text"/>
    <w:basedOn w:val="1"/>
    <w:link w:val="54"/>
    <w:unhideWhenUsed/>
    <w:qFormat/>
    <w:uiPriority w:val="99"/>
    <w:pPr>
      <w:jc w:val="left"/>
    </w:pPr>
    <w:rPr>
      <w:kern w:val="0"/>
      <w:sz w:val="20"/>
    </w:rPr>
  </w:style>
  <w:style w:type="paragraph" w:styleId="15">
    <w:name w:val="Body Text 3"/>
    <w:basedOn w:val="1"/>
    <w:link w:val="58"/>
    <w:qFormat/>
    <w:uiPriority w:val="0"/>
    <w:rPr>
      <w:rFonts w:ascii="宋体"/>
      <w:kern w:val="0"/>
      <w:sz w:val="24"/>
      <w:szCs w:val="20"/>
    </w:rPr>
  </w:style>
  <w:style w:type="paragraph" w:styleId="16">
    <w:name w:val="Body Text"/>
    <w:basedOn w:val="1"/>
    <w:link w:val="61"/>
    <w:qFormat/>
    <w:uiPriority w:val="0"/>
    <w:pPr>
      <w:spacing w:after="120"/>
    </w:pPr>
    <w:rPr>
      <w:kern w:val="0"/>
      <w:sz w:val="20"/>
    </w:rPr>
  </w:style>
  <w:style w:type="paragraph" w:styleId="17">
    <w:name w:val="Body Text Indent"/>
    <w:basedOn w:val="1"/>
    <w:link w:val="71"/>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4"/>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78"/>
    <w:qFormat/>
    <w:uiPriority w:val="0"/>
    <w:rPr>
      <w:kern w:val="0"/>
      <w:sz w:val="24"/>
      <w:szCs w:val="20"/>
    </w:rPr>
  </w:style>
  <w:style w:type="paragraph" w:styleId="24">
    <w:name w:val="Body Text Indent 2"/>
    <w:basedOn w:val="1"/>
    <w:qFormat/>
    <w:uiPriority w:val="0"/>
    <w:pPr>
      <w:spacing w:after="120" w:line="480" w:lineRule="auto"/>
      <w:ind w:left="420" w:leftChars="200"/>
    </w:pPr>
  </w:style>
  <w:style w:type="paragraph" w:styleId="25">
    <w:name w:val="Balloon Text"/>
    <w:basedOn w:val="1"/>
    <w:link w:val="76"/>
    <w:qFormat/>
    <w:uiPriority w:val="0"/>
    <w:rPr>
      <w:kern w:val="0"/>
      <w:sz w:val="18"/>
      <w:szCs w:val="18"/>
    </w:rPr>
  </w:style>
  <w:style w:type="paragraph" w:styleId="26">
    <w:name w:val="footer"/>
    <w:basedOn w:val="1"/>
    <w:link w:val="90"/>
    <w:qFormat/>
    <w:uiPriority w:val="99"/>
    <w:pPr>
      <w:tabs>
        <w:tab w:val="center" w:pos="4153"/>
        <w:tab w:val="right" w:pos="8306"/>
      </w:tabs>
      <w:snapToGrid w:val="0"/>
      <w:jc w:val="left"/>
    </w:pPr>
    <w:rPr>
      <w:kern w:val="0"/>
      <w:sz w:val="18"/>
      <w:szCs w:val="18"/>
    </w:rPr>
  </w:style>
  <w:style w:type="paragraph" w:styleId="27">
    <w:name w:val="header"/>
    <w:basedOn w:val="1"/>
    <w:link w:val="68"/>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4"/>
    <w:basedOn w:val="1"/>
    <w:next w:val="1"/>
    <w:qFormat/>
    <w:uiPriority w:val="39"/>
    <w:pPr>
      <w:ind w:left="630"/>
      <w:jc w:val="left"/>
    </w:pPr>
    <w:rPr>
      <w:rFonts w:ascii="Calibri" w:hAnsi="Calibri"/>
      <w:sz w:val="18"/>
      <w:szCs w:val="18"/>
    </w:rPr>
  </w:style>
  <w:style w:type="paragraph" w:styleId="29">
    <w:name w:val="footnote text"/>
    <w:basedOn w:val="1"/>
    <w:link w:val="62"/>
    <w:qFormat/>
    <w:uiPriority w:val="0"/>
    <w:rPr>
      <w:kern w:val="0"/>
      <w:sz w:val="20"/>
      <w:szCs w:val="20"/>
    </w:rPr>
  </w:style>
  <w:style w:type="paragraph" w:styleId="30">
    <w:name w:val="toc 6"/>
    <w:basedOn w:val="1"/>
    <w:next w:val="1"/>
    <w:qFormat/>
    <w:uiPriority w:val="39"/>
    <w:pPr>
      <w:ind w:left="1050"/>
      <w:jc w:val="left"/>
    </w:pPr>
    <w:rPr>
      <w:rFonts w:ascii="Calibri" w:hAnsi="Calibri"/>
      <w:sz w:val="18"/>
      <w:szCs w:val="18"/>
    </w:rPr>
  </w:style>
  <w:style w:type="paragraph" w:styleId="31">
    <w:name w:val="Body Text Indent 3"/>
    <w:basedOn w:val="1"/>
    <w:link w:val="82"/>
    <w:qFormat/>
    <w:uiPriority w:val="0"/>
    <w:pPr>
      <w:spacing w:after="120"/>
      <w:ind w:left="420" w:leftChars="200"/>
    </w:pPr>
    <w:rPr>
      <w:kern w:val="0"/>
      <w:sz w:val="16"/>
      <w:szCs w:val="16"/>
    </w:rPr>
  </w:style>
  <w:style w:type="paragraph" w:styleId="32">
    <w:name w:val="table of figures"/>
    <w:basedOn w:val="1"/>
    <w:next w:val="1"/>
    <w:qFormat/>
    <w:uiPriority w:val="0"/>
    <w:pPr>
      <w:ind w:left="200" w:leftChars="200" w:hanging="200" w:hangingChars="200"/>
    </w:pPr>
  </w:style>
  <w:style w:type="paragraph" w:styleId="33">
    <w:name w:val="toc 2"/>
    <w:basedOn w:val="1"/>
    <w:next w:val="1"/>
    <w:qFormat/>
    <w:uiPriority w:val="39"/>
    <w:pPr>
      <w:ind w:left="210"/>
      <w:jc w:val="left"/>
    </w:pPr>
    <w:rPr>
      <w:rFonts w:ascii="Calibri" w:hAnsi="Calibri"/>
      <w:smallCaps/>
      <w:sz w:val="20"/>
      <w:szCs w:val="20"/>
    </w:rPr>
  </w:style>
  <w:style w:type="paragraph" w:styleId="34">
    <w:name w:val="toc 9"/>
    <w:basedOn w:val="1"/>
    <w:next w:val="1"/>
    <w:qFormat/>
    <w:uiPriority w:val="39"/>
    <w:pPr>
      <w:ind w:left="1680"/>
      <w:jc w:val="left"/>
    </w:pPr>
    <w:rPr>
      <w:rFonts w:ascii="Calibri" w:hAnsi="Calibri"/>
      <w:sz w:val="18"/>
      <w:szCs w:val="18"/>
    </w:rPr>
  </w:style>
  <w:style w:type="paragraph" w:styleId="35">
    <w:name w:val="HTML Preformatted"/>
    <w:basedOn w:val="1"/>
    <w:link w:val="92"/>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6">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7">
    <w:name w:val="index 1"/>
    <w:basedOn w:val="1"/>
    <w:next w:val="1"/>
    <w:semiHidden/>
    <w:qFormat/>
    <w:uiPriority w:val="0"/>
    <w:pPr>
      <w:spacing w:line="360" w:lineRule="auto"/>
      <w:jc w:val="center"/>
    </w:pPr>
    <w:rPr>
      <w:rFonts w:ascii="宋体" w:hAnsi="Arial" w:cs="Arial"/>
      <w:b/>
      <w:color w:val="000000"/>
      <w:sz w:val="24"/>
    </w:rPr>
  </w:style>
  <w:style w:type="paragraph" w:styleId="38">
    <w:name w:val="Title"/>
    <w:basedOn w:val="1"/>
    <w:link w:val="75"/>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39">
    <w:name w:val="annotation subject"/>
    <w:basedOn w:val="14"/>
    <w:next w:val="14"/>
    <w:link w:val="64"/>
    <w:qFormat/>
    <w:uiPriority w:val="0"/>
    <w:rPr>
      <w:b/>
      <w:bCs/>
    </w:rPr>
  </w:style>
  <w:style w:type="table" w:styleId="41">
    <w:name w:val="Table Grid"/>
    <w:basedOn w:val="40"/>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Strong"/>
    <w:qFormat/>
    <w:uiPriority w:val="0"/>
    <w:rPr>
      <w:b/>
      <w:bCs/>
    </w:rPr>
  </w:style>
  <w:style w:type="character" w:styleId="44">
    <w:name w:val="page number"/>
    <w:qFormat/>
    <w:uiPriority w:val="0"/>
  </w:style>
  <w:style w:type="character" w:styleId="45">
    <w:name w:val="FollowedHyperlink"/>
    <w:qFormat/>
    <w:uiPriority w:val="0"/>
    <w:rPr>
      <w:rFonts w:hint="default" w:ascii="Arial" w:hAnsi="Arial" w:eastAsia="Arial" w:cs="Arial"/>
      <w:color w:val="333333"/>
      <w:sz w:val="21"/>
      <w:szCs w:val="21"/>
      <w:u w:val="none"/>
    </w:rPr>
  </w:style>
  <w:style w:type="character" w:styleId="46">
    <w:name w:val="Hyperlink"/>
    <w:qFormat/>
    <w:uiPriority w:val="99"/>
    <w:rPr>
      <w:rFonts w:ascii="Arial" w:hAnsi="Arial" w:eastAsia="Arial" w:cs="Arial"/>
      <w:color w:val="333333"/>
      <w:sz w:val="21"/>
      <w:szCs w:val="21"/>
      <w:u w:val="none"/>
    </w:rPr>
  </w:style>
  <w:style w:type="character" w:styleId="47">
    <w:name w:val="annotation reference"/>
    <w:qFormat/>
    <w:uiPriority w:val="0"/>
    <w:rPr>
      <w:sz w:val="21"/>
      <w:szCs w:val="21"/>
    </w:rPr>
  </w:style>
  <w:style w:type="character" w:styleId="48">
    <w:name w:val="footnote reference"/>
    <w:qFormat/>
    <w:uiPriority w:val="0"/>
    <w:rPr>
      <w:vertAlign w:val="superscript"/>
    </w:rPr>
  </w:style>
  <w:style w:type="character" w:customStyle="1" w:styleId="49">
    <w:name w:val="apple-style-span"/>
    <w:qFormat/>
    <w:uiPriority w:val="0"/>
    <w:rPr>
      <w:rFonts w:ascii="Verdana" w:hAnsi="Verdana" w:eastAsia="宋体"/>
      <w:sz w:val="21"/>
      <w:lang w:val="en-US" w:eastAsia="en-US" w:bidi="ar-SA"/>
    </w:rPr>
  </w:style>
  <w:style w:type="character" w:customStyle="1" w:styleId="50">
    <w:name w:val="正文文本 3 Char1"/>
    <w:semiHidden/>
    <w:qFormat/>
    <w:uiPriority w:val="99"/>
    <w:rPr>
      <w:rFonts w:ascii="Times New Roman" w:hAnsi="Times New Roman" w:eastAsia="宋体" w:cs="Times New Roman"/>
      <w:sz w:val="16"/>
      <w:szCs w:val="16"/>
    </w:rPr>
  </w:style>
  <w:style w:type="character" w:customStyle="1" w:styleId="51">
    <w:name w:val="样式 宋体"/>
    <w:qFormat/>
    <w:uiPriority w:val="0"/>
    <w:rPr>
      <w:rFonts w:ascii="Times New Roman" w:hAnsi="Times New Roman" w:eastAsia="宋体"/>
      <w:sz w:val="21"/>
    </w:rPr>
  </w:style>
  <w:style w:type="character" w:customStyle="1" w:styleId="52">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3">
    <w:name w:val="标题 3 字符"/>
    <w:link w:val="5"/>
    <w:qFormat/>
    <w:uiPriority w:val="0"/>
    <w:rPr>
      <w:rFonts w:ascii="Times New Roman" w:hAnsi="Times New Roman" w:eastAsia="宋体" w:cs="Times New Roman"/>
      <w:b/>
      <w:bCs/>
      <w:sz w:val="32"/>
      <w:szCs w:val="32"/>
    </w:rPr>
  </w:style>
  <w:style w:type="character" w:customStyle="1" w:styleId="54">
    <w:name w:val="批注文字 字符"/>
    <w:link w:val="14"/>
    <w:semiHidden/>
    <w:qFormat/>
    <w:uiPriority w:val="99"/>
    <w:rPr>
      <w:rFonts w:ascii="Times New Roman" w:hAnsi="Times New Roman" w:eastAsia="宋体" w:cs="Times New Roman"/>
      <w:szCs w:val="24"/>
    </w:rPr>
  </w:style>
  <w:style w:type="character" w:customStyle="1" w:styleId="55">
    <w:name w:val="标题 6 字符"/>
    <w:link w:val="7"/>
    <w:qFormat/>
    <w:uiPriority w:val="0"/>
    <w:rPr>
      <w:rFonts w:ascii="Arial" w:hAnsi="Arial" w:eastAsia="黑体" w:cs="Times New Roman"/>
      <w:b/>
      <w:bCs/>
      <w:kern w:val="0"/>
      <w:sz w:val="24"/>
      <w:szCs w:val="24"/>
    </w:rPr>
  </w:style>
  <w:style w:type="character" w:customStyle="1" w:styleId="56">
    <w:name w:val="Char Char8"/>
    <w:qFormat/>
    <w:uiPriority w:val="0"/>
    <w:rPr>
      <w:rFonts w:ascii="Arial" w:hAnsi="Arial" w:eastAsia="黑体"/>
      <w:b/>
      <w:bCs/>
      <w:kern w:val="2"/>
      <w:sz w:val="32"/>
      <w:szCs w:val="32"/>
      <w:lang w:val="en-US" w:eastAsia="zh-CN" w:bidi="ar-SA"/>
    </w:rPr>
  </w:style>
  <w:style w:type="character" w:customStyle="1" w:styleId="57">
    <w:name w:val="脚注文本 Char1"/>
    <w:semiHidden/>
    <w:qFormat/>
    <w:uiPriority w:val="99"/>
    <w:rPr>
      <w:rFonts w:ascii="Times New Roman" w:hAnsi="Times New Roman" w:eastAsia="宋体" w:cs="Times New Roman"/>
      <w:sz w:val="18"/>
      <w:szCs w:val="18"/>
    </w:rPr>
  </w:style>
  <w:style w:type="character" w:customStyle="1" w:styleId="58">
    <w:name w:val="正文文本 3 字符"/>
    <w:link w:val="15"/>
    <w:qFormat/>
    <w:uiPriority w:val="0"/>
    <w:rPr>
      <w:rFonts w:ascii="宋体"/>
      <w:sz w:val="24"/>
    </w:rPr>
  </w:style>
  <w:style w:type="character" w:customStyle="1" w:styleId="59">
    <w:name w:val="页脚 Char1"/>
    <w:semiHidden/>
    <w:qFormat/>
    <w:uiPriority w:val="99"/>
    <w:rPr>
      <w:rFonts w:ascii="Times New Roman" w:hAnsi="Times New Roman" w:eastAsia="宋体" w:cs="Times New Roman"/>
      <w:sz w:val="18"/>
      <w:szCs w:val="18"/>
    </w:rPr>
  </w:style>
  <w:style w:type="character" w:customStyle="1" w:styleId="60">
    <w:name w:val="标题 Char1"/>
    <w:qFormat/>
    <w:uiPriority w:val="10"/>
    <w:rPr>
      <w:rFonts w:ascii="Calibri Light" w:hAnsi="Calibri Light" w:eastAsia="宋体" w:cs="Times New Roman"/>
      <w:b/>
      <w:bCs/>
      <w:sz w:val="32"/>
      <w:szCs w:val="32"/>
    </w:rPr>
  </w:style>
  <w:style w:type="character" w:customStyle="1" w:styleId="61">
    <w:name w:val="正文文本 字符"/>
    <w:link w:val="16"/>
    <w:qFormat/>
    <w:uiPriority w:val="0"/>
    <w:rPr>
      <w:rFonts w:eastAsia="宋体"/>
      <w:szCs w:val="24"/>
    </w:rPr>
  </w:style>
  <w:style w:type="character" w:customStyle="1" w:styleId="62">
    <w:name w:val="脚注文本 字符"/>
    <w:link w:val="29"/>
    <w:qFormat/>
    <w:uiPriority w:val="0"/>
    <w:rPr>
      <w:rFonts w:eastAsia="宋体"/>
    </w:rPr>
  </w:style>
  <w:style w:type="character" w:customStyle="1" w:styleId="63">
    <w:name w:val="纯文本 Char1"/>
    <w:semiHidden/>
    <w:qFormat/>
    <w:uiPriority w:val="99"/>
    <w:rPr>
      <w:rFonts w:ascii="宋体" w:hAnsi="Courier New" w:eastAsia="宋体" w:cs="Courier New"/>
      <w:szCs w:val="21"/>
    </w:rPr>
  </w:style>
  <w:style w:type="character" w:customStyle="1" w:styleId="64">
    <w:name w:val="批注主题 字符"/>
    <w:link w:val="39"/>
    <w:qFormat/>
    <w:uiPriority w:val="0"/>
    <w:rPr>
      <w:rFonts w:ascii="Times New Roman" w:hAnsi="Times New Roman" w:eastAsia="宋体" w:cs="Times New Roman"/>
      <w:b/>
      <w:bCs/>
      <w:szCs w:val="24"/>
    </w:rPr>
  </w:style>
  <w:style w:type="character" w:customStyle="1" w:styleId="65">
    <w:name w:val="正文缩进 字符"/>
    <w:link w:val="12"/>
    <w:qFormat/>
    <w:locked/>
    <w:uiPriority w:val="0"/>
    <w:rPr>
      <w:kern w:val="2"/>
      <w:sz w:val="21"/>
      <w:szCs w:val="24"/>
    </w:rPr>
  </w:style>
  <w:style w:type="character" w:customStyle="1" w:styleId="66">
    <w:name w:val="font11"/>
    <w:qFormat/>
    <w:uiPriority w:val="0"/>
    <w:rPr>
      <w:rFonts w:hint="default" w:ascii="Times New Roman" w:hAnsi="Times New Roman" w:cs="Times New Roman"/>
      <w:color w:val="000000"/>
      <w:sz w:val="22"/>
      <w:szCs w:val="22"/>
      <w:u w:val="none"/>
    </w:rPr>
  </w:style>
  <w:style w:type="character" w:customStyle="1" w:styleId="67">
    <w:name w:val="font01"/>
    <w:qFormat/>
    <w:uiPriority w:val="0"/>
    <w:rPr>
      <w:rFonts w:hint="eastAsia" w:ascii="宋体" w:hAnsi="宋体" w:eastAsia="宋体" w:cs="宋体"/>
      <w:color w:val="000000"/>
      <w:sz w:val="22"/>
      <w:szCs w:val="22"/>
      <w:u w:val="none"/>
    </w:rPr>
  </w:style>
  <w:style w:type="character" w:customStyle="1" w:styleId="68">
    <w:name w:val="页眉 字符"/>
    <w:link w:val="27"/>
    <w:qFormat/>
    <w:uiPriority w:val="0"/>
    <w:rPr>
      <w:rFonts w:ascii="Times New Roman" w:hAnsi="Times New Roman" w:eastAsia="宋体" w:cs="Times New Roman"/>
      <w:sz w:val="18"/>
      <w:szCs w:val="18"/>
    </w:rPr>
  </w:style>
  <w:style w:type="character" w:customStyle="1" w:styleId="69">
    <w:name w:val="标题 9 字符"/>
    <w:link w:val="10"/>
    <w:qFormat/>
    <w:uiPriority w:val="0"/>
    <w:rPr>
      <w:rFonts w:ascii="Arial" w:hAnsi="Arial" w:eastAsia="黑体" w:cs="Times New Roman"/>
      <w:kern w:val="0"/>
      <w:szCs w:val="21"/>
    </w:rPr>
  </w:style>
  <w:style w:type="character" w:customStyle="1" w:styleId="70">
    <w:name w:val="标题 2 Char1"/>
    <w:qFormat/>
    <w:uiPriority w:val="0"/>
    <w:rPr>
      <w:rFonts w:ascii="Arial" w:hAnsi="Arial" w:eastAsia="黑体" w:cs="Times New Roman"/>
      <w:b/>
      <w:bCs/>
      <w:sz w:val="32"/>
      <w:szCs w:val="32"/>
      <w:lang w:val="en-US" w:eastAsia="en-US" w:bidi="ar-SA"/>
    </w:rPr>
  </w:style>
  <w:style w:type="character" w:customStyle="1" w:styleId="71">
    <w:name w:val="正文文本缩进 字符"/>
    <w:link w:val="17"/>
    <w:qFormat/>
    <w:uiPriority w:val="0"/>
    <w:rPr>
      <w:szCs w:val="24"/>
    </w:rPr>
  </w:style>
  <w:style w:type="character" w:customStyle="1" w:styleId="72">
    <w:name w:val="文档结构图 字符"/>
    <w:link w:val="13"/>
    <w:qFormat/>
    <w:uiPriority w:val="0"/>
    <w:rPr>
      <w:rFonts w:ascii="Times New Roman" w:hAnsi="Times New Roman" w:eastAsia="宋体" w:cs="Times New Roman"/>
      <w:szCs w:val="24"/>
      <w:shd w:val="clear" w:color="auto" w:fill="000080"/>
    </w:rPr>
  </w:style>
  <w:style w:type="character" w:customStyle="1" w:styleId="73">
    <w:name w:val="font161"/>
    <w:qFormat/>
    <w:uiPriority w:val="0"/>
    <w:rPr>
      <w:b/>
      <w:bCs/>
      <w:sz w:val="32"/>
      <w:szCs w:val="32"/>
    </w:rPr>
  </w:style>
  <w:style w:type="character" w:customStyle="1" w:styleId="74">
    <w:name w:val="标题 2 字符"/>
    <w:link w:val="4"/>
    <w:qFormat/>
    <w:uiPriority w:val="0"/>
    <w:rPr>
      <w:rFonts w:ascii="Arial" w:hAnsi="Arial" w:eastAsia="黑体" w:cs="Times New Roman"/>
      <w:b/>
      <w:bCs/>
      <w:sz w:val="32"/>
      <w:szCs w:val="32"/>
    </w:rPr>
  </w:style>
  <w:style w:type="character" w:customStyle="1" w:styleId="75">
    <w:name w:val="标题 字符"/>
    <w:link w:val="38"/>
    <w:qFormat/>
    <w:uiPriority w:val="0"/>
    <w:rPr>
      <w:rFonts w:ascii="Arial" w:hAnsi="Arial"/>
      <w:b/>
      <w:sz w:val="32"/>
    </w:rPr>
  </w:style>
  <w:style w:type="character" w:customStyle="1" w:styleId="76">
    <w:name w:val="批注框文本 字符"/>
    <w:link w:val="25"/>
    <w:qFormat/>
    <w:uiPriority w:val="0"/>
    <w:rPr>
      <w:rFonts w:ascii="Times New Roman" w:hAnsi="Times New Roman" w:eastAsia="宋体" w:cs="Times New Roman"/>
      <w:sz w:val="18"/>
      <w:szCs w:val="18"/>
    </w:rPr>
  </w:style>
  <w:style w:type="character" w:customStyle="1" w:styleId="77">
    <w:name w:val="标题 8 字符"/>
    <w:link w:val="9"/>
    <w:qFormat/>
    <w:uiPriority w:val="0"/>
    <w:rPr>
      <w:rFonts w:ascii="Arial" w:hAnsi="Arial" w:eastAsia="黑体" w:cs="Times New Roman"/>
      <w:kern w:val="0"/>
      <w:sz w:val="24"/>
      <w:szCs w:val="24"/>
    </w:rPr>
  </w:style>
  <w:style w:type="character" w:customStyle="1" w:styleId="78">
    <w:name w:val="日期 字符"/>
    <w:link w:val="23"/>
    <w:qFormat/>
    <w:uiPriority w:val="0"/>
    <w:rPr>
      <w:rFonts w:ascii="Times New Roman" w:hAnsi="Times New Roman" w:eastAsia="宋体" w:cs="Times New Roman"/>
      <w:sz w:val="24"/>
      <w:szCs w:val="20"/>
    </w:rPr>
  </w:style>
  <w:style w:type="character" w:customStyle="1" w:styleId="79">
    <w:name w:val="标题 1 字符"/>
    <w:link w:val="3"/>
    <w:qFormat/>
    <w:uiPriority w:val="0"/>
    <w:rPr>
      <w:rFonts w:ascii="Times New Roman" w:hAnsi="Times New Roman" w:eastAsia="宋体" w:cs="Times New Roman"/>
      <w:b/>
      <w:bCs/>
      <w:kern w:val="44"/>
      <w:sz w:val="44"/>
      <w:szCs w:val="44"/>
    </w:rPr>
  </w:style>
  <w:style w:type="character" w:customStyle="1" w:styleId="80">
    <w:name w:val="招标节 Char"/>
    <w:link w:val="81"/>
    <w:qFormat/>
    <w:locked/>
    <w:uiPriority w:val="0"/>
    <w:rPr>
      <w:b/>
      <w:sz w:val="24"/>
      <w:szCs w:val="24"/>
    </w:rPr>
  </w:style>
  <w:style w:type="paragraph" w:customStyle="1" w:styleId="81">
    <w:name w:val="招标节"/>
    <w:basedOn w:val="1"/>
    <w:next w:val="1"/>
    <w:link w:val="80"/>
    <w:qFormat/>
    <w:uiPriority w:val="0"/>
    <w:pPr>
      <w:spacing w:beforeLines="50" w:afterLines="50"/>
      <w:outlineLvl w:val="1"/>
    </w:pPr>
    <w:rPr>
      <w:b/>
      <w:kern w:val="0"/>
      <w:sz w:val="24"/>
    </w:rPr>
  </w:style>
  <w:style w:type="character" w:customStyle="1" w:styleId="82">
    <w:name w:val="正文文本缩进 3 字符"/>
    <w:link w:val="31"/>
    <w:qFormat/>
    <w:uiPriority w:val="0"/>
    <w:rPr>
      <w:rFonts w:ascii="Times New Roman" w:hAnsi="Times New Roman" w:eastAsia="宋体" w:cs="Times New Roman"/>
      <w:sz w:val="16"/>
      <w:szCs w:val="16"/>
    </w:rPr>
  </w:style>
  <w:style w:type="character" w:customStyle="1" w:styleId="83">
    <w:name w:val="tpc_content1"/>
    <w:qFormat/>
    <w:uiPriority w:val="0"/>
    <w:rPr>
      <w:sz w:val="20"/>
      <w:szCs w:val="20"/>
    </w:rPr>
  </w:style>
  <w:style w:type="character" w:customStyle="1" w:styleId="84">
    <w:name w:val="Char Char"/>
    <w:qFormat/>
    <w:uiPriority w:val="0"/>
    <w:rPr>
      <w:rFonts w:ascii="Arial" w:hAnsi="Arial" w:eastAsia="黑体"/>
      <w:b/>
      <w:bCs/>
      <w:kern w:val="2"/>
      <w:sz w:val="32"/>
      <w:szCs w:val="32"/>
      <w:lang w:val="en-US" w:eastAsia="zh-CN" w:bidi="ar-SA"/>
    </w:rPr>
  </w:style>
  <w:style w:type="character" w:customStyle="1" w:styleId="85">
    <w:name w:val="正文文本 Char1"/>
    <w:semiHidden/>
    <w:qFormat/>
    <w:uiPriority w:val="99"/>
    <w:rPr>
      <w:rFonts w:ascii="Times New Roman" w:hAnsi="Times New Roman" w:eastAsia="宋体" w:cs="Times New Roman"/>
      <w:szCs w:val="24"/>
    </w:rPr>
  </w:style>
  <w:style w:type="character" w:customStyle="1" w:styleId="86">
    <w:name w:val="Char Char2"/>
    <w:qFormat/>
    <w:uiPriority w:val="0"/>
    <w:rPr>
      <w:rFonts w:eastAsia="宋体"/>
      <w:kern w:val="2"/>
      <w:sz w:val="21"/>
      <w:szCs w:val="24"/>
      <w:lang w:val="en-US" w:eastAsia="zh-CN" w:bidi="ar-SA"/>
    </w:rPr>
  </w:style>
  <w:style w:type="character" w:customStyle="1" w:styleId="87">
    <w:name w:val="apple-converted-space"/>
    <w:qFormat/>
    <w:uiPriority w:val="0"/>
  </w:style>
  <w:style w:type="character" w:customStyle="1" w:styleId="88">
    <w:name w:val="标题 4 字符"/>
    <w:link w:val="6"/>
    <w:qFormat/>
    <w:uiPriority w:val="0"/>
    <w:rPr>
      <w:rFonts w:ascii="Arial" w:hAnsi="Arial" w:eastAsia="黑体" w:cs="Times New Roman"/>
      <w:b/>
      <w:bCs/>
      <w:sz w:val="28"/>
      <w:szCs w:val="28"/>
    </w:rPr>
  </w:style>
  <w:style w:type="character" w:customStyle="1" w:styleId="89">
    <w:name w:val="正文文本缩进 Char1"/>
    <w:semiHidden/>
    <w:qFormat/>
    <w:uiPriority w:val="99"/>
    <w:rPr>
      <w:rFonts w:ascii="Times New Roman" w:hAnsi="Times New Roman" w:eastAsia="宋体" w:cs="Times New Roman"/>
      <w:szCs w:val="24"/>
    </w:rPr>
  </w:style>
  <w:style w:type="character" w:customStyle="1" w:styleId="90">
    <w:name w:val="页脚 字符"/>
    <w:link w:val="26"/>
    <w:qFormat/>
    <w:uiPriority w:val="99"/>
    <w:rPr>
      <w:sz w:val="18"/>
      <w:szCs w:val="18"/>
    </w:rPr>
  </w:style>
  <w:style w:type="character" w:customStyle="1" w:styleId="91">
    <w:name w:val="Char Char7"/>
    <w:qFormat/>
    <w:uiPriority w:val="0"/>
    <w:rPr>
      <w:rFonts w:ascii="Arial" w:hAnsi="Arial" w:eastAsia="黑体"/>
      <w:b/>
      <w:bCs/>
      <w:kern w:val="2"/>
      <w:sz w:val="32"/>
      <w:szCs w:val="32"/>
      <w:lang w:val="en-US" w:eastAsia="zh-CN" w:bidi="ar-SA"/>
    </w:rPr>
  </w:style>
  <w:style w:type="character" w:customStyle="1" w:styleId="92">
    <w:name w:val="HTML 预设格式 字符"/>
    <w:link w:val="35"/>
    <w:qFormat/>
    <w:uiPriority w:val="0"/>
    <w:rPr>
      <w:rFonts w:ascii="微软雅黑" w:hAnsi="微软雅黑" w:eastAsia="微软雅黑" w:cs="Times New Roman"/>
      <w:kern w:val="0"/>
      <w:sz w:val="24"/>
      <w:szCs w:val="24"/>
    </w:rPr>
  </w:style>
  <w:style w:type="character" w:customStyle="1" w:styleId="93">
    <w:name w:val="批注文字 Char"/>
    <w:qFormat/>
    <w:uiPriority w:val="0"/>
    <w:rPr>
      <w:rFonts w:eastAsia="宋体"/>
      <w:kern w:val="2"/>
      <w:sz w:val="21"/>
      <w:szCs w:val="24"/>
      <w:lang w:val="en-US" w:eastAsia="zh-CN" w:bidi="ar-SA"/>
    </w:rPr>
  </w:style>
  <w:style w:type="character" w:customStyle="1" w:styleId="94">
    <w:name w:val="纯文本 字符"/>
    <w:link w:val="21"/>
    <w:qFormat/>
    <w:uiPriority w:val="99"/>
    <w:rPr>
      <w:rFonts w:ascii="Courier New" w:hAnsi="Courier New"/>
    </w:rPr>
  </w:style>
  <w:style w:type="character" w:customStyle="1" w:styleId="95">
    <w:name w:val="标题 7 字符"/>
    <w:link w:val="8"/>
    <w:qFormat/>
    <w:uiPriority w:val="0"/>
    <w:rPr>
      <w:rFonts w:ascii="Times New Roman" w:hAnsi="Times New Roman" w:eastAsia="宋体" w:cs="Times New Roman"/>
      <w:b/>
      <w:bCs/>
      <w:kern w:val="0"/>
      <w:sz w:val="24"/>
      <w:szCs w:val="24"/>
    </w:rPr>
  </w:style>
  <w:style w:type="paragraph" w:customStyle="1" w:styleId="96">
    <w:name w:val="样式4"/>
    <w:basedOn w:val="5"/>
    <w:qFormat/>
    <w:uiPriority w:val="0"/>
    <w:rPr>
      <w:rFonts w:eastAsia="Arial"/>
    </w:rPr>
  </w:style>
  <w:style w:type="paragraph" w:customStyle="1" w:styleId="97">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8">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9">
    <w:name w:val="font10"/>
    <w:basedOn w:val="1"/>
    <w:qFormat/>
    <w:uiPriority w:val="0"/>
    <w:pPr>
      <w:widowControl/>
      <w:spacing w:before="100" w:beforeAutospacing="1" w:after="100" w:afterAutospacing="1"/>
      <w:jc w:val="left"/>
    </w:pPr>
    <w:rPr>
      <w:kern w:val="0"/>
      <w:sz w:val="28"/>
      <w:szCs w:val="28"/>
    </w:rPr>
  </w:style>
  <w:style w:type="paragraph" w:customStyle="1" w:styleId="100">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样式1"/>
    <w:basedOn w:val="5"/>
    <w:qFormat/>
    <w:uiPriority w:val="0"/>
    <w:rPr>
      <w:rFonts w:eastAsia="Arial"/>
    </w:rPr>
  </w:style>
  <w:style w:type="paragraph" w:customStyle="1" w:styleId="103">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Char"/>
    <w:basedOn w:val="1"/>
    <w:qFormat/>
    <w:uiPriority w:val="0"/>
    <w:pPr>
      <w:tabs>
        <w:tab w:val="left" w:pos="360"/>
      </w:tabs>
    </w:pPr>
    <w:rPr>
      <w:sz w:val="24"/>
    </w:rPr>
  </w:style>
  <w:style w:type="paragraph" w:customStyle="1" w:styleId="106">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表格"/>
    <w:basedOn w:val="1"/>
    <w:qFormat/>
    <w:uiPriority w:val="0"/>
    <w:pPr>
      <w:jc w:val="center"/>
      <w:textAlignment w:val="center"/>
    </w:pPr>
    <w:rPr>
      <w:rFonts w:ascii="华文细黑" w:hAnsi="华文细黑"/>
      <w:kern w:val="0"/>
      <w:szCs w:val="20"/>
    </w:rPr>
  </w:style>
  <w:style w:type="paragraph" w:customStyle="1" w:styleId="108">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9">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1">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2">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列表段落1"/>
    <w:basedOn w:val="1"/>
    <w:qFormat/>
    <w:uiPriority w:val="34"/>
    <w:pPr>
      <w:ind w:firstLine="420" w:firstLineChars="200"/>
    </w:pPr>
    <w:rPr>
      <w:rFonts w:ascii="Calibri" w:hAnsi="Calibri"/>
      <w:szCs w:val="22"/>
    </w:rPr>
  </w:style>
  <w:style w:type="paragraph" w:customStyle="1" w:styleId="118">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19">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1">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2">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3">
    <w:name w:val="1"/>
    <w:basedOn w:val="1"/>
    <w:next w:val="1"/>
    <w:qFormat/>
    <w:uiPriority w:val="0"/>
  </w:style>
  <w:style w:type="paragraph" w:customStyle="1" w:styleId="124">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5">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6">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27">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28">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29">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0">
    <w:name w:val="样式3"/>
    <w:basedOn w:val="5"/>
    <w:qFormat/>
    <w:uiPriority w:val="0"/>
    <w:rPr>
      <w:rFonts w:eastAsia="Arial"/>
    </w:rPr>
  </w:style>
  <w:style w:type="paragraph" w:customStyle="1" w:styleId="131">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2">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4">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6">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7">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39">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0">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2">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3">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4">
    <w:name w:val="第二"/>
    <w:basedOn w:val="1"/>
    <w:qFormat/>
    <w:uiPriority w:val="0"/>
    <w:pPr>
      <w:adjustRightInd w:val="0"/>
      <w:snapToGrid w:val="0"/>
      <w:spacing w:line="360" w:lineRule="auto"/>
      <w:ind w:right="-108" w:rightChars="-45" w:firstLine="482"/>
    </w:pPr>
    <w:rPr>
      <w:b/>
    </w:rPr>
  </w:style>
  <w:style w:type="paragraph" w:customStyle="1" w:styleId="145">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7">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48">
    <w:name w:val="内容"/>
    <w:basedOn w:val="1"/>
    <w:qFormat/>
    <w:uiPriority w:val="0"/>
    <w:pPr>
      <w:spacing w:line="480" w:lineRule="exact"/>
      <w:ind w:firstLine="200" w:firstLineChars="200"/>
    </w:pPr>
  </w:style>
  <w:style w:type="paragraph" w:customStyle="1" w:styleId="149">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0">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1">
    <w:name w:val="列出段落1"/>
    <w:basedOn w:val="1"/>
    <w:qFormat/>
    <w:uiPriority w:val="99"/>
    <w:pPr>
      <w:ind w:firstLine="420" w:firstLineChars="200"/>
    </w:pPr>
  </w:style>
  <w:style w:type="paragraph" w:customStyle="1" w:styleId="152">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3">
    <w:name w:val="表格文字"/>
    <w:basedOn w:val="1"/>
    <w:qFormat/>
    <w:uiPriority w:val="0"/>
    <w:pPr>
      <w:adjustRightInd w:val="0"/>
      <w:spacing w:line="420" w:lineRule="atLeast"/>
      <w:jc w:val="left"/>
      <w:textAlignment w:val="baseline"/>
    </w:pPr>
    <w:rPr>
      <w:kern w:val="0"/>
      <w:szCs w:val="20"/>
    </w:rPr>
  </w:style>
  <w:style w:type="paragraph" w:customStyle="1" w:styleId="154">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5">
    <w:name w:val="样式2"/>
    <w:basedOn w:val="5"/>
    <w:qFormat/>
    <w:uiPriority w:val="0"/>
  </w:style>
  <w:style w:type="character" w:customStyle="1" w:styleId="156">
    <w:name w:val="after"/>
    <w:qFormat/>
    <w:uiPriority w:val="0"/>
    <w:rPr>
      <w:bdr w:val="dashed" w:color="auto" w:sz="48" w:space="0"/>
    </w:rPr>
  </w:style>
  <w:style w:type="character" w:customStyle="1" w:styleId="157">
    <w:name w:val="before"/>
    <w:qFormat/>
    <w:uiPriority w:val="0"/>
    <w:rPr>
      <w:bdr w:val="single" w:color="auto" w:sz="48" w:space="0"/>
    </w:rPr>
  </w:style>
  <w:style w:type="character" w:customStyle="1" w:styleId="158">
    <w:name w:val="hover48"/>
    <w:qFormat/>
    <w:uiPriority w:val="0"/>
    <w:rPr>
      <w:shd w:val="clear" w:color="auto" w:fill="346AC3"/>
    </w:rPr>
  </w:style>
  <w:style w:type="character" w:customStyle="1" w:styleId="159">
    <w:name w:val="hover49"/>
    <w:basedOn w:val="42"/>
    <w:qFormat/>
    <w:uiPriority w:val="0"/>
  </w:style>
  <w:style w:type="character" w:customStyle="1" w:styleId="160">
    <w:name w:val="hover50"/>
    <w:qFormat/>
    <w:uiPriority w:val="0"/>
    <w:rPr>
      <w:color w:val="4285F4"/>
      <w:u w:val="none"/>
    </w:rPr>
  </w:style>
  <w:style w:type="character" w:customStyle="1" w:styleId="161">
    <w:name w:val="hover51"/>
    <w:qFormat/>
    <w:uiPriority w:val="0"/>
    <w:rPr>
      <w:color w:val="4285F4"/>
    </w:rPr>
  </w:style>
  <w:style w:type="character" w:customStyle="1" w:styleId="162">
    <w:name w:val="hover52"/>
    <w:qFormat/>
    <w:uiPriority w:val="0"/>
    <w:rPr>
      <w:color w:val="1A85D7"/>
    </w:rPr>
  </w:style>
  <w:style w:type="character" w:customStyle="1" w:styleId="163">
    <w:name w:val="credit"/>
    <w:qFormat/>
    <w:uiPriority w:val="0"/>
    <w:rPr>
      <w:sz w:val="18"/>
      <w:szCs w:val="18"/>
    </w:rPr>
  </w:style>
  <w:style w:type="character" w:customStyle="1" w:styleId="164">
    <w:name w:val="first-child"/>
    <w:basedOn w:val="42"/>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27</Pages>
  <Words>1327</Words>
  <Characters>7567</Characters>
  <Lines>63</Lines>
  <Paragraphs>17</Paragraphs>
  <TotalTime>35</TotalTime>
  <ScaleCrop>false</ScaleCrop>
  <LinksUpToDate>false</LinksUpToDate>
  <CharactersWithSpaces>8877</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2020-04-29T08:16:00Z</dcterms:created>
  <dc:creator>陈桂兰</dc:creator>
  <cp:lastModifiedBy>陈晨</cp:lastModifiedBy>
  <cp:lastPrinted>2020-05-11T07:11:00Z</cp:lastPrinted>
  <dcterms:modified xsi:type="dcterms:W3CDTF">2021-10-29T02:52:28Z</dcterms:modified>
  <dc:title>项目名称：2019年重庆市取消高速公路省界收费站项目</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26C1E823911B4636B89F21680DD22E17</vt:lpwstr>
  </property>
</Properties>
</file>