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重庆中渝高速公路有限公司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公众责任保险项目竞争性比选文件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b w:val="0"/>
          <w:bCs w:val="0"/>
          <w:sz w:val="36"/>
          <w:szCs w:val="36"/>
          <w:lang w:val="en-US" w:eastAsia="zh-CN"/>
        </w:rPr>
      </w:pPr>
      <w:r>
        <w:rPr>
          <w:rFonts w:hint="eastAsia" w:ascii="方正仿宋_GBK" w:hAnsi="方正仿宋_GBK" w:eastAsia="方正仿宋_GBK" w:cs="方正仿宋_GBK"/>
          <w:b/>
          <w:bCs/>
          <w:sz w:val="36"/>
          <w:szCs w:val="36"/>
          <w:lang w:val="en-US" w:eastAsia="zh-CN"/>
        </w:rPr>
        <w:t xml:space="preserve"> </w:t>
      </w:r>
    </w:p>
    <w:p>
      <w:pPr>
        <w:keepNext w:val="0"/>
        <w:keepLines w:val="0"/>
        <w:pageBreakBefore w:val="0"/>
        <w:widowControl w:val="0"/>
        <w:kinsoku/>
        <w:wordWrap/>
        <w:overflowPunct/>
        <w:topLinePunct w:val="0"/>
        <w:bidi w:val="0"/>
        <w:snapToGrid/>
        <w:spacing w:line="540" w:lineRule="exact"/>
        <w:ind w:firstLine="420"/>
        <w:textAlignment w:val="auto"/>
        <w:rPr>
          <w:rFonts w:hint="eastAsia" w:ascii="方正仿宋_GBK" w:hAnsi="方正仿宋_GBK" w:eastAsia="方正仿宋_GBK" w:cs="方正仿宋_GBK"/>
          <w:b/>
          <w:bCs/>
          <w:sz w:val="28"/>
          <w:szCs w:val="28"/>
          <w:lang w:val="en-US" w:eastAsia="zh-CN"/>
        </w:rPr>
      </w:pPr>
      <w:r>
        <w:rPr>
          <w:rFonts w:hint="eastAsia" w:ascii="微软雅黑" w:hAnsi="微软雅黑" w:eastAsia="微软雅黑" w:cs="微软雅黑"/>
          <w:sz w:val="24"/>
          <w:szCs w:val="24"/>
          <w:lang w:val="en-US" w:eastAsia="zh-CN"/>
        </w:rPr>
        <w:t xml:space="preserve"> </w:t>
      </w:r>
      <w:r>
        <w:rPr>
          <w:rFonts w:hint="eastAsia" w:ascii="方正仿宋_GBK" w:hAnsi="方正仿宋_GBK" w:eastAsia="方正仿宋_GBK" w:cs="方正仿宋_GBK"/>
          <w:sz w:val="28"/>
          <w:szCs w:val="28"/>
          <w:lang w:val="en-US" w:eastAsia="zh-CN"/>
        </w:rPr>
        <w:t>为保障重庆中渝高速公路有限公司（以下简称中渝公司</w:t>
      </w:r>
      <w:r>
        <w:rPr>
          <w:rFonts w:hint="eastAsia" w:ascii="方正仿宋_GBK" w:hAnsi="方正仿宋_GBK" w:eastAsia="方正仿宋_GBK" w:cs="方正仿宋_GBK"/>
          <w:color w:val="auto"/>
          <w:sz w:val="28"/>
          <w:szCs w:val="28"/>
          <w:lang w:val="en-US" w:eastAsia="zh-CN"/>
        </w:rPr>
        <w:t>）安全运营，合理转移风险，现拟对我司公众责任保险项目进行询价。本次询价服务期为三年，合同采取一年一签的方式。</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一、公司概况</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highlight w:val="yellow"/>
          <w:lang w:val="en-US" w:eastAsia="zh-CN"/>
        </w:rPr>
      </w:pPr>
      <w:r>
        <w:rPr>
          <w:rFonts w:hint="eastAsia" w:ascii="方正仿宋_GBK" w:eastAsia="方正仿宋_GBK"/>
          <w:bCs/>
          <w:sz w:val="28"/>
          <w:szCs w:val="28"/>
        </w:rPr>
        <w:t>重庆</w:t>
      </w:r>
      <w:r>
        <w:rPr>
          <w:rFonts w:hint="eastAsia" w:ascii="方正仿宋_GBK" w:eastAsia="方正仿宋_GBK"/>
          <w:bCs/>
          <w:sz w:val="28"/>
          <w:szCs w:val="28"/>
          <w:lang w:val="en-US" w:eastAsia="zh-CN"/>
        </w:rPr>
        <w:t>中渝高速公路有限公司</w:t>
      </w:r>
      <w:r>
        <w:rPr>
          <w:rFonts w:hint="eastAsia" w:ascii="方正仿宋_GBK" w:eastAsia="方正仿宋_GBK"/>
          <w:bCs/>
          <w:sz w:val="28"/>
          <w:szCs w:val="28"/>
        </w:rPr>
        <w:t>隶属于重庆高速集团有限公司，</w:t>
      </w:r>
      <w:r>
        <w:rPr>
          <w:rFonts w:hint="eastAsia" w:ascii="方正仿宋_GBK" w:eastAsia="方正仿宋_GBK"/>
          <w:bCs/>
          <w:sz w:val="28"/>
          <w:szCs w:val="28"/>
          <w:lang w:val="en-US" w:eastAsia="zh-CN"/>
        </w:rPr>
        <w:t>受集团委托，负责</w:t>
      </w:r>
      <w:r>
        <w:rPr>
          <w:rFonts w:hint="eastAsia" w:ascii="方正仿宋_GBK" w:eastAsia="方正仿宋_GBK"/>
          <w:bCs/>
          <w:sz w:val="28"/>
          <w:szCs w:val="28"/>
        </w:rPr>
        <w:t>G75兰海高速重庆合川-四川交界段33.8公里、G5001重庆绕城高速（187.</w:t>
      </w:r>
      <w:r>
        <w:rPr>
          <w:rFonts w:hint="eastAsia" w:ascii="方正仿宋_GBK" w:eastAsia="方正仿宋_GBK"/>
          <w:bCs/>
          <w:sz w:val="28"/>
          <w:szCs w:val="28"/>
          <w:lang w:val="en-US" w:eastAsia="zh-CN"/>
        </w:rPr>
        <w:t>96</w:t>
      </w:r>
      <w:r>
        <w:rPr>
          <w:rFonts w:hint="eastAsia" w:ascii="方正仿宋_GBK" w:eastAsia="方正仿宋_GBK"/>
          <w:bCs/>
          <w:sz w:val="28"/>
          <w:szCs w:val="28"/>
        </w:rPr>
        <w:t>公里）、G93成渝环线重庆江津-合江段（47.99公里）共计269.75公里高速</w:t>
      </w:r>
      <w:r>
        <w:rPr>
          <w:rFonts w:hint="eastAsia" w:ascii="方正仿宋_GBK" w:eastAsia="方正仿宋_GBK"/>
          <w:bCs/>
          <w:sz w:val="28"/>
          <w:szCs w:val="28"/>
          <w:lang w:val="en-US" w:eastAsia="zh-CN"/>
        </w:rPr>
        <w:t>公路</w:t>
      </w:r>
      <w:r>
        <w:rPr>
          <w:rFonts w:hint="eastAsia" w:ascii="方正仿宋_GBK" w:eastAsia="方正仿宋_GBK"/>
          <w:bCs/>
          <w:sz w:val="28"/>
          <w:szCs w:val="28"/>
        </w:rPr>
        <w:t>的通行费收取、道路养护及附属设施维护、运行监控、巡查保畅等综合管理工作。</w:t>
      </w:r>
    </w:p>
    <w:p>
      <w:pPr>
        <w:keepNext w:val="0"/>
        <w:keepLines w:val="0"/>
        <w:pageBreakBefore w:val="0"/>
        <w:widowControl w:val="0"/>
        <w:numPr>
          <w:ilvl w:val="0"/>
          <w:numId w:val="0"/>
        </w:numPr>
        <w:kinsoku/>
        <w:wordWrap/>
        <w:overflowPunct/>
        <w:topLinePunct w:val="0"/>
        <w:bidi w:val="0"/>
        <w:snapToGrid/>
        <w:spacing w:line="540" w:lineRule="exact"/>
        <w:ind w:firstLine="640"/>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二、采购项目内容</w:t>
      </w:r>
    </w:p>
    <w:p>
      <w:pPr>
        <w:keepNext w:val="0"/>
        <w:keepLines w:val="0"/>
        <w:pageBreakBefore w:val="0"/>
        <w:widowControl w:val="0"/>
        <w:numPr>
          <w:ilvl w:val="0"/>
          <w:numId w:val="0"/>
        </w:numPr>
        <w:kinsoku/>
        <w:wordWrap/>
        <w:overflowPunct/>
        <w:topLinePunct w:val="0"/>
        <w:bidi w:val="0"/>
        <w:snapToGrid/>
        <w:spacing w:line="540" w:lineRule="exact"/>
        <w:ind w:firstLine="640"/>
        <w:textAlignment w:val="auto"/>
        <w:rPr>
          <w:rFonts w:hint="eastAsia" w:ascii="方正仿宋_GBK" w:hAnsi="方正仿宋_GBK" w:eastAsia="方正仿宋_GBK" w:cs="方正仿宋_GBK"/>
          <w:b/>
          <w:bCs/>
          <w:sz w:val="28"/>
          <w:szCs w:val="28"/>
          <w:lang w:val="en-US" w:eastAsia="zh-CN"/>
        </w:rPr>
      </w:pPr>
      <w:r>
        <w:rPr>
          <w:rFonts w:hint="eastAsia" w:ascii="方正楷体_GBK" w:hAnsi="方正楷体_GBK" w:eastAsia="方正楷体_GBK" w:cs="方正楷体_GBK"/>
          <w:b w:val="0"/>
          <w:bCs w:val="0"/>
          <w:sz w:val="28"/>
          <w:szCs w:val="28"/>
          <w:lang w:val="en-US" w:eastAsia="zh-CN"/>
        </w:rPr>
        <w:t>（一）采购人：</w:t>
      </w:r>
      <w:r>
        <w:rPr>
          <w:rFonts w:hint="eastAsia" w:ascii="方正仿宋_GBK" w:hAnsi="方正仿宋_GBK" w:eastAsia="方正仿宋_GBK" w:cs="方正仿宋_GBK"/>
          <w:b w:val="0"/>
          <w:bCs w:val="0"/>
          <w:sz w:val="28"/>
          <w:szCs w:val="28"/>
          <w:lang w:val="en-US" w:eastAsia="zh-CN"/>
        </w:rPr>
        <w:t>重庆</w:t>
      </w:r>
      <w:r>
        <w:rPr>
          <w:rFonts w:hint="eastAsia" w:ascii="方正仿宋_GBK" w:eastAsia="方正仿宋_GBK"/>
          <w:bCs/>
          <w:sz w:val="28"/>
          <w:szCs w:val="28"/>
          <w:lang w:val="en-US" w:eastAsia="zh-CN"/>
        </w:rPr>
        <w:t>中渝高速公路有限公司</w:t>
      </w:r>
    </w:p>
    <w:p>
      <w:pPr>
        <w:keepNext w:val="0"/>
        <w:keepLines w:val="0"/>
        <w:pageBreakBefore w:val="0"/>
        <w:widowControl w:val="0"/>
        <w:numPr>
          <w:ilvl w:val="0"/>
          <w:numId w:val="0"/>
        </w:numPr>
        <w:kinsoku/>
        <w:wordWrap/>
        <w:overflowPunct/>
        <w:topLinePunct w:val="0"/>
        <w:bidi w:val="0"/>
        <w:snapToGrid/>
        <w:spacing w:line="540" w:lineRule="exact"/>
        <w:ind w:firstLine="640"/>
        <w:textAlignment w:val="auto"/>
        <w:rPr>
          <w:rFonts w:hint="eastAsia" w:ascii="方正仿宋_GBK" w:hAnsi="方正仿宋_GBK" w:eastAsia="方正仿宋_GBK" w:cs="方正仿宋_GBK"/>
          <w:sz w:val="28"/>
          <w:szCs w:val="28"/>
          <w:highlight w:val="none"/>
          <w:lang w:val="en-US" w:eastAsia="zh-CN"/>
        </w:rPr>
      </w:pPr>
      <w:r>
        <w:rPr>
          <w:rFonts w:hint="eastAsia" w:ascii="方正楷体_GBK" w:hAnsi="方正楷体_GBK" w:eastAsia="方正楷体_GBK" w:cs="方正楷体_GBK"/>
          <w:b w:val="0"/>
          <w:bCs w:val="0"/>
          <w:sz w:val="28"/>
          <w:szCs w:val="28"/>
          <w:lang w:val="en-US" w:eastAsia="zh-CN"/>
        </w:rPr>
        <w:t>（二）项目名称：</w:t>
      </w:r>
      <w:r>
        <w:rPr>
          <w:rFonts w:hint="eastAsia" w:ascii="方正仿宋_GBK" w:hAnsi="方正仿宋_GBK" w:eastAsia="方正仿宋_GBK" w:cs="方正仿宋_GBK"/>
          <w:b w:val="0"/>
          <w:bCs w:val="0"/>
          <w:sz w:val="28"/>
          <w:szCs w:val="28"/>
          <w:lang w:val="en-US" w:eastAsia="zh-CN"/>
        </w:rPr>
        <w:t>重庆</w:t>
      </w:r>
      <w:r>
        <w:rPr>
          <w:rFonts w:hint="eastAsia" w:ascii="方正仿宋_GBK" w:eastAsia="方正仿宋_GBK"/>
          <w:bCs/>
          <w:sz w:val="28"/>
          <w:szCs w:val="28"/>
          <w:lang w:val="en-US" w:eastAsia="zh-CN"/>
        </w:rPr>
        <w:t>中渝高速公路有限公司</w:t>
      </w:r>
      <w:r>
        <w:rPr>
          <w:rFonts w:hint="eastAsia" w:ascii="方正仿宋_GBK" w:hAnsi="方正仿宋_GBK" w:eastAsia="方正仿宋_GBK" w:cs="方正仿宋_GBK"/>
          <w:sz w:val="28"/>
          <w:szCs w:val="28"/>
          <w:highlight w:val="none"/>
          <w:lang w:val="en-US" w:eastAsia="zh-CN"/>
        </w:rPr>
        <w:t>公众责任保险采购</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楷体_GBK" w:hAnsi="方正楷体_GBK" w:eastAsia="方正楷体_GBK" w:cs="方正楷体_GBK"/>
          <w:sz w:val="28"/>
          <w:szCs w:val="28"/>
          <w:highlight w:val="none"/>
          <w:lang w:val="en-US" w:eastAsia="zh-CN"/>
        </w:rPr>
        <w:t>（三）保险</w:t>
      </w:r>
      <w:r>
        <w:rPr>
          <w:rFonts w:hint="eastAsia" w:ascii="方正楷体_GBK" w:hAnsi="方正楷体_GBK" w:eastAsia="方正楷体_GBK" w:cs="方正楷体_GBK"/>
          <w:color w:val="auto"/>
          <w:sz w:val="28"/>
          <w:szCs w:val="28"/>
          <w:lang w:val="en-US" w:eastAsia="zh-CN"/>
        </w:rPr>
        <w:t>范围：</w:t>
      </w:r>
      <w:r>
        <w:rPr>
          <w:rFonts w:hint="eastAsia" w:ascii="方正仿宋_GBK" w:hAnsi="方正仿宋_GBK" w:eastAsia="方正仿宋_GBK" w:cs="方正仿宋_GBK"/>
          <w:color w:val="auto"/>
          <w:sz w:val="28"/>
          <w:szCs w:val="28"/>
          <w:lang w:val="en-US" w:eastAsia="zh-CN"/>
        </w:rPr>
        <w:t>中渝公司负责营运管理的高速公路路段范围内。</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w:t>
      </w:r>
      <w:r>
        <w:rPr>
          <w:rFonts w:hint="eastAsia" w:ascii="方正楷体_GBK" w:hAnsi="方正楷体_GBK" w:eastAsia="方正楷体_GBK" w:cs="方正楷体_GBK"/>
          <w:sz w:val="28"/>
          <w:szCs w:val="28"/>
          <w:highlight w:val="none"/>
          <w:lang w:val="en-US" w:eastAsia="zh-CN"/>
        </w:rPr>
        <w:t>（四）保险期限：</w:t>
      </w:r>
      <w:r>
        <w:rPr>
          <w:rFonts w:hint="eastAsia" w:ascii="方正仿宋_GBK" w:hAnsi="方正仿宋_GBK" w:eastAsia="方正仿宋_GBK" w:cs="方正仿宋_GBK"/>
          <w:sz w:val="28"/>
          <w:szCs w:val="28"/>
          <w:highlight w:val="none"/>
          <w:lang w:val="en-US" w:eastAsia="zh-CN"/>
        </w:rPr>
        <w:t>合同签署时间为一年。起始时间为合同正式签署日期，终止时间为对应的一年。</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sz w:val="28"/>
          <w:szCs w:val="28"/>
          <w:lang w:val="en-US" w:eastAsia="zh-CN"/>
        </w:rPr>
        <w:t xml:space="preserve">   </w:t>
      </w:r>
      <w:r>
        <w:rPr>
          <w:rFonts w:hint="eastAsia" w:ascii="方正楷体_GBK" w:hAnsi="方正楷体_GBK" w:eastAsia="方正楷体_GBK" w:cs="方正楷体_GBK"/>
          <w:sz w:val="28"/>
          <w:szCs w:val="28"/>
          <w:highlight w:val="none"/>
          <w:lang w:val="en-US" w:eastAsia="zh-CN"/>
        </w:rPr>
        <w:t xml:space="preserve"> （五）保费限价：</w:t>
      </w:r>
      <w:r>
        <w:rPr>
          <w:rFonts w:hint="eastAsia" w:ascii="方正仿宋_GBK" w:hAnsi="方正仿宋_GBK" w:eastAsia="方正仿宋_GBK" w:cs="方正仿宋_GBK"/>
          <w:color w:val="auto"/>
          <w:sz w:val="28"/>
          <w:szCs w:val="28"/>
          <w:lang w:val="en-US" w:eastAsia="zh-CN"/>
        </w:rPr>
        <w:t>保险方案总价20万元/年，不再包含其他费用。各单位投标单价及总价不能高于保费限价。</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 xml:space="preserve">  </w:t>
      </w:r>
      <w:r>
        <w:rPr>
          <w:rFonts w:hint="eastAsia" w:ascii="方正楷体_GBK" w:hAnsi="方正楷体_GBK" w:eastAsia="方正楷体_GBK" w:cs="方正楷体_GBK"/>
          <w:sz w:val="28"/>
          <w:szCs w:val="28"/>
          <w:highlight w:val="none"/>
          <w:lang w:val="en-US" w:eastAsia="zh-CN"/>
        </w:rPr>
        <w:t xml:space="preserve">  （六）保额和责任限额</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1、保额</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年度累计赔偿限额：600万</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每次事故赔偿限额：100万</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每次事故财产损失限额20万，每次事故每人限额20万。</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2、免赔：无免赔    </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3、理赔要求：</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（1）配置有全年24小时服务热线接受报案、咨询，同时设立联系人机制，保障理赔服务无缝衔接。</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（2）保险公司在接到报案后，须在10分钟内联系报案人，同时明确告知报案人是否查勘第一现场，如不进行现场查勘，则视为同意以出险单位提供的索赔材料作为理赔依据。</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（3）如进行现场查勘，查勘人员应明确告知出险单位查勘人员到达事故现场的时间。</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（4）对是属于保险事故责任，保险公司应在1个工作日予以确认，若不属于保险责任，应在3个工作日内出具拒赔通知书。</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5）损失核定及赔款支付：保险公司对已确定属保险责任的案件，自相关案件资料提供完整之日起，应在1个工作日内对损失金额予以确定。在收到完整理赔资料后，对于赔款金额在5万元以下案件，应在3个工作日内赔付；赔款金额在5万元以上，20万元以下案件，应在5个工作日内赔付；赔款金额在20万元以上案件应在10个工作日内赔付。</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6）预付赔款：在保险责任明确但损失金额尚不能确定的情况下，发生损失后10个工作日内，保险公司将按照被保险人要求确定估损金额，根据被保险人的申请或保险公估人的建议预先支付赔款，预付赔款金额比例按估损金额的80%，进行预先赔付；对于已确定的损失部分，进行100%全额预先赔付，以协助被保险人及时恢复生产。</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楷体_GBK" w:hAnsi="方正楷体_GBK" w:eastAsia="方正楷体_GBK" w:cs="方正楷体_GBK"/>
          <w:color w:val="auto"/>
          <w:sz w:val="28"/>
          <w:szCs w:val="28"/>
          <w:lang w:val="zh-CN" w:eastAsia="zh-CN"/>
        </w:rPr>
      </w:pPr>
      <w:r>
        <w:rPr>
          <w:rFonts w:hint="eastAsia" w:ascii="方正黑体_GBK" w:hAnsi="方正黑体_GBK" w:eastAsia="方正黑体_GBK" w:cs="方正黑体_GBK"/>
          <w:b w:val="0"/>
          <w:bCs w:val="0"/>
          <w:color w:val="auto"/>
          <w:sz w:val="28"/>
          <w:szCs w:val="28"/>
          <w:lang w:val="en-US" w:eastAsia="zh-CN"/>
        </w:rPr>
        <w:t>三、报价人资质要求</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val="zh-CN" w:eastAsia="zh-CN"/>
        </w:rPr>
        <w:t>具有独立法人资格</w:t>
      </w:r>
      <w:r>
        <w:rPr>
          <w:rFonts w:hint="eastAsia" w:ascii="方正仿宋_GBK" w:hAnsi="方正仿宋_GBK" w:eastAsia="方正仿宋_GBK" w:cs="方正仿宋_GBK"/>
          <w:color w:val="auto"/>
          <w:sz w:val="28"/>
          <w:szCs w:val="28"/>
          <w:lang w:val="en-US" w:eastAsia="zh-CN"/>
        </w:rPr>
        <w:t>且总公司注册资本金不低于20亿元。</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（二）报价人需为持有有效营业执照的项目所在地（重庆）财产保险公司。</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lang w:val="zh-CN" w:eastAsia="zh-CN"/>
        </w:rPr>
        <w:t>必须是在中华人民共和国境内注册的、经中国保险监督管理委员会批准开展</w:t>
      </w:r>
      <w:r>
        <w:rPr>
          <w:rFonts w:hint="eastAsia" w:ascii="方正仿宋_GBK" w:hAnsi="方正仿宋_GBK" w:eastAsia="方正仿宋_GBK" w:cs="方正仿宋_GBK"/>
          <w:color w:val="auto"/>
          <w:sz w:val="28"/>
          <w:szCs w:val="28"/>
          <w:lang w:val="en-US" w:eastAsia="zh-CN"/>
        </w:rPr>
        <w:t>财产险责任险</w:t>
      </w:r>
      <w:r>
        <w:rPr>
          <w:rFonts w:hint="eastAsia" w:ascii="方正仿宋_GBK" w:hAnsi="方正仿宋_GBK" w:eastAsia="方正仿宋_GBK" w:cs="方正仿宋_GBK"/>
          <w:color w:val="auto"/>
          <w:sz w:val="28"/>
          <w:szCs w:val="28"/>
          <w:lang w:val="zh-CN" w:eastAsia="zh-CN"/>
        </w:rPr>
        <w:t>保险业务。</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val="zh-CN" w:eastAsia="zh-CN"/>
        </w:rPr>
        <w:t>未被“信用中国”网站(www.creditchina.gov.cn/)中列入失信惩戒名单。</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（五）报价</w:t>
      </w:r>
      <w:r>
        <w:rPr>
          <w:rFonts w:hint="eastAsia" w:ascii="方正仿宋_GBK" w:hAnsi="方正仿宋_GBK" w:eastAsia="方正仿宋_GBK" w:cs="方正仿宋_GBK"/>
          <w:color w:val="auto"/>
          <w:sz w:val="28"/>
          <w:szCs w:val="28"/>
          <w:lang w:val="zh-CN" w:eastAsia="zh-CN"/>
        </w:rPr>
        <w:t>人的独立法人单位</w:t>
      </w:r>
      <w:r>
        <w:rPr>
          <w:rFonts w:hint="eastAsia" w:ascii="方正仿宋_GBK" w:hAnsi="方正仿宋_GBK" w:eastAsia="方正仿宋_GBK" w:cs="方正仿宋_GBK"/>
          <w:color w:val="auto"/>
          <w:sz w:val="28"/>
          <w:szCs w:val="28"/>
          <w:lang w:val="en-US" w:eastAsia="zh-CN"/>
        </w:rPr>
        <w:t>2021年综合</w:t>
      </w:r>
      <w:r>
        <w:rPr>
          <w:rFonts w:hint="eastAsia" w:ascii="方正仿宋_GBK" w:hAnsi="方正仿宋_GBK" w:eastAsia="方正仿宋_GBK" w:cs="方正仿宋_GBK"/>
          <w:color w:val="auto"/>
          <w:sz w:val="28"/>
          <w:szCs w:val="28"/>
          <w:lang w:val="zh-CN" w:eastAsia="zh-CN"/>
        </w:rPr>
        <w:t>偿付能力充足率不低于</w:t>
      </w:r>
      <w:r>
        <w:rPr>
          <w:rFonts w:hint="eastAsia" w:ascii="方正仿宋_GBK" w:hAnsi="方正仿宋_GBK" w:eastAsia="方正仿宋_GBK" w:cs="方正仿宋_GBK"/>
          <w:color w:val="auto"/>
          <w:sz w:val="28"/>
          <w:szCs w:val="28"/>
          <w:lang w:val="en-US" w:eastAsia="zh-CN"/>
        </w:rPr>
        <w:t>14</w:t>
      </w:r>
      <w:r>
        <w:rPr>
          <w:rFonts w:hint="eastAsia" w:ascii="方正仿宋_GBK" w:hAnsi="方正仿宋_GBK" w:eastAsia="方正仿宋_GBK" w:cs="方正仿宋_GBK"/>
          <w:color w:val="auto"/>
          <w:sz w:val="28"/>
          <w:szCs w:val="28"/>
          <w:lang w:val="zh-CN" w:eastAsia="zh-CN"/>
        </w:rPr>
        <w:t>0%。</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六）业绩要求：2018年1月1日起至投标截止日止（业绩时间以合同签署时间为准）在中国境内（不含港澳台）承保过至少1个保额不低于人民币1000万元的交通行业公众责任险保险项目（主保或共保均可，承保时间不得低于12个月）。投标人提供业绩证明的名称需与投标人名称一致，以分公司名义投标不得用其他分公司业绩，以独立法人单位名义投标允许用其下属分公司业绩。</w:t>
      </w:r>
    </w:p>
    <w:p>
      <w:pPr>
        <w:pStyle w:val="2"/>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四、评标办法及原则</w:t>
      </w:r>
    </w:p>
    <w:p>
      <w:pPr>
        <w:pStyle w:val="2"/>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满足资格条件并符合报价原则，经评审总报价最低的单位为中标单位。</w:t>
      </w:r>
    </w:p>
    <w:p>
      <w:pPr>
        <w:pStyle w:val="2"/>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五、响应文件的组成</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楷体_GBK" w:hAnsi="方正楷体_GBK" w:eastAsia="方正楷体_GBK" w:cs="方正楷体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w:t>
      </w:r>
      <w:r>
        <w:rPr>
          <w:rFonts w:hint="eastAsia" w:ascii="方正楷体_GBK" w:hAnsi="方正楷体_GBK" w:eastAsia="方正楷体_GBK" w:cs="方正楷体_GBK"/>
          <w:color w:val="auto"/>
          <w:sz w:val="28"/>
          <w:szCs w:val="28"/>
          <w:lang w:val="en-US" w:eastAsia="zh-CN"/>
        </w:rPr>
        <w:t>（一）报价函</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 xml:space="preserve">    </w:t>
      </w:r>
      <w:r>
        <w:rPr>
          <w:rFonts w:hint="eastAsia" w:ascii="方正楷体_GBK" w:hAnsi="方正楷体_GBK" w:eastAsia="方正楷体_GBK" w:cs="方正楷体_GBK"/>
          <w:color w:val="auto"/>
          <w:sz w:val="28"/>
          <w:szCs w:val="28"/>
          <w:lang w:val="zh-CN" w:eastAsia="zh-CN"/>
        </w:rPr>
        <w:t>（二）</w:t>
      </w:r>
      <w:r>
        <w:rPr>
          <w:rFonts w:hint="eastAsia" w:ascii="方正楷体_GBK" w:hAnsi="方正楷体_GBK" w:eastAsia="方正楷体_GBK" w:cs="方正楷体_GBK"/>
          <w:color w:val="auto"/>
          <w:sz w:val="28"/>
          <w:szCs w:val="28"/>
          <w:lang w:val="en-US" w:eastAsia="zh-CN"/>
        </w:rPr>
        <w:t>法定代表人身份证明及授权委托书</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 xml:space="preserve">    （三）保险方案及报价</w:t>
      </w:r>
    </w:p>
    <w:p>
      <w:pPr>
        <w:keepNext w:val="0"/>
        <w:keepLines w:val="0"/>
        <w:pageBreakBefore w:val="0"/>
        <w:widowControl w:val="0"/>
        <w:numPr>
          <w:ilvl w:val="0"/>
          <w:numId w:val="0"/>
        </w:numPr>
        <w:kinsoku/>
        <w:wordWrap/>
        <w:overflowPunct/>
        <w:topLinePunct w:val="0"/>
        <w:bidi w:val="0"/>
        <w:snapToGrid/>
        <w:spacing w:line="540" w:lineRule="exact"/>
        <w:ind w:firstLine="480"/>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 xml:space="preserve"> （四）资格审查资料</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1、中国银行保险监督管理委员会核发的经营财产保险业务许可证复印件和工商行政管理部门颁发的营业执照（扫描件）。</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2、偿付能力报告复印件。</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3、法定代表人身份证及法定代表人授权委托书（扫描件）。</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4、企业征信证明（提供“信用中国”查询截图）。</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5、能够证明已完成承保类似项目的相关业绩证明文件。</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 xml:space="preserve">    </w:t>
      </w:r>
      <w:r>
        <w:rPr>
          <w:rFonts w:hint="eastAsia" w:ascii="方正黑体_GBK" w:hAnsi="方正黑体_GBK" w:eastAsia="方正黑体_GBK" w:cs="方正黑体_GBK"/>
          <w:b w:val="0"/>
          <w:bCs w:val="0"/>
          <w:color w:val="auto"/>
          <w:sz w:val="28"/>
          <w:szCs w:val="28"/>
          <w:lang w:val="en-US" w:eastAsia="zh-CN"/>
        </w:rPr>
        <w:t>六、</w:t>
      </w:r>
      <w:r>
        <w:rPr>
          <w:rFonts w:hint="eastAsia" w:ascii="方正黑体_GBK" w:hAnsi="方正黑体_GBK" w:eastAsia="方正黑体_GBK" w:cs="方正黑体_GBK"/>
          <w:color w:val="auto"/>
          <w:sz w:val="28"/>
          <w:szCs w:val="28"/>
          <w:lang w:val="en-US" w:eastAsia="zh-CN"/>
        </w:rPr>
        <w:t>保险责任范围</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针对我司经营管理特点，需明确以下保险责任、赔偿处理及投保人、被保险人义务：</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（一）在本保险期限内，中渝公司在包括但不限于下列情形下，造成第三者的人身伤亡或财产损失，应由被保险人承担的经济赔偿责任保险人按照本保险协议约定负责赔偿：</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1、被保险人所辖的高速公路路面和桥梁、隧道、涵洞等结构物及其附属设施的坑凼、裂缝、拥包、车辙、积水、钢筋裸露以及伸缩缝、铺装层和标识标志破损等情形，从而导致或造成第三者人身伤亡或财产损失，依法应由被保险承担的经济赔偿责任。</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2、被保险人所辖的高速公路隔离栅、隔离网、隔离墩、标志、标牌、供配电设备、隧道通风设备、线缆、灯具、报警设备、急救电话、窖井盖、边沟、线缆沟、消防设施和器材等设施、设备损坏，造成或导致第三者的人身伤亡或财产损失，依法应由被保险承担的经济赔偿责任。</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3、行人横穿或路经被保险人管理的高速公路，从而造成或导致该行人或第三者的人身伤亡或财产损失，依法应由被保险人承担的经济赔偿责任。</w:t>
      </w:r>
    </w:p>
    <w:p>
      <w:pPr>
        <w:keepNext w:val="0"/>
        <w:keepLines w:val="0"/>
        <w:pageBreakBefore w:val="0"/>
        <w:widowControl w:val="0"/>
        <w:numPr>
          <w:ilvl w:val="0"/>
          <w:numId w:val="0"/>
        </w:numPr>
        <w:kinsoku/>
        <w:wordWrap/>
        <w:overflowPunct/>
        <w:topLinePunct w:val="0"/>
        <w:bidi w:val="0"/>
        <w:snapToGrid/>
        <w:spacing w:line="540" w:lineRule="exact"/>
        <w:ind w:firstLine="280" w:firstLineChars="1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4、他人丢掷石块等硬物和/或遗失、洒漏、脱落物品，从而造成或导致第三者的人身伤亡或财产损失，依法应由被保险人承担的经济赔偿责任。</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意外事故：指不可预料的以及被保险人难以控制并造成物质损失或人身伤亡的突发性事件。</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5、被保险人所辖的高速公路因沿线广告牌坠落引起的次生事故，从而造成或导致第三者的人身伤亡或财产损失，依法应由被保险人承担的经济赔偿责任。</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属于保险责任范围内的被保险人的合同责任，保险人应承担赔偿责任。合同责任是指被保险人在履行因经营、管理所需而签订的合同过程中，因意外事故或非故意或非重大过失的行为，造成或导致第三者的人身伤亡或财产损失，依法应由被保险人承担的经济赔偿责任。</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7、其他因意外事故或归责于被保险人非故意或非重大过失的行为，造成或导致第三者的人身伤亡或财产损失，应由被保险人承担的经济赔偿责任。</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8、兹经双方同意并约定，发生责任范围内的损失后，保险人应按被保险人的要求和损失理算人的建议对该损失作80%的预付赔款。</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但保险人对每次事故的法律费用的赔偿金额不超过每次事故赔偿限额的10%。保险人在收到被保险人法律费用支付清单三日内未提出书面异议的，视为同意。</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（三）每次事故引起的赔偿金额以法院或政府有关部门根据现行法律裁定或经保险人与被保险人共同与第三方协商同意应由被保险人偿付的金额为准。</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（四）未尽事宜以《公众责任保险条款》为准。</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 xml:space="preserve">    </w:t>
      </w:r>
      <w:r>
        <w:rPr>
          <w:rFonts w:hint="eastAsia" w:ascii="方正黑体_GBK" w:hAnsi="方正黑体_GBK" w:eastAsia="方正黑体_GBK" w:cs="方正黑体_GBK"/>
          <w:b w:val="0"/>
          <w:bCs w:val="0"/>
          <w:color w:val="auto"/>
          <w:sz w:val="28"/>
          <w:szCs w:val="28"/>
          <w:lang w:val="en-US" w:eastAsia="zh-CN"/>
        </w:rPr>
        <w:t>七、递交时间及地点</w:t>
      </w:r>
    </w:p>
    <w:p>
      <w:pPr>
        <w:keepNext w:val="0"/>
        <w:keepLines w:val="0"/>
        <w:pageBreakBefore w:val="0"/>
        <w:widowControl w:val="0"/>
        <w:numPr>
          <w:ilvl w:val="0"/>
          <w:numId w:val="0"/>
        </w:numPr>
        <w:kinsoku/>
        <w:wordWrap/>
        <w:overflowPunct/>
        <w:topLinePunct w:val="0"/>
        <w:bidi w:val="0"/>
        <w:snapToGrid/>
        <w:spacing w:line="540" w:lineRule="exact"/>
        <w:ind w:firstLine="64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竞争性比选响应文件应于2022年12月23日上午10:00（北京时间）前递交我公司（地址：</w:t>
      </w:r>
      <w:r>
        <w:rPr>
          <w:rFonts w:hint="eastAsia" w:ascii="方正仿宋_GBK" w:hAnsi="方正仿宋_GBK" w:eastAsia="方正仿宋_GBK" w:cs="方正仿宋_GBK"/>
          <w:i w:val="0"/>
          <w:iCs w:val="0"/>
          <w:caps w:val="0"/>
          <w:color w:val="auto"/>
          <w:spacing w:val="0"/>
          <w:sz w:val="28"/>
          <w:szCs w:val="28"/>
          <w:shd w:val="clear" w:color="auto" w:fill="FFFFFF"/>
        </w:rPr>
        <w:t>重庆市</w:t>
      </w:r>
      <w:r>
        <w:rPr>
          <w:rFonts w:hint="eastAsia" w:ascii="方正仿宋_GBK" w:hAnsi="方正仿宋_GBK" w:eastAsia="方正仿宋_GBK" w:cs="方正仿宋_GBK"/>
          <w:i w:val="0"/>
          <w:iCs w:val="0"/>
          <w:caps w:val="0"/>
          <w:color w:val="auto"/>
          <w:spacing w:val="0"/>
          <w:sz w:val="28"/>
          <w:szCs w:val="28"/>
          <w:shd w:val="clear" w:color="auto" w:fill="FFFFFF"/>
          <w:lang w:val="en-US" w:eastAsia="zh-CN"/>
        </w:rPr>
        <w:t>江津区G5001绕城高速公路双福南收费站旁</w:t>
      </w:r>
      <w:r>
        <w:rPr>
          <w:rFonts w:hint="eastAsia" w:ascii="方正仿宋_GBK" w:hAnsi="方正仿宋_GBK" w:eastAsia="方正仿宋_GBK" w:cs="方正仿宋_GBK"/>
          <w:color w:val="auto"/>
          <w:sz w:val="28"/>
          <w:szCs w:val="28"/>
          <w:lang w:val="en-US" w:eastAsia="zh-CN"/>
        </w:rPr>
        <w:t>），文件须密封完好，按正式文件装订成册并加盖密封章，我司对文件内容的遗失、缺损不负任何责任。</w:t>
      </w:r>
      <w:bookmarkStart w:id="2" w:name="_GoBack"/>
      <w:bookmarkEnd w:id="2"/>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八、发布公告的媒介</w:t>
      </w:r>
    </w:p>
    <w:p>
      <w:pPr>
        <w:keepNext w:val="0"/>
        <w:keepLines w:val="0"/>
        <w:pageBreakBefore w:val="0"/>
        <w:widowControl w:val="0"/>
        <w:numPr>
          <w:ilvl w:val="0"/>
          <w:numId w:val="0"/>
        </w:numPr>
        <w:kinsoku/>
        <w:wordWrap/>
        <w:overflowPunct/>
        <w:topLinePunct w:val="0"/>
        <w:bidi w:val="0"/>
        <w:snapToGrid/>
        <w:spacing w:line="540" w:lineRule="exact"/>
        <w:ind w:firstLine="64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本次招标公告在重庆高速集团官网</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（http://www.cegc.com.cn/gw/newsInfoMenu.html?id=41&amp;key=2）上发布。</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九、开标</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1、开标方式：现场开标</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2、开标时间：2022年12月23日上午10:00（北京时间）</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default" w:ascii="方正仿宋_GBK" w:hAnsi="方正仿宋_GBK" w:eastAsia="方正仿宋_GBK" w:cs="方正仿宋_GBK"/>
          <w:i w:val="0"/>
          <w:iCs w:val="0"/>
          <w:caps w:val="0"/>
          <w:color w:val="auto"/>
          <w:spacing w:val="0"/>
          <w:sz w:val="28"/>
          <w:szCs w:val="28"/>
          <w:shd w:val="clear" w:color="auto" w:fill="FFFFFF"/>
          <w:lang w:val="en-US" w:eastAsia="zh-CN"/>
        </w:rPr>
      </w:pPr>
      <w:r>
        <w:rPr>
          <w:rFonts w:hint="eastAsia" w:ascii="方正仿宋_GBK" w:hAnsi="方正仿宋_GBK" w:eastAsia="方正仿宋_GBK" w:cs="方正仿宋_GBK"/>
          <w:color w:val="auto"/>
          <w:sz w:val="28"/>
          <w:szCs w:val="28"/>
          <w:lang w:val="en-US" w:eastAsia="zh-CN"/>
        </w:rPr>
        <w:t>3、开标地点：</w:t>
      </w:r>
      <w:r>
        <w:rPr>
          <w:rFonts w:hint="eastAsia" w:ascii="方正仿宋_GBK" w:hAnsi="方正仿宋_GBK" w:eastAsia="方正仿宋_GBK" w:cs="方正仿宋_GBK"/>
          <w:i w:val="0"/>
          <w:iCs w:val="0"/>
          <w:caps w:val="0"/>
          <w:color w:val="auto"/>
          <w:spacing w:val="0"/>
          <w:sz w:val="28"/>
          <w:szCs w:val="28"/>
          <w:shd w:val="clear" w:color="auto" w:fill="FFFFFF"/>
        </w:rPr>
        <w:t>重庆市</w:t>
      </w:r>
      <w:r>
        <w:rPr>
          <w:rFonts w:hint="eastAsia" w:ascii="方正仿宋_GBK" w:hAnsi="方正仿宋_GBK" w:eastAsia="方正仿宋_GBK" w:cs="方正仿宋_GBK"/>
          <w:i w:val="0"/>
          <w:iCs w:val="0"/>
          <w:caps w:val="0"/>
          <w:color w:val="auto"/>
          <w:spacing w:val="0"/>
          <w:sz w:val="28"/>
          <w:szCs w:val="28"/>
          <w:shd w:val="clear" w:color="auto" w:fill="FFFFFF"/>
          <w:lang w:val="en-US" w:eastAsia="zh-CN"/>
        </w:rPr>
        <w:t>江津区G5001绕城高速公路双福南收费站旁重庆中渝高速公路有限公司</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4、联系方式：傅先生  13627666773</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十、附件</w:t>
      </w:r>
    </w:p>
    <w:p>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重庆中渝高速公路有限公司公众责任险保险项目竞争性比选响应文件</w:t>
      </w:r>
    </w:p>
    <w:p>
      <w:pPr>
        <w:pStyle w:val="2"/>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kinsoku/>
        <w:wordWrap/>
        <w:overflowPunct/>
        <w:topLinePunct w:val="0"/>
        <w:bidi w:val="0"/>
        <w:snapToGrid/>
        <w:spacing w:line="560" w:lineRule="exact"/>
        <w:textAlignment w:val="auto"/>
      </w:pPr>
    </w:p>
    <w:p>
      <w:pPr>
        <w:pStyle w:val="10"/>
      </w:pPr>
    </w:p>
    <w:p/>
    <w:p>
      <w:pPr>
        <w:pStyle w:val="10"/>
      </w:pPr>
    </w:p>
    <w:p/>
    <w:p>
      <w:pPr>
        <w:pStyle w:val="10"/>
      </w:pPr>
    </w:p>
    <w:p/>
    <w:p>
      <w:pPr>
        <w:pStyle w:val="10"/>
      </w:pPr>
    </w:p>
    <w:p/>
    <w:p>
      <w:pPr>
        <w:jc w:val="left"/>
        <w:rPr>
          <w:rFonts w:hint="eastAsia" w:ascii="方正黑体_GBK" w:hAnsi="方正黑体_GBK" w:eastAsia="方正黑体_GBK" w:cs="方正黑体_GBK"/>
          <w:color w:val="auto"/>
          <w:sz w:val="36"/>
          <w:szCs w:val="36"/>
          <w:lang w:val="en-US" w:eastAsia="zh-CN"/>
        </w:rPr>
      </w:pPr>
    </w:p>
    <w:p>
      <w:pPr>
        <w:pStyle w:val="2"/>
        <w:rPr>
          <w:rFonts w:hint="eastAsia" w:ascii="方正黑体_GBK" w:hAnsi="方正黑体_GBK" w:eastAsia="方正黑体_GBK" w:cs="方正黑体_GBK"/>
          <w:color w:val="auto"/>
          <w:sz w:val="36"/>
          <w:szCs w:val="36"/>
          <w:lang w:val="en-US" w:eastAsia="zh-CN"/>
        </w:rPr>
      </w:pPr>
    </w:p>
    <w:p>
      <w:pPr>
        <w:pStyle w:val="2"/>
        <w:rPr>
          <w:rFonts w:hint="eastAsia" w:ascii="方正黑体_GBK" w:hAnsi="方正黑体_GBK" w:eastAsia="方正黑体_GBK" w:cs="方正黑体_GBK"/>
          <w:color w:val="auto"/>
          <w:sz w:val="36"/>
          <w:szCs w:val="36"/>
          <w:lang w:val="en-US" w:eastAsia="zh-CN"/>
        </w:rPr>
      </w:pPr>
    </w:p>
    <w:p>
      <w:pPr>
        <w:pStyle w:val="2"/>
        <w:rPr>
          <w:rFonts w:hint="eastAsia" w:ascii="方正黑体_GBK" w:hAnsi="方正黑体_GBK" w:eastAsia="方正黑体_GBK" w:cs="方正黑体_GBK"/>
          <w:color w:val="auto"/>
          <w:sz w:val="36"/>
          <w:szCs w:val="36"/>
          <w:lang w:val="en-US" w:eastAsia="zh-CN"/>
        </w:rPr>
      </w:pPr>
    </w:p>
    <w:p>
      <w:pPr>
        <w:jc w:val="left"/>
        <w:rPr>
          <w:rFonts w:hint="eastAsia" w:ascii="方正黑体_GBK" w:hAnsi="方正黑体_GBK" w:eastAsia="方正黑体_GBK" w:cs="方正黑体_GBK"/>
          <w:color w:val="auto"/>
          <w:sz w:val="36"/>
          <w:szCs w:val="36"/>
          <w:lang w:val="en-US" w:eastAsia="zh-CN"/>
        </w:rPr>
      </w:pPr>
    </w:p>
    <w:p>
      <w:pPr>
        <w:jc w:val="left"/>
        <w:rPr>
          <w:rFonts w:hint="eastAsia" w:ascii="方正黑体_GBK" w:hAnsi="方正黑体_GBK" w:eastAsia="方正黑体_GBK" w:cs="方正黑体_GBK"/>
          <w:color w:val="auto"/>
          <w:sz w:val="36"/>
          <w:szCs w:val="36"/>
          <w:lang w:val="en-US" w:eastAsia="zh-CN"/>
        </w:rPr>
      </w:pPr>
      <w:r>
        <w:rPr>
          <w:rFonts w:hint="eastAsia" w:ascii="方正黑体_GBK" w:hAnsi="方正黑体_GBK" w:eastAsia="方正黑体_GBK" w:cs="方正黑体_GBK"/>
          <w:color w:val="auto"/>
          <w:sz w:val="36"/>
          <w:szCs w:val="36"/>
          <w:lang w:val="en-US" w:eastAsia="zh-CN"/>
        </w:rPr>
        <w:t>附件：</w:t>
      </w:r>
    </w:p>
    <w:p>
      <w:pPr>
        <w:jc w:val="center"/>
        <w:rPr>
          <w:rFonts w:hint="eastAsia" w:ascii="微软雅黑" w:hAnsi="微软雅黑" w:eastAsia="微软雅黑" w:cs="微软雅黑"/>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重庆中渝高速公路有限公司</w:t>
      </w:r>
    </w:p>
    <w:p>
      <w:pPr>
        <w:jc w:val="center"/>
        <w:rPr>
          <w:rFonts w:hint="eastAsia" w:ascii="微软雅黑" w:hAnsi="微软雅黑" w:eastAsia="微软雅黑" w:cs="微软雅黑"/>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公众责任险保险项目竞争性比选</w:t>
      </w:r>
    </w:p>
    <w:p>
      <w:pPr>
        <w:jc w:val="center"/>
        <w:rPr>
          <w:rFonts w:hint="eastAsia" w:ascii="微软雅黑" w:hAnsi="微软雅黑" w:eastAsia="微软雅黑" w:cs="微软雅黑"/>
          <w:color w:val="auto"/>
          <w:sz w:val="44"/>
          <w:szCs w:val="44"/>
          <w:lang w:val="en-US" w:eastAsia="zh-CN"/>
        </w:rPr>
      </w:pPr>
    </w:p>
    <w:p>
      <w:pPr>
        <w:jc w:val="center"/>
        <w:rPr>
          <w:rFonts w:hint="eastAsia" w:ascii="微软雅黑" w:hAnsi="微软雅黑" w:eastAsia="微软雅黑" w:cs="微软雅黑"/>
          <w:color w:val="auto"/>
          <w:sz w:val="44"/>
          <w:szCs w:val="44"/>
          <w:lang w:val="en-US" w:eastAsia="zh-CN"/>
        </w:rPr>
      </w:pPr>
    </w:p>
    <w:p>
      <w:pPr>
        <w:rPr>
          <w:rFonts w:hint="eastAsia" w:ascii="微软雅黑" w:hAnsi="微软雅黑" w:eastAsia="微软雅黑" w:cs="微软雅黑"/>
          <w:color w:val="auto"/>
          <w:sz w:val="20"/>
          <w:szCs w:val="20"/>
        </w:rPr>
      </w:pPr>
    </w:p>
    <w:p>
      <w:pPr>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响  应  文  件</w:t>
      </w:r>
    </w:p>
    <w:p>
      <w:pPr>
        <w:jc w:val="center"/>
        <w:rPr>
          <w:rFonts w:hint="eastAsia" w:ascii="微软雅黑" w:hAnsi="微软雅黑" w:eastAsia="微软雅黑" w:cs="微软雅黑"/>
          <w:b/>
          <w:color w:val="auto"/>
          <w:sz w:val="30"/>
          <w:szCs w:val="30"/>
        </w:rPr>
      </w:pPr>
    </w:p>
    <w:p>
      <w:pPr>
        <w:jc w:val="center"/>
        <w:rPr>
          <w:rFonts w:hint="eastAsia" w:ascii="微软雅黑" w:hAnsi="微软雅黑" w:eastAsia="微软雅黑" w:cs="微软雅黑"/>
          <w:b/>
          <w:color w:val="auto"/>
          <w:sz w:val="30"/>
          <w:szCs w:val="30"/>
        </w:rPr>
      </w:pPr>
      <w:r>
        <w:rPr>
          <w:rFonts w:hint="eastAsia" w:ascii="微软雅黑" w:hAnsi="微软雅黑" w:eastAsia="微软雅黑" w:cs="微软雅黑"/>
          <w:b/>
          <w:color w:val="auto"/>
          <w:sz w:val="30"/>
          <w:szCs w:val="30"/>
        </w:rPr>
        <w:t xml:space="preserve"> </w:t>
      </w:r>
    </w:p>
    <w:p>
      <w:pPr>
        <w:rPr>
          <w:rFonts w:hint="eastAsia" w:ascii="微软雅黑" w:hAnsi="微软雅黑" w:eastAsia="微软雅黑" w:cs="微软雅黑"/>
          <w:color w:val="auto"/>
          <w:sz w:val="28"/>
          <w:szCs w:val="28"/>
        </w:rPr>
      </w:pPr>
    </w:p>
    <w:p>
      <w:pPr>
        <w:rPr>
          <w:rFonts w:hint="eastAsia" w:ascii="微软雅黑" w:hAnsi="微软雅黑" w:eastAsia="微软雅黑" w:cs="微软雅黑"/>
          <w:color w:val="auto"/>
          <w:sz w:val="28"/>
          <w:szCs w:val="28"/>
        </w:rPr>
      </w:pPr>
    </w:p>
    <w:p>
      <w:pPr>
        <w:pStyle w:val="2"/>
        <w:rPr>
          <w:rFonts w:hint="eastAsia" w:ascii="微软雅黑" w:hAnsi="微软雅黑" w:eastAsia="微软雅黑" w:cs="微软雅黑"/>
          <w:color w:val="auto"/>
          <w:sz w:val="28"/>
          <w:szCs w:val="28"/>
        </w:rPr>
      </w:pPr>
    </w:p>
    <w:p>
      <w:pPr>
        <w:pStyle w:val="2"/>
        <w:rPr>
          <w:rFonts w:hint="eastAsia" w:ascii="微软雅黑" w:hAnsi="微软雅黑" w:eastAsia="微软雅黑" w:cs="微软雅黑"/>
          <w:color w:val="auto"/>
          <w:sz w:val="28"/>
          <w:szCs w:val="28"/>
        </w:rPr>
      </w:pPr>
    </w:p>
    <w:p>
      <w:pPr>
        <w:rPr>
          <w:rFonts w:hint="eastAsia" w:ascii="微软雅黑" w:hAnsi="微软雅黑" w:eastAsia="微软雅黑" w:cs="微软雅黑"/>
          <w:color w:val="auto"/>
          <w:sz w:val="28"/>
          <w:szCs w:val="28"/>
        </w:rPr>
      </w:pPr>
    </w:p>
    <w:p>
      <w:pPr>
        <w:jc w:val="center"/>
        <w:rPr>
          <w:rFonts w:hint="eastAsia" w:ascii="宋体" w:hAnsi="宋体" w:eastAsia="宋体" w:cs="宋体"/>
          <w:color w:val="auto"/>
          <w:sz w:val="30"/>
          <w:szCs w:val="30"/>
          <w:u w:val="single"/>
        </w:rPr>
      </w:pPr>
      <w:r>
        <w:rPr>
          <w:rFonts w:hint="eastAsia" w:ascii="宋体" w:hAnsi="宋体" w:eastAsia="宋体" w:cs="宋体"/>
          <w:color w:val="auto"/>
          <w:sz w:val="30"/>
          <w:szCs w:val="30"/>
        </w:rPr>
        <w:t>投标人：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（盖单位章）</w:t>
      </w:r>
    </w:p>
    <w:p>
      <w:pPr>
        <w:jc w:val="center"/>
        <w:rPr>
          <w:rFonts w:hint="eastAsia" w:ascii="宋体" w:hAnsi="宋体" w:eastAsia="宋体" w:cs="宋体"/>
          <w:color w:val="auto"/>
          <w:sz w:val="30"/>
          <w:szCs w:val="30"/>
        </w:rPr>
      </w:pP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日</w:t>
      </w:r>
    </w:p>
    <w:p>
      <w:pPr>
        <w:jc w:val="both"/>
        <w:rPr>
          <w:rFonts w:hint="eastAsia" w:ascii="微软雅黑" w:hAnsi="微软雅黑" w:eastAsia="微软雅黑" w:cs="微软雅黑"/>
          <w:color w:val="auto"/>
          <w:sz w:val="52"/>
          <w:szCs w:val="52"/>
        </w:rPr>
      </w:pPr>
      <w:r>
        <w:rPr>
          <w:rFonts w:hint="eastAsia" w:ascii="微软雅黑" w:hAnsi="微软雅黑" w:eastAsia="微软雅黑" w:cs="微软雅黑"/>
          <w:color w:val="auto"/>
          <w:sz w:val="52"/>
          <w:szCs w:val="52"/>
        </w:rPr>
        <w:br w:type="page"/>
      </w:r>
    </w:p>
    <w:p>
      <w:pPr>
        <w:jc w:val="center"/>
        <w:rPr>
          <w:rFonts w:hint="eastAsia" w:ascii="微软雅黑" w:hAnsi="微软雅黑" w:eastAsia="微软雅黑" w:cs="微软雅黑"/>
          <w:color w:val="auto"/>
          <w:sz w:val="36"/>
          <w:szCs w:val="36"/>
        </w:rPr>
      </w:pPr>
      <w:r>
        <w:rPr>
          <w:rFonts w:hint="eastAsia" w:ascii="方正小标宋_GBK" w:hAnsi="方正小标宋_GBK" w:eastAsia="方正小标宋_GBK" w:cs="方正小标宋_GBK"/>
          <w:color w:val="auto"/>
          <w:sz w:val="36"/>
          <w:szCs w:val="36"/>
        </w:rPr>
        <w:t>目 录</w:t>
      </w:r>
    </w:p>
    <w:p>
      <w:pPr>
        <w:spacing w:line="540" w:lineRule="exact"/>
        <w:rPr>
          <w:rFonts w:hint="eastAsia" w:ascii="宋体" w:hAnsi="宋体" w:eastAsia="宋体" w:cs="宋体"/>
          <w:color w:val="auto"/>
          <w:sz w:val="28"/>
          <w:szCs w:val="28"/>
        </w:rPr>
      </w:pPr>
      <w:r>
        <w:rPr>
          <w:rFonts w:hint="eastAsia" w:ascii="宋体" w:hAnsi="宋体" w:eastAsia="宋体" w:cs="宋体"/>
          <w:color w:val="auto"/>
          <w:sz w:val="28"/>
          <w:szCs w:val="28"/>
        </w:rPr>
        <w:t>一、投标函</w:t>
      </w:r>
    </w:p>
    <w:p>
      <w:pPr>
        <w:spacing w:line="300" w:lineRule="auto"/>
        <w:rPr>
          <w:rFonts w:hint="eastAsia" w:ascii="宋体" w:hAnsi="宋体" w:eastAsia="宋体" w:cs="宋体"/>
          <w:color w:val="auto"/>
          <w:sz w:val="28"/>
          <w:szCs w:val="28"/>
        </w:rPr>
      </w:pPr>
      <w:r>
        <w:rPr>
          <w:rFonts w:hint="eastAsia" w:ascii="宋体" w:hAnsi="宋体" w:eastAsia="宋体" w:cs="宋体"/>
          <w:color w:val="auto"/>
          <w:sz w:val="28"/>
          <w:szCs w:val="28"/>
        </w:rPr>
        <w:t>二、法定代表人身份证明及授权委托书</w:t>
      </w:r>
    </w:p>
    <w:p>
      <w:pPr>
        <w:spacing w:line="300" w:lineRule="auto"/>
        <w:rPr>
          <w:rFonts w:hint="eastAsia" w:ascii="宋体" w:hAnsi="宋体" w:eastAsia="宋体" w:cs="宋体"/>
          <w:color w:val="auto"/>
          <w:sz w:val="28"/>
          <w:szCs w:val="28"/>
        </w:rPr>
      </w:pPr>
      <w:r>
        <w:rPr>
          <w:rFonts w:hint="eastAsia" w:ascii="宋体" w:hAnsi="宋体" w:eastAsia="宋体" w:cs="宋体"/>
          <w:color w:val="auto"/>
          <w:sz w:val="28"/>
          <w:szCs w:val="28"/>
        </w:rPr>
        <w:t>三、</w:t>
      </w:r>
      <w:r>
        <w:rPr>
          <w:rFonts w:hint="eastAsia" w:ascii="宋体" w:hAnsi="宋体" w:eastAsia="宋体" w:cs="宋体"/>
          <w:color w:val="auto"/>
          <w:sz w:val="28"/>
          <w:szCs w:val="28"/>
          <w:lang w:val="en-US" w:eastAsia="zh-CN"/>
        </w:rPr>
        <w:t>保险方案及报价</w:t>
      </w:r>
    </w:p>
    <w:p>
      <w:pPr>
        <w:spacing w:line="30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、资格审查资料</w:t>
      </w:r>
    </w:p>
    <w:p>
      <w:pPr>
        <w:pStyle w:val="11"/>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微软雅黑" w:hAnsi="微软雅黑" w:eastAsia="微软雅黑" w:cs="微软雅黑"/>
          <w:b/>
          <w:color w:val="auto"/>
          <w:sz w:val="32"/>
          <w:szCs w:val="32"/>
        </w:rPr>
      </w:pPr>
      <w:r>
        <w:rPr>
          <w:rFonts w:hint="eastAsia" w:ascii="微软雅黑" w:hAnsi="微软雅黑" w:eastAsia="微软雅黑" w:cs="微软雅黑"/>
          <w:color w:val="auto"/>
          <w:sz w:val="21"/>
          <w:szCs w:val="24"/>
        </w:rPr>
        <w:br w:type="page"/>
      </w:r>
      <w:r>
        <w:rPr>
          <w:rFonts w:hint="eastAsia" w:ascii="方正小标宋_GBK" w:hAnsi="方正小标宋_GBK" w:eastAsia="方正小标宋_GBK" w:cs="方正小标宋_GBK"/>
          <w:color w:val="auto"/>
          <w:sz w:val="32"/>
          <w:szCs w:val="32"/>
          <w:lang w:val="en-US" w:eastAsia="zh-CN"/>
        </w:rPr>
        <w:t>一、</w:t>
      </w:r>
      <w:r>
        <w:rPr>
          <w:rFonts w:hint="eastAsia" w:ascii="方正小标宋_GBK" w:hAnsi="方正小标宋_GBK" w:eastAsia="方正小标宋_GBK" w:cs="方正小标宋_GBK"/>
          <w:b w:val="0"/>
          <w:bCs/>
          <w:color w:val="auto"/>
          <w:sz w:val="32"/>
          <w:szCs w:val="32"/>
          <w:lang w:val="en-US" w:eastAsia="zh-CN"/>
        </w:rPr>
        <w:t>报价</w:t>
      </w:r>
      <w:r>
        <w:rPr>
          <w:rFonts w:hint="eastAsia" w:ascii="方正小标宋_GBK" w:hAnsi="方正小标宋_GBK" w:eastAsia="方正小标宋_GBK" w:cs="方正小标宋_GBK"/>
          <w:b w:val="0"/>
          <w:bCs/>
          <w:color w:val="auto"/>
          <w:sz w:val="32"/>
          <w:szCs w:val="32"/>
        </w:rPr>
        <w:t>函</w:t>
      </w:r>
    </w:p>
    <w:p>
      <w:pPr>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方正仿宋_GBK" w:hAnsi="方正仿宋_GBK" w:eastAsia="方正仿宋_GBK" w:cs="方正仿宋_GBK"/>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宋体" w:hAnsi="宋体" w:eastAsia="宋体" w:cs="宋体"/>
          <w:b/>
          <w:bCs/>
          <w:kern w:val="2"/>
          <w:sz w:val="21"/>
          <w:szCs w:val="21"/>
          <w:u w:val="single"/>
          <w:lang w:val="en-US" w:eastAsia="zh-CN" w:bidi="ar-SA"/>
        </w:rPr>
      </w:pPr>
      <w:r>
        <w:rPr>
          <w:rFonts w:hint="eastAsia" w:ascii="宋体" w:hAnsi="宋体" w:eastAsia="宋体" w:cs="宋体"/>
          <w:b/>
          <w:bCs/>
          <w:color w:val="auto"/>
          <w:sz w:val="21"/>
          <w:szCs w:val="21"/>
          <w:u w:val="none"/>
          <w:lang w:val="en-US" w:eastAsia="zh-CN"/>
        </w:rPr>
        <w:t>致：</w:t>
      </w:r>
      <w:r>
        <w:rPr>
          <w:rFonts w:hint="eastAsia" w:ascii="宋体" w:hAnsi="宋体" w:eastAsia="宋体" w:cs="宋体"/>
          <w:b/>
          <w:bCs/>
          <w:kern w:val="2"/>
          <w:sz w:val="21"/>
          <w:szCs w:val="21"/>
          <w:u w:val="single"/>
          <w:lang w:val="en-US" w:eastAsia="zh-CN" w:bidi="ar-SA"/>
        </w:rPr>
        <w:t>重庆中渝高速公路有限公司</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kern w:val="2"/>
          <w:sz w:val="21"/>
          <w:szCs w:val="21"/>
          <w:lang w:val="en-US" w:eastAsia="zh-CN" w:bidi="ar-SA"/>
        </w:rPr>
        <w:t>我司已仔细研究了</w:t>
      </w:r>
      <w:r>
        <w:rPr>
          <w:rFonts w:hint="eastAsia" w:ascii="宋体" w:hAnsi="宋体" w:eastAsia="宋体" w:cs="宋体"/>
          <w:b/>
          <w:bCs/>
          <w:kern w:val="2"/>
          <w:sz w:val="21"/>
          <w:szCs w:val="21"/>
          <w:u w:val="single"/>
          <w:lang w:val="en-US" w:eastAsia="zh-CN" w:bidi="ar-SA"/>
        </w:rPr>
        <w:t>重庆中渝高速公路有限公司公众责任保险项目竞争性比选文件</w:t>
      </w:r>
      <w:r>
        <w:rPr>
          <w:rFonts w:hint="eastAsia" w:ascii="宋体" w:hAnsi="宋体" w:eastAsia="宋体" w:cs="宋体"/>
          <w:kern w:val="2"/>
          <w:sz w:val="21"/>
          <w:szCs w:val="21"/>
          <w:lang w:val="en-US" w:eastAsia="zh-CN" w:bidi="ar-SA"/>
        </w:rPr>
        <w:t>的全部内容，愿意以总报价（人民币小写）：</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u w:val="none"/>
          <w:lang w:val="en-US" w:eastAsia="zh-CN" w:bidi="ar-SA"/>
        </w:rPr>
        <w:t>（</w:t>
      </w:r>
      <w:r>
        <w:rPr>
          <w:rFonts w:hint="eastAsia" w:ascii="宋体" w:hAnsi="宋体" w:eastAsia="宋体" w:cs="宋体"/>
          <w:kern w:val="2"/>
          <w:sz w:val="21"/>
          <w:szCs w:val="21"/>
          <w:lang w:val="en-US" w:eastAsia="zh-CN" w:bidi="ar-SA"/>
        </w:rPr>
        <w:t>人民币大写）：</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u w:val="none"/>
          <w:lang w:val="en-US" w:eastAsia="zh-CN" w:bidi="ar-SA"/>
        </w:rPr>
        <w:t>元</w:t>
      </w:r>
      <w:r>
        <w:rPr>
          <w:rFonts w:hint="eastAsia" w:ascii="宋体" w:hAnsi="宋体" w:eastAsia="宋体" w:cs="宋体"/>
          <w:kern w:val="2"/>
          <w:sz w:val="21"/>
          <w:szCs w:val="21"/>
          <w:lang w:val="en-US" w:eastAsia="zh-CN" w:bidi="ar-SA"/>
        </w:rPr>
        <w:t>作为本项目的竞标价，并</w:t>
      </w:r>
      <w:r>
        <w:rPr>
          <w:rFonts w:hint="eastAsia" w:ascii="宋体" w:hAnsi="宋体" w:eastAsia="宋体" w:cs="宋体"/>
          <w:color w:val="auto"/>
          <w:sz w:val="21"/>
          <w:szCs w:val="21"/>
          <w:lang w:val="en-US" w:eastAsia="zh-CN"/>
        </w:rPr>
        <w:t>作如下承诺：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有效期内，该报价固定不变。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有效期内，如我公司颁布新的保险条款及费率体系，在不违背监管机构有关规定的前提下，在对现有的和新颁布的条款及费率体系的选择上，自动适用对被保险人优惠的条件。同时，无论采用何种条款和费率体系，我公司在投标文件中提出的优惠比例不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三、</w:t>
      </w:r>
      <w:r>
        <w:rPr>
          <w:rFonts w:hint="eastAsia" w:ascii="宋体" w:hAnsi="宋体" w:eastAsia="宋体" w:cs="宋体"/>
          <w:color w:val="auto"/>
          <w:sz w:val="21"/>
          <w:szCs w:val="21"/>
        </w:rPr>
        <w:t>若中标，我公司将按照</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文件及我公司</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文件的具体规定与贵司签订框架协议及正式协议，并按协议的要求出具保险单。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四、</w:t>
      </w:r>
      <w:r>
        <w:rPr>
          <w:rFonts w:hint="eastAsia" w:ascii="宋体" w:hAnsi="宋体" w:eastAsia="宋体" w:cs="宋体"/>
          <w:color w:val="auto"/>
          <w:sz w:val="21"/>
          <w:szCs w:val="21"/>
        </w:rPr>
        <w:t>在整个</w:t>
      </w:r>
      <w:r>
        <w:rPr>
          <w:rFonts w:hint="eastAsia" w:ascii="宋体" w:hAnsi="宋体" w:eastAsia="宋体" w:cs="宋体"/>
          <w:color w:val="auto"/>
          <w:sz w:val="21"/>
          <w:szCs w:val="21"/>
          <w:lang w:val="en-US" w:eastAsia="zh-CN"/>
        </w:rPr>
        <w:t>询、报价</w:t>
      </w:r>
      <w:r>
        <w:rPr>
          <w:rFonts w:hint="eastAsia" w:ascii="宋体" w:hAnsi="宋体" w:eastAsia="宋体" w:cs="宋体"/>
          <w:color w:val="auto"/>
          <w:sz w:val="21"/>
          <w:szCs w:val="21"/>
        </w:rPr>
        <w:t>过程中，我公司若有违规行为，贵司可按</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文件之规定给予惩罚，我公司完全接受。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五、</w:t>
      </w:r>
      <w:r>
        <w:rPr>
          <w:rFonts w:hint="eastAsia" w:ascii="宋体" w:hAnsi="宋体" w:eastAsia="宋体" w:cs="宋体"/>
          <w:color w:val="auto"/>
          <w:sz w:val="21"/>
          <w:szCs w:val="21"/>
        </w:rPr>
        <w:t>在整个</w:t>
      </w:r>
      <w:r>
        <w:rPr>
          <w:rFonts w:hint="eastAsia" w:ascii="宋体" w:hAnsi="宋体" w:eastAsia="宋体" w:cs="宋体"/>
          <w:color w:val="auto"/>
          <w:sz w:val="21"/>
          <w:szCs w:val="21"/>
          <w:lang w:val="en-US" w:eastAsia="zh-CN"/>
        </w:rPr>
        <w:t>询、报价</w:t>
      </w:r>
      <w:r>
        <w:rPr>
          <w:rFonts w:hint="eastAsia" w:ascii="宋体" w:hAnsi="宋体" w:eastAsia="宋体" w:cs="宋体"/>
          <w:color w:val="auto"/>
          <w:sz w:val="21"/>
          <w:szCs w:val="21"/>
        </w:rPr>
        <w:t>过程中</w:t>
      </w:r>
      <w:r>
        <w:rPr>
          <w:rFonts w:hint="eastAsia" w:ascii="宋体" w:hAnsi="宋体" w:eastAsia="宋体" w:cs="宋体"/>
          <w:color w:val="auto"/>
          <w:sz w:val="21"/>
          <w:szCs w:val="21"/>
          <w:lang w:val="en-US" w:eastAsia="zh-CN"/>
        </w:rPr>
        <w:t>及询、报价</w:t>
      </w:r>
      <w:r>
        <w:rPr>
          <w:rFonts w:hint="eastAsia" w:ascii="宋体" w:hAnsi="宋体" w:eastAsia="宋体" w:cs="宋体"/>
          <w:color w:val="auto"/>
          <w:sz w:val="21"/>
          <w:szCs w:val="21"/>
        </w:rPr>
        <w:t>结束后，未经贵司书面同意，我公司保证不向任何第三方泄露本次</w:t>
      </w:r>
      <w:r>
        <w:rPr>
          <w:rFonts w:hint="eastAsia" w:ascii="宋体" w:hAnsi="宋体" w:eastAsia="宋体" w:cs="宋体"/>
          <w:color w:val="auto"/>
          <w:sz w:val="21"/>
          <w:szCs w:val="21"/>
          <w:lang w:val="en-US" w:eastAsia="zh-CN"/>
        </w:rPr>
        <w:t>询</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的任何信息、资料及内容。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六、报价</w:t>
      </w:r>
      <w:r>
        <w:rPr>
          <w:rFonts w:hint="eastAsia" w:ascii="宋体" w:hAnsi="宋体" w:eastAsia="宋体" w:cs="宋体"/>
          <w:color w:val="auto"/>
          <w:sz w:val="21"/>
          <w:szCs w:val="21"/>
        </w:rPr>
        <w:t>文件中所有关于我公司资格的文件、证明、陈述均是真实的、准确的。若有违背，我公司承担由此而产生的一切后果。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函与保险合同具有同等的法律效力。</w:t>
      </w:r>
    </w:p>
    <w:p>
      <w:pPr>
        <w:pStyle w:val="10"/>
        <w:ind w:firstLine="42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940" w:firstLineChars="14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人（盖单位</w:t>
      </w:r>
      <w:r>
        <w:rPr>
          <w:rFonts w:hint="eastAsia" w:ascii="宋体" w:hAnsi="宋体" w:eastAsia="宋体" w:cs="宋体"/>
          <w:color w:val="auto"/>
          <w:sz w:val="21"/>
          <w:szCs w:val="21"/>
          <w:lang w:val="en-US" w:eastAsia="zh-CN"/>
        </w:rPr>
        <w:t>公</w:t>
      </w:r>
      <w:r>
        <w:rPr>
          <w:rFonts w:hint="eastAsia" w:ascii="宋体" w:hAnsi="宋体" w:eastAsia="宋体" w:cs="宋体"/>
          <w:color w:val="auto"/>
          <w:sz w:val="21"/>
          <w:szCs w:val="21"/>
        </w:rPr>
        <w:t>章）：</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940" w:firstLineChars="14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法定代表人或其委托代理人（签字）：</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940" w:firstLineChars="14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940" w:firstLineChars="14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940" w:firstLineChars="14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color w:val="auto"/>
          <w:sz w:val="32"/>
          <w:szCs w:val="32"/>
        </w:rPr>
      </w:pPr>
      <w:r>
        <w:rPr>
          <w:rFonts w:hint="eastAsia" w:ascii="方正仿宋_GBK" w:hAnsi="方正仿宋_GBK" w:eastAsia="方正仿宋_GBK" w:cs="方正仿宋_GBK"/>
          <w:color w:val="auto"/>
          <w:sz w:val="28"/>
          <w:szCs w:val="28"/>
        </w:rPr>
        <w:br w:type="page"/>
      </w:r>
      <w:bookmarkStart w:id="0" w:name="_Toc359423786"/>
      <w:r>
        <w:rPr>
          <w:rFonts w:hint="eastAsia" w:ascii="方正小标宋_GBK" w:hAnsi="方正小标宋_GBK" w:eastAsia="方正小标宋_GBK" w:cs="方正小标宋_GBK"/>
          <w:color w:val="auto"/>
          <w:sz w:val="32"/>
          <w:szCs w:val="32"/>
          <w:lang w:val="en-US" w:eastAsia="zh-CN"/>
        </w:rPr>
        <w:t>二、</w:t>
      </w:r>
      <w:r>
        <w:rPr>
          <w:rFonts w:hint="eastAsia" w:ascii="方正小标宋_GBK" w:hAnsi="方正小标宋_GBK" w:eastAsia="方正小标宋_GBK" w:cs="方正小标宋_GBK"/>
          <w:b w:val="0"/>
          <w:bCs/>
          <w:color w:val="auto"/>
          <w:sz w:val="32"/>
          <w:szCs w:val="32"/>
        </w:rPr>
        <w:t>法定代表人身份证明及授权委托书</w:t>
      </w:r>
      <w:bookmarkEnd w:id="0"/>
    </w:p>
    <w:p>
      <w:pPr>
        <w:topLinePunct/>
        <w:spacing w:line="440" w:lineRule="exact"/>
        <w:ind w:firstLine="560" w:firstLineChars="200"/>
        <w:jc w:val="center"/>
        <w:outlineLvl w:val="2"/>
        <w:rPr>
          <w:rFonts w:hint="eastAsia" w:ascii="微软雅黑" w:hAnsi="微软雅黑" w:eastAsia="微软雅黑" w:cs="微软雅黑"/>
          <w:b/>
          <w:color w:val="auto"/>
          <w:sz w:val="28"/>
          <w:szCs w:val="28"/>
        </w:rPr>
      </w:pPr>
    </w:p>
    <w:p>
      <w:pPr>
        <w:topLinePunct/>
        <w:spacing w:line="440" w:lineRule="exact"/>
        <w:ind w:firstLine="562" w:firstLineChars="200"/>
        <w:jc w:val="center"/>
        <w:outlineLvl w:val="2"/>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（一）法定代表人身份证明</w:t>
      </w:r>
    </w:p>
    <w:p>
      <w:pPr>
        <w:spacing w:line="440" w:lineRule="exact"/>
        <w:rPr>
          <w:rFonts w:hint="eastAsia" w:ascii="方正仿宋_GBK" w:hAnsi="方正仿宋_GBK" w:eastAsia="方正仿宋_GBK" w:cs="方正仿宋_GBK"/>
          <w:color w:val="auto"/>
          <w:sz w:val="21"/>
          <w:szCs w:val="21"/>
        </w:rPr>
      </w:pPr>
    </w:p>
    <w:p>
      <w:pPr>
        <w:spacing w:line="440" w:lineRule="exact"/>
        <w:rPr>
          <w:color w:val="auto"/>
          <w:szCs w:val="21"/>
          <w:highlight w:val="none"/>
        </w:rPr>
      </w:pPr>
      <w:r>
        <w:rPr>
          <w:rFonts w:hint="eastAsia"/>
          <w:color w:val="auto"/>
          <w:szCs w:val="21"/>
          <w:highlight w:val="none"/>
        </w:rPr>
        <w:t>竞标人名称：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u w:val="singl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rFonts w:hint="eastAsia"/>
          <w:color w:val="auto"/>
          <w:szCs w:val="21"/>
          <w:highlight w:val="none"/>
          <w:u w:val="single"/>
          <w:lang w:val="en-US" w:eastAsia="zh-CN"/>
        </w:rPr>
        <w:t xml:space="preserve"> </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rPr>
        <w:t xml:space="preserve"> </w:t>
      </w:r>
      <w:r>
        <w:rPr>
          <w:rFonts w:hint="eastAsia"/>
          <w:color w:val="auto"/>
          <w:szCs w:val="21"/>
          <w:highlight w:val="none"/>
        </w:rPr>
        <w:t>（竞标人名称）的法定代表人。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rPr>
        <w:t>竞标人：</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420" w:firstLineChars="200"/>
        <w:jc w:val="center"/>
        <w:textAlignment w:val="auto"/>
        <w:outlineLvl w:val="2"/>
        <w:rPr>
          <w:rFonts w:hint="eastAsia" w:ascii="方正仿宋_GBK" w:hAnsi="方正仿宋_GBK" w:eastAsia="方正仿宋_GBK" w:cs="方正仿宋_GBK"/>
          <w:color w:val="auto"/>
          <w:sz w:val="21"/>
          <w:szCs w:val="21"/>
        </w:rPr>
      </w:pPr>
      <w:r>
        <w:rPr>
          <w:rFonts w:hint="eastAsia" w:ascii="宋体" w:hAnsi="宋体"/>
          <w:color w:val="auto"/>
          <w:szCs w:val="21"/>
          <w:highlight w:val="none"/>
        </w:rPr>
        <w:t>注：法定代表人的签字必须是亲笔签名，不得用印章、签名章或其他电子制版签名。</w:t>
      </w:r>
    </w:p>
    <w:p>
      <w:pPr>
        <w:keepNext w:val="0"/>
        <w:keepLines w:val="0"/>
        <w:pageBreakBefore w:val="0"/>
        <w:widowControl w:val="0"/>
        <w:kinsoku/>
        <w:wordWrap/>
        <w:overflowPunct/>
        <w:autoSpaceDE/>
        <w:autoSpaceDN/>
        <w:bidi w:val="0"/>
        <w:adjustRightInd/>
        <w:snapToGrid/>
        <w:spacing w:line="240" w:lineRule="auto"/>
        <w:ind w:left="0" w:leftChars="0" w:right="0" w:rightChars="0"/>
        <w:textAlignment w:val="auto"/>
        <w:rPr>
          <w:rFonts w:ascii="宋体" w:hAnsi="宋体" w:cs="宋体"/>
          <w:b/>
          <w:bCs/>
          <w:sz w:val="21"/>
          <w:szCs w:val="21"/>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422" w:firstLineChars="200"/>
        <w:jc w:val="center"/>
        <w:textAlignment w:val="auto"/>
        <w:outlineLvl w:val="2"/>
        <w:rPr>
          <w:rFonts w:hint="eastAsia" w:ascii="微软雅黑" w:hAnsi="微软雅黑" w:eastAsia="微软雅黑" w:cs="微软雅黑"/>
          <w:b/>
          <w:bCs/>
          <w:color w:val="auto"/>
          <w:sz w:val="28"/>
          <w:szCs w:val="28"/>
        </w:rPr>
      </w:pPr>
      <w:r>
        <w:rPr>
          <w:rFonts w:hint="eastAsia" w:ascii="宋体" w:hAnsi="宋体" w:cs="宋体"/>
          <w:b/>
          <w:bCs/>
          <w:sz w:val="21"/>
          <w:szCs w:val="21"/>
        </w:rPr>
        <w:br w:type="page"/>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 xml:space="preserve">二）授权委托书 </w:t>
      </w:r>
    </w:p>
    <w:p>
      <w:pPr>
        <w:autoSpaceDE w:val="0"/>
        <w:autoSpaceDN w:val="0"/>
        <w:adjustRightInd w:val="0"/>
        <w:snapToGrid w:val="0"/>
        <w:spacing w:line="360" w:lineRule="auto"/>
        <w:jc w:val="left"/>
        <w:rPr>
          <w:rFonts w:hint="eastAsia" w:ascii="微软雅黑" w:hAnsi="微软雅黑" w:eastAsia="微软雅黑" w:cs="微软雅黑"/>
          <w:color w:val="auto"/>
          <w:kern w:val="0"/>
          <w:sz w:val="12"/>
          <w:szCs w:val="12"/>
        </w:rPr>
      </w:pPr>
    </w:p>
    <w:p>
      <w:pPr>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5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本人</w:t>
      </w:r>
      <w:r>
        <w:rPr>
          <w:rFonts w:hint="eastAsia" w:ascii="宋体" w:hAnsi="宋体" w:eastAsia="宋体" w:cs="宋体"/>
          <w:color w:val="auto"/>
          <w:w w:val="200"/>
          <w:kern w:val="0"/>
          <w:sz w:val="21"/>
          <w:szCs w:val="21"/>
          <w:u w:val="single"/>
        </w:rPr>
        <w:t xml:space="preserve">   </w:t>
      </w:r>
      <w:r>
        <w:rPr>
          <w:rFonts w:hint="eastAsia" w:ascii="宋体" w:hAnsi="宋体" w:eastAsia="宋体" w:cs="宋体"/>
          <w:color w:val="auto"/>
          <w:kern w:val="0"/>
          <w:sz w:val="21"/>
          <w:szCs w:val="21"/>
        </w:rPr>
        <w:t>（姓名）系</w:t>
      </w:r>
      <w:r>
        <w:rPr>
          <w:rFonts w:hint="eastAsia" w:ascii="宋体" w:hAnsi="宋体" w:eastAsia="宋体" w:cs="宋体"/>
          <w:color w:val="auto"/>
          <w:w w:val="200"/>
          <w:kern w:val="0"/>
          <w:sz w:val="21"/>
          <w:szCs w:val="21"/>
          <w:u w:val="single"/>
        </w:rPr>
        <w:t xml:space="preserve"> </w:t>
      </w:r>
      <w:r>
        <w:rPr>
          <w:rFonts w:hint="eastAsia" w:ascii="宋体" w:hAnsi="宋体" w:eastAsia="宋体" w:cs="宋体"/>
          <w:color w:val="auto"/>
          <w:w w:val="200"/>
          <w:kern w:val="0"/>
          <w:sz w:val="21"/>
          <w:szCs w:val="21"/>
          <w:u w:val="single"/>
          <w:lang w:val="en-US" w:eastAsia="zh-CN"/>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w:t>
      </w:r>
      <w:r>
        <w:rPr>
          <w:rFonts w:hint="eastAsia" w:ascii="宋体" w:hAnsi="宋体" w:eastAsia="宋体" w:cs="宋体"/>
          <w:color w:val="auto"/>
          <w:spacing w:val="-1"/>
          <w:kern w:val="0"/>
          <w:sz w:val="21"/>
          <w:szCs w:val="21"/>
          <w:lang w:val="en-US" w:eastAsia="zh-CN"/>
        </w:rPr>
        <w:t>报价</w:t>
      </w:r>
      <w:r>
        <w:rPr>
          <w:rFonts w:hint="eastAsia" w:ascii="宋体" w:hAnsi="宋体" w:eastAsia="宋体" w:cs="宋体"/>
          <w:color w:val="auto"/>
          <w:kern w:val="0"/>
          <w:sz w:val="21"/>
          <w:szCs w:val="21"/>
        </w:rPr>
        <w:t>人名称</w:t>
      </w:r>
      <w:r>
        <w:rPr>
          <w:rFonts w:hint="eastAsia" w:ascii="宋体" w:hAnsi="宋体" w:eastAsia="宋体" w:cs="宋体"/>
          <w:color w:val="auto"/>
          <w:spacing w:val="1"/>
          <w:kern w:val="0"/>
          <w:sz w:val="21"/>
          <w:szCs w:val="21"/>
        </w:rPr>
        <w:t>）</w:t>
      </w:r>
      <w:r>
        <w:rPr>
          <w:rFonts w:hint="eastAsia" w:ascii="宋体" w:hAnsi="宋体" w:eastAsia="宋体" w:cs="宋体"/>
          <w:color w:val="auto"/>
          <w:kern w:val="0"/>
          <w:sz w:val="21"/>
          <w:szCs w:val="21"/>
        </w:rPr>
        <w:t>的法定代</w:t>
      </w:r>
      <w:r>
        <w:rPr>
          <w:rFonts w:hint="eastAsia" w:ascii="宋体" w:hAnsi="宋体" w:eastAsia="宋体" w:cs="宋体"/>
          <w:color w:val="auto"/>
          <w:spacing w:val="1"/>
          <w:kern w:val="0"/>
          <w:sz w:val="21"/>
          <w:szCs w:val="21"/>
        </w:rPr>
        <w:t>表</w:t>
      </w:r>
      <w:r>
        <w:rPr>
          <w:rFonts w:hint="eastAsia" w:ascii="宋体" w:hAnsi="宋体" w:eastAsia="宋体" w:cs="宋体"/>
          <w:color w:val="auto"/>
          <w:kern w:val="0"/>
          <w:sz w:val="21"/>
          <w:szCs w:val="21"/>
        </w:rPr>
        <w:t>人，现委托</w:t>
      </w:r>
      <w:r>
        <w:rPr>
          <w:rFonts w:hint="eastAsia" w:ascii="宋体" w:hAnsi="宋体" w:eastAsia="宋体" w:cs="宋体"/>
          <w:color w:val="auto"/>
          <w:w w:val="200"/>
          <w:kern w:val="0"/>
          <w:sz w:val="21"/>
          <w:szCs w:val="21"/>
          <w:u w:val="single"/>
        </w:rPr>
        <w:t xml:space="preserve">    </w:t>
      </w:r>
      <w:r>
        <w:rPr>
          <w:rFonts w:hint="eastAsia" w:ascii="宋体" w:hAnsi="宋体" w:eastAsia="宋体" w:cs="宋体"/>
          <w:color w:val="auto"/>
          <w:kern w:val="0"/>
          <w:sz w:val="21"/>
          <w:szCs w:val="21"/>
        </w:rPr>
        <w:t>（姓名）为我方代理人。</w:t>
      </w:r>
    </w:p>
    <w:p>
      <w:pPr>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5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代理人根据授权，以我方名义签署、澄清、说明、补正、递交、撤回、 修改</w:t>
      </w:r>
      <w:r>
        <w:rPr>
          <w:rFonts w:hint="eastAsia" w:ascii="宋体" w:hAnsi="宋体" w:eastAsia="宋体" w:cs="宋体"/>
          <w:color w:val="auto"/>
          <w:w w:val="200"/>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（项</w:t>
      </w:r>
      <w:r>
        <w:rPr>
          <w:rFonts w:hint="eastAsia" w:ascii="宋体" w:hAnsi="宋体" w:eastAsia="宋体" w:cs="宋体"/>
          <w:color w:val="auto"/>
          <w:spacing w:val="-1"/>
          <w:kern w:val="0"/>
          <w:sz w:val="21"/>
          <w:szCs w:val="21"/>
        </w:rPr>
        <w:t>目</w:t>
      </w:r>
      <w:r>
        <w:rPr>
          <w:rFonts w:hint="eastAsia" w:ascii="宋体" w:hAnsi="宋体" w:eastAsia="宋体" w:cs="宋体"/>
          <w:color w:val="auto"/>
          <w:kern w:val="0"/>
          <w:sz w:val="21"/>
          <w:szCs w:val="21"/>
        </w:rPr>
        <w:t>名称）</w:t>
      </w:r>
      <w:r>
        <w:rPr>
          <w:rFonts w:hint="eastAsia" w:ascii="宋体" w:hAnsi="宋体" w:eastAsia="宋体" w:cs="宋体"/>
          <w:color w:val="auto"/>
          <w:kern w:val="0"/>
          <w:sz w:val="21"/>
          <w:szCs w:val="21"/>
          <w:lang w:val="en-US" w:eastAsia="zh-CN"/>
        </w:rPr>
        <w:t>报价</w:t>
      </w:r>
      <w:r>
        <w:rPr>
          <w:rFonts w:hint="eastAsia" w:ascii="宋体" w:hAnsi="宋体" w:eastAsia="宋体" w:cs="宋体"/>
          <w:color w:val="auto"/>
          <w:kern w:val="0"/>
          <w:sz w:val="21"/>
          <w:szCs w:val="21"/>
        </w:rPr>
        <w:t>文件、签订合同和处理有关事宜， 其法律后果由我方承担。</w:t>
      </w:r>
    </w:p>
    <w:p>
      <w:pPr>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委托</w:t>
      </w:r>
      <w:r>
        <w:rPr>
          <w:rFonts w:hint="eastAsia" w:ascii="宋体" w:hAnsi="宋体" w:eastAsia="宋体" w:cs="宋体"/>
          <w:color w:val="auto"/>
          <w:spacing w:val="-1"/>
          <w:kern w:val="0"/>
          <w:sz w:val="21"/>
          <w:szCs w:val="21"/>
        </w:rPr>
        <w:t>期</w:t>
      </w:r>
      <w:r>
        <w:rPr>
          <w:rFonts w:hint="eastAsia" w:ascii="宋体" w:hAnsi="宋体" w:eastAsia="宋体" w:cs="宋体"/>
          <w:color w:val="auto"/>
          <w:kern w:val="0"/>
          <w:sz w:val="21"/>
          <w:szCs w:val="21"/>
        </w:rPr>
        <w:t>限：</w:t>
      </w:r>
      <w:r>
        <w:rPr>
          <w:rFonts w:hint="eastAsia" w:ascii="宋体" w:hAnsi="宋体" w:eastAsia="宋体" w:cs="宋体"/>
          <w:color w:val="auto"/>
          <w:w w:val="200"/>
          <w:kern w:val="0"/>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none"/>
          <w:lang w:val="en-US" w:eastAsia="zh-CN"/>
        </w:rPr>
        <w:t>（</w:t>
      </w:r>
      <w:r>
        <w:rPr>
          <w:rFonts w:hint="eastAsia" w:ascii="宋体" w:hAnsi="宋体" w:eastAsia="宋体" w:cs="宋体"/>
          <w:color w:val="auto"/>
          <w:kern w:val="0"/>
          <w:sz w:val="21"/>
          <w:szCs w:val="21"/>
          <w:u w:val="none"/>
        </w:rPr>
        <w:t>投标有效期</w:t>
      </w:r>
      <w:r>
        <w:rPr>
          <w:rFonts w:hint="eastAsia" w:ascii="宋体" w:hAnsi="宋体" w:eastAsia="宋体" w:cs="宋体"/>
          <w:color w:val="auto"/>
          <w:kern w:val="0"/>
          <w:sz w:val="21"/>
          <w:szCs w:val="21"/>
          <w:u w:val="none"/>
          <w:lang w:eastAsia="zh-CN"/>
        </w:rPr>
        <w:t>）</w:t>
      </w:r>
      <w:r>
        <w:rPr>
          <w:rFonts w:hint="eastAsia" w:ascii="宋体" w:hAnsi="宋体" w:eastAsia="宋体" w:cs="宋体"/>
          <w:color w:val="auto"/>
          <w:kern w:val="0"/>
          <w:sz w:val="21"/>
          <w:szCs w:val="21"/>
        </w:rPr>
        <w:t xml:space="preserve">。 </w:t>
      </w:r>
    </w:p>
    <w:p>
      <w:pPr>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代理人无转委托权。</w:t>
      </w:r>
    </w:p>
    <w:p>
      <w:pPr>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kern w:val="0"/>
          <w:sz w:val="21"/>
          <w:szCs w:val="21"/>
        </w:rPr>
      </w:pPr>
    </w:p>
    <w:p>
      <w:pPr>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附：法定代表人及委托代理人身份证</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正反面复印件）</w:t>
      </w:r>
      <w:r>
        <w:rPr>
          <w:rFonts w:hint="eastAsia" w:ascii="宋体" w:hAnsi="宋体" w:eastAsia="宋体" w:cs="宋体"/>
          <w:color w:val="auto"/>
          <w:kern w:val="0"/>
          <w:sz w:val="21"/>
          <w:szCs w:val="21"/>
        </w:rPr>
        <w:t>。</w:t>
      </w:r>
    </w:p>
    <w:p>
      <w:pPr>
        <w:pageBreakBefore w:val="0"/>
        <w:widowControl w:val="0"/>
        <w:kinsoku/>
        <w:wordWrap/>
        <w:overflowPunct/>
        <w:topLinePunct w:val="0"/>
        <w:autoSpaceDE w:val="0"/>
        <w:autoSpaceDN w:val="0"/>
        <w:bidi w:val="0"/>
        <w:adjustRightInd w:val="0"/>
        <w:snapToGrid w:val="0"/>
        <w:spacing w:line="360" w:lineRule="auto"/>
        <w:ind w:left="0" w:leftChars="0" w:right="0" w:rightChars="0"/>
        <w:jc w:val="left"/>
        <w:textAlignment w:val="auto"/>
        <w:rPr>
          <w:rFonts w:hint="eastAsia" w:ascii="宋体" w:hAnsi="宋体" w:eastAsia="宋体" w:cs="宋体"/>
          <w:color w:val="auto"/>
          <w:kern w:val="0"/>
          <w:sz w:val="21"/>
          <w:szCs w:val="21"/>
        </w:rPr>
      </w:pPr>
    </w:p>
    <w:p>
      <w:pPr>
        <w:pStyle w:val="2"/>
        <w:spacing w:line="360" w:lineRule="auto"/>
        <w:rPr>
          <w:rFonts w:hint="eastAsia" w:ascii="宋体" w:hAnsi="宋体" w:eastAsia="宋体" w:cs="宋体"/>
          <w:color w:val="auto"/>
          <w:kern w:val="0"/>
          <w:sz w:val="21"/>
          <w:szCs w:val="21"/>
        </w:rPr>
      </w:pPr>
    </w:p>
    <w:p>
      <w:pPr>
        <w:pStyle w:val="2"/>
        <w:spacing w:line="360" w:lineRule="auto"/>
        <w:rPr>
          <w:rFonts w:hint="eastAsia" w:ascii="宋体" w:hAnsi="宋体" w:eastAsia="宋体" w:cs="宋体"/>
          <w:color w:val="auto"/>
          <w:kern w:val="0"/>
          <w:sz w:val="21"/>
          <w:szCs w:val="21"/>
        </w:rPr>
      </w:pPr>
    </w:p>
    <w:p>
      <w:pPr>
        <w:pStyle w:val="2"/>
        <w:spacing w:line="360" w:lineRule="auto"/>
        <w:rPr>
          <w:rFonts w:hint="eastAsia" w:ascii="宋体" w:hAnsi="宋体" w:eastAsia="宋体" w:cs="宋体"/>
          <w:color w:val="auto"/>
          <w:kern w:val="0"/>
          <w:sz w:val="21"/>
          <w:szCs w:val="21"/>
        </w:rPr>
      </w:pPr>
    </w:p>
    <w:p>
      <w:pPr>
        <w:pStyle w:val="2"/>
        <w:spacing w:line="360" w:lineRule="auto"/>
        <w:rPr>
          <w:rFonts w:hint="eastAsia" w:ascii="宋体" w:hAnsi="宋体" w:eastAsia="宋体" w:cs="宋体"/>
          <w:color w:val="auto"/>
          <w:kern w:val="0"/>
          <w:sz w:val="21"/>
          <w:szCs w:val="21"/>
        </w:rPr>
      </w:pPr>
    </w:p>
    <w:p>
      <w:pPr>
        <w:pStyle w:val="2"/>
        <w:spacing w:line="360" w:lineRule="auto"/>
        <w:rPr>
          <w:rFonts w:hint="eastAsia" w:ascii="宋体" w:hAnsi="宋体" w:eastAsia="宋体" w:cs="宋体"/>
          <w:color w:val="auto"/>
          <w:kern w:val="0"/>
          <w:sz w:val="21"/>
          <w:szCs w:val="21"/>
        </w:rPr>
      </w:pPr>
    </w:p>
    <w:p>
      <w:pPr>
        <w:pStyle w:val="2"/>
        <w:spacing w:line="360" w:lineRule="auto"/>
        <w:rPr>
          <w:rFonts w:hint="eastAsia" w:ascii="宋体" w:hAnsi="宋体" w:eastAsia="宋体" w:cs="宋体"/>
          <w:color w:val="auto"/>
          <w:kern w:val="0"/>
          <w:sz w:val="21"/>
          <w:szCs w:val="21"/>
        </w:rPr>
      </w:pPr>
    </w:p>
    <w:p>
      <w:pPr>
        <w:pageBreakBefore w:val="0"/>
        <w:widowControl w:val="0"/>
        <w:kinsoku/>
        <w:wordWrap/>
        <w:overflowPunct/>
        <w:topLinePunct w:val="0"/>
        <w:autoSpaceDE w:val="0"/>
        <w:autoSpaceDN w:val="0"/>
        <w:bidi w:val="0"/>
        <w:adjustRightInd w:val="0"/>
        <w:snapToGrid w:val="0"/>
        <w:spacing w:line="360" w:lineRule="auto"/>
        <w:ind w:left="0" w:leftChars="0" w:right="0" w:rightChars="0"/>
        <w:jc w:val="left"/>
        <w:textAlignment w:val="auto"/>
        <w:rPr>
          <w:rFonts w:hint="eastAsia" w:ascii="宋体" w:hAnsi="宋体" w:eastAsia="宋体" w:cs="宋体"/>
          <w:color w:val="auto"/>
          <w:kern w:val="0"/>
          <w:sz w:val="21"/>
          <w:szCs w:val="21"/>
        </w:rPr>
      </w:pPr>
    </w:p>
    <w:p>
      <w:pPr>
        <w:pageBreakBefore w:val="0"/>
        <w:widowControl w:val="0"/>
        <w:tabs>
          <w:tab w:val="left" w:pos="4200"/>
          <w:tab w:val="left" w:pos="4620"/>
        </w:tabs>
        <w:kinsoku/>
        <w:wordWrap/>
        <w:overflowPunct/>
        <w:topLinePunct w:val="0"/>
        <w:autoSpaceDE w:val="0"/>
        <w:autoSpaceDN w:val="0"/>
        <w:bidi w:val="0"/>
        <w:adjustRightInd w:val="0"/>
        <w:snapToGrid w:val="0"/>
        <w:spacing w:line="360" w:lineRule="auto"/>
        <w:ind w:left="0" w:leftChars="0" w:right="0" w:rightChars="0" w:firstLine="1694"/>
        <w:jc w:val="left"/>
        <w:textAlignment w:val="auto"/>
        <w:rPr>
          <w:rFonts w:hint="eastAsia" w:ascii="宋体" w:hAnsi="宋体" w:eastAsia="宋体" w:cs="宋体"/>
          <w:color w:val="auto"/>
          <w:kern w:val="0"/>
          <w:sz w:val="21"/>
          <w:szCs w:val="21"/>
        </w:rPr>
      </w:pPr>
    </w:p>
    <w:p>
      <w:pPr>
        <w:pageBreakBefore w:val="0"/>
        <w:widowControl w:val="0"/>
        <w:tabs>
          <w:tab w:val="left" w:pos="4200"/>
          <w:tab w:val="left" w:pos="4620"/>
        </w:tabs>
        <w:kinsoku/>
        <w:wordWrap/>
        <w:overflowPunct/>
        <w:topLinePunct w:val="0"/>
        <w:autoSpaceDE w:val="0"/>
        <w:autoSpaceDN w:val="0"/>
        <w:bidi w:val="0"/>
        <w:adjustRightInd w:val="0"/>
        <w:snapToGrid w:val="0"/>
        <w:spacing w:line="360" w:lineRule="auto"/>
        <w:ind w:left="0" w:leftChars="0" w:right="0" w:rightChars="0" w:firstLine="2520" w:firstLineChars="1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spacing w:val="-1"/>
          <w:kern w:val="0"/>
          <w:sz w:val="21"/>
          <w:szCs w:val="21"/>
        </w:rPr>
        <w:t>盖</w:t>
      </w:r>
      <w:r>
        <w:rPr>
          <w:rFonts w:hint="eastAsia" w:ascii="宋体" w:hAnsi="宋体" w:eastAsia="宋体" w:cs="宋体"/>
          <w:color w:val="auto"/>
          <w:kern w:val="0"/>
          <w:sz w:val="21"/>
          <w:szCs w:val="21"/>
        </w:rPr>
        <w:t>单位公章）：</w:t>
      </w:r>
      <w:r>
        <w:rPr>
          <w:rFonts w:hint="eastAsia" w:ascii="宋体" w:hAnsi="宋体" w:eastAsia="宋体" w:cs="宋体"/>
          <w:color w:val="auto"/>
          <w:w w:val="200"/>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pageBreakBefore w:val="0"/>
        <w:widowControl w:val="0"/>
        <w:tabs>
          <w:tab w:val="left" w:pos="6300"/>
        </w:tabs>
        <w:kinsoku/>
        <w:wordWrap/>
        <w:overflowPunct/>
        <w:topLinePunct w:val="0"/>
        <w:autoSpaceDE w:val="0"/>
        <w:autoSpaceDN w:val="0"/>
        <w:bidi w:val="0"/>
        <w:adjustRightInd w:val="0"/>
        <w:snapToGrid w:val="0"/>
        <w:spacing w:line="360" w:lineRule="auto"/>
        <w:ind w:left="0" w:leftChars="0" w:right="0" w:rightChars="0" w:firstLine="2520" w:firstLineChars="1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手写</w:t>
      </w:r>
      <w:r>
        <w:rPr>
          <w:rFonts w:hint="eastAsia" w:ascii="宋体" w:hAnsi="宋体" w:eastAsia="宋体" w:cs="宋体"/>
          <w:color w:val="auto"/>
          <w:kern w:val="0"/>
          <w:sz w:val="21"/>
          <w:szCs w:val="21"/>
        </w:rPr>
        <w:t>签字）</w:t>
      </w:r>
    </w:p>
    <w:p>
      <w:pPr>
        <w:pageBreakBefore w:val="0"/>
        <w:widowControl w:val="0"/>
        <w:tabs>
          <w:tab w:val="left" w:pos="5260"/>
        </w:tabs>
        <w:kinsoku/>
        <w:wordWrap/>
        <w:overflowPunct/>
        <w:topLinePunct w:val="0"/>
        <w:autoSpaceDE w:val="0"/>
        <w:autoSpaceDN w:val="0"/>
        <w:bidi w:val="0"/>
        <w:adjustRightInd w:val="0"/>
        <w:snapToGrid w:val="0"/>
        <w:spacing w:line="360" w:lineRule="auto"/>
        <w:ind w:left="0" w:leftChars="0" w:right="0" w:rightChars="0" w:firstLine="2520" w:firstLineChars="1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身份证号码：</w:t>
      </w:r>
      <w:r>
        <w:rPr>
          <w:rFonts w:hint="eastAsia" w:ascii="宋体" w:hAnsi="宋体" w:eastAsia="宋体" w:cs="宋体"/>
          <w:color w:val="auto"/>
          <w:w w:val="200"/>
          <w:kern w:val="0"/>
          <w:sz w:val="21"/>
          <w:szCs w:val="21"/>
          <w:u w:val="single"/>
        </w:rPr>
        <w:t xml:space="preserve">               </w:t>
      </w:r>
      <w:r>
        <w:rPr>
          <w:rFonts w:hint="eastAsia" w:ascii="宋体" w:hAnsi="宋体" w:eastAsia="宋体" w:cs="宋体"/>
          <w:color w:val="auto"/>
          <w:kern w:val="0"/>
          <w:sz w:val="21"/>
          <w:szCs w:val="21"/>
          <w:u w:val="single"/>
        </w:rPr>
        <w:tab/>
      </w:r>
    </w:p>
    <w:p>
      <w:pPr>
        <w:pageBreakBefore w:val="0"/>
        <w:widowControl w:val="0"/>
        <w:tabs>
          <w:tab w:val="left" w:pos="6720"/>
        </w:tabs>
        <w:kinsoku/>
        <w:wordWrap/>
        <w:overflowPunct/>
        <w:topLinePunct w:val="0"/>
        <w:autoSpaceDE w:val="0"/>
        <w:autoSpaceDN w:val="0"/>
        <w:bidi w:val="0"/>
        <w:adjustRightInd w:val="0"/>
        <w:snapToGrid w:val="0"/>
        <w:spacing w:line="360" w:lineRule="auto"/>
        <w:ind w:left="0" w:leftChars="0" w:right="0" w:rightChars="0" w:firstLine="2520" w:firstLineChars="1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委托代理人：</w:t>
      </w:r>
      <w:r>
        <w:rPr>
          <w:rFonts w:hint="eastAsia" w:ascii="宋体" w:hAnsi="宋体" w:eastAsia="宋体" w:cs="宋体"/>
          <w:color w:val="auto"/>
          <w:w w:val="200"/>
          <w:kern w:val="0"/>
          <w:sz w:val="21"/>
          <w:szCs w:val="21"/>
          <w:u w:val="single"/>
        </w:rPr>
        <w:t xml:space="preserve"> </w:t>
      </w:r>
      <w:r>
        <w:rPr>
          <w:rFonts w:hint="eastAsia" w:ascii="宋体" w:hAnsi="宋体" w:eastAsia="宋体" w:cs="宋体"/>
          <w:color w:val="auto"/>
          <w:w w:val="200"/>
          <w:kern w:val="0"/>
          <w:sz w:val="21"/>
          <w:szCs w:val="21"/>
          <w:u w:val="single"/>
          <w:lang w:val="en-US" w:eastAsia="zh-CN"/>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手写</w:t>
      </w:r>
      <w:r>
        <w:rPr>
          <w:rFonts w:hint="eastAsia" w:ascii="宋体" w:hAnsi="宋体" w:eastAsia="宋体" w:cs="宋体"/>
          <w:color w:val="auto"/>
          <w:kern w:val="0"/>
          <w:sz w:val="21"/>
          <w:szCs w:val="21"/>
        </w:rPr>
        <w:t>签</w:t>
      </w:r>
      <w:r>
        <w:rPr>
          <w:rFonts w:hint="eastAsia" w:ascii="宋体" w:hAnsi="宋体" w:eastAsia="宋体" w:cs="宋体"/>
          <w:color w:val="auto"/>
          <w:spacing w:val="-1"/>
          <w:kern w:val="0"/>
          <w:sz w:val="21"/>
          <w:szCs w:val="21"/>
        </w:rPr>
        <w:t>字</w:t>
      </w:r>
      <w:r>
        <w:rPr>
          <w:rFonts w:hint="eastAsia" w:ascii="宋体" w:hAnsi="宋体" w:eastAsia="宋体" w:cs="宋体"/>
          <w:color w:val="auto"/>
          <w:kern w:val="0"/>
          <w:sz w:val="21"/>
          <w:szCs w:val="21"/>
        </w:rPr>
        <w:t>）</w:t>
      </w:r>
    </w:p>
    <w:p>
      <w:pPr>
        <w:pageBreakBefore w:val="0"/>
        <w:widowControl w:val="0"/>
        <w:tabs>
          <w:tab w:val="left" w:pos="6825"/>
        </w:tabs>
        <w:kinsoku/>
        <w:wordWrap/>
        <w:overflowPunct/>
        <w:topLinePunct w:val="0"/>
        <w:autoSpaceDE w:val="0"/>
        <w:autoSpaceDN w:val="0"/>
        <w:bidi w:val="0"/>
        <w:adjustRightInd w:val="0"/>
        <w:snapToGrid w:val="0"/>
        <w:spacing w:line="360" w:lineRule="auto"/>
        <w:ind w:left="0" w:leftChars="0" w:right="0" w:rightChars="0" w:firstLine="2520" w:firstLineChars="1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身份证号码：</w:t>
      </w:r>
      <w:r>
        <w:rPr>
          <w:rFonts w:hint="eastAsia" w:ascii="宋体" w:hAnsi="宋体" w:eastAsia="宋体" w:cs="宋体"/>
          <w:color w:val="auto"/>
          <w:w w:val="200"/>
          <w:kern w:val="0"/>
          <w:sz w:val="21"/>
          <w:szCs w:val="21"/>
          <w:u w:val="single"/>
        </w:rPr>
        <w:t xml:space="preserve"> </w:t>
      </w:r>
      <w:r>
        <w:rPr>
          <w:rFonts w:hint="eastAsia" w:ascii="宋体" w:hAnsi="宋体" w:eastAsia="宋体" w:cs="宋体"/>
          <w:color w:val="auto"/>
          <w:w w:val="200"/>
          <w:kern w:val="0"/>
          <w:sz w:val="21"/>
          <w:szCs w:val="21"/>
          <w:u w:val="single"/>
          <w:lang w:val="en-US" w:eastAsia="zh-CN"/>
        </w:rPr>
        <w:t xml:space="preserve">               </w:t>
      </w:r>
    </w:p>
    <w:p>
      <w:pPr>
        <w:pStyle w:val="11"/>
        <w:pageBreakBefore w:val="0"/>
        <w:widowControl w:val="0"/>
        <w:kinsoku/>
        <w:wordWrap/>
        <w:overflowPunct/>
        <w:topLinePunct w:val="0"/>
        <w:bidi w:val="0"/>
        <w:spacing w:line="360" w:lineRule="auto"/>
        <w:ind w:left="0" w:leftChars="0" w:right="0" w:rightChars="0" w:firstLine="1440" w:firstLineChars="600"/>
        <w:jc w:val="center"/>
        <w:textAlignment w:val="auto"/>
        <w:rPr>
          <w:rFonts w:hint="eastAsia" w:ascii="微软雅黑" w:hAnsi="微软雅黑" w:eastAsia="微软雅黑" w:cs="微软雅黑"/>
          <w:b/>
          <w:bCs/>
          <w:color w:val="auto"/>
          <w:sz w:val="32"/>
          <w:szCs w:val="32"/>
          <w:lang w:val="en-US" w:eastAsia="zh-CN"/>
        </w:rPr>
      </w:pPr>
      <w:bookmarkStart w:id="1" w:name="_Toc359423788"/>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w:t>
      </w:r>
      <w:r>
        <w:rPr>
          <w:rFonts w:hint="eastAsia" w:ascii="宋体" w:hAnsi="宋体" w:eastAsia="宋体" w:cs="宋体"/>
          <w:b/>
          <w:color w:val="auto"/>
          <w:sz w:val="21"/>
          <w:szCs w:val="21"/>
        </w:rPr>
        <w:br w:type="page"/>
      </w:r>
      <w:bookmarkEnd w:id="1"/>
      <w:r>
        <w:rPr>
          <w:rFonts w:hint="eastAsia" w:ascii="方正小标宋_GBK" w:hAnsi="方正小标宋_GBK" w:eastAsia="方正小标宋_GBK" w:cs="方正小标宋_GBK"/>
          <w:b/>
          <w:color w:val="auto"/>
          <w:sz w:val="32"/>
          <w:szCs w:val="32"/>
          <w:lang w:val="en-US" w:eastAsia="zh-CN"/>
        </w:rPr>
        <w:t>三、</w:t>
      </w:r>
      <w:r>
        <w:rPr>
          <w:rFonts w:hint="eastAsia" w:ascii="方正小标宋_GBK" w:hAnsi="方正小标宋_GBK" w:eastAsia="方正小标宋_GBK" w:cs="方正小标宋_GBK"/>
          <w:b w:val="0"/>
          <w:bCs w:val="0"/>
          <w:color w:val="auto"/>
          <w:sz w:val="32"/>
          <w:szCs w:val="32"/>
          <w:lang w:val="en-US" w:eastAsia="zh-CN"/>
        </w:rPr>
        <w:t>保险方案及报价</w:t>
      </w:r>
    </w:p>
    <w:p>
      <w:pPr>
        <w:numPr>
          <w:ilvl w:val="0"/>
          <w:numId w:val="0"/>
        </w:numPr>
        <w:topLinePunct/>
        <w:spacing w:line="440" w:lineRule="exact"/>
        <w:jc w:val="center"/>
        <w:outlineLvl w:val="2"/>
        <w:rPr>
          <w:rFonts w:hint="eastAsia" w:ascii="宋体" w:hAnsi="宋体" w:eastAsia="宋体" w:cs="宋体"/>
          <w:b/>
          <w:bCs/>
          <w:color w:val="auto"/>
          <w:sz w:val="28"/>
          <w:szCs w:val="28"/>
          <w:lang w:val="en-US" w:eastAsia="zh-CN"/>
        </w:rPr>
      </w:pPr>
    </w:p>
    <w:p>
      <w:pPr>
        <w:numPr>
          <w:ilvl w:val="0"/>
          <w:numId w:val="0"/>
        </w:numPr>
        <w:topLinePunct/>
        <w:spacing w:line="440" w:lineRule="exact"/>
        <w:jc w:val="center"/>
        <w:outlineLvl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重庆中渝高速公路有限公司公众责任险保险项目报价方案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30"/>
        <w:gridCol w:w="1967"/>
        <w:gridCol w:w="980"/>
        <w:gridCol w:w="1346"/>
        <w:gridCol w:w="760"/>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8" w:type="dxa"/>
            <w:gridSpan w:val="2"/>
            <w:noWrap w:val="0"/>
            <w:vAlign w:val="center"/>
          </w:tcPr>
          <w:p>
            <w:pPr>
              <w:numPr>
                <w:ilvl w:val="0"/>
                <w:numId w:val="0"/>
              </w:numPr>
              <w:jc w:val="center"/>
              <w:rPr>
                <w:rFonts w:hint="eastAsia" w:ascii="等线" w:hAnsi="等线" w:eastAsia="等线" w:cs="等线"/>
                <w:b/>
                <w:bCs/>
                <w:color w:val="auto"/>
                <w:sz w:val="18"/>
                <w:szCs w:val="18"/>
                <w:vertAlign w:val="baseline"/>
                <w:lang w:val="en-US" w:eastAsia="zh-CN"/>
              </w:rPr>
            </w:pPr>
            <w:r>
              <w:rPr>
                <w:rFonts w:hint="eastAsia" w:ascii="等线" w:hAnsi="等线" w:eastAsia="等线" w:cs="等线"/>
                <w:b/>
                <w:bCs/>
                <w:color w:val="auto"/>
                <w:sz w:val="18"/>
                <w:szCs w:val="18"/>
                <w:vertAlign w:val="baseline"/>
                <w:lang w:val="en-US" w:eastAsia="zh-CN"/>
              </w:rPr>
              <w:t>险种名称</w:t>
            </w:r>
          </w:p>
        </w:tc>
        <w:tc>
          <w:tcPr>
            <w:tcW w:w="1967" w:type="dxa"/>
            <w:noWrap w:val="0"/>
            <w:vAlign w:val="center"/>
          </w:tcPr>
          <w:p>
            <w:pPr>
              <w:numPr>
                <w:ilvl w:val="0"/>
                <w:numId w:val="0"/>
              </w:numPr>
              <w:jc w:val="center"/>
              <w:rPr>
                <w:rFonts w:hint="eastAsia" w:ascii="等线" w:hAnsi="等线" w:eastAsia="等线" w:cs="等线"/>
                <w:b/>
                <w:bCs/>
                <w:color w:val="auto"/>
                <w:sz w:val="18"/>
                <w:szCs w:val="18"/>
                <w:vertAlign w:val="baseline"/>
                <w:lang w:val="en-US" w:eastAsia="zh-CN"/>
              </w:rPr>
            </w:pPr>
            <w:r>
              <w:rPr>
                <w:rFonts w:hint="eastAsia" w:ascii="等线" w:hAnsi="等线" w:eastAsia="等线" w:cs="等线"/>
                <w:b/>
                <w:bCs/>
                <w:color w:val="auto"/>
                <w:sz w:val="18"/>
                <w:szCs w:val="18"/>
                <w:vertAlign w:val="baseline"/>
                <w:lang w:val="en-US" w:eastAsia="zh-CN"/>
              </w:rPr>
              <w:t>主要保险责任</w:t>
            </w:r>
          </w:p>
        </w:tc>
        <w:tc>
          <w:tcPr>
            <w:tcW w:w="2326" w:type="dxa"/>
            <w:gridSpan w:val="2"/>
            <w:noWrap w:val="0"/>
            <w:vAlign w:val="center"/>
          </w:tcPr>
          <w:p>
            <w:pPr>
              <w:numPr>
                <w:ilvl w:val="0"/>
                <w:numId w:val="0"/>
              </w:numPr>
              <w:jc w:val="center"/>
              <w:rPr>
                <w:rFonts w:hint="eastAsia" w:ascii="等线" w:hAnsi="等线" w:eastAsia="等线" w:cs="等线"/>
                <w:b/>
                <w:bCs/>
                <w:color w:val="auto"/>
                <w:sz w:val="18"/>
                <w:szCs w:val="18"/>
                <w:vertAlign w:val="baseline"/>
                <w:lang w:val="en-US" w:eastAsia="zh-CN"/>
              </w:rPr>
            </w:pPr>
            <w:r>
              <w:rPr>
                <w:rFonts w:hint="eastAsia" w:ascii="等线" w:hAnsi="等线" w:eastAsia="等线" w:cs="等线"/>
                <w:b/>
                <w:bCs/>
                <w:color w:val="auto"/>
                <w:sz w:val="18"/>
                <w:szCs w:val="18"/>
                <w:vertAlign w:val="baseline"/>
                <w:lang w:val="en-US" w:eastAsia="zh-CN"/>
              </w:rPr>
              <w:t>赔偿限额</w:t>
            </w:r>
          </w:p>
        </w:tc>
        <w:tc>
          <w:tcPr>
            <w:tcW w:w="760" w:type="dxa"/>
            <w:noWrap w:val="0"/>
            <w:vAlign w:val="center"/>
          </w:tcPr>
          <w:p>
            <w:pPr>
              <w:numPr>
                <w:ilvl w:val="0"/>
                <w:numId w:val="0"/>
              </w:numPr>
              <w:jc w:val="center"/>
              <w:rPr>
                <w:rFonts w:hint="eastAsia" w:ascii="等线" w:hAnsi="等线" w:eastAsia="等线" w:cs="等线"/>
                <w:b/>
                <w:bCs/>
                <w:color w:val="auto"/>
                <w:sz w:val="18"/>
                <w:szCs w:val="18"/>
                <w:vertAlign w:val="baseline"/>
                <w:lang w:val="en-US" w:eastAsia="zh-CN"/>
              </w:rPr>
            </w:pPr>
            <w:r>
              <w:rPr>
                <w:rFonts w:hint="eastAsia" w:ascii="等线" w:hAnsi="等线" w:eastAsia="等线" w:cs="等线"/>
                <w:b/>
                <w:bCs/>
                <w:color w:val="auto"/>
                <w:sz w:val="18"/>
                <w:szCs w:val="18"/>
                <w:vertAlign w:val="baseline"/>
                <w:lang w:val="en-US" w:eastAsia="zh-CN"/>
              </w:rPr>
              <w:t>费率</w:t>
            </w:r>
          </w:p>
        </w:tc>
        <w:tc>
          <w:tcPr>
            <w:tcW w:w="1174" w:type="dxa"/>
            <w:noWrap w:val="0"/>
            <w:vAlign w:val="center"/>
          </w:tcPr>
          <w:p>
            <w:pPr>
              <w:numPr>
                <w:ilvl w:val="0"/>
                <w:numId w:val="0"/>
              </w:numPr>
              <w:jc w:val="center"/>
              <w:rPr>
                <w:rFonts w:hint="eastAsia" w:ascii="等线" w:hAnsi="等线" w:eastAsia="等线" w:cs="等线"/>
                <w:b/>
                <w:bCs/>
                <w:color w:val="auto"/>
                <w:sz w:val="18"/>
                <w:szCs w:val="18"/>
                <w:vertAlign w:val="baseline"/>
                <w:lang w:val="en-US" w:eastAsia="zh-CN"/>
              </w:rPr>
            </w:pPr>
            <w:r>
              <w:rPr>
                <w:rFonts w:hint="eastAsia" w:ascii="等线" w:hAnsi="等线" w:eastAsia="等线" w:cs="等线"/>
                <w:b/>
                <w:bCs/>
                <w:color w:val="auto"/>
                <w:sz w:val="18"/>
                <w:szCs w:val="18"/>
                <w:vertAlign w:val="baseline"/>
                <w:lang w:val="en-US" w:eastAsia="zh-CN"/>
              </w:rPr>
              <w:t>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78" w:type="dxa"/>
            <w:vMerge w:val="restart"/>
            <w:noWrap w:val="0"/>
            <w:vAlign w:val="center"/>
          </w:tcPr>
          <w:p>
            <w:pPr>
              <w:numPr>
                <w:ilvl w:val="0"/>
                <w:numId w:val="0"/>
              </w:numPr>
              <w:jc w:val="center"/>
              <w:rPr>
                <w:rFonts w:hint="eastAsia" w:ascii="等线" w:hAnsi="等线" w:eastAsia="等线" w:cs="等线"/>
                <w:color w:val="auto"/>
                <w:sz w:val="18"/>
                <w:szCs w:val="18"/>
                <w:vertAlign w:val="baseline"/>
                <w:lang w:val="en-US" w:eastAsia="zh-CN"/>
              </w:rPr>
            </w:pPr>
            <w:r>
              <w:rPr>
                <w:rFonts w:hint="eastAsia" w:ascii="等线" w:hAnsi="等线" w:eastAsia="等线" w:cs="等线"/>
                <w:color w:val="auto"/>
                <w:sz w:val="18"/>
                <w:szCs w:val="18"/>
                <w:vertAlign w:val="baseline"/>
                <w:lang w:val="en-US" w:eastAsia="zh-CN"/>
              </w:rPr>
              <w:t>主险</w:t>
            </w:r>
          </w:p>
        </w:tc>
        <w:tc>
          <w:tcPr>
            <w:tcW w:w="1630" w:type="dxa"/>
            <w:vMerge w:val="restart"/>
            <w:noWrap w:val="0"/>
            <w:vAlign w:val="center"/>
          </w:tcPr>
          <w:p>
            <w:pPr>
              <w:numPr>
                <w:ilvl w:val="0"/>
                <w:numId w:val="0"/>
              </w:numPr>
              <w:jc w:val="center"/>
              <w:rPr>
                <w:rFonts w:hint="eastAsia" w:ascii="等线" w:hAnsi="等线" w:eastAsia="等线" w:cs="等线"/>
                <w:color w:val="auto"/>
                <w:sz w:val="18"/>
                <w:szCs w:val="18"/>
                <w:vertAlign w:val="baseline"/>
                <w:lang w:val="en-US" w:eastAsia="zh-CN"/>
              </w:rPr>
            </w:pPr>
            <w:r>
              <w:rPr>
                <w:rFonts w:hint="eastAsia" w:ascii="等线" w:hAnsi="等线" w:eastAsia="等线" w:cs="等线"/>
                <w:color w:val="auto"/>
                <w:sz w:val="18"/>
                <w:szCs w:val="18"/>
                <w:vertAlign w:val="baseline"/>
                <w:lang w:val="en-US" w:eastAsia="zh-CN"/>
              </w:rPr>
              <w:t>公众责任险</w:t>
            </w:r>
          </w:p>
        </w:tc>
        <w:tc>
          <w:tcPr>
            <w:tcW w:w="1967" w:type="dxa"/>
            <w:vMerge w:val="restart"/>
            <w:noWrap w:val="0"/>
            <w:vAlign w:val="center"/>
          </w:tcPr>
          <w:p>
            <w:pPr>
              <w:numPr>
                <w:ilvl w:val="0"/>
                <w:numId w:val="0"/>
              </w:numPr>
              <w:jc w:val="center"/>
              <w:rPr>
                <w:rFonts w:hint="eastAsia" w:ascii="等线" w:hAnsi="等线" w:eastAsia="等线" w:cs="等线"/>
                <w:color w:val="auto"/>
                <w:sz w:val="18"/>
                <w:szCs w:val="18"/>
                <w:vertAlign w:val="baseline"/>
                <w:lang w:val="en-US" w:eastAsia="zh-CN"/>
              </w:rPr>
            </w:pPr>
            <w:r>
              <w:rPr>
                <w:rFonts w:hint="eastAsia" w:ascii="等线" w:hAnsi="等线" w:eastAsia="等线" w:cs="等线"/>
                <w:color w:val="auto"/>
                <w:sz w:val="18"/>
                <w:szCs w:val="18"/>
              </w:rPr>
              <w:t>在保险期间内，被保险人在本保险单明细表列明的区域范围内从事经营业务时，因过失导致发生意外事故，造成第三者人身伤亡和/或财产损失，依照中华人民共和国法律（不包括港澳台地区法律）应由被保险人承担的经济赔偿责任，保险人按照本保险合同约定负责赔偿</w:t>
            </w:r>
          </w:p>
        </w:tc>
        <w:tc>
          <w:tcPr>
            <w:tcW w:w="980" w:type="dxa"/>
            <w:noWrap w:val="0"/>
            <w:vAlign w:val="center"/>
          </w:tcPr>
          <w:p>
            <w:pPr>
              <w:numPr>
                <w:ilvl w:val="0"/>
                <w:numId w:val="0"/>
              </w:numPr>
              <w:jc w:val="center"/>
              <w:rPr>
                <w:rFonts w:hint="eastAsia" w:ascii="等线" w:hAnsi="等线" w:eastAsia="等线" w:cs="等线"/>
                <w:color w:val="auto"/>
                <w:sz w:val="18"/>
                <w:szCs w:val="18"/>
                <w:vertAlign w:val="baseline"/>
                <w:lang w:val="en-US" w:eastAsia="zh-CN"/>
              </w:rPr>
            </w:pPr>
            <w:r>
              <w:rPr>
                <w:rFonts w:hint="eastAsia" w:ascii="等线" w:hAnsi="等线" w:eastAsia="等线" w:cs="等线"/>
                <w:color w:val="auto"/>
                <w:sz w:val="18"/>
                <w:szCs w:val="18"/>
                <w:vertAlign w:val="baseline"/>
                <w:lang w:val="en-US" w:eastAsia="zh-CN"/>
              </w:rPr>
              <w:t>累计赔偿限额</w:t>
            </w:r>
          </w:p>
        </w:tc>
        <w:tc>
          <w:tcPr>
            <w:tcW w:w="1346" w:type="dxa"/>
            <w:noWrap w:val="0"/>
            <w:vAlign w:val="center"/>
          </w:tcPr>
          <w:p>
            <w:pPr>
              <w:numPr>
                <w:ilvl w:val="0"/>
                <w:numId w:val="0"/>
              </w:numPr>
              <w:jc w:val="center"/>
              <w:rPr>
                <w:rFonts w:hint="eastAsia" w:ascii="等线" w:hAnsi="等线" w:eastAsia="等线" w:cs="等线"/>
                <w:color w:val="auto"/>
                <w:sz w:val="18"/>
                <w:szCs w:val="18"/>
                <w:vertAlign w:val="baseline"/>
                <w:lang w:val="en-US" w:eastAsia="zh-CN"/>
              </w:rPr>
            </w:pPr>
            <w:r>
              <w:rPr>
                <w:rFonts w:hint="eastAsia" w:ascii="等线" w:hAnsi="等线" w:eastAsia="等线" w:cs="等线"/>
                <w:color w:val="auto"/>
                <w:sz w:val="18"/>
                <w:szCs w:val="18"/>
                <w:vertAlign w:val="baseline"/>
                <w:lang w:val="en-US" w:eastAsia="zh-CN"/>
              </w:rPr>
              <w:t>RMB600万元</w:t>
            </w:r>
          </w:p>
        </w:tc>
        <w:tc>
          <w:tcPr>
            <w:tcW w:w="760" w:type="dxa"/>
            <w:vMerge w:val="restart"/>
            <w:noWrap w:val="0"/>
            <w:vAlign w:val="center"/>
          </w:tcPr>
          <w:p>
            <w:pPr>
              <w:numPr>
                <w:ilvl w:val="0"/>
                <w:numId w:val="0"/>
              </w:numPr>
              <w:jc w:val="center"/>
              <w:rPr>
                <w:rFonts w:hint="eastAsia" w:ascii="等线" w:hAnsi="等线" w:eastAsia="等线" w:cs="等线"/>
                <w:color w:val="auto"/>
                <w:sz w:val="18"/>
                <w:szCs w:val="18"/>
                <w:vertAlign w:val="baseline"/>
                <w:lang w:val="en-US" w:eastAsia="zh-CN"/>
              </w:rPr>
            </w:pPr>
          </w:p>
        </w:tc>
        <w:tc>
          <w:tcPr>
            <w:tcW w:w="1174" w:type="dxa"/>
            <w:vMerge w:val="restart"/>
            <w:noWrap w:val="0"/>
            <w:vAlign w:val="center"/>
          </w:tcPr>
          <w:p>
            <w:pPr>
              <w:numPr>
                <w:ilvl w:val="0"/>
                <w:numId w:val="0"/>
              </w:numPr>
              <w:jc w:val="center"/>
              <w:rPr>
                <w:rFonts w:hint="eastAsia" w:ascii="等线" w:hAnsi="等线" w:eastAsia="等线" w:cs="等线"/>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978" w:type="dxa"/>
            <w:vMerge w:val="continue"/>
            <w:noWrap w:val="0"/>
            <w:vAlign w:val="center"/>
          </w:tcPr>
          <w:p>
            <w:pPr>
              <w:rPr>
                <w:rFonts w:hint="eastAsia" w:ascii="等线" w:hAnsi="等线" w:eastAsia="等线" w:cs="等线"/>
                <w:color w:val="auto"/>
                <w:sz w:val="18"/>
                <w:szCs w:val="18"/>
              </w:rPr>
            </w:pPr>
          </w:p>
        </w:tc>
        <w:tc>
          <w:tcPr>
            <w:tcW w:w="1630" w:type="dxa"/>
            <w:vMerge w:val="continue"/>
            <w:noWrap w:val="0"/>
            <w:vAlign w:val="center"/>
          </w:tcPr>
          <w:p>
            <w:pPr>
              <w:rPr>
                <w:rFonts w:hint="eastAsia" w:ascii="等线" w:hAnsi="等线" w:eastAsia="等线" w:cs="等线"/>
                <w:color w:val="auto"/>
                <w:sz w:val="18"/>
                <w:szCs w:val="18"/>
              </w:rPr>
            </w:pPr>
          </w:p>
        </w:tc>
        <w:tc>
          <w:tcPr>
            <w:tcW w:w="1967" w:type="dxa"/>
            <w:vMerge w:val="continue"/>
            <w:noWrap w:val="0"/>
            <w:vAlign w:val="center"/>
          </w:tcPr>
          <w:p>
            <w:pPr>
              <w:rPr>
                <w:rFonts w:hint="eastAsia" w:ascii="等线" w:hAnsi="等线" w:eastAsia="等线" w:cs="等线"/>
                <w:color w:val="auto"/>
                <w:sz w:val="18"/>
                <w:szCs w:val="18"/>
              </w:rPr>
            </w:pPr>
          </w:p>
        </w:tc>
        <w:tc>
          <w:tcPr>
            <w:tcW w:w="980" w:type="dxa"/>
            <w:noWrap w:val="0"/>
            <w:vAlign w:val="center"/>
          </w:tcPr>
          <w:p>
            <w:pPr>
              <w:numPr>
                <w:ilvl w:val="0"/>
                <w:numId w:val="0"/>
              </w:numPr>
              <w:jc w:val="center"/>
              <w:rPr>
                <w:rFonts w:hint="eastAsia" w:ascii="等线" w:hAnsi="等线" w:eastAsia="等线" w:cs="等线"/>
                <w:color w:val="auto"/>
                <w:sz w:val="18"/>
                <w:szCs w:val="18"/>
                <w:lang w:eastAsia="zh-CN"/>
              </w:rPr>
            </w:pPr>
            <w:r>
              <w:rPr>
                <w:rFonts w:hint="eastAsia" w:ascii="等线" w:hAnsi="等线" w:eastAsia="等线" w:cs="等线"/>
                <w:color w:val="auto"/>
                <w:sz w:val="18"/>
                <w:szCs w:val="18"/>
                <w:lang w:eastAsia="zh-CN"/>
              </w:rPr>
              <w:t>每次</w:t>
            </w:r>
            <w:r>
              <w:rPr>
                <w:rFonts w:hint="eastAsia" w:ascii="等线" w:hAnsi="等线" w:eastAsia="等线" w:cs="等线"/>
                <w:color w:val="auto"/>
                <w:sz w:val="18"/>
                <w:szCs w:val="18"/>
                <w:lang w:val="en-US" w:eastAsia="zh-CN"/>
              </w:rPr>
              <w:t>事故</w:t>
            </w:r>
            <w:r>
              <w:rPr>
                <w:rFonts w:hint="eastAsia" w:ascii="等线" w:hAnsi="等线" w:eastAsia="等线" w:cs="等线"/>
                <w:color w:val="auto"/>
                <w:sz w:val="18"/>
                <w:szCs w:val="18"/>
                <w:lang w:eastAsia="zh-CN"/>
              </w:rPr>
              <w:t>赔偿限额</w:t>
            </w:r>
          </w:p>
        </w:tc>
        <w:tc>
          <w:tcPr>
            <w:tcW w:w="1346" w:type="dxa"/>
            <w:noWrap w:val="0"/>
            <w:vAlign w:val="center"/>
          </w:tcPr>
          <w:p>
            <w:pPr>
              <w:numPr>
                <w:ilvl w:val="0"/>
                <w:numId w:val="0"/>
              </w:numPr>
              <w:jc w:val="center"/>
              <w:rPr>
                <w:rFonts w:hint="eastAsia" w:ascii="等线" w:hAnsi="等线" w:eastAsia="等线" w:cs="等线"/>
                <w:color w:val="auto"/>
                <w:sz w:val="18"/>
                <w:szCs w:val="18"/>
                <w:lang w:val="en-US" w:eastAsia="zh-CN"/>
              </w:rPr>
            </w:pPr>
            <w:r>
              <w:rPr>
                <w:rFonts w:hint="eastAsia" w:ascii="等线" w:hAnsi="等线" w:eastAsia="等线" w:cs="等线"/>
                <w:color w:val="auto"/>
                <w:sz w:val="18"/>
                <w:szCs w:val="18"/>
                <w:lang w:val="en-US" w:eastAsia="zh-CN"/>
              </w:rPr>
              <w:t>RMB100万元</w:t>
            </w:r>
          </w:p>
        </w:tc>
        <w:tc>
          <w:tcPr>
            <w:tcW w:w="760" w:type="dxa"/>
            <w:vMerge w:val="continue"/>
            <w:noWrap w:val="0"/>
            <w:vAlign w:val="top"/>
          </w:tcPr>
          <w:p>
            <w:pPr>
              <w:rPr>
                <w:rFonts w:hint="eastAsia" w:ascii="等线" w:hAnsi="等线" w:eastAsia="等线" w:cs="等线"/>
                <w:color w:val="auto"/>
                <w:sz w:val="18"/>
                <w:szCs w:val="18"/>
              </w:rPr>
            </w:pPr>
          </w:p>
        </w:tc>
        <w:tc>
          <w:tcPr>
            <w:tcW w:w="1174" w:type="dxa"/>
            <w:vMerge w:val="continue"/>
            <w:noWrap w:val="0"/>
            <w:vAlign w:val="top"/>
          </w:tcPr>
          <w:p>
            <w:pPr>
              <w:rPr>
                <w:rFonts w:hint="eastAsia" w:ascii="等线" w:hAnsi="等线" w:eastAsia="等线" w:cs="等线"/>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78" w:type="dxa"/>
            <w:vMerge w:val="continue"/>
            <w:noWrap w:val="0"/>
            <w:vAlign w:val="center"/>
          </w:tcPr>
          <w:p>
            <w:pPr>
              <w:rPr>
                <w:rFonts w:hint="eastAsia" w:ascii="等线" w:hAnsi="等线" w:eastAsia="等线" w:cs="等线"/>
                <w:color w:val="auto"/>
                <w:sz w:val="18"/>
                <w:szCs w:val="18"/>
              </w:rPr>
            </w:pPr>
          </w:p>
        </w:tc>
        <w:tc>
          <w:tcPr>
            <w:tcW w:w="1630" w:type="dxa"/>
            <w:vMerge w:val="continue"/>
            <w:noWrap w:val="0"/>
            <w:vAlign w:val="center"/>
          </w:tcPr>
          <w:p>
            <w:pPr>
              <w:rPr>
                <w:rFonts w:hint="eastAsia" w:ascii="等线" w:hAnsi="等线" w:eastAsia="等线" w:cs="等线"/>
                <w:color w:val="auto"/>
                <w:sz w:val="18"/>
                <w:szCs w:val="18"/>
              </w:rPr>
            </w:pPr>
          </w:p>
        </w:tc>
        <w:tc>
          <w:tcPr>
            <w:tcW w:w="1967" w:type="dxa"/>
            <w:vMerge w:val="continue"/>
            <w:noWrap w:val="0"/>
            <w:vAlign w:val="center"/>
          </w:tcPr>
          <w:p>
            <w:pPr>
              <w:rPr>
                <w:rFonts w:hint="eastAsia" w:ascii="等线" w:hAnsi="等线" w:eastAsia="等线" w:cs="等线"/>
                <w:color w:val="auto"/>
                <w:sz w:val="18"/>
                <w:szCs w:val="18"/>
              </w:rPr>
            </w:pPr>
          </w:p>
        </w:tc>
        <w:tc>
          <w:tcPr>
            <w:tcW w:w="980" w:type="dxa"/>
            <w:noWrap w:val="0"/>
            <w:vAlign w:val="center"/>
          </w:tcPr>
          <w:p>
            <w:pPr>
              <w:numPr>
                <w:ilvl w:val="0"/>
                <w:numId w:val="0"/>
              </w:numPr>
              <w:jc w:val="center"/>
              <w:rPr>
                <w:rFonts w:hint="eastAsia" w:ascii="等线" w:hAnsi="等线" w:eastAsia="等线" w:cs="等线"/>
                <w:color w:val="auto"/>
                <w:sz w:val="18"/>
                <w:szCs w:val="18"/>
                <w:lang w:eastAsia="zh-CN"/>
              </w:rPr>
            </w:pPr>
            <w:r>
              <w:rPr>
                <w:rFonts w:hint="eastAsia" w:ascii="等线" w:hAnsi="等线" w:eastAsia="等线" w:cs="等线"/>
                <w:color w:val="auto"/>
                <w:sz w:val="18"/>
                <w:szCs w:val="18"/>
                <w:lang w:val="en-US" w:eastAsia="zh-CN"/>
              </w:rPr>
              <w:t>每次事故</w:t>
            </w:r>
            <w:r>
              <w:rPr>
                <w:rFonts w:hint="eastAsia" w:ascii="等线" w:hAnsi="等线" w:eastAsia="等线" w:cs="等线"/>
                <w:color w:val="auto"/>
                <w:sz w:val="18"/>
                <w:szCs w:val="18"/>
                <w:lang w:eastAsia="zh-CN"/>
              </w:rPr>
              <w:t>每人赔偿限额</w:t>
            </w:r>
          </w:p>
        </w:tc>
        <w:tc>
          <w:tcPr>
            <w:tcW w:w="1346" w:type="dxa"/>
            <w:noWrap w:val="0"/>
            <w:vAlign w:val="center"/>
          </w:tcPr>
          <w:p>
            <w:pPr>
              <w:numPr>
                <w:ilvl w:val="0"/>
                <w:numId w:val="0"/>
              </w:numPr>
              <w:jc w:val="center"/>
              <w:rPr>
                <w:rFonts w:hint="eastAsia" w:ascii="等线" w:hAnsi="等线" w:eastAsia="等线" w:cs="等线"/>
                <w:color w:val="auto"/>
                <w:sz w:val="18"/>
                <w:szCs w:val="18"/>
                <w:lang w:val="en-US" w:eastAsia="zh-CN"/>
              </w:rPr>
            </w:pPr>
            <w:r>
              <w:rPr>
                <w:rFonts w:hint="eastAsia" w:ascii="等线" w:hAnsi="等线" w:eastAsia="等线" w:cs="等线"/>
                <w:color w:val="auto"/>
                <w:sz w:val="18"/>
                <w:szCs w:val="18"/>
                <w:lang w:val="en-US" w:eastAsia="zh-CN"/>
              </w:rPr>
              <w:t>RMB20万元</w:t>
            </w:r>
          </w:p>
        </w:tc>
        <w:tc>
          <w:tcPr>
            <w:tcW w:w="760" w:type="dxa"/>
            <w:vMerge w:val="continue"/>
            <w:noWrap w:val="0"/>
            <w:vAlign w:val="top"/>
          </w:tcPr>
          <w:p>
            <w:pPr>
              <w:rPr>
                <w:rFonts w:hint="eastAsia" w:ascii="等线" w:hAnsi="等线" w:eastAsia="等线" w:cs="等线"/>
                <w:color w:val="auto"/>
                <w:sz w:val="18"/>
                <w:szCs w:val="18"/>
              </w:rPr>
            </w:pPr>
          </w:p>
        </w:tc>
        <w:tc>
          <w:tcPr>
            <w:tcW w:w="1174" w:type="dxa"/>
            <w:vMerge w:val="continue"/>
            <w:noWrap w:val="0"/>
            <w:vAlign w:val="top"/>
          </w:tcPr>
          <w:p>
            <w:pPr>
              <w:rPr>
                <w:rFonts w:hint="eastAsia" w:ascii="等线" w:hAnsi="等线" w:eastAsia="等线" w:cs="等线"/>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78" w:type="dxa"/>
            <w:vMerge w:val="continue"/>
            <w:noWrap w:val="0"/>
            <w:vAlign w:val="center"/>
          </w:tcPr>
          <w:p>
            <w:pPr>
              <w:rPr>
                <w:rFonts w:hint="eastAsia" w:ascii="等线" w:hAnsi="等线" w:eastAsia="等线" w:cs="等线"/>
                <w:color w:val="auto"/>
                <w:sz w:val="18"/>
                <w:szCs w:val="18"/>
              </w:rPr>
            </w:pPr>
          </w:p>
        </w:tc>
        <w:tc>
          <w:tcPr>
            <w:tcW w:w="1630" w:type="dxa"/>
            <w:vMerge w:val="continue"/>
            <w:noWrap w:val="0"/>
            <w:vAlign w:val="center"/>
          </w:tcPr>
          <w:p>
            <w:pPr>
              <w:rPr>
                <w:rFonts w:hint="eastAsia" w:ascii="等线" w:hAnsi="等线" w:eastAsia="等线" w:cs="等线"/>
                <w:color w:val="auto"/>
                <w:sz w:val="18"/>
                <w:szCs w:val="18"/>
              </w:rPr>
            </w:pPr>
          </w:p>
        </w:tc>
        <w:tc>
          <w:tcPr>
            <w:tcW w:w="1967" w:type="dxa"/>
            <w:vMerge w:val="continue"/>
            <w:noWrap w:val="0"/>
            <w:vAlign w:val="center"/>
          </w:tcPr>
          <w:p>
            <w:pPr>
              <w:rPr>
                <w:rFonts w:hint="eastAsia" w:ascii="等线" w:hAnsi="等线" w:eastAsia="等线" w:cs="等线"/>
                <w:color w:val="auto"/>
                <w:sz w:val="18"/>
                <w:szCs w:val="18"/>
              </w:rPr>
            </w:pPr>
          </w:p>
        </w:tc>
        <w:tc>
          <w:tcPr>
            <w:tcW w:w="980" w:type="dxa"/>
            <w:noWrap w:val="0"/>
            <w:vAlign w:val="center"/>
          </w:tcPr>
          <w:p>
            <w:pPr>
              <w:numPr>
                <w:ilvl w:val="0"/>
                <w:numId w:val="0"/>
              </w:numPr>
              <w:jc w:val="center"/>
              <w:rPr>
                <w:rFonts w:hint="eastAsia" w:ascii="等线" w:hAnsi="等线" w:eastAsia="等线" w:cs="等线"/>
                <w:color w:val="auto"/>
                <w:sz w:val="18"/>
                <w:szCs w:val="18"/>
                <w:lang w:val="en-US" w:eastAsia="zh-CN"/>
              </w:rPr>
            </w:pPr>
            <w:r>
              <w:rPr>
                <w:rFonts w:hint="eastAsia" w:ascii="等线" w:hAnsi="等线" w:eastAsia="等线" w:cs="等线"/>
                <w:color w:val="auto"/>
                <w:sz w:val="18"/>
                <w:szCs w:val="18"/>
                <w:lang w:val="en-US" w:eastAsia="zh-CN"/>
              </w:rPr>
              <w:t>每次事故财产损失赔偿限额</w:t>
            </w:r>
          </w:p>
        </w:tc>
        <w:tc>
          <w:tcPr>
            <w:tcW w:w="1346" w:type="dxa"/>
            <w:noWrap w:val="0"/>
            <w:vAlign w:val="center"/>
          </w:tcPr>
          <w:p>
            <w:pPr>
              <w:numPr>
                <w:ilvl w:val="0"/>
                <w:numId w:val="0"/>
              </w:numPr>
              <w:jc w:val="center"/>
              <w:rPr>
                <w:rFonts w:hint="eastAsia" w:ascii="等线" w:hAnsi="等线" w:eastAsia="等线" w:cs="等线"/>
                <w:color w:val="auto"/>
                <w:sz w:val="18"/>
                <w:szCs w:val="18"/>
                <w:lang w:val="en-US" w:eastAsia="zh-CN"/>
              </w:rPr>
            </w:pPr>
            <w:r>
              <w:rPr>
                <w:rFonts w:hint="eastAsia" w:ascii="等线" w:hAnsi="等线" w:eastAsia="等线" w:cs="等线"/>
                <w:color w:val="auto"/>
                <w:sz w:val="18"/>
                <w:szCs w:val="18"/>
                <w:lang w:val="en-US" w:eastAsia="zh-CN"/>
              </w:rPr>
              <w:t>RMB20万元</w:t>
            </w:r>
          </w:p>
        </w:tc>
        <w:tc>
          <w:tcPr>
            <w:tcW w:w="760" w:type="dxa"/>
            <w:vMerge w:val="continue"/>
            <w:noWrap w:val="0"/>
            <w:vAlign w:val="top"/>
          </w:tcPr>
          <w:p>
            <w:pPr>
              <w:rPr>
                <w:rFonts w:hint="eastAsia" w:ascii="等线" w:hAnsi="等线" w:eastAsia="等线" w:cs="等线"/>
                <w:color w:val="auto"/>
                <w:sz w:val="18"/>
                <w:szCs w:val="18"/>
              </w:rPr>
            </w:pPr>
          </w:p>
        </w:tc>
        <w:tc>
          <w:tcPr>
            <w:tcW w:w="1174" w:type="dxa"/>
            <w:vMerge w:val="continue"/>
            <w:noWrap w:val="0"/>
            <w:vAlign w:val="top"/>
          </w:tcPr>
          <w:p>
            <w:pPr>
              <w:rPr>
                <w:rFonts w:hint="eastAsia" w:ascii="等线" w:hAnsi="等线" w:eastAsia="等线" w:cs="等线"/>
                <w:color w:val="auto"/>
                <w:sz w:val="18"/>
                <w:szCs w:val="18"/>
              </w:rPr>
            </w:pPr>
          </w:p>
        </w:tc>
      </w:tr>
    </w:tbl>
    <w:p>
      <w:pPr>
        <w:pStyle w:val="11"/>
        <w:numPr>
          <w:ilvl w:val="0"/>
          <w:numId w:val="0"/>
        </w:numPr>
        <w:jc w:val="both"/>
        <w:rPr>
          <w:rFonts w:hint="eastAsia" w:ascii="微软雅黑" w:hAnsi="微软雅黑" w:eastAsia="微软雅黑" w:cs="微软雅黑"/>
          <w:b/>
          <w:color w:val="auto"/>
        </w:rPr>
      </w:pPr>
    </w:p>
    <w:p>
      <w:pPr>
        <w:numPr>
          <w:ilvl w:val="0"/>
          <w:numId w:val="0"/>
        </w:numPr>
        <w:spacing w:line="360" w:lineRule="auto"/>
        <w:ind w:firstLine="3120" w:firstLineChars="13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报价单位：                          （盖章）</w:t>
      </w:r>
    </w:p>
    <w:p>
      <w:pPr>
        <w:numPr>
          <w:ilvl w:val="0"/>
          <w:numId w:val="0"/>
        </w:numPr>
        <w:spacing w:line="360" w:lineRule="auto"/>
        <w:ind w:firstLine="2880" w:firstLineChars="1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法定代表人或授权代理人：（签字或盖章）</w:t>
      </w:r>
    </w:p>
    <w:p>
      <w:pPr>
        <w:numPr>
          <w:ilvl w:val="0"/>
          <w:numId w:val="0"/>
        </w:numPr>
        <w:spacing w:line="360" w:lineRule="auto"/>
        <w:ind w:firstLine="3120" w:firstLineChars="1300"/>
        <w:jc w:val="left"/>
        <w:rPr>
          <w:rFonts w:hint="eastAsia" w:ascii="宋体" w:hAnsi="宋体" w:eastAsia="宋体" w:cs="宋体"/>
          <w:color w:val="auto"/>
          <w:sz w:val="24"/>
          <w:szCs w:val="24"/>
          <w:lang w:val="en-US" w:eastAsia="zh-CN"/>
        </w:rPr>
        <w:sectPr>
          <w:headerReference r:id="rId3" w:type="default"/>
          <w:footerReference r:id="rId4" w:type="default"/>
          <w:footerReference r:id="rId5" w:type="even"/>
          <w:pgSz w:w="11906" w:h="16838"/>
          <w:pgMar w:top="1440" w:right="1633" w:bottom="1440" w:left="1633" w:header="851" w:footer="992" w:gutter="0"/>
          <w:cols w:space="720" w:num="1"/>
          <w:rtlGutter w:val="0"/>
          <w:docGrid w:type="lines" w:linePitch="312" w:charSpace="0"/>
        </w:sectPr>
      </w:pPr>
      <w:r>
        <w:rPr>
          <w:rFonts w:hint="eastAsia" w:ascii="宋体" w:hAnsi="宋体" w:eastAsia="宋体" w:cs="宋体"/>
          <w:color w:val="auto"/>
          <w:sz w:val="24"/>
          <w:szCs w:val="24"/>
          <w:lang w:val="en-US" w:eastAsia="zh-CN"/>
        </w:rPr>
        <w:t>日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w:t>
      </w:r>
    </w:p>
    <w:p>
      <w:pPr>
        <w:numPr>
          <w:ilvl w:val="0"/>
          <w:numId w:val="0"/>
        </w:numPr>
        <w:jc w:val="center"/>
        <w:rPr>
          <w:rFonts w:hint="eastAsia" w:ascii="方正小标宋_GBK" w:hAnsi="方正小标宋_GBK" w:eastAsia="方正小标宋_GBK" w:cs="方正小标宋_GBK"/>
          <w:b w:val="0"/>
          <w:bCs w:val="0"/>
          <w:color w:val="auto"/>
          <w:sz w:val="44"/>
          <w:szCs w:val="44"/>
          <w:u w:val="none"/>
          <w:lang w:val="en-US" w:eastAsia="zh-CN"/>
        </w:rPr>
      </w:pPr>
      <w:r>
        <w:rPr>
          <w:rFonts w:hint="eastAsia" w:ascii="方正小标宋_GBK" w:hAnsi="方正小标宋_GBK" w:eastAsia="方正小标宋_GBK" w:cs="方正小标宋_GBK"/>
          <w:b w:val="0"/>
          <w:bCs w:val="0"/>
          <w:color w:val="auto"/>
          <w:sz w:val="32"/>
          <w:szCs w:val="32"/>
          <w:u w:val="none"/>
          <w:lang w:val="en-US" w:eastAsia="zh-CN"/>
        </w:rPr>
        <w:t>四、资格审查资料</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eastAsia="宋体" w:cs="宋体"/>
          <w:color w:val="auto"/>
          <w:kern w:val="0"/>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方正仿宋_GBK" w:hAnsi="方正仿宋_GBK" w:eastAsia="方正仿宋_GBK" w:cs="方正仿宋_GBK"/>
          <w:color w:val="auto"/>
          <w:kern w:val="0"/>
          <w:sz w:val="32"/>
          <w:szCs w:val="32"/>
          <w:lang w:val="en-US" w:eastAsia="zh-CN"/>
        </w:rPr>
      </w:pPr>
      <w:r>
        <w:rPr>
          <w:rFonts w:hint="eastAsia" w:ascii="宋体" w:hAnsi="宋体" w:eastAsia="宋体" w:cs="宋体"/>
          <w:color w:val="auto"/>
          <w:kern w:val="0"/>
          <w:sz w:val="28"/>
          <w:szCs w:val="28"/>
          <w:lang w:val="en-US" w:eastAsia="zh-CN"/>
        </w:rPr>
        <w:t>本文所要求的相关</w:t>
      </w:r>
      <w:r>
        <w:rPr>
          <w:rFonts w:hint="eastAsia" w:ascii="宋体" w:hAnsi="宋体" w:eastAsia="宋体" w:cs="宋体"/>
          <w:color w:val="auto"/>
          <w:kern w:val="0"/>
          <w:sz w:val="28"/>
          <w:szCs w:val="28"/>
        </w:rPr>
        <w:t>资格文件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NzFiYWJmMWJjN2Q0NjkxOGUyZjY2N2E0NzkyZTkifQ=="/>
  </w:docVars>
  <w:rsids>
    <w:rsidRoot w:val="439A0C6F"/>
    <w:rsid w:val="06382740"/>
    <w:rsid w:val="0AC77C55"/>
    <w:rsid w:val="12976F0D"/>
    <w:rsid w:val="14F831F4"/>
    <w:rsid w:val="16B6444E"/>
    <w:rsid w:val="1A732269"/>
    <w:rsid w:val="1E984D2C"/>
    <w:rsid w:val="216C049B"/>
    <w:rsid w:val="2B945FF1"/>
    <w:rsid w:val="323B6E74"/>
    <w:rsid w:val="35754927"/>
    <w:rsid w:val="376A38DA"/>
    <w:rsid w:val="399A7F94"/>
    <w:rsid w:val="3ACC2A3C"/>
    <w:rsid w:val="439A0C6F"/>
    <w:rsid w:val="43DD6A55"/>
    <w:rsid w:val="47A07E63"/>
    <w:rsid w:val="4AF82718"/>
    <w:rsid w:val="53FD20BF"/>
    <w:rsid w:val="5AB14068"/>
    <w:rsid w:val="5F940AC2"/>
    <w:rsid w:val="5FB60271"/>
    <w:rsid w:val="65E15177"/>
    <w:rsid w:val="6B4019DE"/>
    <w:rsid w:val="72C320BF"/>
    <w:rsid w:val="7413655C"/>
    <w:rsid w:val="7FFF3C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next w:val="1"/>
    <w:qFormat/>
    <w:uiPriority w:val="0"/>
    <w:rPr>
      <w:rFonts w:eastAsia="仿宋_GB2312"/>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paragraph" w:customStyle="1" w:styleId="10">
    <w:name w:val="BodyText"/>
    <w:basedOn w:val="1"/>
    <w:next w:val="1"/>
    <w:qFormat/>
    <w:uiPriority w:val="0"/>
    <w:pPr>
      <w:spacing w:after="120"/>
      <w:jc w:val="both"/>
      <w:textAlignment w:val="baseline"/>
    </w:pPr>
    <w:rPr>
      <w:rFonts w:ascii="Times New Roman" w:hAnsi="Times New Roman" w:eastAsia="宋体"/>
      <w:color w:val="000000"/>
      <w:kern w:val="1"/>
      <w:sz w:val="21"/>
      <w:lang w:val="en-US" w:eastAsia="zh-CN" w:bidi="ar-SA"/>
    </w:rPr>
  </w:style>
  <w:style w:type="paragraph" w:customStyle="1" w:styleId="11">
    <w:name w:val="样式 标题 2 + Times New Roman 四号 非加粗 段前: 5 磅 段后: 0 磅 行距: 固定值 20..."/>
    <w:qFormat/>
    <w:uiPriority w:val="0"/>
    <w:pPr>
      <w:keepNext/>
      <w:keepLines/>
      <w:widowControl w:val="0"/>
      <w:spacing w:before="100" w:beforeLines="0" w:after="0" w:afterLines="0" w:line="400" w:lineRule="exact"/>
      <w:jc w:val="both"/>
      <w:outlineLvl w:val="1"/>
    </w:pPr>
    <w:rPr>
      <w:rFonts w:ascii="Times New Roman" w:hAnsi="Times New Roman" w:eastAsia="黑体" w:cs="宋体"/>
      <w:kern w:val="2"/>
      <w:sz w:val="28"/>
      <w:szCs w:val="20"/>
      <w:lang w:val="en-US" w:eastAsia="zh-CN" w:bidi="ar-SA"/>
    </w:rPr>
  </w:style>
  <w:style w:type="paragraph" w:customStyle="1" w:styleId="12">
    <w:name w:val="List Paragraph"/>
    <w:basedOn w:val="1"/>
    <w:qFormat/>
    <w:uiPriority w:val="99"/>
    <w:pPr>
      <w:ind w:firstLine="420" w:firstLineChars="200"/>
    </w:pPr>
    <w:rPr>
      <w:rFonts w:ascii="等线" w:hAnsi="等线" w:eastAsia="等线" w:cs="等线"/>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4292</Words>
  <Characters>4503</Characters>
  <Lines>0</Lines>
  <Paragraphs>0</Paragraphs>
  <TotalTime>63</TotalTime>
  <ScaleCrop>false</ScaleCrop>
  <LinksUpToDate>false</LinksUpToDate>
  <CharactersWithSpaces>5421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2022-11-03T11:46:00Z</dcterms:created>
  <dc:creator>傅渝凌</dc:creator>
  <cp:lastModifiedBy>傅渝凌</cp:lastModifiedBy>
  <dcterms:modified xsi:type="dcterms:W3CDTF">2022-12-13T06:54:49Z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C60B8040195F428E992FF2C35263111E</vt:lpwstr>
  </property>
</Properties>
</file>