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highlight w:val="none"/>
        </w:rPr>
      </w:pPr>
    </w:p>
    <w:p>
      <w:pPr>
        <w:spacing w:line="400" w:lineRule="exact"/>
        <w:jc w:val="center"/>
        <w:rPr>
          <w:rFonts w:ascii="宋体" w:hAnsi="宋体" w:cs="宋体"/>
          <w:b/>
          <w:sz w:val="32"/>
          <w:szCs w:val="32"/>
          <w:highlight w:val="none"/>
        </w:rPr>
      </w:pPr>
      <w:r>
        <w:rPr>
          <w:rFonts w:hint="eastAsia" w:ascii="宋体" w:hAnsi="宋体" w:cs="宋体"/>
          <w:b/>
          <w:sz w:val="32"/>
          <w:szCs w:val="32"/>
          <w:highlight w:val="none"/>
        </w:rPr>
        <w:t>项目名称：</w:t>
      </w:r>
      <w:r>
        <w:rPr>
          <w:rFonts w:hint="eastAsia" w:ascii="宋体" w:hAnsi="宋体" w:cs="宋体"/>
          <w:b/>
          <w:sz w:val="32"/>
          <w:szCs w:val="32"/>
          <w:highlight w:val="none"/>
          <w:lang w:eastAsia="zh-CN"/>
        </w:rPr>
        <w:t>首讯公司2021年防雷检测服务</w:t>
      </w:r>
    </w:p>
    <w:p>
      <w:pPr>
        <w:rPr>
          <w:rFonts w:ascii="宋体" w:hAnsi="宋体" w:cs="宋体"/>
          <w:sz w:val="28"/>
          <w:szCs w:val="2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竞</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争</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性</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比</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选</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文</w:t>
      </w:r>
    </w:p>
    <w:p>
      <w:pPr>
        <w:jc w:val="center"/>
        <w:rPr>
          <w:rFonts w:ascii="宋体" w:hAnsi="宋体" w:cs="宋体"/>
          <w:b/>
          <w:sz w:val="48"/>
          <w:szCs w:val="48"/>
          <w:highlight w:val="none"/>
        </w:rPr>
      </w:pPr>
    </w:p>
    <w:p>
      <w:pPr>
        <w:jc w:val="center"/>
        <w:rPr>
          <w:rFonts w:ascii="宋体" w:hAnsi="宋体" w:cs="宋体"/>
          <w:b/>
          <w:sz w:val="96"/>
          <w:szCs w:val="72"/>
          <w:highlight w:val="none"/>
        </w:rPr>
      </w:pPr>
      <w:r>
        <w:rPr>
          <w:rFonts w:hint="eastAsia" w:ascii="宋体" w:hAnsi="宋体" w:cs="宋体"/>
          <w:b/>
          <w:sz w:val="48"/>
          <w:szCs w:val="48"/>
          <w:highlight w:val="none"/>
        </w:rPr>
        <w:t>件</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rPr>
          <w:highlight w:val="none"/>
        </w:rPr>
      </w:pPr>
    </w:p>
    <w:p>
      <w:pPr>
        <w:rPr>
          <w:highlight w:val="none"/>
        </w:rPr>
      </w:pPr>
    </w:p>
    <w:p>
      <w:pPr>
        <w:jc w:val="center"/>
        <w:rPr>
          <w:rFonts w:ascii="宋体" w:hAnsi="宋体" w:cs="宋体"/>
          <w:b/>
          <w:sz w:val="28"/>
          <w:szCs w:val="28"/>
          <w:highlight w:val="none"/>
        </w:rPr>
      </w:pPr>
      <w:r>
        <w:rPr>
          <w:rFonts w:hint="eastAsia" w:ascii="宋体" w:hAnsi="宋体" w:cs="宋体"/>
          <w:b/>
          <w:sz w:val="28"/>
          <w:szCs w:val="28"/>
          <w:highlight w:val="none"/>
        </w:rPr>
        <w:t>采购人：重庆首讯科技股份有限公司</w:t>
      </w:r>
    </w:p>
    <w:p>
      <w:pPr>
        <w:jc w:val="center"/>
        <w:rPr>
          <w:rFonts w:ascii="宋体" w:hAnsi="宋体" w:cs="宋体"/>
          <w:b/>
          <w:sz w:val="28"/>
          <w:szCs w:val="28"/>
          <w:highlight w:val="none"/>
        </w:rPr>
      </w:pPr>
      <w:r>
        <w:rPr>
          <w:rFonts w:hint="eastAsia" w:ascii="宋体" w:hAnsi="宋体" w:cs="宋体"/>
          <w:b/>
          <w:sz w:val="28"/>
          <w:szCs w:val="28"/>
          <w:highlight w:val="none"/>
          <w:u w:val="single"/>
        </w:rPr>
        <w:t>2021</w:t>
      </w:r>
      <w:r>
        <w:rPr>
          <w:rFonts w:hint="eastAsia" w:ascii="宋体" w:hAnsi="宋体" w:cs="宋体"/>
          <w:b/>
          <w:sz w:val="28"/>
          <w:szCs w:val="28"/>
          <w:highlight w:val="none"/>
        </w:rPr>
        <w:t>年</w:t>
      </w:r>
      <w:r>
        <w:rPr>
          <w:rFonts w:hint="eastAsia" w:ascii="宋体" w:hAnsi="宋体" w:cs="宋体"/>
          <w:b/>
          <w:sz w:val="28"/>
          <w:szCs w:val="28"/>
          <w:highlight w:val="none"/>
          <w:u w:val="single"/>
        </w:rPr>
        <w:t xml:space="preserve"> </w:t>
      </w:r>
      <w:r>
        <w:rPr>
          <w:rFonts w:hint="eastAsia" w:ascii="宋体" w:hAnsi="宋体" w:cs="宋体"/>
          <w:b/>
          <w:sz w:val="28"/>
          <w:szCs w:val="28"/>
          <w:highlight w:val="none"/>
          <w:u w:val="single"/>
          <w:lang w:val="en-US" w:eastAsia="zh-CN"/>
        </w:rPr>
        <w:t xml:space="preserve">8 </w:t>
      </w:r>
      <w:r>
        <w:rPr>
          <w:rFonts w:hint="eastAsia" w:ascii="宋体" w:hAnsi="宋体" w:cs="宋体"/>
          <w:b/>
          <w:sz w:val="28"/>
          <w:szCs w:val="28"/>
          <w:highlight w:val="none"/>
        </w:rPr>
        <w:t>月</w:t>
      </w:r>
    </w:p>
    <w:p>
      <w:pPr>
        <w:pStyle w:val="2"/>
        <w:jc w:val="center"/>
        <w:rPr>
          <w:rFonts w:ascii="宋体" w:hAnsi="宋体" w:cs="宋体"/>
          <w:szCs w:val="21"/>
          <w:highlight w:val="none"/>
        </w:rPr>
      </w:pPr>
      <w:r>
        <w:rPr>
          <w:highlight w:val="none"/>
        </w:rPr>
        <w:br w:type="page"/>
      </w:r>
      <w:bookmarkStart w:id="0" w:name="_Toc507428442"/>
      <w:bookmarkStart w:id="1" w:name="_Toc507319889"/>
      <w:bookmarkStart w:id="2" w:name="_Toc296602400"/>
      <w:bookmarkStart w:id="3" w:name="_Toc246996898"/>
      <w:bookmarkStart w:id="4" w:name="_Toc247085669"/>
      <w:r>
        <w:rPr>
          <w:rFonts w:hint="eastAsia" w:ascii="宋体" w:hAnsi="宋体" w:cs="宋体"/>
          <w:b w:val="0"/>
          <w:sz w:val="32"/>
          <w:highlight w:val="none"/>
        </w:rPr>
        <w:t>目   录</w:t>
      </w:r>
      <w:bookmarkEnd w:id="0"/>
      <w:bookmarkEnd w:id="1"/>
      <w:bookmarkEnd w:id="2"/>
      <w:bookmarkEnd w:id="3"/>
      <w:bookmarkEnd w:id="4"/>
    </w:p>
    <w:p>
      <w:pPr>
        <w:pStyle w:val="2"/>
        <w:tabs>
          <w:tab w:val="right" w:leader="dot" w:pos="9638"/>
        </w:tabs>
        <w:rPr>
          <w:highlight w:val="none"/>
        </w:rPr>
      </w:pPr>
      <w:r>
        <w:rPr>
          <w:rFonts w:hint="eastAsia" w:ascii="宋体" w:hAnsi="宋体" w:eastAsia="宋体" w:cs="宋体"/>
          <w:b/>
          <w:bCs/>
          <w:caps/>
          <w:highlight w:val="none"/>
          <w:lang w:eastAsia="zh-CN"/>
        </w:rPr>
        <w:fldChar w:fldCharType="begin"/>
      </w:r>
      <w:r>
        <w:rPr>
          <w:rFonts w:hint="eastAsia" w:ascii="宋体" w:hAnsi="宋体" w:eastAsia="宋体" w:cs="宋体"/>
          <w:b/>
          <w:bCs/>
          <w:caps/>
          <w:highlight w:val="none"/>
          <w:lang w:eastAsia="zh-CN"/>
        </w:rPr>
        <w:instrText xml:space="preserve"> TOC \o "1-2" \h \z \u </w:instrText>
      </w:r>
      <w:r>
        <w:rPr>
          <w:rFonts w:hint="eastAsia" w:ascii="宋体" w:hAnsi="宋体" w:eastAsia="宋体" w:cs="宋体"/>
          <w:b/>
          <w:bCs/>
          <w:caps/>
          <w:highlight w:val="none"/>
          <w:lang w:eastAsia="zh-CN"/>
        </w:rPr>
        <w:fldChar w:fldCharType="separate"/>
      </w: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_Toc2331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第一章 比选公告</w:t>
      </w:r>
      <w:r>
        <w:rPr>
          <w:highlight w:val="none"/>
        </w:rPr>
        <w:tab/>
      </w:r>
      <w:r>
        <w:rPr>
          <w:highlight w:val="none"/>
        </w:rPr>
        <w:fldChar w:fldCharType="begin"/>
      </w:r>
      <w:r>
        <w:rPr>
          <w:highlight w:val="none"/>
        </w:rPr>
        <w:instrText xml:space="preserve"> PAGEREF _Toc2331 \h </w:instrText>
      </w:r>
      <w:r>
        <w:rPr>
          <w:highlight w:val="none"/>
        </w:rPr>
        <w:fldChar w:fldCharType="separate"/>
      </w:r>
      <w:r>
        <w:rPr>
          <w:highlight w:val="none"/>
        </w:rPr>
        <w:t>1</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_Toc14597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_Toc14597 \h </w:instrText>
      </w:r>
      <w:r>
        <w:rPr>
          <w:highlight w:val="none"/>
        </w:rPr>
        <w:fldChar w:fldCharType="separate"/>
      </w:r>
      <w:r>
        <w:rPr>
          <w:highlight w:val="none"/>
        </w:rPr>
        <w:t>3</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_Toc20774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第三章 评标办法</w:t>
      </w:r>
      <w:r>
        <w:rPr>
          <w:highlight w:val="none"/>
        </w:rPr>
        <w:tab/>
      </w:r>
      <w:r>
        <w:rPr>
          <w:highlight w:val="none"/>
        </w:rPr>
        <w:fldChar w:fldCharType="begin"/>
      </w:r>
      <w:r>
        <w:rPr>
          <w:highlight w:val="none"/>
        </w:rPr>
        <w:instrText xml:space="preserve"> PAGEREF _Toc20774 \h </w:instrText>
      </w:r>
      <w:r>
        <w:rPr>
          <w:highlight w:val="none"/>
        </w:rPr>
        <w:fldChar w:fldCharType="separate"/>
      </w:r>
      <w:r>
        <w:rPr>
          <w:highlight w:val="none"/>
        </w:rPr>
        <w:t>8</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_Toc9938 </w:instrText>
      </w:r>
      <w:r>
        <w:rPr>
          <w:rFonts w:hint="eastAsia" w:ascii="宋体" w:hAnsi="宋体" w:eastAsia="宋体" w:cs="宋体"/>
          <w:bCs/>
          <w:caps/>
          <w:highlight w:val="none"/>
          <w:lang w:eastAsia="zh-CN"/>
        </w:rPr>
        <w:fldChar w:fldCharType="separate"/>
      </w:r>
      <w:r>
        <w:rPr>
          <w:rFonts w:hint="eastAsia"/>
          <w:bCs/>
          <w:highlight w:val="none"/>
        </w:rPr>
        <w:t>第四章 报价说明</w:t>
      </w:r>
      <w:r>
        <w:rPr>
          <w:highlight w:val="none"/>
        </w:rPr>
        <w:tab/>
      </w:r>
      <w:r>
        <w:rPr>
          <w:highlight w:val="none"/>
        </w:rPr>
        <w:fldChar w:fldCharType="begin"/>
      </w:r>
      <w:r>
        <w:rPr>
          <w:highlight w:val="none"/>
        </w:rPr>
        <w:instrText xml:space="preserve"> PAGEREF _Toc9938 \h </w:instrText>
      </w:r>
      <w:r>
        <w:rPr>
          <w:highlight w:val="none"/>
        </w:rPr>
        <w:fldChar w:fldCharType="separate"/>
      </w:r>
      <w:r>
        <w:rPr>
          <w:highlight w:val="none"/>
        </w:rPr>
        <w:t>10</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_Toc8745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第五章  工程量清单</w:t>
      </w:r>
      <w:r>
        <w:rPr>
          <w:highlight w:val="none"/>
        </w:rPr>
        <w:tab/>
      </w:r>
      <w:r>
        <w:rPr>
          <w:highlight w:val="none"/>
        </w:rPr>
        <w:fldChar w:fldCharType="begin"/>
      </w:r>
      <w:r>
        <w:rPr>
          <w:highlight w:val="none"/>
        </w:rPr>
        <w:instrText xml:space="preserve"> PAGEREF _Toc8745 \h </w:instrText>
      </w:r>
      <w:r>
        <w:rPr>
          <w:highlight w:val="none"/>
        </w:rPr>
        <w:fldChar w:fldCharType="separate"/>
      </w:r>
      <w:r>
        <w:rPr>
          <w:highlight w:val="none"/>
        </w:rPr>
        <w:t>12</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_Toc3008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_Toc3008 \h </w:instrText>
      </w:r>
      <w:r>
        <w:rPr>
          <w:highlight w:val="none"/>
        </w:rPr>
        <w:fldChar w:fldCharType="separate"/>
      </w:r>
      <w:r>
        <w:rPr>
          <w:highlight w:val="none"/>
        </w:rPr>
        <w:t>13</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_Toc2585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第七章  技术标准和工作要求</w:t>
      </w:r>
      <w:r>
        <w:rPr>
          <w:highlight w:val="none"/>
        </w:rPr>
        <w:tab/>
      </w:r>
      <w:r>
        <w:rPr>
          <w:highlight w:val="none"/>
        </w:rPr>
        <w:fldChar w:fldCharType="begin"/>
      </w:r>
      <w:r>
        <w:rPr>
          <w:highlight w:val="none"/>
        </w:rPr>
        <w:instrText xml:space="preserve"> PAGEREF _Toc2585 \h </w:instrText>
      </w:r>
      <w:r>
        <w:rPr>
          <w:highlight w:val="none"/>
        </w:rPr>
        <w:fldChar w:fldCharType="separate"/>
      </w:r>
      <w:r>
        <w:rPr>
          <w:highlight w:val="none"/>
        </w:rPr>
        <w:t>14</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_Toc1416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第九章  竞争性比选响应文件格式</w:t>
      </w:r>
      <w:r>
        <w:rPr>
          <w:highlight w:val="none"/>
        </w:rPr>
        <w:tab/>
      </w:r>
      <w:r>
        <w:rPr>
          <w:highlight w:val="none"/>
        </w:rPr>
        <w:fldChar w:fldCharType="begin"/>
      </w:r>
      <w:r>
        <w:rPr>
          <w:highlight w:val="none"/>
        </w:rPr>
        <w:instrText xml:space="preserve"> PAGEREF _Toc1416 \h </w:instrText>
      </w:r>
      <w:r>
        <w:rPr>
          <w:highlight w:val="none"/>
        </w:rPr>
        <w:fldChar w:fldCharType="separate"/>
      </w:r>
      <w:r>
        <w:rPr>
          <w:highlight w:val="none"/>
        </w:rPr>
        <w:t>16</w:t>
      </w:r>
      <w:r>
        <w:rPr>
          <w:highlight w:val="none"/>
        </w:rPr>
        <w:fldChar w:fldCharType="end"/>
      </w:r>
      <w:r>
        <w:rPr>
          <w:rFonts w:hint="eastAsia" w:ascii="宋体" w:hAnsi="宋体" w:eastAsia="宋体" w:cs="宋体"/>
          <w:bCs/>
          <w:caps/>
          <w:highlight w:val="none"/>
          <w:lang w:eastAsia="zh-CN"/>
        </w:rPr>
        <w:fldChar w:fldCharType="end"/>
      </w:r>
    </w:p>
    <w:p>
      <w:pPr>
        <w:pStyle w:val="34"/>
        <w:tabs>
          <w:tab w:val="right" w:leader="dot" w:pos="9628"/>
        </w:tabs>
        <w:rPr>
          <w:rFonts w:hint="eastAsia" w:ascii="宋体" w:hAnsi="宋体" w:eastAsia="宋体" w:cs="宋体"/>
          <w:b/>
          <w:bCs/>
          <w:caps/>
          <w:highlight w:val="none"/>
          <w:lang w:eastAsia="zh-CN"/>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eastAsia="宋体" w:cs="宋体"/>
          <w:bCs/>
          <w:caps/>
          <w:highlight w:val="none"/>
          <w:lang w:eastAsia="zh-CN"/>
        </w:rPr>
        <w:fldChar w:fldCharType="end"/>
      </w:r>
    </w:p>
    <w:p>
      <w:pPr>
        <w:pStyle w:val="3"/>
        <w:spacing w:before="0" w:after="0" w:line="360" w:lineRule="auto"/>
        <w:jc w:val="center"/>
        <w:rPr>
          <w:rFonts w:ascii="宋体" w:hAnsi="宋体" w:cs="宋体"/>
          <w:highlight w:val="none"/>
        </w:rPr>
      </w:pPr>
      <w:bookmarkStart w:id="5" w:name="_Toc247096243"/>
      <w:bookmarkStart w:id="6" w:name="_Toc246996900"/>
      <w:bookmarkStart w:id="7" w:name="_Toc2000404"/>
      <w:bookmarkStart w:id="8" w:name="_Toc152042287"/>
      <w:bookmarkStart w:id="9" w:name="_Toc144974479"/>
      <w:bookmarkStart w:id="10" w:name="_Toc247085671"/>
      <w:bookmarkStart w:id="11" w:name="_Toc152045511"/>
      <w:bookmarkStart w:id="12" w:name="_Toc507319890"/>
      <w:bookmarkStart w:id="13" w:name="_Toc179632527"/>
      <w:bookmarkStart w:id="14" w:name="_Toc246996157"/>
      <w:bookmarkStart w:id="15" w:name="_Toc2331"/>
      <w:bookmarkStart w:id="16" w:name="_Toc10533"/>
      <w:r>
        <w:rPr>
          <w:rFonts w:hint="eastAsia" w:ascii="宋体" w:hAnsi="宋体" w:cs="宋体"/>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highlight w:val="none"/>
        </w:rPr>
        <w:t>比选公告</w:t>
      </w:r>
      <w:bookmarkEnd w:id="15"/>
      <w:bookmarkEnd w:id="16"/>
    </w:p>
    <w:p>
      <w:pPr>
        <w:spacing w:line="440" w:lineRule="exact"/>
        <w:jc w:val="center"/>
        <w:rPr>
          <w:rFonts w:ascii="宋体" w:hAnsi="宋体" w:cs="宋体"/>
          <w:b/>
          <w:sz w:val="28"/>
          <w:szCs w:val="28"/>
          <w:highlight w:val="none"/>
        </w:rPr>
      </w:pPr>
      <w:bookmarkStart w:id="17" w:name="OLE_LINK3"/>
      <w:bookmarkStart w:id="18" w:name="OLE_LINK2"/>
      <w:r>
        <w:rPr>
          <w:rFonts w:hint="eastAsia" w:ascii="宋体" w:hAnsi="宋体" w:cs="宋体"/>
          <w:b/>
          <w:sz w:val="28"/>
          <w:szCs w:val="28"/>
          <w:highlight w:val="none"/>
          <w:lang w:eastAsia="zh-CN"/>
        </w:rPr>
        <w:t>首讯公司2021年防雷检测服务</w:t>
      </w:r>
    </w:p>
    <w:p>
      <w:pPr>
        <w:spacing w:line="440" w:lineRule="exact"/>
        <w:jc w:val="center"/>
        <w:rPr>
          <w:rFonts w:ascii="宋体" w:hAnsi="宋体" w:cs="宋体"/>
          <w:b/>
          <w:sz w:val="28"/>
          <w:szCs w:val="28"/>
          <w:highlight w:val="none"/>
        </w:rPr>
      </w:pPr>
      <w:r>
        <w:rPr>
          <w:rFonts w:hint="eastAsia" w:ascii="宋体" w:hAnsi="宋体" w:cs="宋体"/>
          <w:b/>
          <w:sz w:val="28"/>
          <w:szCs w:val="28"/>
          <w:highlight w:val="none"/>
        </w:rPr>
        <w:t>竞争性比选公告</w:t>
      </w:r>
    </w:p>
    <w:p>
      <w:pPr>
        <w:spacing w:line="440" w:lineRule="exact"/>
        <w:jc w:val="center"/>
        <w:rPr>
          <w:rFonts w:ascii="宋体" w:hAnsi="宋体" w:cs="宋体"/>
          <w:b/>
          <w:sz w:val="28"/>
          <w:szCs w:val="28"/>
          <w:highlight w:val="none"/>
        </w:rPr>
      </w:pPr>
    </w:p>
    <w:p>
      <w:pPr>
        <w:pStyle w:val="4"/>
        <w:spacing w:before="0" w:after="0" w:line="360" w:lineRule="auto"/>
        <w:rPr>
          <w:rFonts w:ascii="宋体" w:hAnsi="宋体" w:eastAsia="宋体" w:cs="宋体"/>
          <w:highlight w:val="none"/>
        </w:rPr>
      </w:pPr>
      <w:bookmarkStart w:id="19" w:name="_Toc179632528"/>
      <w:bookmarkStart w:id="20" w:name="_Toc19148"/>
      <w:bookmarkStart w:id="21" w:name="_Toc246996158"/>
      <w:bookmarkStart w:id="22" w:name="_Toc24874"/>
      <w:bookmarkStart w:id="23" w:name="_Toc152045512"/>
      <w:bookmarkStart w:id="24" w:name="_Toc507319891"/>
      <w:bookmarkStart w:id="25" w:name="_Toc144974480"/>
      <w:bookmarkStart w:id="26" w:name="_Toc247085672"/>
      <w:bookmarkStart w:id="27" w:name="_Toc152042288"/>
      <w:bookmarkStart w:id="28" w:name="_Toc11329213"/>
      <w:bookmarkStart w:id="29" w:name="_Toc10076"/>
      <w:bookmarkStart w:id="30" w:name="_Toc246996901"/>
      <w:bookmarkStart w:id="31" w:name="_Toc6549"/>
      <w:r>
        <w:rPr>
          <w:rFonts w:hint="eastAsia" w:ascii="宋体" w:hAnsi="宋体" w:eastAsia="宋体" w:cs="宋体"/>
          <w:highlight w:val="none"/>
        </w:rPr>
        <w:t>1. 比选条件</w:t>
      </w:r>
      <w:bookmarkEnd w:id="19"/>
      <w:bookmarkEnd w:id="20"/>
      <w:bookmarkEnd w:id="21"/>
      <w:bookmarkEnd w:id="22"/>
      <w:bookmarkEnd w:id="23"/>
      <w:bookmarkEnd w:id="24"/>
      <w:bookmarkEnd w:id="25"/>
      <w:bookmarkEnd w:id="26"/>
      <w:bookmarkEnd w:id="27"/>
      <w:bookmarkEnd w:id="28"/>
      <w:bookmarkEnd w:id="29"/>
      <w:bookmarkEnd w:id="30"/>
      <w:bookmarkEnd w:id="31"/>
    </w:p>
    <w:p>
      <w:pPr>
        <w:spacing w:line="400" w:lineRule="exact"/>
        <w:jc w:val="left"/>
        <w:rPr>
          <w:rFonts w:ascii="宋体" w:hAnsi="宋体" w:cs="宋体"/>
          <w:szCs w:val="21"/>
          <w:highlight w:val="none"/>
        </w:rPr>
      </w:pPr>
      <w:r>
        <w:rPr>
          <w:rFonts w:hint="eastAsia" w:ascii="宋体" w:hAnsi="宋体" w:cs="宋体"/>
          <w:szCs w:val="21"/>
          <w:highlight w:val="none"/>
        </w:rPr>
        <w:t>　　本竞争性比选项目</w:t>
      </w:r>
      <w:r>
        <w:rPr>
          <w:rFonts w:hint="eastAsia" w:ascii="宋体" w:hAnsi="宋体" w:cs="宋体"/>
          <w:szCs w:val="21"/>
          <w:highlight w:val="none"/>
          <w:lang w:eastAsia="zh-CN"/>
        </w:rPr>
        <w:t>首讯公司2021年防雷检测服务</w:t>
      </w:r>
      <w:r>
        <w:rPr>
          <w:rFonts w:hint="eastAsia" w:ascii="宋体" w:hAnsi="宋体" w:cs="宋体"/>
          <w:szCs w:val="21"/>
          <w:highlight w:val="none"/>
        </w:rPr>
        <w:t>，采购人为</w:t>
      </w:r>
      <w:r>
        <w:rPr>
          <w:rFonts w:hint="eastAsia" w:ascii="宋体" w:hAnsi="宋体" w:cs="宋体"/>
          <w:szCs w:val="21"/>
          <w:highlight w:val="none"/>
          <w:u w:val="single"/>
        </w:rPr>
        <w:t xml:space="preserve"> 重庆首讯科技股份有限公司 </w:t>
      </w:r>
      <w:r>
        <w:rPr>
          <w:rFonts w:hint="eastAsia" w:ascii="宋体" w:hAnsi="宋体" w:cs="宋体"/>
          <w:szCs w:val="21"/>
          <w:highlight w:val="none"/>
        </w:rPr>
        <w:t>，该项目已具备比选条件，现对该项目进行竞争性比选。</w:t>
      </w:r>
    </w:p>
    <w:p>
      <w:pPr>
        <w:pStyle w:val="4"/>
        <w:spacing w:before="120" w:after="0" w:line="360" w:lineRule="auto"/>
        <w:rPr>
          <w:rFonts w:ascii="宋体" w:hAnsi="宋体" w:eastAsia="宋体" w:cs="宋体"/>
          <w:highlight w:val="none"/>
        </w:rPr>
      </w:pPr>
      <w:bookmarkStart w:id="32" w:name="_Toc144974481"/>
      <w:bookmarkStart w:id="33" w:name="_Toc18109"/>
      <w:bookmarkStart w:id="34" w:name="_Toc246996902"/>
      <w:bookmarkStart w:id="35" w:name="_Toc11329214"/>
      <w:bookmarkStart w:id="36" w:name="_Toc507319892"/>
      <w:bookmarkStart w:id="37" w:name="_Toc179632529"/>
      <w:bookmarkStart w:id="38" w:name="_Toc10952"/>
      <w:bookmarkStart w:id="39" w:name="_Toc247085673"/>
      <w:bookmarkStart w:id="40" w:name="_Toc246996159"/>
      <w:bookmarkStart w:id="41" w:name="_Toc152042289"/>
      <w:bookmarkStart w:id="42" w:name="_Toc21343"/>
      <w:bookmarkStart w:id="43" w:name="_Toc10321"/>
      <w:bookmarkStart w:id="44" w:name="_Toc152045513"/>
      <w:r>
        <w:rPr>
          <w:rFonts w:hint="eastAsia" w:ascii="宋体" w:hAnsi="宋体" w:eastAsia="宋体" w:cs="宋体"/>
          <w:highlight w:val="none"/>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p>
    <w:p>
      <w:pPr>
        <w:spacing w:line="360" w:lineRule="auto"/>
        <w:ind w:firstLine="420" w:firstLineChars="200"/>
        <w:rPr>
          <w:rFonts w:ascii="宋体" w:hAnsi="宋体" w:cs="宋体"/>
          <w:highlight w:val="none"/>
        </w:rPr>
      </w:pPr>
      <w:bookmarkStart w:id="45" w:name="_Toc446247226"/>
      <w:r>
        <w:rPr>
          <w:rFonts w:hint="eastAsia" w:ascii="宋体" w:hAnsi="宋体" w:cs="宋体"/>
          <w:highlight w:val="none"/>
        </w:rPr>
        <w:t>2.1 项目地点：</w:t>
      </w:r>
      <w:bookmarkEnd w:id="45"/>
      <w:r>
        <w:rPr>
          <w:rFonts w:hint="eastAsia" w:ascii="宋体" w:hAnsi="宋体" w:cs="宋体"/>
          <w:highlight w:val="none"/>
          <w:lang w:eastAsia="zh-CN"/>
        </w:rPr>
        <w:t>重庆首讯科技股份有限公司</w:t>
      </w:r>
      <w:r>
        <w:rPr>
          <w:rFonts w:hint="eastAsia" w:ascii="宋体" w:hAnsi="宋体" w:cs="宋体"/>
          <w:highlight w:val="none"/>
        </w:rPr>
        <w:t>。</w:t>
      </w:r>
    </w:p>
    <w:p>
      <w:pPr>
        <w:pStyle w:val="14"/>
        <w:adjustRightInd w:val="0"/>
        <w:spacing w:line="400" w:lineRule="exact"/>
        <w:rPr>
          <w:rFonts w:hint="eastAsia" w:ascii="宋体" w:hAnsi="宋体" w:eastAsia="宋体" w:cs="宋体"/>
          <w:highlight w:val="none"/>
          <w:lang w:val="en-US" w:eastAsia="zh-CN"/>
        </w:rPr>
      </w:pPr>
      <w:r>
        <w:rPr>
          <w:rFonts w:hint="eastAsia" w:ascii="宋体" w:hAnsi="宋体" w:cs="宋体"/>
          <w:szCs w:val="21"/>
          <w:highlight w:val="none"/>
        </w:rPr>
        <w:t xml:space="preserve">2.2 </w:t>
      </w:r>
      <w:r>
        <w:rPr>
          <w:rFonts w:hint="eastAsia" w:ascii="宋体" w:hAnsi="宋体" w:cs="宋体"/>
          <w:szCs w:val="21"/>
          <w:highlight w:val="none"/>
          <w:lang w:eastAsia="zh-CN"/>
        </w:rPr>
        <w:t>服务内容</w:t>
      </w:r>
      <w:r>
        <w:rPr>
          <w:rFonts w:hint="eastAsia" w:ascii="宋体" w:hAnsi="宋体" w:cs="宋体"/>
          <w:szCs w:val="21"/>
          <w:highlight w:val="none"/>
        </w:rPr>
        <w:t>：本项目为</w:t>
      </w:r>
      <w:r>
        <w:rPr>
          <w:rFonts w:hint="eastAsia" w:ascii="宋体" w:hAnsi="宋体" w:cs="宋体"/>
          <w:szCs w:val="21"/>
          <w:highlight w:val="none"/>
          <w:lang w:eastAsia="zh-CN"/>
        </w:rPr>
        <w:t>首讯公司2021年防雷检测服务</w:t>
      </w:r>
      <w:r>
        <w:rPr>
          <w:rFonts w:hint="eastAsia" w:ascii="宋体" w:hAnsi="宋体" w:cs="宋体"/>
          <w:szCs w:val="21"/>
          <w:highlight w:val="none"/>
        </w:rPr>
        <w:t>，主要包括</w:t>
      </w:r>
      <w:r>
        <w:rPr>
          <w:rFonts w:hint="eastAsia" w:ascii="宋体" w:hAnsi="宋体" w:cs="宋体"/>
          <w:szCs w:val="21"/>
          <w:highlight w:val="none"/>
          <w:lang w:val="en-US" w:eastAsia="zh-CN"/>
        </w:rPr>
        <w:t>清单所列重庆高速公路</w:t>
      </w:r>
      <w:r>
        <w:rPr>
          <w:rFonts w:hint="eastAsia" w:ascii="宋体" w:hAnsi="宋体" w:cs="宋体"/>
          <w:szCs w:val="21"/>
          <w:highlight w:val="none"/>
        </w:rPr>
        <w:t>监控中心、区域监控中心</w:t>
      </w:r>
      <w:r>
        <w:rPr>
          <w:rFonts w:hint="eastAsia" w:ascii="宋体" w:hAnsi="宋体" w:cs="宋体"/>
          <w:szCs w:val="21"/>
          <w:highlight w:val="none"/>
          <w:lang w:val="en-US" w:eastAsia="zh-CN"/>
        </w:rPr>
        <w:t>、收费站</w:t>
      </w:r>
      <w:r>
        <w:rPr>
          <w:rFonts w:hint="eastAsia" w:ascii="宋体" w:hAnsi="宋体" w:cs="宋体"/>
          <w:szCs w:val="21"/>
          <w:highlight w:val="none"/>
          <w:lang w:eastAsia="zh-CN"/>
        </w:rPr>
        <w:t>、</w:t>
      </w:r>
      <w:r>
        <w:rPr>
          <w:rFonts w:hint="eastAsia" w:ascii="宋体" w:hAnsi="宋体" w:cs="宋体"/>
          <w:szCs w:val="21"/>
          <w:highlight w:val="none"/>
          <w:lang w:val="en-US" w:eastAsia="zh-CN"/>
        </w:rPr>
        <w:t>隧道配电房、路段ETC门架</w:t>
      </w:r>
      <w:r>
        <w:rPr>
          <w:rFonts w:hint="eastAsia" w:ascii="宋体" w:hAnsi="宋体" w:cs="宋体"/>
          <w:szCs w:val="21"/>
          <w:highlight w:val="none"/>
        </w:rPr>
        <w:t>设施</w:t>
      </w:r>
      <w:r>
        <w:rPr>
          <w:rFonts w:hint="eastAsia" w:ascii="宋体" w:hAnsi="宋体" w:cs="宋体"/>
          <w:szCs w:val="21"/>
          <w:highlight w:val="none"/>
          <w:lang w:val="en-US" w:eastAsia="zh-CN"/>
        </w:rPr>
        <w:t>的</w:t>
      </w:r>
      <w:r>
        <w:rPr>
          <w:rFonts w:hint="eastAsia" w:ascii="宋体" w:hAnsi="宋体" w:cs="宋体"/>
          <w:szCs w:val="21"/>
          <w:highlight w:val="none"/>
        </w:rPr>
        <w:t>防</w:t>
      </w:r>
      <w:r>
        <w:rPr>
          <w:rFonts w:hint="eastAsia" w:ascii="宋体" w:hAnsi="宋体" w:cs="宋体"/>
          <w:szCs w:val="21"/>
          <w:highlight w:val="none"/>
          <w:lang w:val="en-US" w:eastAsia="zh-CN"/>
        </w:rPr>
        <w:t>雷检测工作</w:t>
      </w:r>
      <w:r>
        <w:rPr>
          <w:rFonts w:hint="eastAsia" w:ascii="宋体" w:hAnsi="宋体" w:cs="宋体"/>
          <w:szCs w:val="21"/>
          <w:highlight w:val="none"/>
          <w:lang w:eastAsia="zh-CN"/>
        </w:rPr>
        <w:t>。</w:t>
      </w:r>
      <w:r>
        <w:rPr>
          <w:rFonts w:hint="eastAsia" w:ascii="宋体" w:hAnsi="宋体" w:cs="宋体"/>
          <w:szCs w:val="21"/>
          <w:highlight w:val="none"/>
          <w:lang w:val="en-US" w:eastAsia="zh-CN"/>
        </w:rPr>
        <w:t>包含</w:t>
      </w:r>
      <w:r>
        <w:rPr>
          <w:rFonts w:hint="eastAsia" w:ascii="宋体" w:hAnsi="宋体" w:cs="宋体"/>
          <w:szCs w:val="21"/>
          <w:highlight w:val="none"/>
        </w:rPr>
        <w:t>但不限于监控中心机房</w:t>
      </w:r>
      <w:r>
        <w:rPr>
          <w:rFonts w:hint="eastAsia" w:ascii="宋体" w:hAnsi="宋体" w:cs="宋体"/>
          <w:szCs w:val="21"/>
          <w:highlight w:val="none"/>
          <w:lang w:eastAsia="zh-CN"/>
        </w:rPr>
        <w:t>：</w:t>
      </w:r>
      <w:r>
        <w:rPr>
          <w:rFonts w:hint="eastAsia" w:ascii="宋体" w:hAnsi="宋体" w:cs="宋体"/>
          <w:szCs w:val="21"/>
          <w:highlight w:val="none"/>
        </w:rPr>
        <w:t>站房直击雷防护系统，包括引下线、接地端子等的接地电阻，机房内操作台、监控屏、机柜、配电柜（箱）、UPS、静电地板、等电位连接系统等防雷设施</w:t>
      </w:r>
      <w:r>
        <w:rPr>
          <w:rFonts w:hint="eastAsia" w:ascii="宋体" w:hAnsi="宋体" w:cs="宋体"/>
          <w:szCs w:val="21"/>
          <w:highlight w:val="none"/>
          <w:lang w:eastAsia="zh-CN"/>
        </w:rPr>
        <w:t>；</w:t>
      </w:r>
      <w:r>
        <w:rPr>
          <w:rFonts w:hint="eastAsia" w:ascii="宋体" w:hAnsi="宋体" w:cs="宋体"/>
          <w:szCs w:val="21"/>
          <w:highlight w:val="none"/>
          <w:lang w:val="en-US" w:eastAsia="zh-CN"/>
        </w:rPr>
        <w:t>包含</w:t>
      </w:r>
      <w:r>
        <w:rPr>
          <w:rFonts w:hint="eastAsia" w:ascii="宋体" w:hAnsi="宋体" w:cs="宋体"/>
          <w:szCs w:val="21"/>
          <w:highlight w:val="none"/>
        </w:rPr>
        <w:t>但不限于收费站</w:t>
      </w:r>
      <w:r>
        <w:rPr>
          <w:rFonts w:hint="eastAsia" w:ascii="宋体" w:hAnsi="宋体" w:cs="宋体"/>
          <w:szCs w:val="21"/>
          <w:highlight w:val="none"/>
          <w:lang w:eastAsia="zh-CN"/>
        </w:rPr>
        <w:t>：</w:t>
      </w:r>
      <w:r>
        <w:rPr>
          <w:rFonts w:hint="eastAsia" w:ascii="宋体" w:hAnsi="宋体" w:cs="宋体"/>
          <w:szCs w:val="21"/>
          <w:highlight w:val="none"/>
        </w:rPr>
        <w:t>收费站</w:t>
      </w:r>
      <w:r>
        <w:rPr>
          <w:rFonts w:hint="eastAsia" w:ascii="宋体" w:hAnsi="宋体" w:cs="宋体"/>
          <w:szCs w:val="21"/>
          <w:highlight w:val="none"/>
          <w:lang w:val="en-US" w:eastAsia="zh-CN"/>
        </w:rPr>
        <w:t>房、</w:t>
      </w:r>
      <w:r>
        <w:rPr>
          <w:rFonts w:hint="eastAsia" w:ascii="宋体" w:hAnsi="宋体" w:cs="宋体"/>
          <w:szCs w:val="21"/>
          <w:highlight w:val="none"/>
        </w:rPr>
        <w:t>棚</w:t>
      </w:r>
      <w:r>
        <w:rPr>
          <w:rFonts w:hint="eastAsia" w:ascii="宋体" w:hAnsi="宋体" w:cs="宋体"/>
          <w:szCs w:val="21"/>
          <w:highlight w:val="none"/>
          <w:lang w:val="en-US" w:eastAsia="zh-CN"/>
        </w:rPr>
        <w:t>的</w:t>
      </w:r>
      <w:r>
        <w:rPr>
          <w:rFonts w:hint="eastAsia" w:ascii="宋体" w:hAnsi="宋体" w:cs="宋体"/>
          <w:szCs w:val="21"/>
          <w:highlight w:val="none"/>
        </w:rPr>
        <w:t>直击雷防护系统包括引下线、接地端子的接地电阻</w:t>
      </w:r>
      <w:r>
        <w:rPr>
          <w:rFonts w:hint="eastAsia" w:ascii="宋体" w:hAnsi="宋体" w:cs="宋体"/>
          <w:szCs w:val="21"/>
          <w:highlight w:val="none"/>
          <w:lang w:eastAsia="zh-CN"/>
        </w:rPr>
        <w:t>，</w:t>
      </w:r>
      <w:r>
        <w:rPr>
          <w:rFonts w:hint="eastAsia" w:ascii="宋体" w:hAnsi="宋体" w:cs="宋体"/>
          <w:szCs w:val="21"/>
          <w:highlight w:val="none"/>
        </w:rPr>
        <w:t>每个车道检测收费亭外壳、监控杆、栏杆机外壳、费额显示器外壳、取卡机外壳、LED灯杆、</w:t>
      </w:r>
      <w:r>
        <w:rPr>
          <w:rFonts w:hint="eastAsia" w:ascii="宋体" w:hAnsi="宋体" w:cs="宋体"/>
          <w:szCs w:val="21"/>
          <w:highlight w:val="none"/>
          <w:lang w:val="en-US" w:eastAsia="zh-CN"/>
        </w:rPr>
        <w:t>机柜、低压设备、</w:t>
      </w:r>
      <w:r>
        <w:rPr>
          <w:rFonts w:hint="eastAsia" w:ascii="宋体" w:hAnsi="宋体" w:cs="宋体"/>
          <w:szCs w:val="21"/>
          <w:highlight w:val="none"/>
        </w:rPr>
        <w:t>进出站广场球型监控杆</w:t>
      </w:r>
      <w:r>
        <w:rPr>
          <w:rFonts w:hint="eastAsia" w:ascii="宋体" w:hAnsi="宋体" w:cs="宋体"/>
          <w:szCs w:val="21"/>
          <w:highlight w:val="none"/>
          <w:lang w:val="en-US" w:eastAsia="zh-CN"/>
        </w:rPr>
        <w:t>等设备</w:t>
      </w:r>
      <w:r>
        <w:rPr>
          <w:rFonts w:hint="eastAsia" w:ascii="宋体" w:hAnsi="宋体" w:cs="宋体"/>
          <w:szCs w:val="21"/>
          <w:highlight w:val="none"/>
        </w:rPr>
        <w:t>的接地电阻</w:t>
      </w:r>
      <w:r>
        <w:rPr>
          <w:rFonts w:hint="eastAsia" w:ascii="宋体" w:hAnsi="宋体" w:cs="宋体"/>
          <w:szCs w:val="21"/>
          <w:highlight w:val="none"/>
          <w:lang w:eastAsia="zh-CN"/>
        </w:rPr>
        <w:t>；</w:t>
      </w:r>
      <w:r>
        <w:rPr>
          <w:rFonts w:hint="eastAsia" w:ascii="宋体" w:hAnsi="宋体" w:cs="宋体"/>
          <w:szCs w:val="21"/>
          <w:highlight w:val="none"/>
          <w:lang w:val="en-US" w:eastAsia="zh-CN"/>
        </w:rPr>
        <w:t>包含</w:t>
      </w:r>
      <w:r>
        <w:rPr>
          <w:rFonts w:hint="eastAsia" w:ascii="宋体" w:hAnsi="宋体" w:cs="宋体"/>
          <w:szCs w:val="21"/>
          <w:highlight w:val="none"/>
        </w:rPr>
        <w:t>但不限于</w:t>
      </w:r>
      <w:r>
        <w:rPr>
          <w:rFonts w:hint="eastAsia" w:ascii="宋体" w:hAnsi="宋体" w:cs="宋体"/>
          <w:szCs w:val="21"/>
          <w:highlight w:val="none"/>
          <w:lang w:val="en-US" w:eastAsia="zh-CN"/>
        </w:rPr>
        <w:t>隧道配电房：</w:t>
      </w:r>
      <w:r>
        <w:rPr>
          <w:rFonts w:hint="eastAsia" w:ascii="宋体" w:hAnsi="宋体" w:cs="宋体"/>
          <w:szCs w:val="21"/>
          <w:highlight w:val="none"/>
        </w:rPr>
        <w:t>直击雷防护系统包括引下线、接地端子的接地电阻</w:t>
      </w:r>
      <w:r>
        <w:rPr>
          <w:rFonts w:hint="eastAsia" w:ascii="宋体" w:hAnsi="宋体" w:cs="宋体"/>
          <w:szCs w:val="21"/>
          <w:highlight w:val="none"/>
          <w:lang w:eastAsia="zh-CN"/>
        </w:rPr>
        <w:t>，</w:t>
      </w:r>
      <w:r>
        <w:rPr>
          <w:rFonts w:hint="eastAsia" w:ascii="宋体" w:hAnsi="宋体" w:cs="宋体"/>
          <w:szCs w:val="21"/>
          <w:highlight w:val="none"/>
          <w:lang w:val="en-US" w:eastAsia="zh-CN"/>
        </w:rPr>
        <w:t>配电柜（箱）、静电地板、变压器、计量鬼等设备</w:t>
      </w:r>
      <w:r>
        <w:rPr>
          <w:rFonts w:hint="eastAsia" w:ascii="宋体" w:hAnsi="宋体" w:cs="宋体"/>
          <w:szCs w:val="21"/>
          <w:highlight w:val="none"/>
        </w:rPr>
        <w:t>的接地电阻</w:t>
      </w:r>
      <w:r>
        <w:rPr>
          <w:rFonts w:hint="eastAsia" w:ascii="宋体" w:hAnsi="宋体" w:cs="宋体"/>
          <w:szCs w:val="21"/>
          <w:highlight w:val="none"/>
          <w:lang w:val="en-US" w:eastAsia="zh-CN"/>
        </w:rPr>
        <w:t>；包含</w:t>
      </w:r>
      <w:r>
        <w:rPr>
          <w:rFonts w:hint="eastAsia" w:ascii="宋体" w:hAnsi="宋体" w:cs="宋体"/>
          <w:szCs w:val="21"/>
          <w:highlight w:val="none"/>
        </w:rPr>
        <w:t>但不限于</w:t>
      </w:r>
      <w:r>
        <w:rPr>
          <w:rFonts w:hint="eastAsia" w:ascii="宋体" w:hAnsi="宋体" w:cs="宋体"/>
          <w:szCs w:val="21"/>
          <w:highlight w:val="none"/>
          <w:lang w:val="en-US" w:eastAsia="zh-CN"/>
        </w:rPr>
        <w:t>路段ETC门架设施的</w:t>
      </w:r>
      <w:r>
        <w:rPr>
          <w:rFonts w:hint="eastAsia" w:ascii="宋体" w:hAnsi="宋体" w:cs="宋体"/>
          <w:szCs w:val="21"/>
          <w:highlight w:val="none"/>
        </w:rPr>
        <w:t>直击雷防护系统，包括引下线、接地端子</w:t>
      </w:r>
      <w:r>
        <w:rPr>
          <w:rFonts w:hint="eastAsia" w:ascii="宋体" w:hAnsi="宋体" w:cs="宋体"/>
          <w:szCs w:val="21"/>
          <w:highlight w:val="none"/>
          <w:lang w:eastAsia="zh-CN"/>
        </w:rPr>
        <w:t>、</w:t>
      </w:r>
      <w:r>
        <w:rPr>
          <w:rFonts w:hint="eastAsia" w:ascii="宋体" w:hAnsi="宋体" w:cs="宋体"/>
          <w:szCs w:val="21"/>
          <w:highlight w:val="none"/>
          <w:lang w:val="en-US" w:eastAsia="zh-CN"/>
        </w:rPr>
        <w:t>避雷针、避雷球</w:t>
      </w:r>
      <w:r>
        <w:rPr>
          <w:rFonts w:hint="eastAsia" w:ascii="宋体" w:hAnsi="宋体" w:cs="宋体"/>
          <w:szCs w:val="21"/>
          <w:highlight w:val="none"/>
        </w:rPr>
        <w:t>等的接地电阻</w:t>
      </w:r>
      <w:r>
        <w:rPr>
          <w:rFonts w:hint="eastAsia" w:ascii="宋体" w:hAnsi="宋体" w:cs="宋体"/>
          <w:szCs w:val="21"/>
          <w:highlight w:val="none"/>
          <w:lang w:eastAsia="zh-CN"/>
        </w:rPr>
        <w:t>，</w:t>
      </w:r>
      <w:r>
        <w:rPr>
          <w:rFonts w:hint="eastAsia" w:ascii="宋体" w:hAnsi="宋体" w:cs="宋体"/>
          <w:szCs w:val="21"/>
          <w:highlight w:val="none"/>
          <w:lang w:val="en-US" w:eastAsia="zh-CN"/>
        </w:rPr>
        <w:t>空调外机、弱点设备架、弱点设备、配电箱体（接地设备）、门架钢柱、门架栏杆、门架爬梯、摄像头等设备</w:t>
      </w:r>
      <w:r>
        <w:rPr>
          <w:rFonts w:hint="eastAsia" w:ascii="宋体" w:hAnsi="宋体" w:cs="宋体"/>
          <w:szCs w:val="21"/>
          <w:highlight w:val="none"/>
        </w:rPr>
        <w:t>的接地电阻</w:t>
      </w:r>
      <w:r>
        <w:rPr>
          <w:rFonts w:hint="eastAsia" w:ascii="宋体" w:hAnsi="宋体" w:cs="宋体"/>
          <w:szCs w:val="21"/>
          <w:highlight w:val="none"/>
          <w:lang w:eastAsia="zh-CN"/>
        </w:rPr>
        <w:t>。</w:t>
      </w:r>
    </w:p>
    <w:p>
      <w:pPr>
        <w:pStyle w:val="14"/>
        <w:adjustRightInd w:val="0"/>
        <w:spacing w:line="400" w:lineRule="exact"/>
        <w:rPr>
          <w:rFonts w:ascii="宋体" w:hAnsi="宋体" w:cs="宋体"/>
          <w:szCs w:val="21"/>
          <w:highlight w:val="none"/>
        </w:rPr>
      </w:pPr>
      <w:r>
        <w:rPr>
          <w:rFonts w:hint="eastAsia" w:ascii="宋体" w:hAnsi="宋体" w:cs="宋体"/>
          <w:highlight w:val="none"/>
        </w:rPr>
        <w:t xml:space="preserve">2.3 </w:t>
      </w:r>
      <w:r>
        <w:rPr>
          <w:rFonts w:hint="eastAsia" w:ascii="宋体" w:hAnsi="宋体" w:cs="宋体"/>
          <w:highlight w:val="none"/>
          <w:lang w:eastAsia="zh-CN"/>
        </w:rPr>
        <w:t>实施期</w:t>
      </w:r>
      <w:r>
        <w:rPr>
          <w:rFonts w:hint="eastAsia" w:ascii="宋体" w:hAnsi="宋体" w:cs="宋体"/>
          <w:highlight w:val="none"/>
        </w:rPr>
        <w:t>：</w:t>
      </w:r>
      <w:r>
        <w:rPr>
          <w:rFonts w:hint="eastAsia" w:ascii="宋体" w:hAnsi="宋体" w:cs="宋体"/>
          <w:szCs w:val="21"/>
          <w:highlight w:val="none"/>
          <w:lang w:val="en-US" w:eastAsia="zh-CN"/>
        </w:rPr>
        <w:t>2021年9月30日前完成</w:t>
      </w:r>
      <w:r>
        <w:rPr>
          <w:rFonts w:hint="eastAsia" w:ascii="宋体" w:hAnsi="宋体" w:cs="宋体"/>
          <w:highlight w:val="none"/>
        </w:rPr>
        <w:t>。</w:t>
      </w:r>
    </w:p>
    <w:p>
      <w:pPr>
        <w:pStyle w:val="4"/>
        <w:spacing w:before="120" w:after="0" w:line="360" w:lineRule="auto"/>
        <w:rPr>
          <w:rFonts w:ascii="宋体" w:hAnsi="宋体" w:eastAsia="宋体" w:cs="宋体"/>
          <w:highlight w:val="none"/>
        </w:rPr>
      </w:pPr>
      <w:bookmarkStart w:id="46" w:name="_Toc247085674"/>
      <w:bookmarkStart w:id="47" w:name="_Toc10171"/>
      <w:bookmarkStart w:id="48" w:name="_Toc152042290"/>
      <w:bookmarkStart w:id="49" w:name="_Toc11329215"/>
      <w:bookmarkStart w:id="50" w:name="_Toc246996160"/>
      <w:bookmarkStart w:id="51" w:name="_Toc30356"/>
      <w:bookmarkStart w:id="52" w:name="_Toc8744"/>
      <w:bookmarkStart w:id="53" w:name="_Toc152045514"/>
      <w:bookmarkStart w:id="54" w:name="_Toc7065"/>
      <w:bookmarkStart w:id="55" w:name="_Toc246996903"/>
      <w:bookmarkStart w:id="56" w:name="_Toc144974482"/>
      <w:bookmarkStart w:id="57" w:name="_Toc507319893"/>
      <w:bookmarkStart w:id="58" w:name="_Toc179632530"/>
      <w:r>
        <w:rPr>
          <w:rFonts w:hint="eastAsia" w:ascii="宋体" w:hAnsi="宋体" w:eastAsia="宋体" w:cs="宋体"/>
          <w:highlight w:val="none"/>
        </w:rPr>
        <w:t>3. 报价人资格要求</w:t>
      </w:r>
      <w:bookmarkEnd w:id="46"/>
      <w:bookmarkEnd w:id="47"/>
      <w:bookmarkEnd w:id="48"/>
      <w:bookmarkEnd w:id="49"/>
      <w:bookmarkEnd w:id="50"/>
      <w:bookmarkEnd w:id="51"/>
      <w:bookmarkEnd w:id="52"/>
      <w:bookmarkEnd w:id="53"/>
      <w:bookmarkEnd w:id="54"/>
      <w:bookmarkEnd w:id="55"/>
      <w:bookmarkEnd w:id="56"/>
      <w:bookmarkEnd w:id="57"/>
      <w:bookmarkEnd w:id="58"/>
    </w:p>
    <w:p>
      <w:pPr>
        <w:spacing w:line="400" w:lineRule="exact"/>
        <w:ind w:firstLine="420" w:firstLineChars="200"/>
        <w:rPr>
          <w:rFonts w:ascii="宋体" w:hAnsi="宋体" w:cs="宋体"/>
          <w:szCs w:val="21"/>
          <w:highlight w:val="none"/>
          <w:shd w:val="clear" w:color="auto" w:fill="FFFFFF"/>
        </w:rPr>
      </w:pPr>
      <w:bookmarkStart w:id="59" w:name="_Toc246996161"/>
      <w:bookmarkStart w:id="60" w:name="_Toc179632531"/>
      <w:bookmarkStart w:id="61" w:name="_Toc144974483"/>
      <w:bookmarkStart w:id="62" w:name="_Toc152042291"/>
      <w:bookmarkStart w:id="63" w:name="_Toc246996904"/>
      <w:bookmarkStart w:id="64" w:name="_Toc247085675"/>
      <w:bookmarkStart w:id="65" w:name="_Toc152045515"/>
      <w:r>
        <w:rPr>
          <w:rFonts w:hint="eastAsia" w:ascii="宋体" w:hAnsi="宋体" w:cs="宋体"/>
          <w:szCs w:val="21"/>
          <w:highlight w:val="none"/>
          <w:shd w:val="clear" w:color="auto" w:fill="FFFFFF"/>
        </w:rPr>
        <w:t>3.1 资质要求</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不满足以下要求，作废标处理</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（1）报价人需报价人应为中国大陆境内合法注册的独立企业法人，具有</w:t>
      </w:r>
      <w:r>
        <w:rPr>
          <w:rFonts w:hint="eastAsia" w:ascii="宋体" w:hAnsi="宋体" w:cs="宋体"/>
          <w:szCs w:val="21"/>
          <w:highlight w:val="none"/>
          <w:shd w:val="clear" w:color="auto" w:fill="FFFFFF"/>
          <w:lang w:val="en-US" w:eastAsia="zh-CN"/>
        </w:rPr>
        <w:t>有效的</w:t>
      </w:r>
      <w:r>
        <w:rPr>
          <w:rFonts w:hint="eastAsia" w:ascii="宋体" w:hAnsi="宋体" w:cs="宋体"/>
          <w:szCs w:val="21"/>
          <w:highlight w:val="none"/>
          <w:shd w:val="clear" w:color="auto" w:fill="FFFFFF"/>
        </w:rPr>
        <w:t>营业执照</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原件现场备查</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2</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 xml:space="preserve"> </w:t>
      </w:r>
      <w:r>
        <w:rPr>
          <w:rFonts w:hint="eastAsia" w:ascii="宋体" w:hAnsi="宋体" w:cs="宋体"/>
          <w:szCs w:val="21"/>
          <w:highlight w:val="none"/>
          <w:shd w:val="clear" w:color="auto" w:fill="FFFFFF"/>
        </w:rPr>
        <w:t>报价人</w:t>
      </w:r>
      <w:r>
        <w:rPr>
          <w:rFonts w:hint="eastAsia" w:ascii="宋体" w:hAnsi="宋体" w:cs="宋体"/>
          <w:szCs w:val="21"/>
          <w:highlight w:val="none"/>
          <w:shd w:val="clear" w:color="auto" w:fill="FFFFFF"/>
          <w:lang w:val="en-US" w:eastAsia="zh-CN"/>
        </w:rPr>
        <w:t>应具备雷电防护装置检测乙级及以上资质，且需入围重庆市气象局最新一期《雷电防护装置检测资质单位登记公告》公布的单位名单（提供网页截图，加盖报价人单位公章）</w:t>
      </w:r>
      <w:r>
        <w:rPr>
          <w:rFonts w:hint="eastAsia" w:ascii="宋体" w:hAnsi="宋体" w:cs="宋体"/>
          <w:szCs w:val="21"/>
          <w:highlight w:val="none"/>
          <w:shd w:val="clear" w:color="auto" w:fill="FFFFFF"/>
        </w:rPr>
        <w:t>。</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3</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信用良好：在国家企业信用信息公示系统（ http://www.gsxt.gov.cn/）中未被列入严重违法失信企业名单（黑名单）信息；在“信用中国”网站（ http://www.creditchina.gov.cn/）中未被列入失信惩戒执行人名单。</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rPr>
        <w:t>3.2 本次比选不接受联合体报价。</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rPr>
        <w:t>3.3与采购人存在利害关系可能影响比选公正性的法人、其他组织或者个人，不得参加本项目报价；单位负责人为同一人或者存在控股、管理关系的不同单位，不得同时参加本项目报价，否则均按无效报价处理。</w:t>
      </w:r>
    </w:p>
    <w:p>
      <w:pPr>
        <w:pStyle w:val="4"/>
        <w:spacing w:before="120" w:after="0" w:line="400" w:lineRule="exact"/>
        <w:rPr>
          <w:rFonts w:ascii="宋体" w:hAnsi="宋体" w:eastAsia="宋体" w:cs="宋体"/>
          <w:highlight w:val="none"/>
        </w:rPr>
      </w:pPr>
      <w:bookmarkStart w:id="66" w:name="_Toc20193"/>
      <w:bookmarkStart w:id="67" w:name="_Toc507319894"/>
      <w:bookmarkStart w:id="68" w:name="_Toc11329216"/>
      <w:bookmarkStart w:id="69" w:name="_Toc25619"/>
      <w:bookmarkStart w:id="70" w:name="_Toc12460"/>
      <w:bookmarkStart w:id="71" w:name="_Toc14361"/>
      <w:r>
        <w:rPr>
          <w:rFonts w:hint="eastAsia" w:ascii="宋体" w:hAnsi="宋体" w:eastAsia="宋体" w:cs="宋体"/>
          <w:highlight w:val="none"/>
        </w:rPr>
        <w:t>4. 比选文件的获取</w:t>
      </w:r>
      <w:bookmarkEnd w:id="59"/>
      <w:bookmarkEnd w:id="60"/>
      <w:bookmarkEnd w:id="61"/>
      <w:bookmarkEnd w:id="62"/>
      <w:bookmarkEnd w:id="63"/>
      <w:bookmarkEnd w:id="64"/>
      <w:bookmarkEnd w:id="65"/>
      <w:bookmarkEnd w:id="66"/>
      <w:bookmarkEnd w:id="67"/>
      <w:bookmarkEnd w:id="68"/>
      <w:bookmarkEnd w:id="69"/>
      <w:bookmarkEnd w:id="70"/>
      <w:bookmarkEnd w:id="71"/>
    </w:p>
    <w:p>
      <w:pPr>
        <w:spacing w:line="360" w:lineRule="auto"/>
        <w:ind w:firstLine="420" w:firstLineChars="200"/>
        <w:rPr>
          <w:rFonts w:ascii="宋体" w:hAnsi="宋体"/>
          <w:szCs w:val="21"/>
          <w:highlight w:val="none"/>
        </w:rPr>
      </w:pPr>
      <w:bookmarkStart w:id="72" w:name="_Toc246996162"/>
      <w:bookmarkStart w:id="73" w:name="_Toc247085676"/>
      <w:bookmarkStart w:id="74" w:name="_Toc152045516"/>
      <w:bookmarkStart w:id="75" w:name="_Toc152042292"/>
      <w:bookmarkStart w:id="76" w:name="_Toc144974484"/>
      <w:bookmarkStart w:id="77" w:name="_Toc507319895"/>
      <w:bookmarkStart w:id="78" w:name="_Toc11329217"/>
      <w:bookmarkStart w:id="79" w:name="_Toc246996905"/>
      <w:bookmarkStart w:id="80" w:name="_Toc179632532"/>
      <w:r>
        <w:rPr>
          <w:rFonts w:ascii="宋体" w:hAnsi="宋体"/>
          <w:szCs w:val="21"/>
          <w:highlight w:val="none"/>
        </w:rPr>
        <w:t>凡愿意参加的潜在</w:t>
      </w:r>
      <w:r>
        <w:rPr>
          <w:rFonts w:hint="eastAsia" w:ascii="宋体" w:hAnsi="宋体"/>
          <w:szCs w:val="21"/>
          <w:highlight w:val="none"/>
        </w:rPr>
        <w:t>报价</w:t>
      </w:r>
      <w:r>
        <w:rPr>
          <w:rFonts w:ascii="宋体" w:hAnsi="宋体"/>
          <w:szCs w:val="21"/>
          <w:highlight w:val="none"/>
        </w:rPr>
        <w:t>人，</w:t>
      </w:r>
      <w:r>
        <w:rPr>
          <w:rFonts w:hint="eastAsia" w:ascii="宋体" w:hAnsi="宋体"/>
          <w:szCs w:val="21"/>
          <w:highlight w:val="none"/>
        </w:rPr>
        <w:t>在</w:t>
      </w:r>
      <w:r>
        <w:rPr>
          <w:rFonts w:hint="eastAsia" w:ascii="宋体" w:hAnsi="宋体"/>
          <w:szCs w:val="21"/>
          <w:highlight w:val="none"/>
          <w:u w:val="single"/>
        </w:rPr>
        <w:t>2021</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u w:val="single"/>
          <w:lang w:val="en-US" w:eastAsia="zh-CN"/>
        </w:rPr>
        <w:t>8</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9</w:t>
      </w:r>
      <w:r>
        <w:rPr>
          <w:rFonts w:ascii="宋体" w:hAnsi="宋体"/>
          <w:szCs w:val="21"/>
          <w:highlight w:val="none"/>
          <w:u w:val="single"/>
        </w:rPr>
        <w:t xml:space="preserve"> </w:t>
      </w:r>
      <w:r>
        <w:rPr>
          <w:rFonts w:hint="eastAsia" w:ascii="宋体" w:hAnsi="宋体"/>
          <w:szCs w:val="21"/>
          <w:highlight w:val="none"/>
        </w:rPr>
        <w:t>日下午</w:t>
      </w:r>
      <w:r>
        <w:rPr>
          <w:rFonts w:hint="eastAsia" w:ascii="宋体" w:hAnsi="宋体"/>
          <w:szCs w:val="21"/>
          <w:highlight w:val="none"/>
          <w:u w:val="single"/>
        </w:rPr>
        <w:t>15:00</w:t>
      </w:r>
      <w:r>
        <w:rPr>
          <w:rFonts w:hint="eastAsia" w:ascii="宋体" w:hAnsi="宋体"/>
          <w:szCs w:val="21"/>
          <w:highlight w:val="none"/>
        </w:rPr>
        <w:t>前在重庆高速集团官网平台上</w:t>
      </w:r>
      <w:r>
        <w:rPr>
          <w:rFonts w:hint="eastAsia" w:ascii="宋体" w:hAnsi="宋体"/>
          <w:szCs w:val="21"/>
          <w:highlight w:val="none"/>
          <w:lang w:val="en-US" w:eastAsia="zh-CN"/>
        </w:rPr>
        <w:t>获取比选文件</w:t>
      </w:r>
      <w:r>
        <w:rPr>
          <w:rFonts w:hint="eastAsia" w:ascii="宋体" w:hAnsi="宋体"/>
          <w:szCs w:val="21"/>
          <w:highlight w:val="none"/>
        </w:rPr>
        <w:t>，各报价人应随时关注网上发布的竞争性比选文件答疑、补遗、澄清等文件内容，不管报价人是否下载，均视为已知晓竞争性比选文件的全部内容和有关事宜。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highlight w:val="none"/>
        </w:rPr>
      </w:pPr>
      <w:bookmarkStart w:id="81" w:name="_Toc16686"/>
      <w:bookmarkStart w:id="82" w:name="_Toc9131"/>
      <w:bookmarkStart w:id="83" w:name="_Toc17832"/>
      <w:bookmarkStart w:id="84" w:name="_Toc31493"/>
      <w:r>
        <w:rPr>
          <w:rFonts w:hint="eastAsia" w:ascii="宋体" w:hAnsi="宋体" w:eastAsia="宋体" w:cs="宋体"/>
          <w:highlight w:val="none"/>
        </w:rPr>
        <w:t>5. 竞争性比选响应文件的递交</w:t>
      </w:r>
      <w:bookmarkEnd w:id="72"/>
      <w:bookmarkEnd w:id="73"/>
      <w:bookmarkEnd w:id="74"/>
      <w:bookmarkEnd w:id="75"/>
      <w:bookmarkEnd w:id="76"/>
      <w:bookmarkEnd w:id="77"/>
      <w:bookmarkEnd w:id="78"/>
      <w:bookmarkEnd w:id="79"/>
      <w:bookmarkEnd w:id="80"/>
      <w:r>
        <w:rPr>
          <w:rFonts w:hint="eastAsia" w:ascii="宋体" w:hAnsi="宋体" w:eastAsia="宋体" w:cs="宋体"/>
          <w:highlight w:val="none"/>
        </w:rPr>
        <w:t>及相关事宜</w:t>
      </w:r>
      <w:bookmarkEnd w:id="81"/>
      <w:bookmarkEnd w:id="82"/>
      <w:bookmarkEnd w:id="83"/>
      <w:bookmarkEnd w:id="84"/>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5.1报价截止时间和开标时间：</w:t>
      </w:r>
      <w:r>
        <w:rPr>
          <w:rFonts w:hint="eastAsia" w:ascii="宋体" w:hAnsi="宋体"/>
          <w:szCs w:val="21"/>
          <w:highlight w:val="none"/>
          <w:u w:val="single"/>
        </w:rPr>
        <w:t>2021</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u w:val="single"/>
          <w:lang w:val="en-US" w:eastAsia="zh-CN"/>
        </w:rPr>
        <w:t>8</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9</w:t>
      </w:r>
      <w:r>
        <w:rPr>
          <w:rFonts w:ascii="宋体" w:hAnsi="宋体"/>
          <w:szCs w:val="21"/>
          <w:highlight w:val="none"/>
          <w:u w:val="single"/>
        </w:rPr>
        <w:t xml:space="preserve"> </w:t>
      </w:r>
      <w:r>
        <w:rPr>
          <w:rFonts w:hint="eastAsia" w:ascii="宋体" w:hAnsi="宋体" w:cs="宋体"/>
          <w:szCs w:val="21"/>
          <w:highlight w:val="none"/>
        </w:rPr>
        <w:t>日下午</w:t>
      </w:r>
      <w:r>
        <w:rPr>
          <w:rFonts w:hint="eastAsia" w:ascii="宋体" w:hAnsi="宋体" w:cs="宋体"/>
          <w:szCs w:val="21"/>
          <w:highlight w:val="none"/>
          <w:u w:val="single"/>
        </w:rPr>
        <w:t xml:space="preserve"> 15 </w:t>
      </w:r>
      <w:r>
        <w:rPr>
          <w:rFonts w:hint="eastAsia" w:ascii="宋体" w:hAnsi="宋体" w:cs="宋体"/>
          <w:szCs w:val="21"/>
          <w:highlight w:val="none"/>
        </w:rPr>
        <w:t>时</w:t>
      </w:r>
      <w:r>
        <w:rPr>
          <w:rFonts w:hint="eastAsia" w:ascii="宋体" w:hAnsi="宋体" w:cs="宋体"/>
          <w:szCs w:val="21"/>
          <w:highlight w:val="none"/>
          <w:u w:val="single"/>
        </w:rPr>
        <w:t xml:space="preserve"> 00 </w:t>
      </w:r>
      <w:r>
        <w:rPr>
          <w:rFonts w:hint="eastAsia" w:ascii="宋体" w:hAnsi="宋体" w:cs="宋体"/>
          <w:szCs w:val="21"/>
          <w:highlight w:val="none"/>
        </w:rPr>
        <w:t>分（北京时间）。</w:t>
      </w:r>
    </w:p>
    <w:p>
      <w:pPr>
        <w:tabs>
          <w:tab w:val="left" w:pos="360"/>
        </w:tabs>
        <w:spacing w:line="40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5.2报价的递交：重庆市南岸区四公里内环入口200米处重庆首讯科技大楼</w:t>
      </w:r>
      <w:r>
        <w:rPr>
          <w:rFonts w:hint="eastAsia" w:ascii="宋体" w:hAnsi="宋体" w:cs="宋体"/>
          <w:szCs w:val="21"/>
          <w:highlight w:val="none"/>
          <w:lang w:eastAsia="zh-CN"/>
        </w:rPr>
        <w:t>。</w:t>
      </w:r>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5.3</w:t>
      </w:r>
      <w:r>
        <w:rPr>
          <w:rFonts w:ascii="宋体" w:hAnsi="宋体" w:cs="宋体"/>
          <w:szCs w:val="21"/>
          <w:highlight w:val="none"/>
        </w:rPr>
        <w:t>采购</w:t>
      </w:r>
      <w:r>
        <w:rPr>
          <w:rFonts w:hint="eastAsia" w:ascii="宋体" w:hAnsi="宋体" w:cs="宋体"/>
          <w:szCs w:val="21"/>
          <w:highlight w:val="none"/>
          <w:lang w:val="en-US" w:eastAsia="zh-CN"/>
        </w:rPr>
        <w:tab/>
      </w:r>
      <w:r>
        <w:rPr>
          <w:rFonts w:ascii="宋体" w:hAnsi="宋体" w:cs="宋体"/>
          <w:szCs w:val="21"/>
          <w:highlight w:val="none"/>
        </w:rPr>
        <w:t>人不召开报价预备会。</w:t>
      </w:r>
    </w:p>
    <w:p>
      <w:pPr>
        <w:pStyle w:val="4"/>
        <w:spacing w:before="120" w:after="0" w:line="400" w:lineRule="exact"/>
        <w:rPr>
          <w:rFonts w:ascii="宋体" w:hAnsi="宋体" w:eastAsia="宋体" w:cs="宋体"/>
          <w:highlight w:val="none"/>
        </w:rPr>
      </w:pPr>
      <w:bookmarkStart w:id="85" w:name="_Toc18284"/>
      <w:bookmarkStart w:id="86" w:name="_Toc393"/>
      <w:bookmarkStart w:id="87" w:name="_Toc11329219"/>
      <w:bookmarkStart w:id="88" w:name="_Toc18402"/>
      <w:bookmarkStart w:id="89" w:name="_Toc247085678"/>
      <w:bookmarkStart w:id="90" w:name="_Toc21615"/>
      <w:bookmarkStart w:id="91" w:name="_Toc144974485"/>
      <w:bookmarkStart w:id="92" w:name="_Toc152045517"/>
      <w:bookmarkStart w:id="93" w:name="_Toc179632534"/>
      <w:bookmarkStart w:id="94" w:name="_Toc152042293"/>
      <w:bookmarkStart w:id="95" w:name="_Toc507319897"/>
      <w:bookmarkStart w:id="96" w:name="_Toc246996907"/>
      <w:bookmarkStart w:id="97" w:name="_Toc246996164"/>
      <w:r>
        <w:rPr>
          <w:rFonts w:hint="eastAsia" w:ascii="宋体" w:hAnsi="宋体" w:eastAsia="宋体" w:cs="宋体"/>
          <w:highlight w:val="none"/>
        </w:rPr>
        <w:t>6. 联系方式</w:t>
      </w:r>
      <w:bookmarkEnd w:id="85"/>
      <w:bookmarkEnd w:id="86"/>
      <w:bookmarkEnd w:id="87"/>
      <w:bookmarkEnd w:id="88"/>
      <w:bookmarkEnd w:id="89"/>
      <w:bookmarkEnd w:id="90"/>
      <w:bookmarkEnd w:id="91"/>
      <w:bookmarkEnd w:id="92"/>
      <w:bookmarkEnd w:id="93"/>
      <w:bookmarkEnd w:id="94"/>
      <w:bookmarkEnd w:id="95"/>
      <w:bookmarkEnd w:id="96"/>
      <w:bookmarkEnd w:id="97"/>
    </w:p>
    <w:tbl>
      <w:tblPr>
        <w:tblStyle w:val="47"/>
        <w:tblW w:w="9628" w:type="dxa"/>
        <w:tblInd w:w="0" w:type="dxa"/>
        <w:tblLayout w:type="fixed"/>
        <w:tblCellMar>
          <w:top w:w="0" w:type="dxa"/>
          <w:left w:w="108" w:type="dxa"/>
          <w:bottom w:w="0" w:type="dxa"/>
          <w:right w:w="108" w:type="dxa"/>
        </w:tblCellMar>
      </w:tblPr>
      <w:tblGrid>
        <w:gridCol w:w="8213"/>
        <w:gridCol w:w="1415"/>
      </w:tblGrid>
      <w:tr>
        <w:tblPrEx>
          <w:tblLayout w:type="fixed"/>
          <w:tblCellMar>
            <w:top w:w="0" w:type="dxa"/>
            <w:left w:w="108" w:type="dxa"/>
            <w:bottom w:w="0" w:type="dxa"/>
            <w:right w:w="108" w:type="dxa"/>
          </w:tblCellMar>
        </w:tblPrEx>
        <w:trPr>
          <w:trHeight w:val="470" w:hRule="atLeast"/>
        </w:trPr>
        <w:tc>
          <w:tcPr>
            <w:tcW w:w="8213"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highlight w:val="none"/>
              </w:rPr>
            </w:pPr>
            <w:r>
              <w:rPr>
                <w:rFonts w:hint="eastAsia" w:ascii="宋体" w:hAnsi="宋体" w:cs="宋体"/>
                <w:kern w:val="2"/>
                <w:sz w:val="21"/>
                <w:szCs w:val="21"/>
                <w:highlight w:val="none"/>
              </w:rPr>
              <w:t>采购人：重庆首讯科技股份有限公司</w:t>
            </w:r>
          </w:p>
        </w:tc>
        <w:tc>
          <w:tcPr>
            <w:tcW w:w="1415"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highlight w:val="none"/>
              </w:rPr>
            </w:pPr>
          </w:p>
        </w:tc>
      </w:tr>
      <w:tr>
        <w:tblPrEx>
          <w:tblLayout w:type="fixed"/>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highlight w:val="none"/>
              </w:rPr>
            </w:pPr>
            <w:r>
              <w:rPr>
                <w:rFonts w:hint="eastAsia" w:ascii="宋体" w:hAnsi="宋体" w:cs="宋体"/>
                <w:szCs w:val="21"/>
                <w:highlight w:val="none"/>
              </w:rPr>
              <w:t>地址：重庆市南岸区四公里内环入口高速集团首讯科技大楼</w:t>
            </w:r>
          </w:p>
        </w:tc>
        <w:tc>
          <w:tcPr>
            <w:tcW w:w="1415" w:type="dxa"/>
            <w:vAlign w:val="center"/>
          </w:tcPr>
          <w:p>
            <w:pPr>
              <w:spacing w:line="400" w:lineRule="exact"/>
              <w:ind w:firstLine="420" w:firstLineChars="200"/>
              <w:rPr>
                <w:rFonts w:ascii="宋体" w:hAnsi="宋体" w:cs="宋体"/>
                <w:szCs w:val="21"/>
                <w:highlight w:val="none"/>
              </w:rPr>
            </w:pPr>
          </w:p>
        </w:tc>
      </w:tr>
      <w:tr>
        <w:tblPrEx>
          <w:tblLayout w:type="fixed"/>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ascii="宋体" w:hAnsi="宋体" w:cs="宋体"/>
                <w:szCs w:val="21"/>
                <w:highlight w:val="none"/>
              </w:rPr>
            </w:pPr>
            <w:r>
              <w:rPr>
                <w:rFonts w:hint="eastAsia" w:ascii="宋体" w:hAnsi="宋体" w:cs="宋体"/>
                <w:szCs w:val="21"/>
                <w:highlight w:val="none"/>
              </w:rPr>
              <w:t>技术联系人：</w:t>
            </w:r>
            <w:r>
              <w:rPr>
                <w:rFonts w:hint="eastAsia" w:ascii="宋体" w:hAnsi="宋体" w:cs="宋体"/>
                <w:szCs w:val="21"/>
                <w:highlight w:val="none"/>
                <w:lang w:val="en-US" w:eastAsia="zh-CN"/>
              </w:rPr>
              <w:t>秦老师</w:t>
            </w:r>
          </w:p>
        </w:tc>
        <w:tc>
          <w:tcPr>
            <w:tcW w:w="1415" w:type="dxa"/>
            <w:vAlign w:val="center"/>
          </w:tcPr>
          <w:p>
            <w:pPr>
              <w:spacing w:line="400" w:lineRule="exact"/>
              <w:ind w:firstLine="420" w:firstLineChars="200"/>
              <w:rPr>
                <w:rFonts w:ascii="宋体" w:hAnsi="宋体" w:cs="宋体"/>
                <w:szCs w:val="21"/>
                <w:highlight w:val="none"/>
              </w:rPr>
            </w:pPr>
          </w:p>
        </w:tc>
      </w:tr>
      <w:tr>
        <w:tblPrEx>
          <w:tblLayout w:type="fixed"/>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highlight w:val="none"/>
              </w:rPr>
            </w:pPr>
            <w:r>
              <w:rPr>
                <w:rFonts w:hint="eastAsia" w:ascii="宋体" w:hAnsi="宋体" w:cs="宋体"/>
                <w:szCs w:val="21"/>
                <w:highlight w:val="none"/>
              </w:rPr>
              <w:t>电 话：</w:t>
            </w:r>
            <w:r>
              <w:rPr>
                <w:rFonts w:hint="eastAsia" w:ascii="宋体" w:hAnsi="宋体" w:cs="宋体"/>
                <w:szCs w:val="21"/>
                <w:highlight w:val="none"/>
                <w:lang w:val="en-US" w:eastAsia="zh-CN"/>
              </w:rPr>
              <w:t>13996205690</w:t>
            </w:r>
          </w:p>
        </w:tc>
        <w:tc>
          <w:tcPr>
            <w:tcW w:w="1415" w:type="dxa"/>
            <w:vAlign w:val="center"/>
          </w:tcPr>
          <w:p>
            <w:pPr>
              <w:spacing w:line="400" w:lineRule="exact"/>
              <w:ind w:firstLine="420" w:firstLineChars="200"/>
              <w:rPr>
                <w:rFonts w:ascii="宋体" w:hAnsi="宋体" w:cs="宋体"/>
                <w:szCs w:val="21"/>
                <w:highlight w:val="none"/>
              </w:rPr>
            </w:pPr>
          </w:p>
        </w:tc>
      </w:tr>
      <w:tr>
        <w:tblPrEx>
          <w:tblLayout w:type="fixed"/>
          <w:tblCellMar>
            <w:top w:w="0" w:type="dxa"/>
            <w:left w:w="108" w:type="dxa"/>
            <w:bottom w:w="0" w:type="dxa"/>
            <w:right w:w="108" w:type="dxa"/>
          </w:tblCellMar>
        </w:tblPrEx>
        <w:trPr>
          <w:trHeight w:val="80" w:hRule="atLeast"/>
        </w:trPr>
        <w:tc>
          <w:tcPr>
            <w:tcW w:w="8213" w:type="dxa"/>
            <w:vAlign w:val="center"/>
          </w:tcPr>
          <w:p>
            <w:pPr>
              <w:topLinePunct/>
              <w:spacing w:line="400" w:lineRule="exact"/>
              <w:ind w:firstLine="420" w:firstLineChars="200"/>
              <w:rPr>
                <w:rFonts w:ascii="宋体" w:hAnsi="宋体" w:cs="宋体"/>
                <w:szCs w:val="21"/>
                <w:highlight w:val="none"/>
              </w:rPr>
            </w:pPr>
            <w:r>
              <w:rPr>
                <w:rFonts w:hint="eastAsia" w:ascii="宋体" w:hAnsi="宋体" w:cs="宋体"/>
                <w:szCs w:val="21"/>
                <w:highlight w:val="none"/>
              </w:rPr>
              <w:t>商务联系人：蒋老师</w:t>
            </w:r>
          </w:p>
        </w:tc>
        <w:tc>
          <w:tcPr>
            <w:tcW w:w="1415" w:type="dxa"/>
            <w:vAlign w:val="center"/>
          </w:tcPr>
          <w:p>
            <w:pPr>
              <w:spacing w:line="400" w:lineRule="exact"/>
              <w:ind w:firstLine="420" w:firstLineChars="200"/>
              <w:rPr>
                <w:rFonts w:ascii="宋体" w:hAnsi="宋体" w:cs="宋体"/>
                <w:szCs w:val="21"/>
                <w:highlight w:val="none"/>
              </w:rPr>
            </w:pPr>
          </w:p>
        </w:tc>
      </w:tr>
      <w:tr>
        <w:tblPrEx>
          <w:tblLayout w:type="fixed"/>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ascii="宋体" w:hAnsi="宋体" w:cs="宋体"/>
                <w:szCs w:val="21"/>
                <w:highlight w:val="none"/>
              </w:rPr>
            </w:pPr>
            <w:r>
              <w:rPr>
                <w:rFonts w:hint="eastAsia" w:ascii="宋体" w:hAnsi="宋体" w:cs="宋体"/>
                <w:szCs w:val="21"/>
                <w:highlight w:val="none"/>
              </w:rPr>
              <w:t>电 话：18523055172</w:t>
            </w:r>
          </w:p>
        </w:tc>
        <w:tc>
          <w:tcPr>
            <w:tcW w:w="1415" w:type="dxa"/>
            <w:vAlign w:val="center"/>
          </w:tcPr>
          <w:p>
            <w:pPr>
              <w:spacing w:line="400" w:lineRule="exact"/>
              <w:ind w:firstLine="420" w:firstLineChars="200"/>
              <w:rPr>
                <w:rFonts w:ascii="宋体" w:hAnsi="宋体" w:cs="宋体"/>
                <w:szCs w:val="21"/>
                <w:highlight w:val="none"/>
              </w:rPr>
            </w:pPr>
          </w:p>
        </w:tc>
      </w:tr>
    </w:tbl>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bookmarkEnd w:id="17"/>
    <w:bookmarkEnd w:id="18"/>
    <w:p>
      <w:pPr>
        <w:pStyle w:val="3"/>
        <w:spacing w:before="0" w:after="0" w:line="360" w:lineRule="auto"/>
        <w:jc w:val="center"/>
        <w:rPr>
          <w:rFonts w:ascii="宋体" w:hAnsi="宋体" w:cs="宋体"/>
          <w:highlight w:val="none"/>
        </w:rPr>
      </w:pPr>
      <w:bookmarkStart w:id="98" w:name="_Toc21719"/>
      <w:bookmarkStart w:id="99" w:name="_Toc152045527"/>
      <w:bookmarkStart w:id="100" w:name="_Toc246996173"/>
      <w:bookmarkStart w:id="101" w:name="_Toc247085687"/>
      <w:bookmarkStart w:id="102" w:name="_Toc179632544"/>
      <w:bookmarkStart w:id="103" w:name="_Toc144974495"/>
      <w:bookmarkStart w:id="104" w:name="_Toc152042303"/>
      <w:bookmarkStart w:id="105" w:name="_Toc2000405"/>
      <w:bookmarkStart w:id="106" w:name="_Toc246996916"/>
      <w:bookmarkStart w:id="107" w:name="_Toc507319898"/>
      <w:r>
        <w:rPr>
          <w:rFonts w:hint="eastAsia" w:ascii="宋体" w:hAnsi="宋体" w:cs="宋体"/>
          <w:highlight w:val="none"/>
        </w:rPr>
        <w:br w:type="page"/>
      </w:r>
      <w:bookmarkStart w:id="108" w:name="_Toc14597"/>
      <w:r>
        <w:rPr>
          <w:rFonts w:hint="eastAsia" w:ascii="宋体" w:hAnsi="宋体" w:cs="宋体"/>
          <w:highlight w:val="none"/>
        </w:rPr>
        <w:t>第二章 报价人须知</w:t>
      </w:r>
      <w:bookmarkEnd w:id="98"/>
      <w:bookmarkEnd w:id="99"/>
      <w:bookmarkEnd w:id="100"/>
      <w:bookmarkEnd w:id="101"/>
      <w:bookmarkEnd w:id="102"/>
      <w:bookmarkEnd w:id="103"/>
      <w:bookmarkEnd w:id="104"/>
      <w:bookmarkEnd w:id="105"/>
      <w:bookmarkEnd w:id="106"/>
      <w:bookmarkEnd w:id="107"/>
      <w:bookmarkEnd w:id="108"/>
    </w:p>
    <w:p>
      <w:pPr>
        <w:rPr>
          <w:highlight w:val="none"/>
        </w:rPr>
      </w:pPr>
    </w:p>
    <w:tbl>
      <w:tblPr>
        <w:tblStyle w:val="47"/>
        <w:tblW w:w="99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highlight w:val="none"/>
              </w:rPr>
            </w:pPr>
            <w:bookmarkStart w:id="109" w:name="_Toc326760840"/>
            <w:r>
              <w:rPr>
                <w:rFonts w:hint="eastAsia" w:ascii="宋体" w:hAnsi="宋体" w:cs="宋体"/>
                <w:b/>
                <w:kern w:val="0"/>
                <w:szCs w:val="21"/>
                <w:highlight w:val="none"/>
              </w:rPr>
              <w:t>序号</w:t>
            </w:r>
          </w:p>
        </w:tc>
        <w:tc>
          <w:tcPr>
            <w:tcW w:w="2106" w:type="dxa"/>
            <w:vAlign w:val="center"/>
          </w:tcPr>
          <w:p>
            <w:pPr>
              <w:spacing w:line="400" w:lineRule="exact"/>
              <w:jc w:val="center"/>
              <w:rPr>
                <w:rFonts w:ascii="宋体" w:hAnsi="宋体" w:cs="宋体"/>
                <w:b/>
                <w:kern w:val="0"/>
                <w:szCs w:val="21"/>
                <w:highlight w:val="none"/>
              </w:rPr>
            </w:pPr>
            <w:r>
              <w:rPr>
                <w:rFonts w:hint="eastAsia" w:ascii="宋体" w:hAnsi="宋体" w:cs="宋体"/>
                <w:b/>
                <w:kern w:val="0"/>
                <w:szCs w:val="21"/>
                <w:highlight w:val="none"/>
              </w:rPr>
              <w:t>条款名称</w:t>
            </w:r>
          </w:p>
        </w:tc>
        <w:tc>
          <w:tcPr>
            <w:tcW w:w="7104" w:type="dxa"/>
            <w:vAlign w:val="center"/>
          </w:tcPr>
          <w:p>
            <w:pPr>
              <w:spacing w:line="400" w:lineRule="exact"/>
              <w:ind w:firstLine="422" w:firstLineChars="200"/>
              <w:jc w:val="center"/>
              <w:rPr>
                <w:rFonts w:ascii="宋体" w:hAnsi="宋体" w:cs="宋体"/>
                <w:b/>
                <w:kern w:val="0"/>
                <w:szCs w:val="21"/>
                <w:highlight w:val="none"/>
              </w:rPr>
            </w:pPr>
            <w:r>
              <w:rPr>
                <w:rFonts w:hint="eastAsia" w:ascii="宋体" w:hAnsi="宋体" w:cs="宋体"/>
                <w:b/>
                <w:kern w:val="0"/>
                <w:szCs w:val="21"/>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采购人</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采购人：重庆首讯科技股份有限公司</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地  址：重庆市南岸区四公里内环入口高速集团首讯科技大楼</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联系人：蒋老师</w:t>
            </w:r>
          </w:p>
          <w:p>
            <w:pPr>
              <w:topLinePunct/>
              <w:spacing w:line="420" w:lineRule="exact"/>
              <w:ind w:firstLine="420" w:firstLineChars="200"/>
              <w:rPr>
                <w:highlight w:val="none"/>
              </w:rPr>
            </w:pPr>
            <w:r>
              <w:rPr>
                <w:rFonts w:hint="eastAsia" w:ascii="宋体" w:hAnsi="宋体" w:cs="宋体"/>
                <w:szCs w:val="21"/>
                <w:highlight w:val="none"/>
              </w:rPr>
              <w:t>电  话：18523055172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2</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项目名称</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lang w:eastAsia="zh-CN"/>
              </w:rPr>
              <w:t>首讯公司2021年防雷检测服务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3</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项目地点</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4</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资金来源</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重庆首讯科技股份有限公司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5</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出资比例</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业主100%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6</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资金落实情况</w:t>
            </w:r>
          </w:p>
        </w:tc>
        <w:tc>
          <w:tcPr>
            <w:tcW w:w="7104" w:type="dxa"/>
            <w:vAlign w:val="center"/>
          </w:tcPr>
          <w:p>
            <w:pPr>
              <w:autoSpaceDE w:val="0"/>
              <w:autoSpaceDN w:val="0"/>
              <w:adjustRightInd w:val="0"/>
              <w:spacing w:line="400" w:lineRule="exact"/>
              <w:ind w:firstLine="420" w:firstLineChars="200"/>
              <w:rPr>
                <w:rFonts w:ascii="宋体" w:hAnsi="宋体" w:cs="宋体"/>
                <w:szCs w:val="21"/>
                <w:highlight w:val="none"/>
              </w:rPr>
            </w:pPr>
            <w:r>
              <w:rPr>
                <w:rFonts w:hint="eastAsia" w:ascii="宋体" w:hAnsi="宋体" w:cs="宋体"/>
                <w:szCs w:val="21"/>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7</w:t>
            </w:r>
          </w:p>
        </w:tc>
        <w:tc>
          <w:tcPr>
            <w:tcW w:w="2106"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highlight w:val="none"/>
              </w:rPr>
            </w:pPr>
            <w:r>
              <w:rPr>
                <w:rFonts w:hint="eastAsia" w:ascii="宋体" w:hAnsi="宋体" w:cs="宋体"/>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8</w:t>
            </w:r>
          </w:p>
        </w:tc>
        <w:tc>
          <w:tcPr>
            <w:tcW w:w="2106" w:type="dxa"/>
            <w:vAlign w:val="center"/>
          </w:tcPr>
          <w:p>
            <w:pPr>
              <w:spacing w:line="400" w:lineRule="exact"/>
              <w:jc w:val="center"/>
              <w:rPr>
                <w:rFonts w:ascii="宋体" w:hAnsi="宋体" w:cs="宋体"/>
                <w:szCs w:val="21"/>
                <w:highlight w:val="none"/>
              </w:rPr>
            </w:pPr>
            <w:r>
              <w:rPr>
                <w:rFonts w:hint="eastAsia" w:ascii="宋体" w:hAnsi="宋体" w:cs="宋体"/>
                <w:kern w:val="0"/>
                <w:szCs w:val="21"/>
                <w:highlight w:val="none"/>
              </w:rPr>
              <w:t>计划工期</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highlight w:val="none"/>
              </w:rPr>
            </w:pPr>
            <w:r>
              <w:rPr>
                <w:rFonts w:hint="eastAsia" w:ascii="宋体" w:hAnsi="宋体" w:cs="宋体"/>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9</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质量要求</w:t>
            </w:r>
          </w:p>
        </w:tc>
        <w:tc>
          <w:tcPr>
            <w:tcW w:w="7104" w:type="dxa"/>
          </w:tcPr>
          <w:p>
            <w:pPr>
              <w:spacing w:line="400" w:lineRule="exact"/>
              <w:ind w:firstLine="420" w:firstLineChars="200"/>
              <w:rPr>
                <w:rFonts w:ascii="宋体" w:hAnsi="宋体" w:cs="宋体"/>
                <w:kern w:val="0"/>
                <w:szCs w:val="21"/>
                <w:highlight w:val="none"/>
              </w:rPr>
            </w:pPr>
            <w:r>
              <w:rPr>
                <w:rFonts w:hint="eastAsia" w:ascii="宋体" w:hAnsi="宋体" w:cs="宋体"/>
                <w:szCs w:val="21"/>
                <w:highlight w:val="none"/>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10</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安全目标</w:t>
            </w:r>
          </w:p>
        </w:tc>
        <w:tc>
          <w:tcPr>
            <w:tcW w:w="7104" w:type="dxa"/>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11</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szCs w:val="21"/>
                <w:highlight w:val="none"/>
              </w:rPr>
              <w:t>报价人资质条件、能力与信誉</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（1）资质条件：见附录1</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（2）财务要求：见附录2</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（3）业绩要求：见附录3</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（4）信誉要求：见附录4</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（5）项目主要人员要求：见附录5</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（6）其他要求：见附录6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12</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是否接受</w:t>
            </w:r>
          </w:p>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联合体报价</w:t>
            </w:r>
          </w:p>
        </w:tc>
        <w:tc>
          <w:tcPr>
            <w:tcW w:w="7104" w:type="dxa"/>
            <w:vAlign w:val="center"/>
          </w:tcPr>
          <w:p>
            <w:pPr>
              <w:spacing w:line="400" w:lineRule="exact"/>
              <w:ind w:firstLine="420" w:firstLineChars="200"/>
              <w:rPr>
                <w:rFonts w:ascii="宋体" w:hAnsi="宋体" w:cs="宋体"/>
                <w:kern w:val="0"/>
                <w:szCs w:val="21"/>
                <w:highlight w:val="none"/>
              </w:rPr>
            </w:pPr>
            <w:r>
              <w:rPr>
                <w:rFonts w:hint="eastAsia" w:ascii="宋体" w:hAnsi="宋体" w:cs="宋体"/>
                <w:kern w:val="0"/>
                <w:szCs w:val="21"/>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13</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踏勘现场</w:t>
            </w:r>
          </w:p>
        </w:tc>
        <w:tc>
          <w:tcPr>
            <w:tcW w:w="7104" w:type="dxa"/>
            <w:vAlign w:val="center"/>
          </w:tcPr>
          <w:p>
            <w:pPr>
              <w:spacing w:line="400" w:lineRule="exact"/>
              <w:ind w:firstLine="420" w:firstLineChars="200"/>
              <w:rPr>
                <w:rFonts w:ascii="宋体" w:hAnsi="宋体" w:cs="宋体"/>
                <w:kern w:val="0"/>
                <w:szCs w:val="21"/>
                <w:highlight w:val="none"/>
              </w:rPr>
            </w:pPr>
            <w:r>
              <w:rPr>
                <w:rFonts w:hint="eastAsia" w:ascii="宋体" w:hAnsi="宋体" w:cs="宋体"/>
                <w:kern w:val="0"/>
                <w:szCs w:val="21"/>
                <w:highlight w:val="none"/>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14</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分包</w:t>
            </w:r>
          </w:p>
        </w:tc>
        <w:tc>
          <w:tcPr>
            <w:tcW w:w="7104" w:type="dxa"/>
            <w:vAlign w:val="center"/>
          </w:tcPr>
          <w:p>
            <w:pPr>
              <w:spacing w:line="400" w:lineRule="exact"/>
              <w:ind w:firstLine="420" w:firstLineChars="200"/>
              <w:rPr>
                <w:rFonts w:ascii="宋体" w:hAnsi="宋体" w:cs="宋体"/>
                <w:kern w:val="0"/>
                <w:szCs w:val="21"/>
                <w:highlight w:val="none"/>
              </w:rPr>
            </w:pPr>
            <w:r>
              <w:rPr>
                <w:rFonts w:hint="eastAsia" w:ascii="宋体" w:hAnsi="宋体" w:cs="宋体"/>
                <w:kern w:val="0"/>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15</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偏差</w:t>
            </w:r>
          </w:p>
        </w:tc>
        <w:tc>
          <w:tcPr>
            <w:tcW w:w="7104" w:type="dxa"/>
            <w:vAlign w:val="center"/>
          </w:tcPr>
          <w:p>
            <w:pPr>
              <w:spacing w:line="400" w:lineRule="exact"/>
              <w:ind w:firstLine="422" w:firstLineChars="200"/>
              <w:rPr>
                <w:rFonts w:ascii="宋体" w:hAnsi="宋体" w:cs="宋体"/>
                <w:kern w:val="0"/>
                <w:szCs w:val="21"/>
                <w:highlight w:val="none"/>
              </w:rPr>
            </w:pPr>
            <w:r>
              <w:rPr>
                <w:rFonts w:hint="eastAsia" w:ascii="宋体" w:hAnsi="宋体" w:cs="宋体"/>
                <w:b/>
                <w:kern w:val="0"/>
                <w:szCs w:val="21"/>
                <w:highlight w:val="none"/>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16</w:t>
            </w:r>
          </w:p>
        </w:tc>
        <w:tc>
          <w:tcPr>
            <w:tcW w:w="2106" w:type="dxa"/>
            <w:vAlign w:val="center"/>
          </w:tcPr>
          <w:p>
            <w:pPr>
              <w:spacing w:line="440" w:lineRule="exact"/>
              <w:jc w:val="center"/>
              <w:rPr>
                <w:rFonts w:ascii="宋体" w:hAnsi="宋体" w:cs="宋体"/>
                <w:kern w:val="0"/>
                <w:szCs w:val="21"/>
                <w:highlight w:val="none"/>
              </w:rPr>
            </w:pPr>
            <w:r>
              <w:rPr>
                <w:rFonts w:hint="eastAsia" w:ascii="宋体" w:hAnsi="宋体" w:cs="宋体"/>
                <w:bCs/>
                <w:szCs w:val="21"/>
                <w:highlight w:val="none"/>
              </w:rPr>
              <w:t>构成比选文件的其他材料</w:t>
            </w:r>
          </w:p>
        </w:tc>
        <w:tc>
          <w:tcPr>
            <w:tcW w:w="7104" w:type="dxa"/>
            <w:vAlign w:val="center"/>
          </w:tcPr>
          <w:p>
            <w:pPr>
              <w:spacing w:line="440" w:lineRule="exact"/>
              <w:ind w:firstLine="420" w:firstLineChars="200"/>
              <w:rPr>
                <w:rFonts w:ascii="宋体" w:hAnsi="宋体" w:cs="宋体"/>
                <w:szCs w:val="21"/>
                <w:highlight w:val="none"/>
              </w:rPr>
            </w:pPr>
            <w:r>
              <w:rPr>
                <w:rFonts w:hint="eastAsia" w:ascii="宋体" w:hAnsi="宋体" w:cs="宋体"/>
                <w:szCs w:val="21"/>
                <w:highlight w:val="none"/>
              </w:rPr>
              <w:t>采购人发布的工程量清单、补遗书、答疑、澄清、最高限价通知等附件。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highlight w:val="none"/>
              </w:rPr>
            </w:pPr>
            <w:bookmarkStart w:id="110" w:name="_Hlt227984024"/>
            <w:bookmarkEnd w:id="110"/>
            <w:r>
              <w:rPr>
                <w:rFonts w:hint="eastAsia" w:ascii="宋体" w:hAnsi="宋体" w:cs="宋体"/>
                <w:kern w:val="0"/>
                <w:szCs w:val="21"/>
                <w:highlight w:val="none"/>
              </w:rPr>
              <w:t>17</w:t>
            </w:r>
          </w:p>
        </w:tc>
        <w:tc>
          <w:tcPr>
            <w:tcW w:w="2106"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构成竞争性比选响应文件的其他材料</w:t>
            </w:r>
          </w:p>
        </w:tc>
        <w:tc>
          <w:tcPr>
            <w:tcW w:w="7104" w:type="dxa"/>
            <w:vAlign w:val="center"/>
          </w:tcPr>
          <w:p>
            <w:pPr>
              <w:pStyle w:val="146"/>
              <w:spacing w:before="72" w:line="400" w:lineRule="exact"/>
              <w:ind w:firstLine="420" w:firstLineChars="200"/>
              <w:jc w:val="both"/>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18</w:t>
            </w:r>
          </w:p>
        </w:tc>
        <w:tc>
          <w:tcPr>
            <w:tcW w:w="2106" w:type="dxa"/>
            <w:tcBorders>
              <w:bottom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工程量清单的填写方式</w:t>
            </w:r>
          </w:p>
        </w:tc>
        <w:tc>
          <w:tcPr>
            <w:tcW w:w="7104" w:type="dxa"/>
            <w:tcBorders>
              <w:bottom w:val="single" w:color="auto" w:sz="4" w:space="0"/>
            </w:tcBorders>
          </w:tcPr>
          <w:p>
            <w:pPr>
              <w:spacing w:line="400" w:lineRule="exact"/>
              <w:ind w:firstLine="420" w:firstLineChars="200"/>
              <w:jc w:val="left"/>
              <w:rPr>
                <w:rFonts w:ascii="宋体" w:hAnsi="宋体" w:cs="宋体"/>
                <w:szCs w:val="21"/>
                <w:highlight w:val="none"/>
              </w:rPr>
            </w:pPr>
            <w:r>
              <w:rPr>
                <w:rFonts w:hint="eastAsia" w:ascii="宋体" w:hAnsi="宋体" w:cs="宋体"/>
                <w:highlight w:val="none"/>
              </w:rPr>
              <w:t>报价人按照采购人提供的工程量清单填写工程量清单</w:t>
            </w:r>
          </w:p>
          <w:p>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综合单价取小数点后两位，小数点后第三位四舍五入。</w:t>
            </w:r>
          </w:p>
          <w:p>
            <w:pPr>
              <w:spacing w:line="400" w:lineRule="exact"/>
              <w:ind w:firstLine="422" w:firstLineChars="200"/>
              <w:rPr>
                <w:rFonts w:ascii="宋体" w:hAnsi="宋体" w:cs="宋体"/>
                <w:szCs w:val="21"/>
                <w:highlight w:val="none"/>
              </w:rPr>
            </w:pPr>
            <w:r>
              <w:rPr>
                <w:rFonts w:hint="eastAsia" w:ascii="宋体" w:hAnsi="宋体" w:cs="宋体"/>
                <w:b/>
                <w:bCs/>
                <w:szCs w:val="21"/>
                <w:highlight w:val="none"/>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19</w:t>
            </w:r>
          </w:p>
        </w:tc>
        <w:tc>
          <w:tcPr>
            <w:tcW w:w="2106"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最高投标限价</w:t>
            </w:r>
          </w:p>
        </w:tc>
        <w:tc>
          <w:tcPr>
            <w:tcW w:w="7104" w:type="dxa"/>
            <w:tcBorders>
              <w:bottom w:val="single" w:color="auto" w:sz="4" w:space="0"/>
            </w:tcBorders>
          </w:tcPr>
          <w:p>
            <w:pPr>
              <w:spacing w:line="400" w:lineRule="exact"/>
              <w:ind w:firstLine="422" w:firstLineChars="200"/>
              <w:rPr>
                <w:rFonts w:ascii="宋体" w:hAnsi="宋体"/>
                <w:szCs w:val="21"/>
                <w:highlight w:val="none"/>
              </w:rPr>
            </w:pPr>
            <w:r>
              <w:rPr>
                <w:rFonts w:hint="eastAsia" w:ascii="宋体" w:hAnsi="宋体"/>
                <w:b/>
                <w:bCs/>
                <w:szCs w:val="21"/>
                <w:highlight w:val="none"/>
              </w:rPr>
              <w:t>本项目最高限价</w:t>
            </w:r>
            <w:r>
              <w:rPr>
                <w:rFonts w:hint="eastAsia" w:ascii="宋体" w:hAnsi="宋体"/>
                <w:b/>
                <w:bCs/>
                <w:szCs w:val="21"/>
                <w:highlight w:val="none"/>
                <w:u w:val="single"/>
                <w:lang w:val="en-US" w:eastAsia="zh-CN"/>
              </w:rPr>
              <w:t>322356.00</w:t>
            </w:r>
            <w:r>
              <w:rPr>
                <w:rFonts w:hint="eastAsia" w:ascii="宋体" w:hAnsi="宋体"/>
                <w:b/>
                <w:bCs/>
                <w:szCs w:val="21"/>
                <w:highlight w:val="none"/>
              </w:rPr>
              <w:t>元。</w:t>
            </w:r>
          </w:p>
          <w:p>
            <w:pPr>
              <w:spacing w:line="400" w:lineRule="exact"/>
              <w:ind w:firstLine="422" w:firstLineChars="200"/>
              <w:rPr>
                <w:rFonts w:ascii="宋体" w:hAnsi="宋体" w:cs="宋体"/>
                <w:b/>
                <w:bCs/>
                <w:kern w:val="0"/>
                <w:szCs w:val="21"/>
                <w:highlight w:val="none"/>
              </w:rPr>
            </w:pPr>
            <w:r>
              <w:rPr>
                <w:rFonts w:hint="eastAsia" w:ascii="宋体" w:hAnsi="宋体" w:cs="宋体"/>
                <w:b/>
                <w:szCs w:val="21"/>
                <w:highlight w:val="none"/>
              </w:rPr>
              <w:t>报价人总价及单项目报价均不得高于采购人发布的最高限价和单项目限价，否则其竞争性比选响应文件视为重大偏差，竞争性比选响应文件将按否决报价处理</w:t>
            </w:r>
            <w:r>
              <w:rPr>
                <w:rFonts w:hint="eastAsia" w:ascii="宋体" w:hAnsi="宋体" w:cs="宋体"/>
                <w:b/>
                <w:bCs/>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20</w:t>
            </w:r>
          </w:p>
        </w:tc>
        <w:tc>
          <w:tcPr>
            <w:tcW w:w="2106"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合同支付办法</w:t>
            </w:r>
          </w:p>
        </w:tc>
        <w:tc>
          <w:tcPr>
            <w:tcW w:w="7104" w:type="dxa"/>
            <w:tcBorders>
              <w:bottom w:val="single" w:color="auto" w:sz="4" w:space="0"/>
            </w:tcBorders>
          </w:tcPr>
          <w:p>
            <w:pPr>
              <w:numPr>
                <w:ilvl w:val="0"/>
                <w:numId w:val="0"/>
              </w:numPr>
              <w:spacing w:line="276" w:lineRule="auto"/>
              <w:rPr>
                <w:highlight w:val="none"/>
              </w:rPr>
            </w:pPr>
            <w:r>
              <w:rPr>
                <w:rFonts w:hint="eastAsia" w:ascii="宋体" w:hAnsi="宋体" w:cs="宋体"/>
                <w:highlight w:val="none"/>
                <w:lang w:val="en-US" w:eastAsia="zh-CN"/>
              </w:rPr>
              <w:t xml:space="preserve">    完成工程量清单的中全部位置的防雷检测工作，并出具“重庆气象局”认可的检测报告后10个工作日内全额支付合同金额。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21</w:t>
            </w:r>
          </w:p>
        </w:tc>
        <w:tc>
          <w:tcPr>
            <w:tcW w:w="2106"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乙方人员的管理</w:t>
            </w:r>
          </w:p>
        </w:tc>
        <w:tc>
          <w:tcPr>
            <w:tcW w:w="7104" w:type="dxa"/>
            <w:tcBorders>
              <w:bottom w:val="single" w:color="auto" w:sz="4" w:space="0"/>
            </w:tcBorders>
          </w:tcPr>
          <w:p>
            <w:pPr>
              <w:spacing w:line="400" w:lineRule="exact"/>
              <w:ind w:firstLine="420" w:firstLineChars="200"/>
              <w:rPr>
                <w:rFonts w:hint="eastAsia" w:eastAsia="宋体"/>
                <w:highlight w:val="none"/>
                <w:lang w:eastAsia="zh-CN"/>
              </w:rPr>
            </w:pPr>
            <w:r>
              <w:rPr>
                <w:rFonts w:hint="eastAsia" w:ascii="宋体" w:hAnsi="宋体" w:cs="宋体"/>
                <w:szCs w:val="21"/>
                <w:highlight w:val="none"/>
                <w:shd w:val="clear" w:color="auto" w:fill="FFFFFF"/>
                <w:lang w:val="en-US" w:eastAsia="zh-CN"/>
              </w:rPr>
              <w:t>无</w:t>
            </w:r>
            <w:r>
              <w:rPr>
                <w:rFonts w:hint="eastAsia" w:ascii="宋体" w:hAnsi="宋体" w:cs="宋体"/>
                <w:szCs w:val="21"/>
                <w:highlight w:val="none"/>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22</w:t>
            </w:r>
          </w:p>
        </w:tc>
        <w:tc>
          <w:tcPr>
            <w:tcW w:w="2106"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szCs w:val="21"/>
                <w:highlight w:val="none"/>
              </w:rPr>
              <w:t>乙方人员违约的处理</w:t>
            </w:r>
          </w:p>
        </w:tc>
        <w:tc>
          <w:tcPr>
            <w:tcW w:w="7104" w:type="dxa"/>
            <w:tcBorders>
              <w:bottom w:val="single" w:color="auto" w:sz="4" w:space="0"/>
            </w:tcBorders>
          </w:tcPr>
          <w:p>
            <w:pPr>
              <w:spacing w:line="400" w:lineRule="exact"/>
              <w:rPr>
                <w:highlight w:val="none"/>
              </w:rPr>
            </w:pPr>
            <w:r>
              <w:rPr>
                <w:rFonts w:hint="eastAsia"/>
                <w:highlight w:val="none"/>
                <w:lang w:val="en-US" w:eastAsia="zh-CN"/>
              </w:rPr>
              <w:t>1</w:t>
            </w:r>
            <w:r>
              <w:rPr>
                <w:rFonts w:hint="eastAsia"/>
                <w:highlight w:val="none"/>
              </w:rPr>
              <w:t>. 乙方未能按合同进度计划及时完成合同约定的工作，已造成或预期造成工期延误，甲方有权终止乙方不能按合同约定或预期不能按时完成的剩余工程，并由甲方另行选择单位实施，且因此产生的费用由乙方承担。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22</w:t>
            </w:r>
          </w:p>
        </w:tc>
        <w:tc>
          <w:tcPr>
            <w:tcW w:w="2106" w:type="dxa"/>
          </w:tcPr>
          <w:p>
            <w:pPr>
              <w:spacing w:line="400" w:lineRule="exact"/>
              <w:jc w:val="center"/>
              <w:rPr>
                <w:rFonts w:ascii="宋体" w:hAnsi="宋体" w:cs="宋体"/>
                <w:szCs w:val="21"/>
                <w:highlight w:val="none"/>
              </w:rPr>
            </w:pPr>
            <w:r>
              <w:rPr>
                <w:rFonts w:hint="eastAsia" w:ascii="宋体" w:hAnsi="宋体" w:cs="宋体"/>
                <w:szCs w:val="21"/>
                <w:highlight w:val="none"/>
              </w:rPr>
              <w:t>中标候选人的人数</w:t>
            </w:r>
          </w:p>
        </w:tc>
        <w:tc>
          <w:tcPr>
            <w:tcW w:w="7104" w:type="dxa"/>
            <w:vAlign w:val="center"/>
          </w:tcPr>
          <w:p>
            <w:pPr>
              <w:spacing w:line="400" w:lineRule="exact"/>
              <w:ind w:firstLine="420" w:firstLineChars="200"/>
              <w:rPr>
                <w:rFonts w:ascii="宋体" w:hAnsi="宋体" w:cs="宋体"/>
                <w:highlight w:val="none"/>
              </w:rPr>
            </w:pPr>
            <w:r>
              <w:rPr>
                <w:rFonts w:hint="eastAsia" w:ascii="宋体" w:hAnsi="宋体" w:cs="宋体"/>
                <w:highlight w:val="none"/>
              </w:rPr>
              <w:t>推荐的中标候选人数：1名。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Ansi="宋体"/>
                <w:color w:val="auto"/>
                <w:sz w:val="21"/>
                <w:szCs w:val="21"/>
                <w:highlight w:val="none"/>
              </w:rPr>
            </w:pPr>
            <w:r>
              <w:rPr>
                <w:rFonts w:hint="eastAsia" w:hAnsi="宋体"/>
                <w:color w:val="auto"/>
                <w:kern w:val="2"/>
                <w:sz w:val="21"/>
                <w:szCs w:val="21"/>
                <w:highlight w:val="none"/>
              </w:rPr>
              <w:t>23</w:t>
            </w:r>
          </w:p>
        </w:tc>
        <w:tc>
          <w:tcPr>
            <w:tcW w:w="2106" w:type="dxa"/>
            <w:vAlign w:val="center"/>
          </w:tcPr>
          <w:p>
            <w:pPr>
              <w:pStyle w:val="146"/>
              <w:spacing w:line="400" w:lineRule="exact"/>
              <w:jc w:val="center"/>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pPr>
              <w:pStyle w:val="146"/>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监督部门：重庆首讯科技股份有限公司党群人力部</w:t>
            </w:r>
          </w:p>
          <w:p>
            <w:pPr>
              <w:pStyle w:val="146"/>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地    址：重庆市南岸区四公里内环入口高速集团首讯科技大楼</w:t>
            </w:r>
          </w:p>
          <w:p>
            <w:pPr>
              <w:pStyle w:val="146"/>
              <w:spacing w:line="400" w:lineRule="exact"/>
              <w:ind w:firstLine="420" w:firstLineChars="200"/>
              <w:rPr>
                <w:rFonts w:hAnsi="宋体"/>
                <w:color w:val="auto"/>
                <w:sz w:val="21"/>
                <w:szCs w:val="21"/>
                <w:highlight w:val="none"/>
              </w:rPr>
            </w:pPr>
            <w:r>
              <w:rPr>
                <w:rFonts w:hint="eastAsia" w:hAnsi="宋体"/>
                <w:color w:val="auto"/>
                <w:kern w:val="2"/>
                <w:sz w:val="21"/>
                <w:szCs w:val="21"/>
                <w:highlight w:val="none"/>
              </w:rPr>
              <w:t>电    话：023-89021335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int="eastAsia"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24</w:t>
            </w:r>
          </w:p>
        </w:tc>
        <w:tc>
          <w:tcPr>
            <w:tcW w:w="2106" w:type="dxa"/>
            <w:vAlign w:val="center"/>
          </w:tcPr>
          <w:p>
            <w:pPr>
              <w:pStyle w:val="146"/>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竞争性比选响应文件的递交</w:t>
            </w:r>
          </w:p>
        </w:tc>
        <w:tc>
          <w:tcPr>
            <w:tcW w:w="7104" w:type="dxa"/>
            <w:vAlign w:val="center"/>
          </w:tcPr>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 xml:space="preserve">1.报价截止时间和开标时间：2021年 8月 </w:t>
            </w:r>
            <w:r>
              <w:rPr>
                <w:rFonts w:hint="eastAsia" w:hAnsi="宋体"/>
                <w:color w:val="auto"/>
                <w:kern w:val="2"/>
                <w:sz w:val="21"/>
                <w:szCs w:val="21"/>
                <w:highlight w:val="none"/>
                <w:lang w:val="en-US" w:eastAsia="zh-CN"/>
              </w:rPr>
              <w:t>9</w:t>
            </w:r>
            <w:r>
              <w:rPr>
                <w:rFonts w:hint="eastAsia" w:hAnsi="宋体"/>
                <w:color w:val="auto"/>
                <w:kern w:val="2"/>
                <w:sz w:val="21"/>
                <w:szCs w:val="21"/>
                <w:highlight w:val="none"/>
              </w:rPr>
              <w:t xml:space="preserve"> 日下午15时 00分（北京时间）。</w:t>
            </w:r>
          </w:p>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2.报价地点和开标地点：重庆首讯科技股份有限公司（重庆市南岸区四公里内环入口高速集团首讯科技大楼307室）。</w:t>
            </w:r>
          </w:p>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3.逾期送达，或未送达指定地点，或未密封的竞争性比选响应文件，采购人不予受理。</w:t>
            </w:r>
          </w:p>
          <w:p>
            <w:pPr>
              <w:pStyle w:val="146"/>
              <w:spacing w:line="400" w:lineRule="exact"/>
              <w:ind w:firstLine="420" w:firstLineChars="200"/>
              <w:rPr>
                <w:rFonts w:hint="eastAsia"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4.文件递交方式：由于近期新冠疫情防控要求，文件递交方式采用邮寄方式，需用EMS邮寄至重庆市南岸区四公里重庆首讯科技股份有限公司，否则采购人有权拒收，采用邮寄方式的报价人默认认可采购人的开标结果，不得由此提出任何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int="eastAsia"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pPr>
              <w:pStyle w:val="146"/>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本次竞争性比选响应文件的组成</w:t>
            </w:r>
          </w:p>
        </w:tc>
        <w:tc>
          <w:tcPr>
            <w:tcW w:w="7104" w:type="dxa"/>
            <w:vAlign w:val="center"/>
          </w:tcPr>
          <w:p>
            <w:pPr>
              <w:pStyle w:val="146"/>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1.竞争性比选文件需加盖报价人的公章，竞争性比选响应文件提交正本1份，副本1份，副本可为正本的复印件，竞争性比选响应文件需装订成册；报价人应提供竞争性比选响应文件扫描版PDF电子文件1份（U盘1份，电子文件内容须包括竞争性比选响应文件全部内容）。当电子文件与纸质版竞争性比选响应文件不一致时，以纸质版竞争性比选响应文件为准，当正本与副本不一致时，以正本为准。</w:t>
            </w:r>
          </w:p>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2.竞争性比选响应声明书、报价函、资格要求材料、报价人认为需要提供的其他相关文件（注：以上所有文件均须逐页加盖报价人的公章）。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int="eastAsia"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2106" w:type="dxa"/>
            <w:vAlign w:val="center"/>
          </w:tcPr>
          <w:p>
            <w:pPr>
              <w:pStyle w:val="146"/>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密封要求</w:t>
            </w:r>
          </w:p>
        </w:tc>
        <w:tc>
          <w:tcPr>
            <w:tcW w:w="7104" w:type="dxa"/>
            <w:vAlign w:val="center"/>
          </w:tcPr>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竞争性比选响应文件密封到一个封袋中，在封套上写明：</w:t>
            </w:r>
          </w:p>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lang w:eastAsia="zh-CN"/>
              </w:rPr>
              <w:t>首讯公司2021年防雷检测服务</w:t>
            </w:r>
            <w:r>
              <w:rPr>
                <w:rFonts w:hint="eastAsia" w:hAnsi="宋体"/>
                <w:color w:val="auto"/>
                <w:kern w:val="2"/>
                <w:sz w:val="21"/>
                <w:szCs w:val="21"/>
                <w:highlight w:val="none"/>
              </w:rPr>
              <w:t>竞争性比选响应文件</w:t>
            </w:r>
          </w:p>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在2021年</w:t>
            </w:r>
            <w:r>
              <w:rPr>
                <w:rFonts w:hint="eastAsia" w:hAnsi="宋体"/>
                <w:color w:val="auto"/>
                <w:kern w:val="2"/>
                <w:sz w:val="21"/>
                <w:szCs w:val="21"/>
                <w:highlight w:val="none"/>
                <w:lang w:val="en-US" w:eastAsia="zh-CN"/>
              </w:rPr>
              <w:t>8</w:t>
            </w:r>
            <w:r>
              <w:rPr>
                <w:rFonts w:hint="eastAsia" w:hAnsi="宋体"/>
                <w:color w:val="auto"/>
                <w:kern w:val="2"/>
                <w:sz w:val="21"/>
                <w:szCs w:val="21"/>
                <w:highlight w:val="none"/>
              </w:rPr>
              <w:t>月</w:t>
            </w:r>
            <w:r>
              <w:rPr>
                <w:rFonts w:hint="eastAsia" w:hAnsi="宋体"/>
                <w:color w:val="auto"/>
                <w:kern w:val="2"/>
                <w:sz w:val="21"/>
                <w:szCs w:val="21"/>
                <w:highlight w:val="none"/>
                <w:lang w:val="en-US" w:eastAsia="zh-CN"/>
              </w:rPr>
              <w:t>9</w:t>
            </w:r>
            <w:r>
              <w:rPr>
                <w:rFonts w:hint="eastAsia" w:hAnsi="宋体"/>
                <w:color w:val="auto"/>
                <w:kern w:val="2"/>
                <w:sz w:val="21"/>
                <w:szCs w:val="21"/>
                <w:highlight w:val="none"/>
              </w:rPr>
              <w:t>日下午15：00时前不得开启</w:t>
            </w:r>
            <w:r>
              <w:rPr>
                <w:rFonts w:hint="eastAsia" w:hAnsi="宋体"/>
                <w:color w:val="auto"/>
                <w:kern w:val="2"/>
                <w:sz w:val="21"/>
                <w:szCs w:val="21"/>
                <w:highlight w:val="none"/>
              </w:rPr>
              <w:t>（加盖报价人的公章）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int="eastAsia" w:hAnsi="宋体" w:eastAsia="宋体"/>
                <w:color w:val="auto"/>
                <w:kern w:val="2"/>
                <w:sz w:val="21"/>
                <w:szCs w:val="21"/>
                <w:highlight w:val="none"/>
                <w:lang w:eastAsia="zh-CN"/>
              </w:rPr>
            </w:pPr>
            <w:r>
              <w:rPr>
                <w:rFonts w:hint="eastAsia" w:hAnsi="宋体"/>
                <w:color w:val="auto"/>
                <w:kern w:val="2"/>
                <w:sz w:val="21"/>
                <w:szCs w:val="21"/>
                <w:highlight w:val="none"/>
                <w:lang w:val="en-US" w:eastAsia="zh-CN"/>
              </w:rPr>
              <w:t>27</w:t>
            </w:r>
          </w:p>
        </w:tc>
        <w:tc>
          <w:tcPr>
            <w:tcW w:w="9210" w:type="dxa"/>
            <w:gridSpan w:val="2"/>
            <w:vAlign w:val="center"/>
          </w:tcPr>
          <w:p>
            <w:pPr>
              <w:pStyle w:val="146"/>
              <w:spacing w:line="400" w:lineRule="exact"/>
              <w:ind w:firstLine="482" w:firstLineChars="200"/>
              <w:jc w:val="center"/>
              <w:rPr>
                <w:rFonts w:hAnsi="宋体"/>
                <w:color w:val="auto"/>
                <w:kern w:val="2"/>
                <w:sz w:val="21"/>
                <w:szCs w:val="21"/>
                <w:highlight w:val="none"/>
              </w:rPr>
            </w:pPr>
            <w:r>
              <w:rPr>
                <w:rFonts w:hAnsi="宋体"/>
                <w:b/>
                <w:bCs/>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7</w:t>
            </w:r>
            <w:r>
              <w:rPr>
                <w:rFonts w:hint="eastAsia" w:hAnsi="宋体"/>
                <w:color w:val="auto"/>
                <w:kern w:val="2"/>
                <w:sz w:val="21"/>
                <w:szCs w:val="21"/>
                <w:highlight w:val="none"/>
              </w:rPr>
              <w:t>.1</w:t>
            </w:r>
          </w:p>
        </w:tc>
        <w:tc>
          <w:tcPr>
            <w:tcW w:w="9210" w:type="dxa"/>
            <w:gridSpan w:val="2"/>
            <w:vAlign w:val="center"/>
          </w:tcPr>
          <w:p>
            <w:pPr>
              <w:pStyle w:val="146"/>
              <w:spacing w:line="400" w:lineRule="exact"/>
              <w:ind w:firstLine="420" w:firstLineChars="200"/>
              <w:rPr>
                <w:rFonts w:hAnsi="宋体"/>
                <w:b/>
                <w:bCs/>
                <w:szCs w:val="21"/>
                <w:highlight w:val="none"/>
              </w:rPr>
            </w:pPr>
            <w:r>
              <w:rPr>
                <w:rFonts w:hint="eastAsia" w:hAnsi="宋体"/>
                <w:sz w:val="21"/>
                <w:szCs w:val="21"/>
                <w:highlight w:val="none"/>
              </w:rPr>
              <w:t>截止竞争性比选响应文件递交时间，递交竞争性比选响应文件不足3家的不得开启竞争性比选文件。</w:t>
            </w:r>
          </w:p>
        </w:tc>
      </w:tr>
      <w:bookmarkEnd w:id="109"/>
    </w:tbl>
    <w:p>
      <w:pPr>
        <w:spacing w:line="360" w:lineRule="auto"/>
        <w:jc w:val="center"/>
        <w:rPr>
          <w:rFonts w:ascii="宋体" w:hAnsi="宋体" w:cs="宋体"/>
          <w:b/>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sz w:val="30"/>
          <w:szCs w:val="30"/>
          <w:highlight w:val="none"/>
        </w:rPr>
      </w:pPr>
      <w:bookmarkStart w:id="111" w:name="_Toc30198"/>
      <w:bookmarkStart w:id="112" w:name="_Toc17532"/>
      <w:bookmarkStart w:id="113" w:name="_Toc11284"/>
      <w:bookmarkStart w:id="114" w:name="_Toc17399"/>
      <w:bookmarkStart w:id="115" w:name="_Toc11329222"/>
      <w:r>
        <w:rPr>
          <w:rFonts w:hint="eastAsia" w:ascii="宋体" w:hAnsi="宋体" w:eastAsia="宋体" w:cs="宋体"/>
          <w:sz w:val="28"/>
          <w:szCs w:val="28"/>
          <w:highlight w:val="none"/>
        </w:rPr>
        <w:t>附录1  资格审查条件（资质最低要求）</w:t>
      </w:r>
      <w:bookmarkEnd w:id="111"/>
      <w:bookmarkEnd w:id="112"/>
      <w:bookmarkEnd w:id="113"/>
      <w:bookmarkEnd w:id="114"/>
      <w:bookmarkEnd w:id="115"/>
    </w:p>
    <w:tbl>
      <w:tblPr>
        <w:tblStyle w:val="47"/>
        <w:tblW w:w="9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20" w:hRule="atLeast"/>
          <w:jc w:val="center"/>
        </w:trPr>
        <w:tc>
          <w:tcPr>
            <w:tcW w:w="9108"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1" w:hRule="atLeast"/>
          <w:jc w:val="center"/>
        </w:trPr>
        <w:tc>
          <w:tcPr>
            <w:tcW w:w="9108" w:type="dxa"/>
          </w:tcPr>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（1）报价人需报价人应为中国大陆境内合法注册的独立企业法人，具有</w:t>
            </w:r>
            <w:r>
              <w:rPr>
                <w:rFonts w:hint="eastAsia" w:ascii="宋体" w:hAnsi="宋体" w:cs="宋体"/>
                <w:szCs w:val="21"/>
                <w:highlight w:val="none"/>
                <w:shd w:val="clear" w:color="auto" w:fill="FFFFFF"/>
                <w:lang w:val="en-US" w:eastAsia="zh-CN"/>
              </w:rPr>
              <w:t>有效的</w:t>
            </w:r>
            <w:r>
              <w:rPr>
                <w:rFonts w:hint="eastAsia" w:ascii="宋体" w:hAnsi="宋体" w:cs="宋体"/>
                <w:szCs w:val="21"/>
                <w:highlight w:val="none"/>
                <w:shd w:val="clear" w:color="auto" w:fill="FFFFFF"/>
              </w:rPr>
              <w:t>营业执照</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原件现场备查</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w:t>
            </w:r>
          </w:p>
          <w:p>
            <w:pPr>
              <w:spacing w:line="400" w:lineRule="exact"/>
              <w:ind w:firstLine="420" w:firstLineChars="200"/>
              <w:jc w:val="left"/>
              <w:rPr>
                <w:rFonts w:hint="default" w:eastAsia="宋体"/>
                <w:highlight w:val="none"/>
                <w:lang w:val="en-US" w:eastAsia="zh-CN"/>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2</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 xml:space="preserve"> </w:t>
            </w:r>
            <w:r>
              <w:rPr>
                <w:rFonts w:hint="eastAsia" w:ascii="宋体" w:hAnsi="宋体" w:cs="宋体"/>
                <w:szCs w:val="21"/>
                <w:highlight w:val="none"/>
                <w:shd w:val="clear" w:color="auto" w:fill="FFFFFF"/>
              </w:rPr>
              <w:t>报价人</w:t>
            </w:r>
            <w:r>
              <w:rPr>
                <w:rFonts w:hint="eastAsia" w:ascii="宋体" w:hAnsi="宋体" w:cs="宋体"/>
                <w:szCs w:val="21"/>
                <w:highlight w:val="none"/>
                <w:shd w:val="clear" w:color="auto" w:fill="FFFFFF"/>
                <w:lang w:val="en-US" w:eastAsia="zh-CN"/>
              </w:rPr>
              <w:t>应具备雷电防护装置检测乙级及以上资质，且需入围重庆市气象局最新一期《雷电防护装置检测资质单位登记公告》公布的单位名单（提供网页截图，加盖报价人单位公章）</w:t>
            </w:r>
            <w:r>
              <w:rPr>
                <w:rFonts w:hint="eastAsia" w:ascii="宋体" w:hAnsi="宋体" w:cs="宋体"/>
                <w:szCs w:val="21"/>
                <w:highlight w:val="none"/>
                <w:shd w:val="clear" w:color="auto" w:fill="FFFFFF"/>
              </w:rPr>
              <w:t>。</w:t>
            </w:r>
          </w:p>
        </w:tc>
      </w:tr>
    </w:tbl>
    <w:p>
      <w:pPr>
        <w:spacing w:line="440" w:lineRule="exact"/>
        <w:ind w:firstLine="420" w:firstLineChars="200"/>
        <w:rPr>
          <w:rFonts w:ascii="宋体" w:hAnsi="宋体" w:cs="宋体"/>
          <w:highlight w:val="none"/>
        </w:rPr>
      </w:pPr>
      <w:r>
        <w:rPr>
          <w:rFonts w:hint="eastAsia" w:ascii="宋体" w:hAnsi="宋体" w:cs="宋体"/>
          <w:highlight w:val="none"/>
        </w:rPr>
        <w:t>注：须提供报价人营业执照、资质证书等复印件</w:t>
      </w:r>
      <w:r>
        <w:rPr>
          <w:rFonts w:hint="eastAsia" w:ascii="宋体" w:hAnsi="宋体" w:cs="宋体"/>
          <w:highlight w:val="none"/>
          <w:lang w:val="en-US" w:eastAsia="zh-CN"/>
        </w:rPr>
        <w:t>,</w:t>
      </w:r>
      <w:r>
        <w:rPr>
          <w:rFonts w:hint="eastAsia" w:ascii="宋体" w:hAnsi="宋体" w:cs="宋体"/>
          <w:highlight w:val="none"/>
        </w:rPr>
        <w:t>并加盖单位鲜公章。</w:t>
      </w:r>
    </w:p>
    <w:p>
      <w:pPr>
        <w:spacing w:line="440" w:lineRule="exact"/>
        <w:ind w:firstLine="413" w:firstLineChars="147"/>
        <w:jc w:val="center"/>
        <w:rPr>
          <w:rFonts w:ascii="宋体" w:hAnsi="宋体" w:cs="宋体"/>
          <w:b/>
          <w:sz w:val="28"/>
          <w:szCs w:val="28"/>
          <w:highlight w:val="none"/>
        </w:rPr>
      </w:pPr>
    </w:p>
    <w:p>
      <w:pPr>
        <w:pStyle w:val="4"/>
        <w:jc w:val="center"/>
        <w:rPr>
          <w:rFonts w:ascii="宋体" w:hAnsi="宋体" w:eastAsia="宋体" w:cs="宋体"/>
          <w:bCs w:val="0"/>
          <w:highlight w:val="none"/>
        </w:rPr>
      </w:pPr>
      <w:bookmarkStart w:id="116" w:name="_Toc11329223"/>
      <w:bookmarkStart w:id="117" w:name="_Toc30995"/>
      <w:bookmarkStart w:id="118" w:name="_Toc30363"/>
      <w:bookmarkStart w:id="119" w:name="_Toc1778"/>
      <w:bookmarkStart w:id="120" w:name="_Toc17235"/>
      <w:r>
        <w:rPr>
          <w:rFonts w:hint="eastAsia" w:ascii="宋体" w:hAnsi="宋体" w:eastAsia="宋体" w:cs="宋体"/>
          <w:bCs w:val="0"/>
          <w:sz w:val="28"/>
          <w:szCs w:val="28"/>
          <w:highlight w:val="none"/>
        </w:rPr>
        <w:t>附录2  资格审查条件（财务最低要求）</w:t>
      </w:r>
      <w:bookmarkEnd w:id="116"/>
      <w:bookmarkEnd w:id="117"/>
      <w:bookmarkEnd w:id="118"/>
      <w:bookmarkEnd w:id="119"/>
      <w:bookmarkEnd w:id="120"/>
    </w:p>
    <w:tbl>
      <w:tblPr>
        <w:tblStyle w:val="47"/>
        <w:tblW w:w="94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 w:hRule="atLeast"/>
          <w:jc w:val="center"/>
        </w:trPr>
        <w:tc>
          <w:tcPr>
            <w:tcW w:w="9484"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65" w:hRule="atLeast"/>
          <w:jc w:val="center"/>
        </w:trPr>
        <w:tc>
          <w:tcPr>
            <w:tcW w:w="9484" w:type="dxa"/>
          </w:tcPr>
          <w:p>
            <w:pPr>
              <w:spacing w:line="400" w:lineRule="exact"/>
              <w:rPr>
                <w:highlight w:val="none"/>
              </w:rPr>
            </w:pPr>
            <w:r>
              <w:rPr>
                <w:rFonts w:hint="eastAsia"/>
                <w:highlight w:val="none"/>
              </w:rPr>
              <w:t>无要求</w:t>
            </w:r>
          </w:p>
        </w:tc>
      </w:tr>
    </w:tbl>
    <w:p>
      <w:pPr>
        <w:pStyle w:val="4"/>
        <w:jc w:val="center"/>
        <w:rPr>
          <w:rFonts w:ascii="宋体" w:hAnsi="宋体" w:eastAsia="宋体" w:cs="宋体"/>
          <w:bCs w:val="0"/>
          <w:sz w:val="28"/>
          <w:szCs w:val="28"/>
          <w:highlight w:val="none"/>
        </w:rPr>
      </w:pPr>
      <w:bookmarkStart w:id="121" w:name="_Toc11329224"/>
    </w:p>
    <w:p>
      <w:pPr>
        <w:pStyle w:val="4"/>
        <w:jc w:val="center"/>
        <w:rPr>
          <w:rFonts w:ascii="宋体" w:hAnsi="宋体" w:eastAsia="宋体" w:cs="宋体"/>
          <w:bCs w:val="0"/>
          <w:sz w:val="28"/>
          <w:szCs w:val="28"/>
          <w:highlight w:val="none"/>
        </w:rPr>
      </w:pPr>
      <w:bookmarkStart w:id="122" w:name="_Toc6263"/>
      <w:bookmarkStart w:id="123" w:name="_Toc16638"/>
      <w:bookmarkStart w:id="124" w:name="_Toc28315"/>
      <w:bookmarkStart w:id="125" w:name="_Toc19507"/>
      <w:r>
        <w:rPr>
          <w:rFonts w:hint="eastAsia" w:ascii="宋体" w:hAnsi="宋体" w:eastAsia="宋体" w:cs="宋体"/>
          <w:bCs w:val="0"/>
          <w:sz w:val="28"/>
          <w:szCs w:val="28"/>
          <w:highlight w:val="none"/>
        </w:rPr>
        <w:t>附录3  资格审查条件（业绩最低要求）</w:t>
      </w:r>
      <w:bookmarkEnd w:id="121"/>
      <w:bookmarkEnd w:id="122"/>
      <w:bookmarkEnd w:id="123"/>
      <w:bookmarkEnd w:id="124"/>
      <w:bookmarkEnd w:id="125"/>
    </w:p>
    <w:tbl>
      <w:tblPr>
        <w:tblStyle w:val="47"/>
        <w:tblW w:w="93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9322"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9322" w:type="dxa"/>
          </w:tcPr>
          <w:p>
            <w:pPr>
              <w:spacing w:line="400" w:lineRule="exact"/>
              <w:ind w:firstLine="420" w:firstLineChars="200"/>
              <w:jc w:val="left"/>
              <w:rPr>
                <w:rFonts w:hint="eastAsia" w:eastAsia="宋体"/>
                <w:highlight w:val="none"/>
                <w:lang w:eastAsia="zh-CN"/>
              </w:rPr>
            </w:pPr>
            <w:r>
              <w:rPr>
                <w:rFonts w:hint="eastAsia" w:ascii="宋体" w:hAnsi="宋体" w:cs="宋体"/>
                <w:szCs w:val="21"/>
                <w:highlight w:val="none"/>
                <w:shd w:val="clear" w:color="auto" w:fill="FFFFFF"/>
                <w:lang w:val="en-US" w:eastAsia="zh-CN"/>
              </w:rPr>
              <w:t>无</w:t>
            </w:r>
            <w:r>
              <w:rPr>
                <w:rFonts w:hint="eastAsia" w:ascii="宋体" w:hAnsi="宋体" w:cs="宋体"/>
                <w:szCs w:val="21"/>
                <w:highlight w:val="none"/>
                <w:shd w:val="clear" w:color="auto" w:fill="FFFFFF"/>
              </w:rPr>
              <w:t>。</w:t>
            </w:r>
          </w:p>
        </w:tc>
      </w:tr>
    </w:tbl>
    <w:p>
      <w:pPr>
        <w:pStyle w:val="4"/>
        <w:jc w:val="left"/>
        <w:rPr>
          <w:rFonts w:hint="eastAsia" w:ascii="Times New Roman" w:hAnsi="宋体" w:eastAsia="宋体" w:cs="Times New Roman"/>
          <w:b/>
          <w:bCs/>
          <w:kern w:val="2"/>
          <w:sz w:val="21"/>
          <w:szCs w:val="21"/>
          <w:highlight w:val="none"/>
          <w:lang w:val="en-US" w:eastAsia="zh-CN" w:bidi="ar-SA"/>
        </w:rPr>
      </w:pPr>
      <w:bookmarkStart w:id="126" w:name="_Toc11329225"/>
      <w:r>
        <w:rPr>
          <w:rFonts w:hint="eastAsia" w:ascii="Times New Roman" w:hAnsi="宋体" w:eastAsia="宋体" w:cs="Times New Roman"/>
          <w:b/>
          <w:bCs/>
          <w:kern w:val="2"/>
          <w:sz w:val="21"/>
          <w:szCs w:val="21"/>
          <w:highlight w:val="none"/>
          <w:lang w:val="en-US" w:eastAsia="zh-CN" w:bidi="ar-SA"/>
        </w:rPr>
        <w:t xml:space="preserve">  注：提供相关文件，并加盖单位鲜公章。</w:t>
      </w:r>
    </w:p>
    <w:p>
      <w:pPr>
        <w:pStyle w:val="4"/>
        <w:jc w:val="center"/>
        <w:rPr>
          <w:rFonts w:ascii="宋体" w:hAnsi="宋体" w:cs="宋体"/>
          <w:b w:val="0"/>
          <w:sz w:val="28"/>
          <w:szCs w:val="28"/>
          <w:highlight w:val="none"/>
        </w:rPr>
      </w:pPr>
      <w:bookmarkStart w:id="127" w:name="_Toc10083"/>
      <w:bookmarkStart w:id="128" w:name="_Toc2830"/>
      <w:bookmarkStart w:id="129" w:name="_Toc26749"/>
      <w:bookmarkStart w:id="130" w:name="_Toc12296"/>
      <w:r>
        <w:rPr>
          <w:rFonts w:hint="eastAsia" w:ascii="宋体" w:hAnsi="宋体" w:eastAsia="宋体" w:cs="宋体"/>
          <w:bCs w:val="0"/>
          <w:sz w:val="28"/>
          <w:szCs w:val="28"/>
          <w:highlight w:val="none"/>
        </w:rPr>
        <w:t>附录4 资格审查条件（信誉最低要求）</w:t>
      </w:r>
      <w:bookmarkEnd w:id="126"/>
      <w:bookmarkEnd w:id="127"/>
      <w:bookmarkEnd w:id="128"/>
      <w:bookmarkEnd w:id="129"/>
      <w:bookmarkEnd w:id="130"/>
    </w:p>
    <w:tbl>
      <w:tblPr>
        <w:tblStyle w:val="47"/>
        <w:tblW w:w="92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6" w:hRule="atLeast"/>
          <w:jc w:val="center"/>
        </w:trPr>
        <w:tc>
          <w:tcPr>
            <w:tcW w:w="9213" w:type="dxa"/>
          </w:tcPr>
          <w:p>
            <w:pPr>
              <w:spacing w:line="400" w:lineRule="exact"/>
              <w:jc w:val="center"/>
              <w:rPr>
                <w:rFonts w:ascii="宋体" w:hAnsi="宋体" w:cs="宋体"/>
                <w:szCs w:val="21"/>
                <w:highlight w:val="none"/>
              </w:rPr>
            </w:pPr>
            <w:r>
              <w:rPr>
                <w:rFonts w:hint="eastAsia" w:ascii="宋体" w:hAnsi="宋体" w:cs="宋体"/>
                <w:szCs w:val="21"/>
                <w:highlight w:val="none"/>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97" w:hRule="atLeast"/>
          <w:jc w:val="center"/>
        </w:trPr>
        <w:tc>
          <w:tcPr>
            <w:tcW w:w="9213" w:type="dxa"/>
          </w:tcPr>
          <w:p>
            <w:pPr>
              <w:spacing w:line="400" w:lineRule="exact"/>
              <w:rPr>
                <w:rFonts w:ascii="宋体" w:hAnsi="宋体" w:cs="宋体"/>
                <w:szCs w:val="21"/>
                <w:highlight w:val="none"/>
                <w:shd w:val="clear" w:color="auto" w:fill="FFFFFF"/>
              </w:rPr>
            </w:pPr>
            <w:r>
              <w:rPr>
                <w:rFonts w:hint="eastAsia" w:ascii="宋体" w:hAnsi="宋体" w:cs="宋体"/>
                <w:szCs w:val="21"/>
                <w:highlight w:val="none"/>
              </w:rPr>
              <w:t>信誉良好：在国家企业信用信息公示系统（http://www.gsxt.gov.cn/）中未被列入严重违法失信企业名单（黑名单）信息；在“信用中国”网站（http://www.creditchina.gov.cn/）中未被列入失信惩戒执行人名单。</w:t>
            </w:r>
          </w:p>
        </w:tc>
      </w:tr>
    </w:tbl>
    <w:p>
      <w:pPr>
        <w:pStyle w:val="2"/>
        <w:ind w:firstLine="402" w:firstLineChars="200"/>
        <w:rPr>
          <w:rFonts w:hint="eastAsia" w:ascii="Times New Roman" w:hAnsi="宋体"/>
          <w:sz w:val="21"/>
          <w:szCs w:val="21"/>
          <w:highlight w:val="none"/>
        </w:rPr>
      </w:pPr>
      <w:r>
        <w:rPr>
          <w:rFonts w:hint="eastAsia"/>
          <w:highlight w:val="none"/>
        </w:rPr>
        <w:t>注：</w:t>
      </w:r>
      <w:r>
        <w:rPr>
          <w:rFonts w:hint="eastAsia" w:ascii="Times New Roman" w:hAnsi="宋体"/>
          <w:sz w:val="21"/>
          <w:szCs w:val="21"/>
          <w:highlight w:val="none"/>
        </w:rPr>
        <w:t>须提供信誉网站查询结果截图,并加盖单位鲜公章。</w:t>
      </w:r>
    </w:p>
    <w:p>
      <w:pPr>
        <w:pStyle w:val="4"/>
        <w:jc w:val="center"/>
        <w:rPr>
          <w:rFonts w:ascii="宋体" w:hAnsi="宋体" w:eastAsia="宋体" w:cs="宋体"/>
          <w:bCs w:val="0"/>
          <w:sz w:val="28"/>
          <w:szCs w:val="28"/>
          <w:highlight w:val="none"/>
        </w:rPr>
      </w:pPr>
      <w:bookmarkStart w:id="131" w:name="_Toc14083"/>
      <w:bookmarkStart w:id="132" w:name="_Toc27096"/>
      <w:bookmarkStart w:id="133" w:name="_Toc11329226"/>
      <w:bookmarkStart w:id="134" w:name="_Toc12773"/>
      <w:bookmarkStart w:id="135" w:name="_Toc25591"/>
      <w:r>
        <w:rPr>
          <w:rFonts w:hint="eastAsia" w:ascii="宋体" w:hAnsi="宋体" w:eastAsia="宋体" w:cs="宋体"/>
          <w:bCs w:val="0"/>
          <w:sz w:val="28"/>
          <w:szCs w:val="28"/>
          <w:highlight w:val="none"/>
        </w:rPr>
        <w:t>附录5 资格审查文件（项目主要人员最低要求）</w:t>
      </w:r>
      <w:bookmarkEnd w:id="131"/>
      <w:bookmarkEnd w:id="132"/>
      <w:bookmarkEnd w:id="133"/>
      <w:bookmarkEnd w:id="134"/>
      <w:bookmarkEnd w:id="135"/>
    </w:p>
    <w:p>
      <w:pPr>
        <w:spacing w:line="400" w:lineRule="exact"/>
        <w:jc w:val="center"/>
        <w:rPr>
          <w:highlight w:val="none"/>
        </w:rPr>
      </w:pPr>
      <w:r>
        <w:rPr>
          <w:rFonts w:hint="eastAsia" w:ascii="宋体" w:hAnsi="宋体" w:cs="宋体"/>
          <w:b/>
          <w:szCs w:val="21"/>
          <w:highlight w:val="none"/>
        </w:rPr>
        <w:t>主要人员最低要求</w:t>
      </w:r>
    </w:p>
    <w:tbl>
      <w:tblPr>
        <w:tblStyle w:val="47"/>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bookmarkStart w:id="136" w:name="_Toc388534043"/>
            <w:bookmarkStart w:id="137" w:name="_Toc387234996"/>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人  员</w:t>
            </w:r>
          </w:p>
        </w:tc>
        <w:tc>
          <w:tcPr>
            <w:tcW w:w="7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数量</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lang w:eastAsia="zh-CN"/>
              </w:rPr>
              <w:t>项目</w:t>
            </w:r>
            <w:r>
              <w:rPr>
                <w:rFonts w:hint="eastAsia" w:ascii="宋体" w:hAnsi="宋体" w:cs="宋体"/>
                <w:szCs w:val="21"/>
                <w:highlight w:val="none"/>
              </w:rPr>
              <w:t>负责人</w:t>
            </w:r>
          </w:p>
        </w:tc>
        <w:tc>
          <w:tcPr>
            <w:tcW w:w="7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1</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shd w:val="clear" w:color="auto" w:fill="FFFFFF"/>
                <w:lang w:val="en-US" w:eastAsia="zh-CN"/>
              </w:rPr>
              <w:t>无</w:t>
            </w:r>
          </w:p>
        </w:tc>
      </w:tr>
    </w:tbl>
    <w:p>
      <w:pPr>
        <w:spacing w:line="400" w:lineRule="exact"/>
        <w:jc w:val="left"/>
        <w:rPr>
          <w:rFonts w:ascii="宋体" w:hAnsi="宋体" w:cs="宋体"/>
          <w:szCs w:val="21"/>
          <w:highlight w:val="none"/>
        </w:rPr>
      </w:pPr>
      <w:r>
        <w:rPr>
          <w:rFonts w:hint="eastAsia" w:hAnsi="宋体"/>
          <w:b/>
          <w:bCs/>
          <w:szCs w:val="21"/>
          <w:highlight w:val="none"/>
        </w:rPr>
        <w:t>注：以上人员不得重复任职。</w:t>
      </w:r>
      <w:r>
        <w:rPr>
          <w:rFonts w:hint="eastAsia" w:ascii="宋体" w:hAnsi="宋体" w:cs="宋体"/>
          <w:kern w:val="0"/>
          <w:highlight w:val="none"/>
        </w:rPr>
        <w:t>由报价人</w:t>
      </w:r>
      <w:r>
        <w:rPr>
          <w:rFonts w:hint="eastAsia" w:ascii="宋体" w:hAnsi="宋体" w:cs="宋体"/>
          <w:b/>
          <w:kern w:val="0"/>
          <w:highlight w:val="none"/>
        </w:rPr>
        <w:t>自行承诺</w:t>
      </w:r>
      <w:r>
        <w:rPr>
          <w:rFonts w:hint="eastAsia" w:ascii="宋体" w:hAnsi="宋体" w:cs="宋体"/>
          <w:kern w:val="0"/>
          <w:highlight w:val="none"/>
        </w:rPr>
        <w:t>，</w:t>
      </w:r>
      <w:r>
        <w:rPr>
          <w:rFonts w:hint="eastAsia" w:ascii="宋体" w:hAnsi="宋体" w:cs="宋体"/>
          <w:kern w:val="0"/>
          <w:szCs w:val="21"/>
          <w:highlight w:val="none"/>
        </w:rPr>
        <w:t>无需提供有关证明资料，并加盖单位鲜公章。</w:t>
      </w:r>
    </w:p>
    <w:p>
      <w:pPr>
        <w:pStyle w:val="2"/>
        <w:rPr>
          <w:highlight w:val="none"/>
        </w:rPr>
      </w:pPr>
    </w:p>
    <w:p>
      <w:pPr>
        <w:outlineLvl w:val="1"/>
        <w:rPr>
          <w:rFonts w:ascii="宋体" w:hAnsi="宋体" w:cs="宋体"/>
          <w:b/>
          <w:sz w:val="28"/>
          <w:szCs w:val="28"/>
          <w:highlight w:val="none"/>
        </w:rPr>
        <w:sectPr>
          <w:pgSz w:w="11906" w:h="16838"/>
          <w:pgMar w:top="1418" w:right="1134" w:bottom="1418" w:left="1134" w:header="851" w:footer="992" w:gutter="0"/>
          <w:cols w:space="720" w:num="1"/>
          <w:docGrid w:type="lines" w:linePitch="312" w:charSpace="0"/>
        </w:sectPr>
      </w:pPr>
    </w:p>
    <w:p>
      <w:pPr>
        <w:pStyle w:val="4"/>
        <w:rPr>
          <w:rFonts w:hAnsi="宋体"/>
          <w:b w:val="0"/>
          <w:sz w:val="28"/>
          <w:szCs w:val="28"/>
          <w:highlight w:val="none"/>
        </w:rPr>
      </w:pPr>
      <w:bookmarkStart w:id="138" w:name="_Toc6096"/>
      <w:bookmarkStart w:id="139" w:name="_Toc17384"/>
      <w:bookmarkStart w:id="140" w:name="_Toc17216"/>
      <w:bookmarkStart w:id="141" w:name="_Toc4169"/>
      <w:r>
        <w:rPr>
          <w:rFonts w:hint="eastAsia" w:ascii="宋体" w:hAnsi="宋体" w:cs="宋体"/>
          <w:b w:val="0"/>
          <w:sz w:val="28"/>
          <w:szCs w:val="28"/>
          <w:highlight w:val="none"/>
        </w:rPr>
        <w:t>附录</w:t>
      </w:r>
      <w:r>
        <w:rPr>
          <w:rFonts w:hint="eastAsia" w:ascii="宋体" w:hAnsi="宋体" w:cs="宋体"/>
          <w:b w:val="0"/>
          <w:sz w:val="28"/>
          <w:szCs w:val="28"/>
          <w:highlight w:val="none"/>
          <w:lang w:val="en-US" w:eastAsia="zh-CN"/>
        </w:rPr>
        <w:t>6</w:t>
      </w:r>
      <w:r>
        <w:rPr>
          <w:rFonts w:hint="eastAsia" w:ascii="宋体" w:hAnsi="宋体" w:cs="宋体"/>
          <w:b w:val="0"/>
          <w:sz w:val="28"/>
          <w:szCs w:val="28"/>
          <w:highlight w:val="none"/>
        </w:rPr>
        <w:t xml:space="preserve"> 资格审查文件（主要机械设备和试验检测设备最低要求）</w:t>
      </w:r>
      <w:bookmarkEnd w:id="138"/>
      <w:bookmarkEnd w:id="139"/>
      <w:bookmarkEnd w:id="140"/>
      <w:bookmarkEnd w:id="141"/>
    </w:p>
    <w:tbl>
      <w:tblPr>
        <w:tblStyle w:val="47"/>
        <w:tblW w:w="91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160" w:type="dxa"/>
          </w:tcPr>
          <w:p>
            <w:pPr>
              <w:ind w:firstLine="420" w:firstLineChars="200"/>
              <w:rPr>
                <w:highlight w:val="none"/>
              </w:rPr>
            </w:pPr>
            <w:r>
              <w:rPr>
                <w:rFonts w:hint="eastAsia" w:ascii="宋体" w:hAnsi="宋体" w:cs="宋体"/>
                <w:caps/>
                <w:szCs w:val="21"/>
                <w:highlight w:val="none"/>
              </w:rPr>
              <w:t xml:space="preserve">无。 </w:t>
            </w:r>
          </w:p>
        </w:tc>
      </w:tr>
    </w:tbl>
    <w:p>
      <w:pPr>
        <w:spacing w:line="400" w:lineRule="exact"/>
        <w:ind w:firstLine="420"/>
        <w:rPr>
          <w:rFonts w:ascii="宋体" w:hAnsi="宋体" w:cs="宋体"/>
          <w:kern w:val="0"/>
          <w:szCs w:val="21"/>
          <w:highlight w:val="none"/>
        </w:rPr>
      </w:pPr>
      <w:r>
        <w:rPr>
          <w:rFonts w:hint="eastAsia" w:ascii="宋体" w:hAnsi="宋体" w:cs="宋体"/>
          <w:bCs/>
          <w:kern w:val="0"/>
          <w:szCs w:val="21"/>
          <w:highlight w:val="none"/>
        </w:rPr>
        <w:t>注：以上设备</w:t>
      </w:r>
      <w:r>
        <w:rPr>
          <w:rFonts w:hint="eastAsia" w:ascii="宋体" w:hAnsi="宋体" w:cs="宋体"/>
          <w:kern w:val="0"/>
          <w:highlight w:val="none"/>
        </w:rPr>
        <w:t>由报价人</w:t>
      </w:r>
      <w:r>
        <w:rPr>
          <w:rFonts w:hint="eastAsia" w:ascii="宋体" w:hAnsi="宋体" w:cs="宋体"/>
          <w:b/>
          <w:kern w:val="0"/>
          <w:highlight w:val="none"/>
        </w:rPr>
        <w:t>自行承诺</w:t>
      </w:r>
      <w:r>
        <w:rPr>
          <w:rFonts w:hint="eastAsia" w:ascii="宋体" w:hAnsi="宋体" w:cs="宋体"/>
          <w:kern w:val="0"/>
          <w:highlight w:val="none"/>
        </w:rPr>
        <w:t>，</w:t>
      </w:r>
      <w:r>
        <w:rPr>
          <w:rFonts w:hint="eastAsia" w:ascii="宋体" w:hAnsi="宋体" w:cs="宋体"/>
          <w:kern w:val="0"/>
          <w:szCs w:val="21"/>
          <w:highlight w:val="none"/>
        </w:rPr>
        <w:t>无需提供有关证明资料，并加盖单位鲜公章。</w:t>
      </w:r>
    </w:p>
    <w:p>
      <w:pPr>
        <w:pStyle w:val="146"/>
        <w:adjustRightInd/>
        <w:spacing w:line="400" w:lineRule="exact"/>
        <w:ind w:firstLine="422" w:firstLineChars="200"/>
        <w:jc w:val="both"/>
        <w:rPr>
          <w:rFonts w:hAnsi="宋体"/>
          <w:bCs/>
          <w:color w:val="auto"/>
          <w:sz w:val="21"/>
          <w:szCs w:val="21"/>
          <w:highlight w:val="none"/>
        </w:rPr>
      </w:pPr>
      <w:r>
        <w:rPr>
          <w:rFonts w:hint="eastAsia" w:hAnsi="宋体"/>
          <w:b/>
          <w:bCs/>
          <w:color w:val="auto"/>
          <w:sz w:val="21"/>
          <w:szCs w:val="21"/>
          <w:highlight w:val="none"/>
        </w:rPr>
        <w:t>以上（附录1-附录</w:t>
      </w:r>
      <w:r>
        <w:rPr>
          <w:rFonts w:hint="eastAsia" w:hAnsi="宋体"/>
          <w:b/>
          <w:bCs/>
          <w:color w:val="auto"/>
          <w:sz w:val="21"/>
          <w:szCs w:val="21"/>
          <w:highlight w:val="none"/>
          <w:lang w:val="en-US" w:eastAsia="zh-CN"/>
        </w:rPr>
        <w:t>6</w:t>
      </w:r>
      <w:r>
        <w:rPr>
          <w:rFonts w:hint="eastAsia" w:hAnsi="宋体"/>
          <w:b/>
          <w:bCs/>
          <w:color w:val="auto"/>
          <w:sz w:val="21"/>
          <w:szCs w:val="21"/>
          <w:highlight w:val="none"/>
        </w:rPr>
        <w:t>中的资格审查）的要求均为强制性条件，其中任何一条不满足要求，则按否决报价处理。</w:t>
      </w:r>
    </w:p>
    <w:p>
      <w:pPr>
        <w:pStyle w:val="146"/>
        <w:adjustRightInd/>
        <w:spacing w:line="360" w:lineRule="auto"/>
        <w:jc w:val="both"/>
        <w:rPr>
          <w:rFonts w:hAnsi="宋体"/>
          <w:bCs/>
          <w:color w:val="auto"/>
          <w:sz w:val="21"/>
          <w:szCs w:val="21"/>
          <w:highlight w:val="none"/>
        </w:rPr>
      </w:pPr>
    </w:p>
    <w:bookmarkEnd w:id="136"/>
    <w:bookmarkEnd w:id="137"/>
    <w:p>
      <w:pPr>
        <w:spacing w:line="440" w:lineRule="exact"/>
        <w:rPr>
          <w:rFonts w:ascii="宋体" w:hAnsi="宋体" w:cs="宋体"/>
          <w:szCs w:val="21"/>
          <w:highlight w:val="none"/>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highlight w:val="none"/>
        </w:rPr>
      </w:pPr>
    </w:p>
    <w:p>
      <w:pPr>
        <w:pStyle w:val="3"/>
        <w:spacing w:before="0" w:after="0" w:line="360" w:lineRule="auto"/>
        <w:jc w:val="center"/>
        <w:rPr>
          <w:rFonts w:ascii="宋体" w:hAnsi="宋体" w:cs="宋体"/>
          <w:highlight w:val="none"/>
        </w:rPr>
      </w:pPr>
      <w:bookmarkStart w:id="142" w:name="_Toc247085745"/>
      <w:bookmarkStart w:id="143" w:name="_Toc152042364"/>
      <w:bookmarkStart w:id="144" w:name="_Toc20774"/>
      <w:bookmarkStart w:id="145" w:name="_Toc2000406"/>
      <w:bookmarkStart w:id="146" w:name="_Toc152045587"/>
      <w:bookmarkStart w:id="147" w:name="_Toc246996973"/>
      <w:bookmarkStart w:id="148" w:name="_Toc179632605"/>
      <w:bookmarkStart w:id="149" w:name="_Toc7682"/>
      <w:bookmarkStart w:id="150" w:name="_Toc144974554"/>
      <w:bookmarkStart w:id="151" w:name="_Toc507319957"/>
      <w:bookmarkStart w:id="152" w:name="_Toc246996230"/>
      <w:r>
        <w:rPr>
          <w:rFonts w:hint="eastAsia" w:ascii="宋体" w:hAnsi="宋体" w:cs="宋体"/>
          <w:highlight w:val="none"/>
        </w:rPr>
        <w:t>第三章 评标办法（经评审的最低投标价法）</w:t>
      </w:r>
      <w:bookmarkEnd w:id="142"/>
      <w:bookmarkEnd w:id="143"/>
      <w:bookmarkEnd w:id="144"/>
      <w:bookmarkEnd w:id="145"/>
      <w:bookmarkEnd w:id="146"/>
      <w:bookmarkEnd w:id="147"/>
      <w:bookmarkEnd w:id="148"/>
      <w:bookmarkEnd w:id="149"/>
      <w:bookmarkEnd w:id="150"/>
      <w:bookmarkEnd w:id="151"/>
      <w:bookmarkEnd w:id="152"/>
    </w:p>
    <w:p>
      <w:pPr>
        <w:rPr>
          <w:highlight w:val="none"/>
        </w:rPr>
      </w:pPr>
    </w:p>
    <w:tbl>
      <w:tblPr>
        <w:tblStyle w:val="47"/>
        <w:tblW w:w="9145"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highlight w:val="none"/>
              </w:rPr>
            </w:pPr>
            <w:r>
              <w:rPr>
                <w:b/>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highlight w:val="none"/>
              </w:rPr>
            </w:pPr>
            <w:r>
              <w:rPr>
                <w:b/>
                <w:highlight w:val="none"/>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highlight w:val="none"/>
              </w:rPr>
            </w:pPr>
            <w:r>
              <w:rPr>
                <w:b/>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rPr>
                <w:highlight w:val="none"/>
              </w:rPr>
            </w:pPr>
            <w:r>
              <w:rPr>
                <w:highlight w:val="none"/>
              </w:rPr>
              <w:t>1</w:t>
            </w:r>
          </w:p>
        </w:tc>
        <w:tc>
          <w:tcPr>
            <w:tcW w:w="1124" w:type="dxa"/>
            <w:tcBorders>
              <w:top w:val="single" w:color="auto" w:sz="4" w:space="0"/>
              <w:left w:val="single" w:color="auto" w:sz="4" w:space="0"/>
              <w:right w:val="single" w:color="auto" w:sz="4" w:space="0"/>
            </w:tcBorders>
            <w:vAlign w:val="center"/>
          </w:tcPr>
          <w:p>
            <w:pPr>
              <w:spacing w:line="400" w:lineRule="exact"/>
              <w:jc w:val="center"/>
              <w:rPr>
                <w:highlight w:val="none"/>
              </w:rPr>
            </w:pPr>
            <w:r>
              <w:rPr>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中标候选人排序方法</w:t>
            </w:r>
          </w:p>
        </w:tc>
        <w:tc>
          <w:tcPr>
            <w:tcW w:w="5004" w:type="dxa"/>
            <w:tcBorders>
              <w:top w:val="single" w:color="auto" w:sz="4" w:space="0"/>
              <w:left w:val="single" w:color="auto" w:sz="4" w:space="0"/>
              <w:bottom w:val="single" w:color="auto" w:sz="4" w:space="0"/>
            </w:tcBorders>
          </w:tcPr>
          <w:p>
            <w:pPr>
              <w:spacing w:line="360" w:lineRule="auto"/>
              <w:rPr>
                <w:highlight w:val="none"/>
              </w:rPr>
            </w:pPr>
            <w:r>
              <w:rPr>
                <w:highlight w:val="none"/>
              </w:rPr>
              <w:t>如出现报价相等时，评审小组按以下原则确定第一中标候选人：</w:t>
            </w:r>
          </w:p>
          <w:p>
            <w:pPr>
              <w:spacing w:line="360" w:lineRule="auto"/>
              <w:ind w:firstLine="210" w:firstLineChars="100"/>
              <w:rPr>
                <w:highlight w:val="none"/>
              </w:rPr>
            </w:pPr>
            <w:r>
              <w:rPr>
                <w:rFonts w:hint="eastAsia"/>
                <w:highlight w:val="none"/>
              </w:rPr>
              <w:t>以最早提交报价文件的投标人为第一中标候选人</w:t>
            </w:r>
            <w:r>
              <w:rPr>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rPr>
                <w:highlight w:val="none"/>
              </w:rPr>
            </w:pPr>
            <w:r>
              <w:rPr>
                <w:rFonts w:hint="eastAsia"/>
                <w:highlight w:val="none"/>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rPr>
                <w:highlight w:val="none"/>
              </w:rPr>
            </w:pPr>
            <w:r>
              <w:rPr>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报价</w:t>
            </w:r>
            <w:r>
              <w:rPr>
                <w:highlight w:val="none"/>
              </w:rPr>
              <w:t>人名称</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报价</w:t>
            </w:r>
            <w:r>
              <w:rPr>
                <w:highlight w:val="none"/>
              </w:rPr>
              <w:t>函签字盖章</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竞争性</w:t>
            </w:r>
            <w:r>
              <w:rPr>
                <w:highlight w:val="none"/>
              </w:rP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符合第九章“</w:t>
            </w:r>
            <w:r>
              <w:rPr>
                <w:rFonts w:hint="eastAsia"/>
                <w:highlight w:val="none"/>
              </w:rPr>
              <w:t>竞争性</w:t>
            </w:r>
            <w:r>
              <w:rPr>
                <w:highlight w:val="none"/>
              </w:rPr>
              <w:t>比选响应文件格式”的要求，字迹清晰可辨。</w:t>
            </w:r>
          </w:p>
          <w:p>
            <w:pPr>
              <w:spacing w:line="400" w:lineRule="exact"/>
              <w:rPr>
                <w:highlight w:val="none"/>
              </w:rPr>
            </w:pPr>
            <w:r>
              <w:rPr>
                <w:highlight w:val="none"/>
              </w:rPr>
              <w:t>1.</w:t>
            </w:r>
            <w:r>
              <w:rPr>
                <w:rFonts w:hint="eastAsia"/>
                <w:highlight w:val="none"/>
              </w:rPr>
              <w:t>报价</w:t>
            </w:r>
            <w:r>
              <w:rPr>
                <w:highlight w:val="none"/>
              </w:rPr>
              <w:t>函的所有数据均符合</w:t>
            </w:r>
            <w:r>
              <w:rPr>
                <w:rFonts w:hint="eastAsia"/>
                <w:highlight w:val="none"/>
              </w:rPr>
              <w:t>比选</w:t>
            </w:r>
            <w:r>
              <w:rPr>
                <w:highlight w:val="none"/>
              </w:rPr>
              <w:t>文件的规定；</w:t>
            </w:r>
          </w:p>
          <w:p>
            <w:pPr>
              <w:spacing w:line="400" w:lineRule="exact"/>
              <w:rPr>
                <w:highlight w:val="none"/>
              </w:rPr>
            </w:pPr>
            <w:r>
              <w:rPr>
                <w:highlight w:val="none"/>
              </w:rPr>
              <w:t>2.</w:t>
            </w:r>
            <w:r>
              <w:rPr>
                <w:rFonts w:hint="eastAsia"/>
                <w:highlight w:val="none"/>
              </w:rPr>
              <w:t>竞争性</w:t>
            </w:r>
            <w:r>
              <w:rPr>
                <w:highlight w:val="none"/>
              </w:rP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highlight w:val="none"/>
              </w:rPr>
            </w:pPr>
            <w:r>
              <w:rPr>
                <w:highlight w:val="none"/>
              </w:rP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rPr>
                <w:highlight w:val="none"/>
              </w:rPr>
            </w:pPr>
            <w:r>
              <w:rPr>
                <w:highlight w:val="none"/>
              </w:rPr>
              <w:t>符合第五章“工程量清单”给出的范围及数量</w:t>
            </w:r>
            <w:r>
              <w:rPr>
                <w:rFonts w:hint="eastAsia"/>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highlight w:val="none"/>
              </w:rPr>
            </w:pPr>
            <w:r>
              <w:rPr>
                <w:highlight w:val="none"/>
              </w:rPr>
              <w:t>报价其它要求</w:t>
            </w:r>
          </w:p>
        </w:tc>
        <w:tc>
          <w:tcPr>
            <w:tcW w:w="5004" w:type="dxa"/>
            <w:tcBorders>
              <w:top w:val="single" w:color="auto" w:sz="4" w:space="0"/>
              <w:left w:val="single" w:color="auto" w:sz="4" w:space="0"/>
              <w:bottom w:val="single" w:color="auto" w:sz="4" w:space="0"/>
            </w:tcBorders>
            <w:vAlign w:val="center"/>
          </w:tcPr>
          <w:p>
            <w:pPr>
              <w:spacing w:line="440" w:lineRule="exact"/>
              <w:rPr>
                <w:highlight w:val="none"/>
              </w:rPr>
            </w:pPr>
            <w:r>
              <w:rPr>
                <w:rFonts w:hint="eastAsia"/>
                <w:highlight w:val="none"/>
              </w:rPr>
              <w:t>竞争性</w:t>
            </w:r>
            <w:r>
              <w:rPr>
                <w:highlight w:val="none"/>
              </w:rPr>
              <w:t>比选响应文件报价表中的报价与</w:t>
            </w:r>
            <w:r>
              <w:rPr>
                <w:rFonts w:hint="eastAsia"/>
                <w:highlight w:val="none"/>
              </w:rPr>
              <w:t>报价</w:t>
            </w:r>
            <w:r>
              <w:rPr>
                <w:highlight w:val="none"/>
              </w:rP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rPr>
                <w:highlight w:val="none"/>
              </w:rPr>
            </w:pPr>
          </w:p>
        </w:tc>
        <w:tc>
          <w:tcPr>
            <w:tcW w:w="1124" w:type="dxa"/>
            <w:vMerge w:val="continue"/>
            <w:tcBorders>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right w:val="single" w:color="auto" w:sz="4" w:space="0"/>
            </w:tcBorders>
            <w:vAlign w:val="center"/>
          </w:tcPr>
          <w:p>
            <w:pPr>
              <w:spacing w:line="400" w:lineRule="exact"/>
              <w:jc w:val="center"/>
              <w:rPr>
                <w:highlight w:val="none"/>
              </w:rPr>
            </w:pPr>
            <w:r>
              <w:rPr>
                <w:rFonts w:hint="eastAsia"/>
                <w:highlight w:val="none"/>
              </w:rPr>
              <w:t>竞争性</w:t>
            </w:r>
            <w:r>
              <w:rPr>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rFonts w:hint="eastAsia"/>
                <w:highlight w:val="none"/>
              </w:rPr>
              <w:t>竞争性</w:t>
            </w:r>
            <w:r>
              <w:rPr>
                <w:highlight w:val="none"/>
              </w:rPr>
              <w:t>比选响应文件正本中法定代表人或授权代理人签署姓名齐全，符合</w:t>
            </w:r>
            <w:r>
              <w:rPr>
                <w:rFonts w:hint="eastAsia"/>
                <w:highlight w:val="none"/>
              </w:rPr>
              <w:t>比选</w:t>
            </w:r>
            <w:r>
              <w:rPr>
                <w:highlight w:val="none"/>
              </w:rP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rPr>
                <w:highlight w:val="none"/>
              </w:rPr>
            </w:pPr>
          </w:p>
        </w:tc>
        <w:tc>
          <w:tcPr>
            <w:tcW w:w="1124" w:type="dxa"/>
            <w:vMerge w:val="continue"/>
            <w:tcBorders>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right w:val="single" w:color="auto" w:sz="4" w:space="0"/>
            </w:tcBorders>
            <w:vAlign w:val="center"/>
          </w:tcPr>
          <w:p>
            <w:pPr>
              <w:spacing w:line="400" w:lineRule="exact"/>
              <w:jc w:val="center"/>
              <w:rPr>
                <w:highlight w:val="none"/>
              </w:rPr>
            </w:pPr>
            <w:r>
              <w:rPr>
                <w:highlight w:val="none"/>
              </w:rPr>
              <w:t>其它材料</w:t>
            </w:r>
          </w:p>
        </w:tc>
        <w:tc>
          <w:tcPr>
            <w:tcW w:w="5004" w:type="dxa"/>
            <w:tcBorders>
              <w:top w:val="single" w:color="auto" w:sz="4" w:space="0"/>
              <w:left w:val="single" w:color="auto" w:sz="4" w:space="0"/>
            </w:tcBorders>
            <w:vAlign w:val="center"/>
          </w:tcPr>
          <w:p>
            <w:pPr>
              <w:spacing w:line="400" w:lineRule="exact"/>
              <w:rPr>
                <w:highlight w:val="none"/>
              </w:rPr>
            </w:pPr>
            <w:r>
              <w:rPr>
                <w:highlight w:val="none"/>
              </w:rPr>
              <w:t>与</w:t>
            </w:r>
            <w:r>
              <w:rPr>
                <w:rFonts w:hint="eastAsia"/>
                <w:highlight w:val="none"/>
              </w:rPr>
              <w:t>采购人</w:t>
            </w:r>
            <w:r>
              <w:rPr>
                <w:highlight w:val="none"/>
              </w:rPr>
              <w:t>存在利害关系可能影响</w:t>
            </w:r>
            <w:r>
              <w:rPr>
                <w:rFonts w:hint="eastAsia"/>
                <w:highlight w:val="none"/>
              </w:rPr>
              <w:t>比选</w:t>
            </w:r>
            <w:r>
              <w:rPr>
                <w:highlight w:val="none"/>
              </w:rPr>
              <w:t>公正性的法人、其他组织或者个人，不得参加</w:t>
            </w:r>
            <w:r>
              <w:rPr>
                <w:rFonts w:hint="eastAsia"/>
                <w:highlight w:val="none"/>
              </w:rPr>
              <w:t>报价</w:t>
            </w:r>
            <w:r>
              <w:rPr>
                <w:highlight w:val="none"/>
              </w:rPr>
              <w:t>；单位负责人为同一人或者存在控股、管理关系的不同单位，不得同时参加</w:t>
            </w:r>
            <w:r>
              <w:rPr>
                <w:rFonts w:hint="eastAsia"/>
                <w:highlight w:val="none"/>
              </w:rPr>
              <w:t>报价</w:t>
            </w:r>
            <w:r>
              <w:rPr>
                <w:highlight w:val="none"/>
              </w:rPr>
              <w:t>，否则相关</w:t>
            </w:r>
            <w:r>
              <w:rPr>
                <w:rFonts w:hint="eastAsia"/>
                <w:highlight w:val="none"/>
              </w:rPr>
              <w:t>报价</w:t>
            </w:r>
            <w:r>
              <w:rPr>
                <w:highlight w:val="none"/>
              </w:rP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营业执照</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11</w:t>
            </w:r>
            <w:r>
              <w:rPr>
                <w:highlight w:val="none"/>
              </w:rP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资质要求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财务要求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业绩要求</w:t>
            </w:r>
          </w:p>
        </w:tc>
        <w:tc>
          <w:tcPr>
            <w:tcW w:w="5004" w:type="dxa"/>
            <w:tcBorders>
              <w:top w:val="single" w:color="auto" w:sz="4" w:space="0"/>
              <w:left w:val="single" w:color="auto" w:sz="4" w:space="0"/>
              <w:bottom w:val="single" w:color="auto" w:sz="4" w:space="0"/>
            </w:tcBorders>
          </w:tcPr>
          <w:p>
            <w:pPr>
              <w:spacing w:line="400" w:lineRule="exact"/>
              <w:rPr>
                <w:highlight w:val="none"/>
              </w:rPr>
            </w:pPr>
            <w:r>
              <w:rPr>
                <w:highlight w:val="none"/>
              </w:rPr>
              <w:t>符合第二章“</w:t>
            </w:r>
            <w:r>
              <w:rPr>
                <w:rFonts w:hint="eastAsia"/>
                <w:highlight w:val="none"/>
              </w:rPr>
              <w:t>报价</w:t>
            </w:r>
            <w:r>
              <w:rPr>
                <w:highlight w:val="none"/>
              </w:rPr>
              <w:t>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信誉要求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人须知”前附表附录4的规定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ascii="宋体" w:hAnsi="宋体" w:cs="宋体"/>
                <w:szCs w:val="21"/>
                <w:highlight w:val="none"/>
              </w:rPr>
              <w:t>项目主要人员</w:t>
            </w:r>
            <w:r>
              <w:rPr>
                <w:highlight w:val="none"/>
              </w:rPr>
              <w:t>最低要求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人须知”前附表附录5的规定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highlight w:val="none"/>
              </w:rPr>
            </w:pPr>
            <w:r>
              <w:rPr>
                <w:kern w:val="1"/>
                <w:highlight w:val="none"/>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w:t>
            </w:r>
            <w:r>
              <w:rPr>
                <w:rFonts w:hint="eastAsia"/>
                <w:highlight w:val="none"/>
                <w:lang w:val="en-US" w:eastAsia="zh-CN"/>
              </w:rPr>
              <w:t>6</w:t>
            </w:r>
            <w:r>
              <w:rPr>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投标内容</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7</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rPr>
                <w:highlight w:val="none"/>
              </w:rPr>
            </w:pPr>
          </w:p>
        </w:tc>
        <w:tc>
          <w:tcPr>
            <w:tcW w:w="1124" w:type="dxa"/>
            <w:vMerge w:val="continue"/>
            <w:tcBorders>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报价</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符合比选文件给出的范围及数量，且报价不得超过</w:t>
            </w:r>
            <w:r>
              <w:rPr>
                <w:rFonts w:hint="eastAsia"/>
                <w:highlight w:val="none"/>
              </w:rPr>
              <w:t>采购人</w:t>
            </w:r>
            <w:r>
              <w:rPr>
                <w:highlight w:val="none"/>
              </w:rPr>
              <w:t>公布的最高限价，但也不得低于</w:t>
            </w:r>
            <w:r>
              <w:rPr>
                <w:rFonts w:hint="eastAsia"/>
                <w:highlight w:val="none"/>
              </w:rPr>
              <w:t>报价</w:t>
            </w:r>
            <w:r>
              <w:rPr>
                <w:highlight w:val="none"/>
              </w:rP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工期</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8</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施工地点</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3</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质量标准</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9</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安全目标</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10</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rPr>
                <w:highlight w:val="none"/>
              </w:rPr>
            </w:pPr>
            <w:r>
              <w:rPr>
                <w:highlight w:val="none"/>
              </w:rPr>
              <w:t>补充细化：</w:t>
            </w:r>
          </w:p>
          <w:p>
            <w:pPr>
              <w:spacing w:line="400" w:lineRule="exact"/>
              <w:ind w:firstLine="420" w:firstLineChars="200"/>
              <w:rPr>
                <w:highlight w:val="none"/>
              </w:rPr>
            </w:pPr>
            <w:r>
              <w:rPr>
                <w:highlight w:val="none"/>
              </w:rPr>
              <w:t>本项目评标采用经评审的</w:t>
            </w:r>
            <w:r>
              <w:rPr>
                <w:rFonts w:hint="eastAsia"/>
                <w:highlight w:val="none"/>
                <w:lang w:val="en-US" w:eastAsia="zh-CN"/>
              </w:rPr>
              <w:t>最低投标价</w:t>
            </w:r>
            <w:r>
              <w:rPr>
                <w:highlight w:val="none"/>
              </w:rPr>
              <w:t>法，对通过初步评审、详细评审的</w:t>
            </w:r>
            <w:r>
              <w:rPr>
                <w:rFonts w:hint="eastAsia"/>
                <w:highlight w:val="none"/>
              </w:rPr>
              <w:t>报价</w:t>
            </w:r>
            <w:r>
              <w:rPr>
                <w:highlight w:val="none"/>
              </w:rPr>
              <w:t>人按照</w:t>
            </w:r>
            <w:r>
              <w:rPr>
                <w:rFonts w:hint="eastAsia"/>
                <w:highlight w:val="none"/>
              </w:rPr>
              <w:t>报</w:t>
            </w:r>
            <w:r>
              <w:rPr>
                <w:highlight w:val="none"/>
              </w:rPr>
              <w:t>价从低到高的先后顺序，推荐</w:t>
            </w:r>
            <w:r>
              <w:rPr>
                <w:rFonts w:hint="eastAsia"/>
                <w:highlight w:val="none"/>
              </w:rPr>
              <w:t>1</w:t>
            </w:r>
            <w:r>
              <w:rPr>
                <w:highlight w:val="none"/>
              </w:rPr>
              <w:t>名中标候选人。</w:t>
            </w:r>
          </w:p>
        </w:tc>
      </w:tr>
    </w:tbl>
    <w:p>
      <w:pPr>
        <w:rPr>
          <w:rFonts w:ascii="宋体" w:hAnsi="宋体" w:cs="宋体"/>
          <w:highlight w:val="none"/>
        </w:rPr>
      </w:pPr>
    </w:p>
    <w:p>
      <w:pPr>
        <w:pStyle w:val="2"/>
        <w:jc w:val="center"/>
        <w:rPr>
          <w:highlight w:val="none"/>
        </w:rPr>
      </w:pPr>
      <w:r>
        <w:rPr>
          <w:rFonts w:hint="eastAsia"/>
          <w:highlight w:val="none"/>
        </w:rPr>
        <w:br w:type="page"/>
      </w:r>
      <w:bookmarkStart w:id="153" w:name="_Toc13787"/>
      <w:bookmarkStart w:id="154" w:name="_Toc9938"/>
      <w:r>
        <w:rPr>
          <w:rStyle w:val="79"/>
          <w:rFonts w:hint="eastAsia"/>
          <w:b/>
          <w:bCs/>
          <w:highlight w:val="none"/>
        </w:rPr>
        <w:t>第四章 报价说明</w:t>
      </w:r>
      <w:bookmarkEnd w:id="153"/>
      <w:bookmarkEnd w:id="154"/>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（1）本次报价须为人民币报价，包含但不限于为实施和完成</w:t>
      </w:r>
      <w:r>
        <w:rPr>
          <w:rFonts w:hint="eastAsia" w:ascii="宋体" w:hAnsi="宋体" w:cs="宋体"/>
          <w:b w:val="0"/>
          <w:bCs w:val="0"/>
          <w:sz w:val="21"/>
          <w:szCs w:val="21"/>
          <w:highlight w:val="none"/>
          <w:lang w:val="en-US" w:eastAsia="zh-CN"/>
        </w:rPr>
        <w:t>本次采购服务</w:t>
      </w:r>
      <w:r>
        <w:rPr>
          <w:rFonts w:hint="eastAsia" w:ascii="宋体" w:hAnsi="宋体" w:cs="宋体"/>
          <w:b w:val="0"/>
          <w:bCs w:val="0"/>
          <w:sz w:val="21"/>
          <w:szCs w:val="21"/>
          <w:highlight w:val="none"/>
        </w:rPr>
        <w:t>工程量所需的劳务、设备材料、机械、质检（自检）、安装及调试、安全文明施工费、交通组织、运输、竣工资料费、过路过桥费、缺陷修复、维修材料、管理、保险、安全设施、税费、利润等全部费用，以及合同明示或暗示的所有责任、义务和一般风险。但人为损坏或不可抗力因素的损坏不在合同费用之列，服务另行收费。</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（2）报价人在分项报价表中填报的综合单价承包到现场所产生的路费、差旅费等。</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（3）报价有算术错误的，评审小组按以下原则对报价进行修正，修正的价格经报价人书面确认后具有约束力。报价人不接受修正价格的，其报价应当予以否决。</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①竞争性比选响应文件中的大写金额与小写金额不一致的，以大写金额为准；</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②总价金额与依据单价计算出的结果不一致的，以单价金额为准修正总价，但单价金额小数点有明显错误的除外。</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（4）实际采购数量以采购人最终需求数量为准，报价清单中单价在合同执行过程中保持固定不变，报价人不得以实际采购数量的变化提出调整合同单价。</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（5）报价清单中各项金额均以人民币（元）结算。</w:t>
      </w:r>
    </w:p>
    <w:p>
      <w:pPr>
        <w:pStyle w:val="2"/>
        <w:rPr>
          <w:highlight w:val="none"/>
        </w:rPr>
        <w:sectPr>
          <w:footerReference r:id="rId9" w:type="default"/>
          <w:pgSz w:w="11906" w:h="16838"/>
          <w:pgMar w:top="1440" w:right="1800" w:bottom="1440" w:left="1800" w:header="851" w:footer="992" w:gutter="0"/>
          <w:cols w:space="720" w:num="1"/>
          <w:titlePg/>
          <w:docGrid w:type="lines" w:linePitch="312" w:charSpace="0"/>
        </w:sectPr>
      </w:pPr>
      <w:r>
        <w:rPr>
          <w:rFonts w:hint="eastAsia" w:ascii="宋体" w:hAnsi="宋体" w:cs="宋体"/>
          <w:b w:val="0"/>
          <w:bCs w:val="0"/>
          <w:sz w:val="21"/>
          <w:szCs w:val="21"/>
          <w:highlight w:val="none"/>
        </w:rPr>
        <w:t>（6）需缴纳的一切税费均由报价单位承担，所有税费均由服务单位自行缴纳；</w:t>
      </w:r>
    </w:p>
    <w:p>
      <w:pPr>
        <w:spacing w:line="400" w:lineRule="exact"/>
        <w:rPr>
          <w:rFonts w:ascii="宋体" w:hAnsi="宋体" w:cs="宋体"/>
          <w:szCs w:val="21"/>
          <w:highlight w:val="none"/>
        </w:rPr>
      </w:pPr>
      <w:bookmarkStart w:id="155" w:name="_Toc144974855"/>
      <w:bookmarkStart w:id="156" w:name="_Toc246996354"/>
      <w:bookmarkStart w:id="157" w:name="_Toc152042575"/>
      <w:bookmarkStart w:id="158" w:name="_Toc246997097"/>
      <w:bookmarkStart w:id="159" w:name="_Toc247085872"/>
      <w:bookmarkStart w:id="160" w:name="_Toc179632806"/>
      <w:bookmarkStart w:id="161" w:name="_Toc152045786"/>
    </w:p>
    <w:p>
      <w:pPr>
        <w:pStyle w:val="3"/>
        <w:spacing w:before="0" w:after="0" w:line="360" w:lineRule="auto"/>
        <w:jc w:val="center"/>
        <w:rPr>
          <w:rFonts w:ascii="宋体" w:hAnsi="宋体" w:cs="宋体"/>
          <w:highlight w:val="none"/>
        </w:rPr>
      </w:pPr>
      <w:bookmarkStart w:id="162" w:name="_Toc144974834"/>
      <w:bookmarkStart w:id="163" w:name="_Toc179632789"/>
      <w:bookmarkStart w:id="164" w:name="_Toc2000409"/>
      <w:bookmarkStart w:id="165" w:name="_Toc8745"/>
      <w:bookmarkStart w:id="166" w:name="_Toc246997083"/>
      <w:bookmarkStart w:id="167" w:name="_Toc514858705"/>
      <w:bookmarkStart w:id="168" w:name="_Toc152042554"/>
      <w:bookmarkStart w:id="169" w:name="_Toc246996340"/>
      <w:bookmarkStart w:id="170" w:name="_Toc24503"/>
      <w:bookmarkStart w:id="171" w:name="_Toc247085855"/>
      <w:bookmarkStart w:id="172" w:name="_Toc152045772"/>
      <w:r>
        <w:rPr>
          <w:rFonts w:hint="eastAsia" w:ascii="宋体" w:hAnsi="宋体" w:cs="宋体"/>
          <w:highlight w:val="none"/>
        </w:rPr>
        <w:t>第五章  工程量清单</w:t>
      </w:r>
      <w:bookmarkEnd w:id="162"/>
      <w:bookmarkEnd w:id="163"/>
      <w:bookmarkEnd w:id="164"/>
      <w:bookmarkEnd w:id="165"/>
      <w:bookmarkEnd w:id="166"/>
      <w:bookmarkEnd w:id="167"/>
      <w:bookmarkEnd w:id="168"/>
      <w:bookmarkEnd w:id="169"/>
      <w:bookmarkEnd w:id="170"/>
      <w:bookmarkEnd w:id="171"/>
      <w:bookmarkEnd w:id="172"/>
    </w:p>
    <w:p>
      <w:pPr>
        <w:ind w:firstLine="420"/>
        <w:jc w:val="left"/>
        <w:rPr>
          <w:rFonts w:ascii="宋体" w:hAnsi="宋体" w:cs="宋体"/>
          <w:b/>
          <w:highlight w:val="none"/>
        </w:rPr>
      </w:pPr>
      <w:bookmarkStart w:id="173" w:name="_Toc247085866"/>
      <w:bookmarkStart w:id="174" w:name="_Toc246996350"/>
      <w:bookmarkStart w:id="175" w:name="_Toc152045782"/>
      <w:bookmarkStart w:id="176" w:name="_Toc247096438"/>
      <w:bookmarkStart w:id="177" w:name="_Toc152042571"/>
      <w:bookmarkStart w:id="178" w:name="_Toc246997093"/>
      <w:bookmarkStart w:id="179" w:name="_Toc179632800"/>
      <w:bookmarkStart w:id="180" w:name="_Toc144974851"/>
    </w:p>
    <w:p>
      <w:pPr>
        <w:jc w:val="center"/>
        <w:rPr>
          <w:rFonts w:ascii="宋体" w:hAnsi="宋体" w:cs="宋体"/>
          <w:b/>
          <w:highlight w:val="none"/>
        </w:rPr>
      </w:pPr>
      <w:r>
        <w:rPr>
          <w:rFonts w:hint="eastAsia" w:ascii="宋体" w:hAnsi="宋体" w:cs="宋体"/>
          <w:b/>
          <w:kern w:val="0"/>
          <w:sz w:val="24"/>
          <w:highlight w:val="none"/>
          <w:lang w:val="en-US" w:eastAsia="zh-CN"/>
        </w:rPr>
        <w:t>无</w:t>
      </w:r>
      <w:r>
        <w:rPr>
          <w:rFonts w:hint="eastAsia" w:ascii="宋体" w:hAnsi="宋体" w:cs="宋体"/>
          <w:b/>
          <w:kern w:val="0"/>
          <w:sz w:val="24"/>
          <w:highlight w:val="none"/>
        </w:rPr>
        <w:t>。</w:t>
      </w: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rPr>
          <w:rFonts w:ascii="宋体" w:hAnsi="宋体" w:cs="宋体"/>
          <w:b/>
          <w:highlight w:val="none"/>
        </w:rPr>
      </w:pPr>
    </w:p>
    <w:p>
      <w:pPr>
        <w:jc w:val="center"/>
        <w:rPr>
          <w:rFonts w:ascii="宋体" w:hAnsi="宋体" w:cs="宋体"/>
          <w:b/>
          <w:highlight w:val="none"/>
        </w:rPr>
        <w:sectPr>
          <w:pgSz w:w="11906" w:h="16838"/>
          <w:pgMar w:top="1440" w:right="1800" w:bottom="1440" w:left="1800" w:header="851" w:footer="992" w:gutter="0"/>
          <w:cols w:space="720" w:num="1"/>
          <w:titlePg/>
          <w:docGrid w:type="lines" w:linePitch="312" w:charSpace="0"/>
        </w:sectPr>
      </w:pPr>
    </w:p>
    <w:p>
      <w:pPr>
        <w:rPr>
          <w:rFonts w:ascii="宋体" w:hAnsi="宋体" w:cs="宋体"/>
          <w:b/>
          <w:highlight w:val="none"/>
        </w:rPr>
      </w:pPr>
    </w:p>
    <w:p>
      <w:pPr>
        <w:jc w:val="center"/>
        <w:rPr>
          <w:rFonts w:ascii="宋体" w:hAnsi="宋体" w:cs="宋体"/>
          <w:b/>
          <w:highlight w:val="none"/>
        </w:rPr>
      </w:pPr>
    </w:p>
    <w:p>
      <w:pPr>
        <w:pStyle w:val="3"/>
        <w:spacing w:before="0" w:after="0" w:line="360" w:lineRule="auto"/>
        <w:jc w:val="center"/>
        <w:rPr>
          <w:rFonts w:ascii="宋体" w:hAnsi="宋体" w:cs="宋体"/>
          <w:highlight w:val="none"/>
        </w:rPr>
      </w:pPr>
      <w:bookmarkStart w:id="181" w:name="_Toc447827048"/>
      <w:bookmarkStart w:id="182" w:name="_Toc513633963"/>
      <w:bookmarkStart w:id="183" w:name="_Toc12440"/>
      <w:bookmarkStart w:id="184" w:name="_Toc3008"/>
      <w:bookmarkStart w:id="185" w:name="_Toc503951042"/>
      <w:bookmarkStart w:id="186" w:name="_Toc2000410"/>
      <w:bookmarkStart w:id="187" w:name="_Toc514858706"/>
      <w:r>
        <w:rPr>
          <w:rFonts w:hint="eastAsia" w:ascii="宋体" w:hAnsi="宋体" w:cs="宋体"/>
          <w:highlight w:val="none"/>
        </w:rPr>
        <w:t>第六章  图  纸</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pPr>
        <w:jc w:val="center"/>
        <w:rPr>
          <w:rFonts w:ascii="宋体" w:hAnsi="宋体" w:cs="宋体"/>
          <w:b/>
          <w:highlight w:val="none"/>
        </w:rPr>
      </w:pPr>
      <w:r>
        <w:rPr>
          <w:rFonts w:hint="eastAsia" w:ascii="宋体" w:hAnsi="宋体" w:cs="宋体"/>
          <w:b/>
          <w:kern w:val="0"/>
          <w:sz w:val="24"/>
          <w:highlight w:val="none"/>
          <w:lang w:eastAsia="zh-CN"/>
        </w:rPr>
        <w:t>无</w:t>
      </w:r>
      <w:r>
        <w:rPr>
          <w:rFonts w:hint="eastAsia" w:ascii="宋体" w:hAnsi="宋体" w:cs="宋体"/>
          <w:b/>
          <w:kern w:val="0"/>
          <w:sz w:val="24"/>
          <w:highlight w:val="none"/>
        </w:rPr>
        <w:t>。</w:t>
      </w:r>
    </w:p>
    <w:p>
      <w:pPr>
        <w:spacing w:line="400" w:lineRule="exact"/>
        <w:rPr>
          <w:rFonts w:ascii="宋体" w:hAnsi="宋体" w:cs="宋体"/>
          <w:highlight w:val="none"/>
        </w:rPr>
      </w:pPr>
      <w:r>
        <w:rPr>
          <w:rFonts w:hint="eastAsia" w:ascii="宋体" w:hAnsi="宋体" w:cs="宋体"/>
          <w:highlight w:val="none"/>
        </w:rPr>
        <w:br w:type="page"/>
      </w:r>
      <w:bookmarkStart w:id="188" w:name="_Toc152045785"/>
      <w:bookmarkStart w:id="189" w:name="_Toc152042574"/>
      <w:bookmarkStart w:id="190" w:name="_Toc144974854"/>
    </w:p>
    <w:p>
      <w:pPr>
        <w:pStyle w:val="3"/>
        <w:spacing w:before="0" w:after="0" w:line="360" w:lineRule="auto"/>
        <w:jc w:val="center"/>
        <w:rPr>
          <w:rFonts w:ascii="宋体" w:hAnsi="宋体" w:cs="宋体"/>
          <w:highlight w:val="none"/>
        </w:rPr>
      </w:pPr>
      <w:bookmarkStart w:id="191" w:name="_Toc247085870"/>
      <w:bookmarkStart w:id="192" w:name="_Toc179632804"/>
      <w:bookmarkStart w:id="193" w:name="_Toc246997096"/>
      <w:bookmarkStart w:id="194" w:name="_Toc514858707"/>
      <w:bookmarkStart w:id="195" w:name="_Toc2000411"/>
      <w:bookmarkStart w:id="196" w:name="_Toc246996353"/>
      <w:bookmarkStart w:id="197" w:name="_Toc513633964"/>
      <w:bookmarkStart w:id="198" w:name="_Toc2585"/>
      <w:bookmarkStart w:id="199" w:name="_Toc503951043"/>
      <w:bookmarkStart w:id="200" w:name="_Toc10887"/>
      <w:bookmarkStart w:id="201" w:name="_Toc447827049"/>
      <w:r>
        <w:rPr>
          <w:rFonts w:hint="eastAsia" w:ascii="宋体" w:hAnsi="宋体" w:cs="宋体"/>
          <w:highlight w:val="none"/>
        </w:rPr>
        <w:t>第七章  技术标准和工作要求</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bookmarkEnd w:id="155"/>
    <w:bookmarkEnd w:id="156"/>
    <w:bookmarkEnd w:id="157"/>
    <w:bookmarkEnd w:id="158"/>
    <w:bookmarkEnd w:id="159"/>
    <w:bookmarkEnd w:id="160"/>
    <w:bookmarkEnd w:id="161"/>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sz w:val="24"/>
          <w:szCs w:val="24"/>
          <w:highlight w:val="none"/>
        </w:rPr>
      </w:pPr>
      <w:bookmarkStart w:id="202" w:name="_Toc514858708"/>
      <w:bookmarkStart w:id="203" w:name="_Toc514430114"/>
      <w:bookmarkStart w:id="204" w:name="_Toc13280"/>
      <w:bookmarkStart w:id="205" w:name="_Toc2000412"/>
      <w:bookmarkStart w:id="206" w:name="_Toc12089"/>
      <w:bookmarkStart w:id="207" w:name="_Toc152045787"/>
      <w:bookmarkStart w:id="208" w:name="_Toc246997098"/>
      <w:bookmarkStart w:id="209" w:name="_Toc152042576"/>
      <w:bookmarkStart w:id="210" w:name="_Toc179632807"/>
      <w:bookmarkStart w:id="211" w:name="_Toc144974856"/>
      <w:bookmarkStart w:id="212" w:name="_Toc247085873"/>
      <w:bookmarkStart w:id="213" w:name="_Toc246996355"/>
      <w:bookmarkStart w:id="214" w:name="_Toc507320039"/>
      <w:r>
        <w:rPr>
          <w:rFonts w:hint="eastAsia" w:ascii="宋体" w:hAnsi="宋体" w:eastAsia="宋体" w:cs="宋体"/>
          <w:b/>
          <w:sz w:val="24"/>
          <w:szCs w:val="24"/>
          <w:highlight w:val="none"/>
        </w:rPr>
        <w:t>一、实施标准：</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根据《中国气象局第8号令》、《重庆市防御雷电灾害管理办法》、《建筑物防雷设计规范》（GB 50057）、《建筑防雷检测技术规范》（DB 50/213-2006）、《建筑物防雷装置检测技术规范》（GB／T 21431—2015）、《建筑电气工程质量验收规范》（GB50303-2010）、《建筑物电子信息系统防雷技术规范》（GB 50343-2004）。</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二、检测内容：</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测试监控中心、区域监控中心防雷设施安全性能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含监控中心机房外，站房直击雷防护系统，包括引下线、接地端子等的接地电阻，机房内操作台、监控屏、机柜、配电柜（箱）、UPS、静电地板、等电位连接系统等防雷设施。</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收费站防雷设施安全性能，含收费站棚直击雷防护系统包括引下线、接地端子的接地电阻，收费站棚以下设备以车道为基准，每个车道检测收费亭外壳、监控杆、栏杆机外壳、费额显示器外壳、取卡机外壳、LED灯杆、进出站广场球型监控杆的接地电阻。</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三、检测明细：</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1、收费站：</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（1）收费站棚：四角引下线，引下线连接的接地端子，依据《建筑物防雷设计规范》（GB 50057）；</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（2）车道：每条车道收费亭外壳接地，</w:t>
      </w:r>
      <w:r>
        <w:rPr>
          <w:rFonts w:hint="eastAsia" w:ascii="宋体" w:hAnsi="宋体" w:eastAsia="宋体" w:cs="宋体"/>
          <w:color w:val="000000"/>
          <w:sz w:val="24"/>
          <w:szCs w:val="24"/>
          <w:highlight w:val="none"/>
        </w:rPr>
        <w:t>栏杆机，监控杆，费额显示器外壳接地（若有），进出站广场球型监控杆，LED灯杆，实际检测点数以车道数量为准，</w:t>
      </w:r>
      <w:r>
        <w:rPr>
          <w:rFonts w:hint="eastAsia" w:ascii="宋体" w:hAnsi="宋体" w:eastAsia="宋体" w:cs="宋体"/>
          <w:sz w:val="24"/>
          <w:szCs w:val="24"/>
          <w:highlight w:val="none"/>
        </w:rPr>
        <w:t>依据</w:t>
      </w:r>
      <w:r>
        <w:rPr>
          <w:rFonts w:hint="eastAsia" w:ascii="宋体" w:hAnsi="宋体" w:eastAsia="宋体" w:cs="宋体"/>
          <w:color w:val="000000"/>
          <w:sz w:val="24"/>
          <w:szCs w:val="24"/>
          <w:highlight w:val="none"/>
        </w:rPr>
        <w:t>《建筑物防雷设计规范》（GB 50057）、《建筑物防雷装置检测技术规范》（GB／T 21431—2015）；</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2、配电间：</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(1)站房：</w:t>
      </w:r>
      <w:r>
        <w:rPr>
          <w:rFonts w:hint="eastAsia" w:ascii="宋体" w:hAnsi="宋体" w:eastAsia="宋体" w:cs="宋体"/>
          <w:sz w:val="24"/>
          <w:szCs w:val="24"/>
          <w:highlight w:val="none"/>
        </w:rPr>
        <w:t>四角引下线，引下线连接的接地端子，依据《建筑物防雷设计规范》（GB 50057）；</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（2）设备：变压器外壳、配电柜外壳、发电机外壳、配电箱地排、等电位连接系统1套（若有），实际检测点数以设备数量，等电位连接带数量为准，检测以设备状况进行抽查或全面检测。</w:t>
      </w:r>
      <w:r>
        <w:rPr>
          <w:rFonts w:hint="eastAsia" w:ascii="宋体" w:hAnsi="宋体" w:eastAsia="宋体" w:cs="宋体"/>
          <w:sz w:val="24"/>
          <w:szCs w:val="24"/>
          <w:highlight w:val="none"/>
        </w:rPr>
        <w:t>《建筑物防雷装置检测技术规范》（GB／T 21431—2015）、《建筑物电子信息系统防雷技术规范》（GB 50343-2004）。</w:t>
      </w:r>
    </w:p>
    <w:p>
      <w:pPr>
        <w:keepNext w:val="0"/>
        <w:keepLines w:val="0"/>
        <w:pageBreakBefore w:val="0"/>
        <w:widowControl w:val="0"/>
        <w:tabs>
          <w:tab w:val="left" w:pos="405"/>
        </w:tabs>
        <w:kinsoku/>
        <w:wordWrap/>
        <w:overflowPunct/>
        <w:topLinePunct w:val="0"/>
        <w:autoSpaceDE/>
        <w:autoSpaceDN/>
        <w:bidi w:val="0"/>
        <w:adjustRightInd/>
        <w:snapToGrid/>
        <w:spacing w:line="52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3、监控中心</w:t>
      </w:r>
    </w:p>
    <w:p>
      <w:pPr>
        <w:keepNext w:val="0"/>
        <w:keepLines w:val="0"/>
        <w:pageBreakBefore w:val="0"/>
        <w:widowControl w:val="0"/>
        <w:numPr>
          <w:ilvl w:val="0"/>
          <w:numId w:val="2"/>
        </w:numPr>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站房：</w:t>
      </w:r>
      <w:r>
        <w:rPr>
          <w:rFonts w:hint="eastAsia" w:ascii="宋体" w:hAnsi="宋体" w:eastAsia="宋体" w:cs="宋体"/>
          <w:sz w:val="24"/>
          <w:szCs w:val="24"/>
          <w:highlight w:val="none"/>
        </w:rPr>
        <w:t>四角引下线，引下线连接的接地端子，依据《建筑物防雷设计规范》（GB 50057）；</w:t>
      </w:r>
    </w:p>
    <w:p>
      <w:pPr>
        <w:keepNext w:val="0"/>
        <w:keepLines w:val="0"/>
        <w:pageBreakBefore w:val="0"/>
        <w:widowControl w:val="0"/>
        <w:numPr>
          <w:ilvl w:val="0"/>
          <w:numId w:val="2"/>
        </w:numPr>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监控室：大屏接地，依据</w:t>
      </w:r>
      <w:r>
        <w:rPr>
          <w:rFonts w:hint="eastAsia" w:ascii="宋体" w:hAnsi="宋体" w:eastAsia="宋体" w:cs="宋体"/>
          <w:color w:val="000000"/>
          <w:sz w:val="24"/>
          <w:szCs w:val="24"/>
          <w:highlight w:val="none"/>
        </w:rPr>
        <w:t>《建筑物防雷设计规范》（GB 50057）、《建筑物防雷装置检测技术规范》（GB／T 21431—2015）；</w:t>
      </w:r>
    </w:p>
    <w:p>
      <w:pPr>
        <w:keepNext w:val="0"/>
        <w:keepLines w:val="0"/>
        <w:pageBreakBefore w:val="0"/>
        <w:widowControl w:val="0"/>
        <w:numPr>
          <w:ilvl w:val="0"/>
          <w:numId w:val="2"/>
        </w:numPr>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监控机房：机柜接地，以机房实际机柜数量为准，等电位连接系统记，静电地板接地记，配电箱、SPD；</w:t>
      </w:r>
      <w:r>
        <w:rPr>
          <w:rFonts w:hint="eastAsia" w:ascii="宋体" w:hAnsi="宋体" w:eastAsia="宋体" w:cs="宋体"/>
          <w:sz w:val="24"/>
          <w:szCs w:val="24"/>
          <w:highlight w:val="none"/>
        </w:rPr>
        <w:t>《建筑物防雷装置检测技术规范</w:t>
      </w:r>
      <w:bookmarkStart w:id="269" w:name="_GoBack"/>
      <w:bookmarkEnd w:id="269"/>
      <w:r>
        <w:rPr>
          <w:rFonts w:hint="eastAsia" w:ascii="宋体" w:hAnsi="宋体" w:eastAsia="宋体" w:cs="宋体"/>
          <w:sz w:val="24"/>
          <w:szCs w:val="24"/>
          <w:highlight w:val="none"/>
        </w:rPr>
        <w:t>》（GB／T 21431—2015）、《建筑物电子信息系统防雷技术规范》（GB 50343-2004）。</w:t>
      </w:r>
    </w:p>
    <w:p>
      <w:pPr>
        <w:keepNext w:val="0"/>
        <w:keepLines w:val="0"/>
        <w:pageBreakBefore w:val="0"/>
        <w:widowControl w:val="0"/>
        <w:numPr>
          <w:ilvl w:val="0"/>
          <w:numId w:val="2"/>
        </w:numPr>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UPS机房：机柜接地，以机房实际机柜数量为准，等电位连接系统记2套，静电地板接地记，配电箱；</w:t>
      </w:r>
    </w:p>
    <w:p>
      <w:pPr>
        <w:keepNext w:val="0"/>
        <w:keepLines w:val="0"/>
        <w:pageBreakBefore w:val="0"/>
        <w:widowControl w:val="0"/>
        <w:numPr>
          <w:ilvl w:val="0"/>
          <w:numId w:val="2"/>
        </w:numPr>
        <w:tabs>
          <w:tab w:val="left" w:pos="405"/>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b w:val="0"/>
          <w:bCs w:val="0"/>
          <w:color w:val="000000"/>
          <w:kern w:val="2"/>
          <w:sz w:val="24"/>
          <w:szCs w:val="24"/>
          <w:highlight w:val="none"/>
          <w:lang w:val="en-US" w:eastAsia="zh-CN" w:bidi="ar-SA"/>
        </w:rPr>
        <w:t>区域监控中心与监控中心区别在于区域监控中心大屏为3面，机柜以实际数量为准。</w:t>
      </w:r>
    </w:p>
    <w:p>
      <w:pPr>
        <w:pStyle w:val="3"/>
        <w:numPr>
          <w:ilvl w:val="0"/>
          <w:numId w:val="3"/>
        </w:numPr>
        <w:spacing w:before="0" w:after="0" w:line="360" w:lineRule="auto"/>
        <w:jc w:val="left"/>
        <w:rPr>
          <w:rFonts w:hint="eastAsia" w:ascii="宋体" w:hAnsi="宋体" w:eastAsia="宋体" w:cs="宋体"/>
          <w:b w:val="0"/>
          <w:bCs w:val="0"/>
          <w:color w:val="000000"/>
          <w:kern w:val="2"/>
          <w:sz w:val="24"/>
          <w:szCs w:val="24"/>
          <w:highlight w:val="none"/>
          <w:lang w:val="en-US" w:eastAsia="zh-CN" w:bidi="ar-SA"/>
        </w:rPr>
      </w:pPr>
      <w:r>
        <w:rPr>
          <w:rFonts w:hint="eastAsia" w:ascii="宋体" w:hAnsi="宋体" w:eastAsia="宋体" w:cs="宋体"/>
          <w:b w:val="0"/>
          <w:bCs w:val="0"/>
          <w:color w:val="000000"/>
          <w:kern w:val="2"/>
          <w:sz w:val="24"/>
          <w:szCs w:val="24"/>
          <w:highlight w:val="none"/>
          <w:lang w:val="en-US" w:eastAsia="zh-CN" w:bidi="ar-SA"/>
        </w:rPr>
        <w:t>ETC门架系统</w:t>
      </w:r>
    </w:p>
    <w:p>
      <w:pPr>
        <w:keepNext w:val="0"/>
        <w:keepLines w:val="0"/>
        <w:pageBreakBefore w:val="0"/>
        <w:widowControl w:val="0"/>
        <w:numPr>
          <w:ilvl w:val="0"/>
          <w:numId w:val="0"/>
        </w:numPr>
        <w:tabs>
          <w:tab w:val="left" w:pos="405"/>
        </w:tabs>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000000"/>
          <w:kern w:val="2"/>
          <w:sz w:val="24"/>
          <w:szCs w:val="24"/>
          <w:highlight w:val="none"/>
          <w:lang w:val="en-US" w:eastAsia="zh-CN" w:bidi="ar-SA"/>
        </w:rPr>
      </w:pPr>
      <w:r>
        <w:rPr>
          <w:rFonts w:hint="eastAsia" w:ascii="宋体" w:hAnsi="宋体" w:eastAsia="宋体" w:cs="宋体"/>
          <w:b w:val="0"/>
          <w:bCs w:val="0"/>
          <w:color w:val="000000"/>
          <w:kern w:val="2"/>
          <w:sz w:val="24"/>
          <w:szCs w:val="24"/>
          <w:highlight w:val="none"/>
          <w:lang w:val="en-US" w:eastAsia="zh-CN" w:bidi="ar-SA"/>
        </w:rPr>
        <w:t xml:space="preserve">    包含但不限于路段ETC门架设施的直击雷防护系统，包括引下线、接地端子、避雷针、避雷球等的接地电阻，空调外机、弱点设备架、弱点设备、配电箱体（接地设备）、门架钢柱、门架栏杆、门架爬梯、摄像头等设备的接地电阻。</w:t>
      </w:r>
    </w:p>
    <w:p>
      <w:pPr>
        <w:pStyle w:val="3"/>
        <w:numPr>
          <w:ilvl w:val="0"/>
          <w:numId w:val="0"/>
        </w:numPr>
        <w:spacing w:before="0" w:after="0" w:line="360" w:lineRule="auto"/>
        <w:jc w:val="left"/>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四、维护要求及标准</w:t>
      </w:r>
    </w:p>
    <w:p>
      <w:pPr>
        <w:pStyle w:val="3"/>
        <w:spacing w:before="0" w:after="0" w:line="360" w:lineRule="auto"/>
        <w:jc w:val="left"/>
        <w:rPr>
          <w:rFonts w:hint="eastAsia" w:ascii="宋体" w:hAnsi="宋体" w:eastAsia="宋体" w:cs="宋体"/>
          <w:b w:val="0"/>
          <w:bCs w:val="0"/>
          <w:color w:val="000000"/>
          <w:kern w:val="2"/>
          <w:sz w:val="24"/>
          <w:szCs w:val="24"/>
          <w:highlight w:val="none"/>
          <w:lang w:val="en-US" w:eastAsia="zh-CN" w:bidi="ar-SA"/>
        </w:rPr>
      </w:pPr>
      <w:r>
        <w:rPr>
          <w:rFonts w:hint="eastAsia" w:ascii="宋体" w:hAnsi="宋体" w:eastAsia="宋体" w:cs="宋体"/>
          <w:b w:val="0"/>
          <w:bCs w:val="0"/>
          <w:color w:val="000000"/>
          <w:kern w:val="2"/>
          <w:sz w:val="24"/>
          <w:szCs w:val="24"/>
          <w:highlight w:val="none"/>
          <w:lang w:val="en-US" w:eastAsia="zh-CN" w:bidi="ar-SA"/>
        </w:rPr>
        <w:t xml:space="preserve">    完成工程量清单的中全部位置的防雷检测工作，并出具“重庆气象局”认可的检测报告。检测单位应有具备“重庆地区雷电防护装置检测资质”。</w:t>
      </w:r>
    </w:p>
    <w:p>
      <w:pPr>
        <w:pStyle w:val="3"/>
        <w:spacing w:before="0" w:after="0" w:line="360" w:lineRule="auto"/>
        <w:jc w:val="left"/>
        <w:rPr>
          <w:rFonts w:ascii="宋体" w:hAnsi="宋体" w:cs="宋体"/>
          <w:highlight w:val="none"/>
        </w:rPr>
      </w:pPr>
      <w:r>
        <w:rPr>
          <w:rFonts w:hint="eastAsia" w:ascii="宋体" w:hAnsi="宋体" w:cs="宋体"/>
          <w:highlight w:val="none"/>
        </w:rPr>
        <w:br w:type="page"/>
      </w:r>
      <w:r>
        <w:rPr>
          <w:rFonts w:hint="eastAsia" w:ascii="宋体" w:hAnsi="宋体" w:cs="宋体"/>
          <w:highlight w:val="none"/>
          <w:lang w:val="en-US" w:eastAsia="zh-CN"/>
        </w:rPr>
        <w:t xml:space="preserve">       </w:t>
      </w:r>
      <w:r>
        <w:rPr>
          <w:rFonts w:hint="eastAsia" w:ascii="宋体" w:hAnsi="宋体" w:cs="宋体"/>
          <w:highlight w:val="none"/>
        </w:rPr>
        <w:t>第八章  工程量清单计量规则</w:t>
      </w:r>
      <w:bookmarkEnd w:id="202"/>
      <w:bookmarkEnd w:id="203"/>
      <w:bookmarkEnd w:id="204"/>
      <w:bookmarkEnd w:id="205"/>
      <w:bookmarkEnd w:id="206"/>
    </w:p>
    <w:p>
      <w:pPr>
        <w:spacing w:line="360" w:lineRule="auto"/>
        <w:ind w:firstLine="420" w:firstLineChars="200"/>
        <w:rPr>
          <w:rFonts w:ascii="宋体" w:hAnsi="宋体" w:cs="宋体"/>
          <w:szCs w:val="21"/>
          <w:highlight w:val="none"/>
        </w:rPr>
      </w:pPr>
    </w:p>
    <w:p>
      <w:pPr>
        <w:pStyle w:val="3"/>
        <w:spacing w:before="0" w:after="0" w:line="360" w:lineRule="auto"/>
        <w:jc w:val="center"/>
        <w:rPr>
          <w:rFonts w:hint="eastAsia" w:ascii="宋体" w:hAnsi="宋体" w:cs="宋体"/>
          <w:sz w:val="24"/>
          <w:szCs w:val="24"/>
          <w:highlight w:val="none"/>
          <w:lang w:eastAsia="zh-CN"/>
        </w:rPr>
      </w:pPr>
      <w:r>
        <w:rPr>
          <w:rFonts w:hint="eastAsia" w:ascii="宋体" w:hAnsi="宋体" w:cs="宋体"/>
          <w:sz w:val="24"/>
          <w:szCs w:val="24"/>
          <w:highlight w:val="none"/>
          <w:lang w:eastAsia="zh-CN"/>
        </w:rPr>
        <w:t>无。</w:t>
      </w: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bookmarkStart w:id="215" w:name="_Toc513633965"/>
    </w:p>
    <w:p>
      <w:pPr>
        <w:rPr>
          <w:rFonts w:ascii="宋体" w:hAnsi="宋体" w:cs="宋体"/>
          <w:highlight w:val="none"/>
        </w:rPr>
      </w:pPr>
    </w:p>
    <w:p>
      <w:pPr>
        <w:pStyle w:val="3"/>
        <w:spacing w:before="0" w:after="0" w:line="360" w:lineRule="auto"/>
        <w:jc w:val="center"/>
        <w:rPr>
          <w:rFonts w:ascii="宋体" w:hAnsi="宋体" w:cs="宋体"/>
          <w:highlight w:val="none"/>
        </w:rPr>
      </w:pPr>
      <w:bookmarkStart w:id="216" w:name="_Toc24853"/>
      <w:bookmarkStart w:id="217" w:name="_Toc514858709"/>
      <w:bookmarkStart w:id="218" w:name="_Toc2000413"/>
      <w:bookmarkStart w:id="219" w:name="_Toc1416"/>
      <w:r>
        <w:rPr>
          <w:rFonts w:hint="eastAsia" w:ascii="宋体" w:hAnsi="宋体" w:cs="宋体"/>
          <w:highlight w:val="none"/>
        </w:rPr>
        <w:t>第九章  竞争性比选响应文件格式</w:t>
      </w:r>
      <w:bookmarkEnd w:id="215"/>
      <w:bookmarkEnd w:id="216"/>
      <w:bookmarkEnd w:id="217"/>
      <w:bookmarkEnd w:id="218"/>
      <w:bookmarkEnd w:id="219"/>
    </w:p>
    <w:p>
      <w:pPr>
        <w:rPr>
          <w:rFonts w:ascii="宋体" w:hAnsi="宋体" w:cs="宋体"/>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p>
    <w:p>
      <w:pPr>
        <w:rPr>
          <w:rFonts w:ascii="宋体" w:hAnsi="宋体" w:cs="宋体"/>
          <w:highlight w:val="none"/>
        </w:rPr>
      </w:pPr>
    </w:p>
    <w:p>
      <w:pPr>
        <w:jc w:val="center"/>
        <w:rPr>
          <w:rFonts w:ascii="宋体" w:hAnsi="宋体" w:cs="宋体"/>
          <w:sz w:val="52"/>
          <w:szCs w:val="52"/>
          <w:highlight w:val="none"/>
          <w:u w:val="single"/>
        </w:rPr>
      </w:pPr>
      <w:bookmarkStart w:id="220" w:name="_Toc513646738"/>
      <w:bookmarkStart w:id="221" w:name="_Toc513633967"/>
      <w:bookmarkStart w:id="222" w:name="_Toc503971829"/>
      <w:bookmarkStart w:id="223" w:name="_Toc503951046"/>
      <w:bookmarkStart w:id="224" w:name="_Toc514858710"/>
      <w:r>
        <w:rPr>
          <w:rFonts w:hint="eastAsia" w:ascii="宋体" w:hAnsi="宋体" w:cs="宋体"/>
          <w:highlight w:val="none"/>
          <w:u w:val="single"/>
        </w:rPr>
        <w:t xml:space="preserve">                           </w:t>
      </w:r>
      <w:r>
        <w:rPr>
          <w:rFonts w:hint="eastAsia" w:ascii="宋体" w:hAnsi="宋体" w:cs="宋体"/>
          <w:sz w:val="52"/>
          <w:szCs w:val="52"/>
          <w:highlight w:val="none"/>
          <w:u w:val="single"/>
        </w:rPr>
        <w:t>（项目名称）</w:t>
      </w:r>
      <w:bookmarkEnd w:id="220"/>
      <w:bookmarkEnd w:id="221"/>
      <w:bookmarkEnd w:id="222"/>
      <w:bookmarkEnd w:id="223"/>
      <w:bookmarkEnd w:id="224"/>
      <w:r>
        <w:rPr>
          <w:rFonts w:hint="eastAsia" w:ascii="宋体" w:hAnsi="宋体" w:cs="宋体"/>
          <w:sz w:val="52"/>
          <w:szCs w:val="52"/>
          <w:highlight w:val="none"/>
          <w:u w:val="single"/>
        </w:rPr>
        <w:t xml:space="preserve"> </w:t>
      </w:r>
    </w:p>
    <w:p>
      <w:pPr>
        <w:rPr>
          <w:rFonts w:ascii="宋体" w:hAnsi="宋体" w:cs="宋体"/>
          <w:sz w:val="20"/>
          <w:szCs w:val="20"/>
          <w:highlight w:val="none"/>
        </w:rPr>
      </w:pPr>
    </w:p>
    <w:p>
      <w:pPr>
        <w:jc w:val="center"/>
        <w:rPr>
          <w:rFonts w:ascii="宋体" w:hAnsi="宋体" w:cs="宋体"/>
          <w:sz w:val="44"/>
          <w:szCs w:val="44"/>
          <w:highlight w:val="none"/>
        </w:rPr>
      </w:pPr>
      <w:r>
        <w:rPr>
          <w:rFonts w:hint="eastAsia" w:ascii="宋体" w:hAnsi="宋体" w:cs="宋体"/>
          <w:sz w:val="44"/>
          <w:szCs w:val="44"/>
          <w:highlight w:val="none"/>
        </w:rPr>
        <w:t xml:space="preserve"> </w:t>
      </w: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jc w:val="center"/>
        <w:rPr>
          <w:rFonts w:ascii="宋体" w:hAnsi="宋体" w:cs="宋体"/>
          <w:b/>
          <w:sz w:val="72"/>
          <w:szCs w:val="44"/>
          <w:highlight w:val="none"/>
        </w:rPr>
      </w:pPr>
      <w:r>
        <w:rPr>
          <w:rFonts w:hint="eastAsia" w:ascii="宋体" w:hAnsi="宋体" w:cs="宋体"/>
          <w:b/>
          <w:sz w:val="72"/>
          <w:szCs w:val="44"/>
          <w:highlight w:val="none"/>
        </w:rPr>
        <w:t>竞争性比选响应文件</w:t>
      </w:r>
    </w:p>
    <w:p>
      <w:pPr>
        <w:jc w:val="center"/>
        <w:rPr>
          <w:rFonts w:ascii="宋体" w:hAnsi="宋体" w:cs="宋体"/>
          <w:b/>
          <w:sz w:val="32"/>
          <w:szCs w:val="32"/>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jc w:val="center"/>
        <w:rPr>
          <w:rFonts w:ascii="宋体" w:hAnsi="宋体" w:cs="宋体"/>
          <w:sz w:val="28"/>
          <w:szCs w:val="28"/>
          <w:highlight w:val="none"/>
          <w:u w:val="single"/>
        </w:rPr>
      </w:pPr>
      <w:r>
        <w:rPr>
          <w:rFonts w:hint="eastAsia" w:ascii="宋体" w:hAnsi="宋体" w:cs="宋体"/>
          <w:sz w:val="28"/>
          <w:szCs w:val="28"/>
          <w:highlight w:val="none"/>
        </w:rPr>
        <w:t>报价人：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（盖单位鲜公章）</w:t>
      </w:r>
    </w:p>
    <w:p>
      <w:pPr>
        <w:jc w:val="center"/>
        <w:rPr>
          <w:rFonts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w:t>
      </w:r>
    </w:p>
    <w:p>
      <w:pPr>
        <w:jc w:val="center"/>
        <w:rPr>
          <w:rFonts w:ascii="宋体" w:hAnsi="宋体" w:cs="宋体"/>
          <w:sz w:val="20"/>
          <w:szCs w:val="20"/>
          <w:highlight w:val="none"/>
        </w:rPr>
      </w:pP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pStyle w:val="4"/>
        <w:jc w:val="center"/>
        <w:rPr>
          <w:rFonts w:ascii="宋体" w:hAnsi="宋体" w:eastAsia="宋体" w:cs="宋体"/>
          <w:highlight w:val="none"/>
        </w:rPr>
      </w:pPr>
      <w:bookmarkStart w:id="225" w:name="_Toc28780"/>
      <w:bookmarkStart w:id="226" w:name="_Toc5459"/>
      <w:bookmarkStart w:id="227" w:name="_Toc11329273"/>
      <w:bookmarkStart w:id="228" w:name="_Toc11078"/>
      <w:bookmarkStart w:id="229" w:name="_Toc1368"/>
      <w:r>
        <w:rPr>
          <w:rFonts w:hint="eastAsia" w:ascii="宋体" w:hAnsi="宋体" w:eastAsia="宋体" w:cs="宋体"/>
          <w:highlight w:val="none"/>
        </w:rPr>
        <w:t>目    录</w:t>
      </w:r>
      <w:bookmarkEnd w:id="207"/>
      <w:bookmarkEnd w:id="208"/>
      <w:bookmarkEnd w:id="209"/>
      <w:bookmarkEnd w:id="210"/>
      <w:bookmarkEnd w:id="211"/>
      <w:bookmarkEnd w:id="212"/>
      <w:bookmarkEnd w:id="213"/>
      <w:bookmarkEnd w:id="214"/>
      <w:bookmarkEnd w:id="225"/>
      <w:bookmarkEnd w:id="226"/>
      <w:bookmarkEnd w:id="227"/>
      <w:bookmarkEnd w:id="228"/>
      <w:bookmarkEnd w:id="229"/>
    </w:p>
    <w:p>
      <w:pPr>
        <w:spacing w:line="400" w:lineRule="exact"/>
        <w:rPr>
          <w:rFonts w:ascii="宋体" w:hAnsi="宋体" w:cs="宋体"/>
          <w:highlight w:val="none"/>
        </w:rPr>
      </w:pPr>
      <w:r>
        <w:rPr>
          <w:rFonts w:hint="eastAsia" w:ascii="宋体" w:hAnsi="宋体" w:cs="宋体"/>
          <w:highlight w:val="none"/>
        </w:rPr>
        <w:t>一、竞争性响应声明书</w:t>
      </w:r>
    </w:p>
    <w:p>
      <w:pPr>
        <w:spacing w:line="400" w:lineRule="exact"/>
        <w:rPr>
          <w:rFonts w:ascii="宋体" w:hAnsi="宋体" w:cs="宋体"/>
          <w:highlight w:val="none"/>
        </w:rPr>
      </w:pPr>
      <w:r>
        <w:rPr>
          <w:rFonts w:hint="eastAsia" w:ascii="宋体" w:hAnsi="宋体" w:cs="宋体"/>
          <w:highlight w:val="none"/>
        </w:rPr>
        <w:t>二、报价一览表</w:t>
      </w:r>
    </w:p>
    <w:p>
      <w:pPr>
        <w:spacing w:line="400" w:lineRule="exact"/>
        <w:rPr>
          <w:rFonts w:ascii="宋体" w:hAnsi="宋体" w:cs="宋体"/>
          <w:highlight w:val="none"/>
        </w:rPr>
      </w:pPr>
      <w:r>
        <w:rPr>
          <w:rFonts w:hint="eastAsia" w:ascii="宋体" w:hAnsi="宋体" w:cs="宋体"/>
          <w:highlight w:val="none"/>
        </w:rPr>
        <w:t>三、资格审查资料</w:t>
      </w:r>
    </w:p>
    <w:p>
      <w:pPr>
        <w:spacing w:line="400" w:lineRule="exact"/>
        <w:rPr>
          <w:rFonts w:hint="eastAsia" w:ascii="宋体" w:hAnsi="宋体" w:cs="宋体"/>
          <w:highlight w:val="none"/>
        </w:rPr>
      </w:pPr>
      <w:r>
        <w:rPr>
          <w:rFonts w:hint="eastAsia" w:ascii="宋体" w:hAnsi="宋体" w:cs="宋体"/>
          <w:highlight w:val="none"/>
        </w:rPr>
        <w:t>四、人员配置完整性</w:t>
      </w:r>
    </w:p>
    <w:p>
      <w:pPr>
        <w:spacing w:line="400" w:lineRule="exact"/>
        <w:rPr>
          <w:rFonts w:hint="eastAsia" w:ascii="宋体" w:hAnsi="宋体" w:cs="宋体"/>
          <w:highlight w:val="none"/>
        </w:rPr>
      </w:pPr>
      <w:r>
        <w:rPr>
          <w:rFonts w:hint="eastAsia" w:ascii="宋体" w:hAnsi="宋体" w:cs="宋体"/>
          <w:highlight w:val="none"/>
        </w:rPr>
        <w:t>五、维护设备及器具的配备包括车辆配备</w:t>
      </w:r>
    </w:p>
    <w:p>
      <w:pPr>
        <w:spacing w:line="400" w:lineRule="exact"/>
        <w:rPr>
          <w:rFonts w:hint="eastAsia" w:ascii="宋体" w:hAnsi="宋体" w:cs="宋体"/>
          <w:highlight w:val="none"/>
        </w:rPr>
      </w:pPr>
      <w:r>
        <w:rPr>
          <w:rFonts w:hint="eastAsia" w:ascii="宋体" w:hAnsi="宋体" w:cs="宋体"/>
          <w:highlight w:val="none"/>
        </w:rPr>
        <w:t>六、维护工作的计划性和完整性</w:t>
      </w:r>
    </w:p>
    <w:p>
      <w:pPr>
        <w:spacing w:line="400" w:lineRule="exact"/>
        <w:rPr>
          <w:rFonts w:hint="eastAsia" w:ascii="宋体" w:hAnsi="宋体" w:cs="宋体"/>
          <w:highlight w:val="none"/>
        </w:rPr>
      </w:pPr>
      <w:r>
        <w:rPr>
          <w:rFonts w:hint="eastAsia" w:ascii="宋体" w:hAnsi="宋体" w:cs="宋体"/>
          <w:highlight w:val="none"/>
        </w:rPr>
        <w:t>七、维护现场安全管理措施</w:t>
      </w:r>
    </w:p>
    <w:p>
      <w:pPr>
        <w:spacing w:line="400" w:lineRule="exact"/>
        <w:rPr>
          <w:rFonts w:hint="eastAsia" w:ascii="宋体" w:hAnsi="宋体" w:cs="宋体"/>
          <w:highlight w:val="none"/>
        </w:rPr>
      </w:pPr>
      <w:r>
        <w:rPr>
          <w:rFonts w:hint="eastAsia" w:ascii="宋体" w:hAnsi="宋体" w:cs="宋体"/>
          <w:highlight w:val="none"/>
        </w:rPr>
        <w:t>八、紧急事件响应措施及协调能力</w:t>
      </w:r>
    </w:p>
    <w:p>
      <w:pPr>
        <w:spacing w:line="400" w:lineRule="exact"/>
        <w:rPr>
          <w:rFonts w:ascii="宋体" w:hAnsi="宋体" w:cs="宋体"/>
          <w:szCs w:val="21"/>
          <w:highlight w:val="none"/>
        </w:rPr>
      </w:pPr>
      <w:r>
        <w:rPr>
          <w:rFonts w:hint="eastAsia" w:ascii="宋体" w:hAnsi="宋体" w:cs="宋体"/>
          <w:highlight w:val="none"/>
        </w:rPr>
        <w:t>九、报价人须知前附表规定的其他材料</w:t>
      </w:r>
    </w:p>
    <w:p>
      <w:pPr>
        <w:spacing w:line="400" w:lineRule="exact"/>
        <w:rPr>
          <w:rFonts w:ascii="宋体" w:hAnsi="宋体" w:cs="宋体"/>
          <w:highlight w:val="none"/>
        </w:rPr>
      </w:pPr>
      <w:r>
        <w:rPr>
          <w:rFonts w:hint="eastAsia" w:ascii="宋体" w:hAnsi="宋体" w:cs="宋体"/>
          <w:highlight w:val="none"/>
        </w:rPr>
        <w:t xml:space="preserve"> </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r>
        <w:rPr>
          <w:rFonts w:ascii="宋体" w:hAnsi="宋体" w:cs="宋体"/>
          <w:highlight w:val="none"/>
        </w:rPr>
        <w:br w:type="page"/>
      </w:r>
    </w:p>
    <w:p>
      <w:pPr>
        <w:pStyle w:val="4"/>
        <w:spacing w:before="0" w:after="0" w:line="360" w:lineRule="auto"/>
        <w:jc w:val="center"/>
        <w:rPr>
          <w:rFonts w:ascii="宋体" w:hAnsi="宋体" w:eastAsia="宋体" w:cs="宋体"/>
          <w:sz w:val="28"/>
          <w:highlight w:val="none"/>
        </w:rPr>
      </w:pPr>
      <w:bookmarkStart w:id="230" w:name="_Toc11329274"/>
      <w:bookmarkStart w:id="231" w:name="_Toc8870"/>
      <w:bookmarkStart w:id="232" w:name="_Toc15863"/>
      <w:bookmarkStart w:id="233" w:name="_Toc29547"/>
      <w:bookmarkStart w:id="234" w:name="_Toc25874"/>
      <w:bookmarkStart w:id="235" w:name="_Toc4828"/>
      <w:bookmarkStart w:id="236" w:name="_Toc503951048"/>
      <w:bookmarkStart w:id="237" w:name="_Toc513633969"/>
      <w:bookmarkStart w:id="238" w:name="_Toc447827053"/>
      <w:r>
        <w:rPr>
          <w:rFonts w:hint="eastAsia" w:ascii="宋体" w:hAnsi="宋体" w:eastAsia="宋体" w:cs="宋体"/>
          <w:sz w:val="28"/>
          <w:highlight w:val="none"/>
        </w:rPr>
        <w:t>一、</w:t>
      </w:r>
      <w:bookmarkEnd w:id="230"/>
      <w:bookmarkEnd w:id="231"/>
      <w:r>
        <w:rPr>
          <w:rFonts w:hint="eastAsia" w:ascii="宋体" w:hAnsi="宋体" w:eastAsia="宋体" w:cs="宋体"/>
          <w:sz w:val="28"/>
          <w:highlight w:val="none"/>
        </w:rPr>
        <w:t>竞争比选响应声明书</w:t>
      </w:r>
      <w:bookmarkEnd w:id="232"/>
      <w:bookmarkEnd w:id="233"/>
      <w:bookmarkEnd w:id="234"/>
      <w:bookmarkEnd w:id="235"/>
    </w:p>
    <w:p>
      <w:pPr>
        <w:tabs>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r>
        <w:rPr>
          <w:rFonts w:hint="eastAsia" w:ascii="Arial" w:hAnsi="Arial" w:cs="Arial"/>
          <w:b/>
          <w:color w:val="000000"/>
          <w:sz w:val="24"/>
          <w:highlight w:val="none"/>
        </w:rPr>
        <w:t>致：</w:t>
      </w:r>
      <w:r>
        <w:rPr>
          <w:rFonts w:hint="eastAsia" w:ascii="Arial" w:hAnsi="Arial" w:cs="Arial"/>
          <w:b/>
          <w:bCs/>
          <w:color w:val="000000"/>
          <w:sz w:val="24"/>
          <w:highlight w:val="none"/>
          <w:u w:val="single"/>
        </w:rPr>
        <w:t>重庆首讯科技股份有限公司</w:t>
      </w:r>
    </w:p>
    <w:p>
      <w:pPr>
        <w:spacing w:line="700" w:lineRule="atLeast"/>
        <w:ind w:firstLine="480" w:firstLineChars="200"/>
        <w:rPr>
          <w:rFonts w:ascii="Arial" w:hAnsi="Arial" w:cs="Arial"/>
          <w:color w:val="000000"/>
          <w:sz w:val="24"/>
          <w:highlight w:val="none"/>
        </w:rPr>
      </w:pPr>
      <w:r>
        <w:rPr>
          <w:rFonts w:hint="eastAsia" w:ascii="Arial" w:hAnsi="Arial" w:cs="Arial"/>
          <w:color w:val="000000"/>
          <w:sz w:val="24"/>
          <w:highlight w:val="none"/>
        </w:rPr>
        <w:t>根据贵</w:t>
      </w:r>
      <w:r>
        <w:rPr>
          <w:rFonts w:hint="eastAsia" w:ascii="Arial" w:hAnsi="Arial" w:cs="Arial"/>
          <w:sz w:val="24"/>
          <w:highlight w:val="none"/>
        </w:rPr>
        <w:t>方为</w:t>
      </w:r>
      <w:r>
        <w:rPr>
          <w:rFonts w:hint="eastAsia" w:ascii="Arial" w:hAnsi="Arial" w:cs="Arial"/>
          <w:color w:val="000000"/>
          <w:sz w:val="24"/>
          <w:highlight w:val="none"/>
          <w:u w:val="single"/>
          <w:lang w:eastAsia="zh-CN"/>
        </w:rPr>
        <w:t>首讯公司2021年防雷检测服务</w:t>
      </w:r>
      <w:r>
        <w:rPr>
          <w:rFonts w:hint="eastAsia" w:ascii="Arial" w:hAnsi="Arial" w:cs="Arial"/>
          <w:color w:val="000000"/>
          <w:sz w:val="24"/>
          <w:highlight w:val="none"/>
          <w:u w:val="single"/>
        </w:rPr>
        <w:t xml:space="preserve"> </w:t>
      </w:r>
      <w:r>
        <w:rPr>
          <w:rFonts w:hint="eastAsia" w:ascii="Arial" w:hAnsi="Arial" w:cs="Arial"/>
          <w:sz w:val="24"/>
          <w:highlight w:val="none"/>
        </w:rPr>
        <w:t>竞争比选项目及服</w:t>
      </w:r>
      <w:r>
        <w:rPr>
          <w:rFonts w:hint="eastAsia" w:ascii="Arial" w:hAnsi="Arial" w:cs="Arial"/>
          <w:color w:val="000000"/>
          <w:sz w:val="24"/>
          <w:highlight w:val="none"/>
        </w:rPr>
        <w:t>务的竞争比选邀请，签字代表</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（全名、职务）</w:t>
      </w:r>
      <w:r>
        <w:rPr>
          <w:rFonts w:hint="eastAsia" w:ascii="Arial" w:hAnsi="Arial" w:cs="Arial"/>
          <w:color w:val="000000"/>
          <w:sz w:val="24"/>
          <w:highlight w:val="none"/>
        </w:rPr>
        <w:t>经正式授权并代表竞争比选响应单位</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（竞争比选响应单位名称）</w:t>
      </w:r>
      <w:r>
        <w:rPr>
          <w:rFonts w:ascii="Arial" w:hAnsi="Arial" w:cs="Arial"/>
          <w:color w:val="000000"/>
          <w:sz w:val="24"/>
          <w:highlight w:val="none"/>
          <w:u w:val="single"/>
        </w:rPr>
        <w:t xml:space="preserve"> </w:t>
      </w:r>
      <w:r>
        <w:rPr>
          <w:rFonts w:hint="eastAsia" w:ascii="Arial" w:hAnsi="Arial" w:cs="Arial"/>
          <w:color w:val="000000"/>
          <w:sz w:val="24"/>
          <w:highlight w:val="none"/>
        </w:rPr>
        <w:t>提交报价文件。</w:t>
      </w:r>
    </w:p>
    <w:p>
      <w:pPr>
        <w:spacing w:line="700" w:lineRule="atLeast"/>
        <w:ind w:firstLine="480" w:firstLineChars="200"/>
        <w:rPr>
          <w:rFonts w:ascii="Arial" w:hAnsi="Arial" w:cs="Arial"/>
          <w:color w:val="000000"/>
          <w:sz w:val="24"/>
          <w:highlight w:val="none"/>
          <w:u w:val="single"/>
        </w:rPr>
      </w:pPr>
      <w:r>
        <w:rPr>
          <w:rFonts w:hint="eastAsia" w:ascii="Arial" w:hAnsi="Arial" w:cs="Arial"/>
          <w:color w:val="000000"/>
          <w:sz w:val="24"/>
          <w:highlight w:val="none"/>
          <w:u w:val="single"/>
        </w:rPr>
        <w:t>我方愿以人民币：              元（大写              元）的报价总价，按照竞争比选文件的要求，承担本次竞争比选文件要求的安装工程。</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p>
    <w:p>
      <w:pPr>
        <w:tabs>
          <w:tab w:val="left" w:pos="540"/>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据此函，签字代表宣布同意如下：</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1</w:t>
      </w:r>
      <w:r>
        <w:rPr>
          <w:rFonts w:hint="eastAsia" w:ascii="Arial" w:hAnsi="Arial" w:cs="Arial"/>
          <w:color w:val="000000"/>
          <w:sz w:val="24"/>
          <w:highlight w:val="none"/>
        </w:rPr>
        <w:t>、竞争比选响应单位将按竞争比选文件规定履行合同责任和义务。</w:t>
      </w:r>
    </w:p>
    <w:p>
      <w:pPr>
        <w:tabs>
          <w:tab w:val="left" w:pos="900"/>
        </w:tabs>
        <w:spacing w:line="300" w:lineRule="auto"/>
        <w:rPr>
          <w:rFonts w:ascii="Arial" w:hAnsi="Arial" w:cs="Arial"/>
          <w:b/>
          <w:color w:val="000000"/>
          <w:sz w:val="24"/>
          <w:highlight w:val="none"/>
        </w:rPr>
      </w:pPr>
      <w:r>
        <w:rPr>
          <w:rFonts w:ascii="Arial" w:hAnsi="Arial" w:cs="Arial"/>
          <w:color w:val="000000"/>
          <w:sz w:val="24"/>
          <w:highlight w:val="none"/>
        </w:rPr>
        <w:t>2</w:t>
      </w:r>
      <w:r>
        <w:rPr>
          <w:rFonts w:hint="eastAsia" w:ascii="Arial" w:hAnsi="Arial" w:cs="Arial"/>
          <w:color w:val="000000"/>
          <w:sz w:val="24"/>
          <w:highlight w:val="none"/>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4、与本竞争比选响应有关的一切正式往来通讯请寄：</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地址：</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邮编：</w:t>
      </w:r>
      <w:r>
        <w:rPr>
          <w:rFonts w:ascii="Arial" w:hAnsi="Arial" w:cs="Arial"/>
          <w:color w:val="000000"/>
          <w:sz w:val="24"/>
          <w:highlight w:val="none"/>
          <w:u w:val="single"/>
        </w:rPr>
        <w:t xml:space="preserve">            </w:t>
      </w:r>
      <w:r>
        <w:rPr>
          <w:rFonts w:ascii="Arial" w:hAnsi="Arial" w:cs="Arial"/>
          <w:b/>
          <w:color w:val="000000"/>
          <w:sz w:val="24"/>
          <w:highlight w:val="none"/>
        </w:rPr>
        <w:t xml:space="preserve">  </w:t>
      </w:r>
    </w:p>
    <w:p>
      <w:pPr>
        <w:tabs>
          <w:tab w:val="left" w:pos="900"/>
        </w:tabs>
        <w:spacing w:line="300" w:lineRule="auto"/>
        <w:rPr>
          <w:rFonts w:ascii="Arial" w:hAnsi="Arial" w:cs="Arial"/>
          <w:color w:val="000000"/>
          <w:sz w:val="24"/>
          <w:highlight w:val="none"/>
          <w:u w:val="single"/>
        </w:rPr>
      </w:pPr>
      <w:r>
        <w:rPr>
          <w:rFonts w:hint="eastAsia" w:ascii="Arial" w:hAnsi="Arial" w:cs="Arial"/>
          <w:color w:val="000000"/>
          <w:sz w:val="24"/>
          <w:highlight w:val="none"/>
        </w:rPr>
        <w:t>电话：</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传真：</w:t>
      </w:r>
      <w:r>
        <w:rPr>
          <w:rFonts w:ascii="Arial" w:hAnsi="Arial" w:cs="Arial"/>
          <w:color w:val="000000"/>
          <w:sz w:val="24"/>
          <w:highlight w:val="none"/>
          <w:u w:val="single"/>
        </w:rPr>
        <w:t xml:space="preserve">            </w:t>
      </w:r>
    </w:p>
    <w:p>
      <w:pPr>
        <w:tabs>
          <w:tab w:val="left" w:pos="900"/>
        </w:tabs>
        <w:spacing w:line="300" w:lineRule="auto"/>
        <w:rPr>
          <w:rFonts w:ascii="Arial" w:hAnsi="Arial" w:cs="Arial"/>
          <w:sz w:val="24"/>
          <w:highlight w:val="none"/>
        </w:rPr>
      </w:pPr>
      <w:r>
        <w:rPr>
          <w:rFonts w:hint="eastAsia" w:ascii="Arial" w:hAnsi="Arial" w:cs="Arial"/>
          <w:sz w:val="24"/>
          <w:highlight w:val="none"/>
        </w:rPr>
        <w:t>竞争比选响应单位法定代表人或授权代表人（签字）：</w:t>
      </w:r>
      <w:r>
        <w:rPr>
          <w:rFonts w:ascii="Arial" w:hAnsi="Arial" w:cs="Arial"/>
          <w:sz w:val="24"/>
          <w:highlight w:val="none"/>
          <w:u w:val="single"/>
        </w:rPr>
        <w:t xml:space="preserve">             </w:t>
      </w:r>
      <w:r>
        <w:rPr>
          <w:rFonts w:ascii="Arial" w:hAnsi="Arial" w:cs="Arial"/>
          <w:sz w:val="24"/>
          <w:highlight w:val="none"/>
        </w:rPr>
        <w:t xml:space="preserve">  </w:t>
      </w:r>
    </w:p>
    <w:p>
      <w:pPr>
        <w:tabs>
          <w:tab w:val="left" w:pos="900"/>
        </w:tabs>
        <w:spacing w:line="300" w:lineRule="auto"/>
        <w:rPr>
          <w:rFonts w:ascii="Arial" w:hAnsi="Arial" w:cs="Arial"/>
          <w:sz w:val="24"/>
          <w:highlight w:val="none"/>
        </w:rPr>
      </w:pPr>
      <w:r>
        <w:rPr>
          <w:rFonts w:hint="eastAsia" w:ascii="Arial" w:hAnsi="Arial" w:cs="Arial"/>
          <w:sz w:val="24"/>
          <w:highlight w:val="none"/>
        </w:rPr>
        <w:t>竞争比选响应单位法定代表人或授权代表人职务：</w:t>
      </w:r>
      <w:r>
        <w:rPr>
          <w:rFonts w:ascii="Arial" w:hAnsi="Arial" w:cs="Arial"/>
          <w:sz w:val="24"/>
          <w:highlight w:val="none"/>
          <w:u w:val="single"/>
        </w:rPr>
        <w:t xml:space="preserve">             </w:t>
      </w:r>
      <w:r>
        <w:rPr>
          <w:rFonts w:ascii="Arial" w:hAnsi="Arial" w:cs="Arial"/>
          <w:sz w:val="24"/>
          <w:highlight w:val="none"/>
        </w:rPr>
        <w:t xml:space="preserve">               </w:t>
      </w:r>
    </w:p>
    <w:p>
      <w:pPr>
        <w:tabs>
          <w:tab w:val="left" w:pos="900"/>
        </w:tabs>
        <w:spacing w:line="300" w:lineRule="auto"/>
        <w:rPr>
          <w:rFonts w:ascii="Arial" w:hAnsi="Arial" w:cs="Arial"/>
          <w:color w:val="000000"/>
          <w:sz w:val="24"/>
          <w:highlight w:val="none"/>
        </w:rPr>
      </w:pPr>
      <w:r>
        <w:rPr>
          <w:rFonts w:hint="eastAsia" w:ascii="Arial" w:hAnsi="Arial" w:cs="Arial"/>
          <w:sz w:val="24"/>
          <w:highlight w:val="none"/>
        </w:rPr>
        <w:t>竞争比选响应单位名称（加盖公章）：</w:t>
      </w:r>
      <w:r>
        <w:rPr>
          <w:rFonts w:ascii="Arial" w:hAnsi="Arial" w:cs="Arial"/>
          <w:sz w:val="24"/>
          <w:highlight w:val="none"/>
          <w:u w:val="single"/>
        </w:rPr>
        <w:t xml:space="preserve">               </w:t>
      </w:r>
      <w:r>
        <w:rPr>
          <w:rFonts w:ascii="Arial" w:hAnsi="Arial" w:cs="Arial"/>
          <w:color w:val="000000"/>
          <w:sz w:val="24"/>
          <w:highlight w:val="none"/>
          <w:u w:val="single"/>
        </w:rPr>
        <w:t xml:space="preserve">                  </w:t>
      </w:r>
    </w:p>
    <w:p>
      <w:pPr>
        <w:tabs>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日期：</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年</w:t>
      </w:r>
      <w:r>
        <w:rPr>
          <w:rFonts w:ascii="Arial" w:hAnsi="Arial" w:cs="Arial"/>
          <w:color w:val="000000"/>
          <w:sz w:val="24"/>
          <w:highlight w:val="none"/>
          <w:u w:val="single"/>
        </w:rPr>
        <w:t xml:space="preserve">      </w:t>
      </w:r>
      <w:r>
        <w:rPr>
          <w:rFonts w:hint="eastAsia" w:ascii="Arial" w:hAnsi="Arial" w:cs="Arial"/>
          <w:color w:val="000000"/>
          <w:sz w:val="24"/>
          <w:highlight w:val="none"/>
        </w:rPr>
        <w:t>月</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日</w:t>
      </w:r>
      <w:r>
        <w:rPr>
          <w:rFonts w:ascii="Arial" w:hAnsi="Arial" w:cs="Arial"/>
          <w:color w:val="000000"/>
          <w:sz w:val="24"/>
          <w:highlight w:val="none"/>
        </w:rPr>
        <w:t xml:space="preserve"> </w:t>
      </w:r>
    </w:p>
    <w:p>
      <w:pPr>
        <w:outlineLvl w:val="0"/>
        <w:rPr>
          <w:b/>
          <w:sz w:val="24"/>
          <w:highlight w:val="none"/>
        </w:rPr>
      </w:pPr>
    </w:p>
    <w:p>
      <w:pPr>
        <w:outlineLvl w:val="0"/>
        <w:rPr>
          <w:b/>
          <w:sz w:val="24"/>
          <w:highlight w:val="none"/>
        </w:rPr>
      </w:pPr>
    </w:p>
    <w:p>
      <w:pPr>
        <w:outlineLvl w:val="0"/>
        <w:rPr>
          <w:b/>
          <w:sz w:val="24"/>
          <w:highlight w:val="none"/>
        </w:rPr>
      </w:pPr>
    </w:p>
    <w:p>
      <w:pPr>
        <w:outlineLvl w:val="0"/>
        <w:rPr>
          <w:b/>
          <w:sz w:val="24"/>
          <w:highlight w:val="none"/>
        </w:rPr>
      </w:pPr>
    </w:p>
    <w:p>
      <w:pPr>
        <w:outlineLvl w:val="0"/>
        <w:rPr>
          <w:b/>
          <w:sz w:val="24"/>
          <w:highlight w:val="none"/>
        </w:rPr>
      </w:pPr>
      <w:bookmarkStart w:id="239" w:name="_Toc5852"/>
      <w:bookmarkStart w:id="240" w:name="_Toc15924"/>
      <w:bookmarkStart w:id="241" w:name="_Toc27412"/>
      <w:bookmarkStart w:id="242" w:name="_Toc318"/>
      <w:r>
        <w:rPr>
          <w:rFonts w:hint="eastAsia"/>
          <w:b/>
          <w:sz w:val="24"/>
          <w:highlight w:val="none"/>
        </w:rPr>
        <w:t>附报价单位法定代表人或授权代表人身份证复印件（正、反面）</w:t>
      </w:r>
      <w:bookmarkEnd w:id="239"/>
      <w:bookmarkEnd w:id="240"/>
      <w:bookmarkEnd w:id="241"/>
      <w:bookmarkEnd w:id="242"/>
    </w:p>
    <w:p>
      <w:pPr>
        <w:outlineLvl w:val="0"/>
        <w:rPr>
          <w:b/>
          <w:sz w:val="24"/>
          <w:highlight w:val="none"/>
        </w:rPr>
      </w:pPr>
    </w:p>
    <w:p>
      <w:pPr>
        <w:rPr>
          <w:rFonts w:ascii="宋体" w:hAnsi="宋体" w:cs="宋体"/>
          <w:snapToGrid w:val="0"/>
          <w:kern w:val="0"/>
          <w:szCs w:val="21"/>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p>
    <w:p>
      <w:pPr>
        <w:jc w:val="center"/>
        <w:rPr>
          <w:rFonts w:ascii="宋体" w:hAnsi="宋体" w:cs="宋体"/>
          <w:b/>
          <w:highlight w:val="none"/>
        </w:rPr>
      </w:pPr>
      <w:bookmarkStart w:id="243" w:name="_Toc11329275"/>
      <w:r>
        <w:rPr>
          <w:rFonts w:hint="eastAsia" w:ascii="宋体" w:hAnsi="宋体" w:cs="宋体"/>
          <w:b/>
          <w:bCs/>
          <w:kern w:val="0"/>
          <w:sz w:val="28"/>
          <w:szCs w:val="32"/>
          <w:highlight w:val="none"/>
        </w:rPr>
        <w:t>二、</w:t>
      </w:r>
      <w:bookmarkEnd w:id="236"/>
      <w:bookmarkEnd w:id="237"/>
      <w:bookmarkEnd w:id="238"/>
      <w:bookmarkEnd w:id="243"/>
      <w:r>
        <w:rPr>
          <w:rFonts w:hint="eastAsia" w:ascii="宋体" w:hAnsi="宋体" w:cs="宋体"/>
          <w:b/>
          <w:bCs/>
          <w:kern w:val="0"/>
          <w:sz w:val="28"/>
          <w:szCs w:val="32"/>
          <w:highlight w:val="none"/>
        </w:rPr>
        <w:t>报价一览表</w:t>
      </w:r>
    </w:p>
    <w:p>
      <w:pPr>
        <w:ind w:left="765"/>
        <w:jc w:val="center"/>
        <w:rPr>
          <w:rFonts w:ascii="宋体" w:hAnsi="宋体" w:cs="宋体"/>
          <w:szCs w:val="21"/>
          <w:highlight w:val="none"/>
        </w:rPr>
      </w:pPr>
    </w:p>
    <w:p>
      <w:pPr>
        <w:pStyle w:val="38"/>
        <w:jc w:val="both"/>
        <w:rPr>
          <w:rFonts w:hAnsi="宋体"/>
          <w:highlight w:val="none"/>
        </w:rPr>
      </w:pPr>
      <w:r>
        <w:rPr>
          <w:rFonts w:hint="eastAsia" w:hAnsi="宋体"/>
          <w:highlight w:val="none"/>
        </w:rPr>
        <w:t>重庆首讯科技股份有限公司：</w:t>
      </w:r>
    </w:p>
    <w:p>
      <w:pPr>
        <w:spacing w:line="360" w:lineRule="auto"/>
        <w:ind w:firstLine="480" w:firstLineChars="200"/>
        <w:jc w:val="left"/>
        <w:rPr>
          <w:rFonts w:ascii="宋体" w:hAnsi="宋体"/>
          <w:b/>
          <w:color w:val="000000"/>
          <w:sz w:val="24"/>
          <w:highlight w:val="none"/>
        </w:rPr>
      </w:pPr>
      <w:r>
        <w:rPr>
          <w:rFonts w:hint="eastAsia" w:ascii="宋体" w:hAnsi="宋体"/>
          <w:color w:val="000000"/>
          <w:sz w:val="24"/>
          <w:highlight w:val="none"/>
        </w:rPr>
        <w:t>在研究了竞争比选文件中所有文件后，我司对</w:t>
      </w:r>
      <w:r>
        <w:rPr>
          <w:rFonts w:hint="eastAsia" w:ascii="宋体" w:hAnsi="宋体"/>
          <w:color w:val="000000"/>
          <w:sz w:val="24"/>
          <w:highlight w:val="none"/>
          <w:u w:val="single"/>
          <w:lang w:eastAsia="zh-CN"/>
        </w:rPr>
        <w:t>首讯公司2021年防雷检测服务</w:t>
      </w:r>
      <w:r>
        <w:rPr>
          <w:rFonts w:hint="eastAsia" w:ascii="宋体" w:hAnsi="宋体"/>
          <w:color w:val="000000"/>
          <w:sz w:val="24"/>
          <w:highlight w:val="none"/>
          <w:u w:val="single"/>
        </w:rPr>
        <w:t xml:space="preserve"> </w:t>
      </w:r>
      <w:r>
        <w:rPr>
          <w:rFonts w:hint="eastAsia" w:ascii="宋体" w:hAnsi="宋体"/>
          <w:color w:val="000000"/>
          <w:sz w:val="24"/>
          <w:highlight w:val="none"/>
        </w:rPr>
        <w:t>竞</w:t>
      </w:r>
      <w:r>
        <w:rPr>
          <w:rFonts w:hint="eastAsia" w:ascii="Arial" w:hAnsi="Arial" w:cs="Arial"/>
          <w:color w:val="000000"/>
          <w:sz w:val="24"/>
          <w:highlight w:val="none"/>
        </w:rPr>
        <w:t>争比选响应</w:t>
      </w:r>
      <w:r>
        <w:rPr>
          <w:rFonts w:hint="eastAsia" w:ascii="宋体" w:hAnsi="宋体"/>
          <w:color w:val="000000"/>
          <w:sz w:val="24"/>
          <w:highlight w:val="none"/>
        </w:rPr>
        <w:t>报价如下：</w:t>
      </w:r>
      <w:r>
        <w:rPr>
          <w:rFonts w:hint="eastAsia" w:ascii="宋体" w:hAnsi="宋体"/>
          <w:b/>
          <w:color w:val="000000"/>
          <w:sz w:val="24"/>
          <w:highlight w:val="none"/>
        </w:rPr>
        <w:t xml:space="preserve"> </w:t>
      </w:r>
    </w:p>
    <w:p>
      <w:pPr>
        <w:tabs>
          <w:tab w:val="left" w:pos="1680"/>
          <w:tab w:val="left" w:pos="4215"/>
          <w:tab w:val="left" w:pos="4305"/>
          <w:tab w:val="left" w:pos="8000"/>
        </w:tabs>
        <w:autoSpaceDE w:val="0"/>
        <w:autoSpaceDN w:val="0"/>
        <w:adjustRightInd w:val="0"/>
        <w:snapToGrid w:val="0"/>
        <w:spacing w:line="360" w:lineRule="auto"/>
        <w:ind w:firstLine="562" w:firstLineChars="200"/>
        <w:rPr>
          <w:rFonts w:ascii="宋体" w:hAnsi="宋体" w:cs="宋体"/>
          <w:b/>
          <w:kern w:val="0"/>
          <w:sz w:val="28"/>
          <w:szCs w:val="28"/>
          <w:highlight w:val="none"/>
        </w:rPr>
      </w:pPr>
      <w:r>
        <w:rPr>
          <w:rFonts w:hint="eastAsia" w:ascii="宋体" w:hAnsi="宋体" w:cs="宋体"/>
          <w:b/>
          <w:kern w:val="0"/>
          <w:sz w:val="28"/>
          <w:szCs w:val="28"/>
          <w:highlight w:val="none"/>
        </w:rPr>
        <w:t xml:space="preserve"> 以表格形式进行报价，详见“工程量清单”。</w:t>
      </w:r>
    </w:p>
    <w:p>
      <w:pPr>
        <w:spacing w:line="400" w:lineRule="exact"/>
        <w:rPr>
          <w:rFonts w:ascii="宋体" w:hAnsi="宋体" w:cs="宋体"/>
          <w:kern w:val="0"/>
          <w:szCs w:val="21"/>
          <w:highlight w:val="none"/>
        </w:rPr>
      </w:pPr>
    </w:p>
    <w:p>
      <w:pPr>
        <w:pStyle w:val="4"/>
        <w:spacing w:before="0" w:after="0" w:line="360" w:lineRule="auto"/>
        <w:jc w:val="center"/>
        <w:rPr>
          <w:rFonts w:hint="eastAsia" w:ascii="宋体" w:hAnsi="宋体" w:eastAsia="宋体" w:cs="宋体"/>
          <w:sz w:val="28"/>
          <w:highlight w:val="none"/>
        </w:rPr>
      </w:pPr>
      <w:bookmarkStart w:id="244" w:name="_Toc144974871"/>
      <w:bookmarkStart w:id="245" w:name="_Toc152042592"/>
      <w:bookmarkStart w:id="246" w:name="_Toc447827058"/>
      <w:bookmarkStart w:id="247" w:name="_Toc513633971"/>
      <w:bookmarkStart w:id="248" w:name="_Toc246997112"/>
      <w:bookmarkStart w:id="249" w:name="_Toc179632823"/>
      <w:bookmarkStart w:id="250" w:name="_Toc11329278"/>
      <w:bookmarkStart w:id="251" w:name="_Toc246996369"/>
      <w:bookmarkStart w:id="252" w:name="_Toc503951050"/>
      <w:bookmarkStart w:id="253" w:name="_Toc247085887"/>
      <w:bookmarkStart w:id="254" w:name="_Toc152045803"/>
      <w:r>
        <w:rPr>
          <w:rFonts w:hint="eastAsia" w:ascii="宋体" w:hAnsi="宋体" w:eastAsia="宋体" w:cs="宋体"/>
          <w:sz w:val="28"/>
          <w:highlight w:val="none"/>
        </w:rPr>
        <w:br w:type="page"/>
      </w:r>
      <w:bookmarkEnd w:id="244"/>
      <w:bookmarkEnd w:id="245"/>
      <w:bookmarkEnd w:id="246"/>
      <w:bookmarkEnd w:id="247"/>
      <w:bookmarkEnd w:id="248"/>
      <w:bookmarkEnd w:id="249"/>
      <w:bookmarkEnd w:id="250"/>
      <w:bookmarkEnd w:id="251"/>
      <w:bookmarkEnd w:id="252"/>
      <w:bookmarkEnd w:id="253"/>
      <w:bookmarkEnd w:id="254"/>
      <w:bookmarkStart w:id="255" w:name="_Toc503951058"/>
      <w:bookmarkStart w:id="256" w:name="_Toc513633974"/>
      <w:r>
        <w:rPr>
          <w:rFonts w:hint="eastAsia" w:ascii="宋体" w:hAnsi="宋体" w:eastAsia="宋体" w:cs="宋体"/>
          <w:sz w:val="28"/>
          <w:highlight w:val="none"/>
          <w:lang w:val="en-US" w:eastAsia="zh-CN"/>
        </w:rPr>
        <w:t>三、</w:t>
      </w:r>
      <w:r>
        <w:rPr>
          <w:rFonts w:hint="eastAsia" w:ascii="宋体" w:hAnsi="宋体" w:eastAsia="宋体" w:cs="宋体"/>
          <w:sz w:val="28"/>
          <w:highlight w:val="none"/>
        </w:rPr>
        <w:t>公司资质材料</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四、</w:t>
      </w:r>
      <w:r>
        <w:rPr>
          <w:rFonts w:hint="eastAsia" w:ascii="宋体" w:hAnsi="宋体" w:eastAsia="宋体" w:cs="宋体"/>
          <w:sz w:val="28"/>
          <w:highlight w:val="none"/>
        </w:rPr>
        <w:t>人员配置完整性</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五、</w:t>
      </w:r>
      <w:r>
        <w:rPr>
          <w:rFonts w:hint="eastAsia" w:ascii="宋体" w:hAnsi="宋体" w:eastAsia="宋体" w:cs="宋体"/>
          <w:sz w:val="28"/>
          <w:highlight w:val="none"/>
        </w:rPr>
        <w:t>维护设备及器具的配备包括车辆配备</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六、</w:t>
      </w:r>
      <w:r>
        <w:rPr>
          <w:rFonts w:hint="eastAsia" w:ascii="宋体" w:hAnsi="宋体" w:eastAsia="宋体" w:cs="宋体"/>
          <w:sz w:val="28"/>
          <w:highlight w:val="none"/>
        </w:rPr>
        <w:t>维护工作的计划性和完整性</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七、</w:t>
      </w:r>
      <w:r>
        <w:rPr>
          <w:rFonts w:hint="eastAsia" w:ascii="宋体" w:hAnsi="宋体" w:eastAsia="宋体" w:cs="宋体"/>
          <w:sz w:val="28"/>
          <w:highlight w:val="none"/>
        </w:rPr>
        <w:t>维护现场安全管理措施</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八、</w:t>
      </w:r>
      <w:r>
        <w:rPr>
          <w:rFonts w:hint="eastAsia" w:ascii="宋体" w:hAnsi="宋体" w:eastAsia="宋体" w:cs="宋体"/>
          <w:sz w:val="28"/>
          <w:highlight w:val="none"/>
        </w:rPr>
        <w:t>紧急事件响应措施及协调能力</w:t>
      </w:r>
      <w:bookmarkStart w:id="257" w:name="_Toc447827068"/>
      <w:bookmarkStart w:id="258" w:name="_Toc513633973"/>
      <w:bookmarkStart w:id="259" w:name="_Toc503951055"/>
      <w:bookmarkStart w:id="260" w:name="_Toc11329281"/>
      <w:bookmarkStart w:id="261" w:name="_Toc4378"/>
      <w:bookmarkStart w:id="262" w:name="_Toc11672"/>
      <w:bookmarkStart w:id="263" w:name="_Toc11243"/>
      <w:bookmarkStart w:id="264" w:name="_Toc29559"/>
    </w:p>
    <w:p>
      <w:pPr>
        <w:pStyle w:val="4"/>
        <w:spacing w:before="0" w:after="0" w:line="360" w:lineRule="auto"/>
        <w:jc w:val="center"/>
        <w:rPr>
          <w:rFonts w:ascii="宋体" w:hAnsi="宋体" w:eastAsia="宋体" w:cs="宋体"/>
          <w:sz w:val="28"/>
          <w:highlight w:val="none"/>
        </w:rPr>
      </w:pPr>
      <w:r>
        <w:rPr>
          <w:rFonts w:hint="eastAsia" w:ascii="宋体" w:hAnsi="宋体" w:eastAsia="宋体" w:cs="宋体"/>
          <w:sz w:val="28"/>
          <w:highlight w:val="none"/>
          <w:lang w:val="en-US" w:eastAsia="zh-CN"/>
        </w:rPr>
        <w:t>九</w:t>
      </w:r>
      <w:r>
        <w:rPr>
          <w:rFonts w:hint="eastAsia" w:ascii="宋体" w:hAnsi="宋体" w:eastAsia="宋体" w:cs="宋体"/>
          <w:sz w:val="28"/>
          <w:highlight w:val="none"/>
        </w:rPr>
        <w:t>、</w:t>
      </w:r>
      <w:bookmarkEnd w:id="257"/>
      <w:bookmarkEnd w:id="258"/>
      <w:bookmarkEnd w:id="259"/>
      <w:r>
        <w:rPr>
          <w:rFonts w:hint="eastAsia" w:ascii="宋体" w:hAnsi="宋体" w:eastAsia="宋体" w:cs="宋体"/>
          <w:sz w:val="28"/>
          <w:highlight w:val="none"/>
        </w:rPr>
        <w:t>报价人须知前附表规定的其他材料</w:t>
      </w:r>
      <w:bookmarkEnd w:id="260"/>
      <w:bookmarkEnd w:id="261"/>
      <w:bookmarkEnd w:id="262"/>
      <w:bookmarkEnd w:id="263"/>
      <w:bookmarkEnd w:id="264"/>
    </w:p>
    <w:p>
      <w:pPr>
        <w:pStyle w:val="5"/>
        <w:jc w:val="center"/>
        <w:rPr>
          <w:rFonts w:ascii="宋体" w:hAnsi="宋体" w:cs="宋体"/>
          <w:sz w:val="28"/>
          <w:highlight w:val="none"/>
        </w:rPr>
      </w:pPr>
      <w:bookmarkStart w:id="265" w:name="bookmark81"/>
      <w:r>
        <w:rPr>
          <w:rFonts w:hint="eastAsia" w:ascii="宋体" w:hAnsi="宋体" w:cs="宋体"/>
          <w:sz w:val="28"/>
          <w:highlight w:val="none"/>
        </w:rPr>
        <w:t>（一）</w:t>
      </w:r>
      <w:bookmarkStart w:id="266" w:name="_Toc507681700"/>
      <w:bookmarkStart w:id="267" w:name="_Toc504639215"/>
      <w:bookmarkStart w:id="268" w:name="_Toc507681488"/>
      <w:bookmarkEnd w:id="265"/>
      <w:r>
        <w:rPr>
          <w:rFonts w:hint="eastAsia" w:ascii="宋体" w:hAnsi="宋体" w:cs="宋体"/>
          <w:sz w:val="28"/>
          <w:highlight w:val="none"/>
        </w:rPr>
        <w:t>报价人自行承诺部分</w:t>
      </w:r>
      <w:bookmarkEnd w:id="266"/>
      <w:bookmarkEnd w:id="267"/>
      <w:bookmarkEnd w:id="268"/>
    </w:p>
    <w:p>
      <w:pPr>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rPr>
        <w:t>比选文件中要求报价人自行承诺的，由报价人按比选文件要求内容承诺，格式自拟。</w:t>
      </w:r>
    </w:p>
    <w:p>
      <w:pPr>
        <w:pStyle w:val="5"/>
        <w:jc w:val="center"/>
        <w:rPr>
          <w:rFonts w:ascii="宋体" w:hAnsi="宋体" w:cs="宋体"/>
          <w:sz w:val="28"/>
          <w:highlight w:val="none"/>
        </w:rPr>
      </w:pPr>
      <w:r>
        <w:rPr>
          <w:rFonts w:hint="eastAsia" w:ascii="宋体" w:hAnsi="宋体" w:cs="宋体"/>
          <w:sz w:val="28"/>
          <w:highlight w:val="none"/>
        </w:rPr>
        <w:t>（二）其他材料（如有）</w:t>
      </w: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bookmarkEnd w:id="255"/>
    <w:bookmarkEnd w:id="256"/>
    <w:p>
      <w:pPr>
        <w:pStyle w:val="2"/>
        <w:rPr>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6646927D-2A25-4617-BBA3-D08A4056087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embedRegular r:id="rId2" w:fontKey="{57B4DCB6-C800-4FB7-BC51-98ADEF264F43}"/>
  </w:font>
  <w:font w:name="方正仿宋_GBK">
    <w:panose1 w:val="02000000000000000000"/>
    <w:charset w:val="86"/>
    <w:family w:val="auto"/>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10006FF" w:usb1="4000205B" w:usb2="0000001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0002A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2"/>
      </w:rPr>
    </w:pPr>
    <w:r>
      <w:fldChar w:fldCharType="begin"/>
    </w:r>
    <w:r>
      <w:rPr>
        <w:rStyle w:val="42"/>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17</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6</w:t>
    </w:r>
    <w:r>
      <w:fldChar w:fldCharType="end"/>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2"/>
      </w:rPr>
    </w:pPr>
    <w:r>
      <w:fldChar w:fldCharType="begin"/>
    </w:r>
    <w:r>
      <w:rPr>
        <w:rStyle w:val="42"/>
      </w:rPr>
      <w:instrText xml:space="preserve">PAGE  </w:instrText>
    </w:r>
    <w:r>
      <w:fldChar w:fldCharType="separate"/>
    </w:r>
    <w:r>
      <w:rPr>
        <w:rStyle w:val="42"/>
      </w:rPr>
      <w:t>73</w:t>
    </w:r>
    <w:r>
      <w:fldChar w:fldCharType="end"/>
    </w:r>
  </w:p>
  <w:p>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2"/>
      </w:rPr>
    </w:pPr>
    <w:r>
      <w:fldChar w:fldCharType="begin"/>
    </w:r>
    <w:r>
      <w:rPr>
        <w:rStyle w:val="42"/>
      </w:rPr>
      <w:instrText xml:space="preserve">PAGE  </w:instrText>
    </w:r>
    <w:r>
      <w:fldChar w:fldCharType="separate"/>
    </w:r>
    <w:r>
      <w:rPr>
        <w:rStyle w:val="42"/>
      </w:rPr>
      <w:t>19</w:t>
    </w:r>
    <w:r>
      <w:fldChar w:fldCharType="end"/>
    </w:r>
  </w:p>
  <w:p>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7"/>
                            <w:rPr>
                              <w:rStyle w:val="42"/>
                            </w:rPr>
                          </w:pPr>
                          <w:r>
                            <w:fldChar w:fldCharType="begin"/>
                          </w:r>
                          <w:r>
                            <w:rPr>
                              <w:rStyle w:val="42"/>
                            </w:rPr>
                            <w:instrText xml:space="preserve">PAGE  </w:instrText>
                          </w:r>
                          <w:r>
                            <w:fldChar w:fldCharType="separate"/>
                          </w:r>
                          <w:r>
                            <w:rPr>
                              <w:rStyle w:val="42"/>
                            </w:rPr>
                            <w:t>23</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F&#10;ctq9twEAAFQDAAAOAAAAAAAAAAEAIAAAAB4BAABkcnMvZTJvRG9jLnhtbFBLBQYAAAAABgAGAFkB&#10;AABHBQAAAAA=&#10;">
              <v:fill on="f" focussize="0,0"/>
              <v:stroke on="f"/>
              <v:imagedata o:title=""/>
              <o:lock v:ext="edit" aspectratio="f"/>
              <v:textbox inset="0mm,0mm,0mm,0mm" style="mso-fit-shape-to-text:t;">
                <w:txbxContent>
                  <w:p>
                    <w:pPr>
                      <w:pStyle w:val="27"/>
                      <w:rPr>
                        <w:rStyle w:val="42"/>
                      </w:rPr>
                    </w:pPr>
                    <w:r>
                      <w:fldChar w:fldCharType="begin"/>
                    </w:r>
                    <w:r>
                      <w:rPr>
                        <w:rStyle w:val="42"/>
                      </w:rPr>
                      <w:instrText xml:space="preserve">PAGE  </w:instrText>
                    </w:r>
                    <w:r>
                      <w:fldChar w:fldCharType="separate"/>
                    </w:r>
                    <w:r>
                      <w:rPr>
                        <w:rStyle w:val="42"/>
                      </w:rPr>
                      <w:t>23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3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5942009B"/>
    <w:multiLevelType w:val="singleLevel"/>
    <w:tmpl w:val="5942009B"/>
    <w:lvl w:ilvl="0" w:tentative="0">
      <w:start w:val="1"/>
      <w:numFmt w:val="decimal"/>
      <w:suff w:val="nothing"/>
      <w:lvlText w:val="(%1)"/>
      <w:lvlJc w:val="left"/>
    </w:lvl>
  </w:abstractNum>
  <w:abstractNum w:abstractNumId="2">
    <w:nsid w:val="60FA4CA3"/>
    <w:multiLevelType w:val="singleLevel"/>
    <w:tmpl w:val="60FA4CA3"/>
    <w:lvl w:ilvl="0" w:tentative="0">
      <w:start w:val="4"/>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doNotTrackMoves/>
  <w:documentProtection w:enforcement="0"/>
  <w:defaultTabStop w:val="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A0539"/>
    <w:rsid w:val="001A09DE"/>
    <w:rsid w:val="001A5CDC"/>
    <w:rsid w:val="001A7336"/>
    <w:rsid w:val="001B37EE"/>
    <w:rsid w:val="001B455F"/>
    <w:rsid w:val="001B7789"/>
    <w:rsid w:val="001C0BBE"/>
    <w:rsid w:val="001C1088"/>
    <w:rsid w:val="001C47B4"/>
    <w:rsid w:val="001C7A81"/>
    <w:rsid w:val="001D0E4A"/>
    <w:rsid w:val="001D4A30"/>
    <w:rsid w:val="001D5992"/>
    <w:rsid w:val="001D620B"/>
    <w:rsid w:val="001D748A"/>
    <w:rsid w:val="001E2FBC"/>
    <w:rsid w:val="001E35E5"/>
    <w:rsid w:val="001E3AE0"/>
    <w:rsid w:val="001E4ED8"/>
    <w:rsid w:val="001F20E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5746"/>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6B5B"/>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93"/>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554E2"/>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301346"/>
    <w:rsid w:val="015D18DC"/>
    <w:rsid w:val="01852BD3"/>
    <w:rsid w:val="029E0ABC"/>
    <w:rsid w:val="02A800C5"/>
    <w:rsid w:val="02C540E4"/>
    <w:rsid w:val="037D0CD2"/>
    <w:rsid w:val="038B3366"/>
    <w:rsid w:val="03981B5E"/>
    <w:rsid w:val="03996EAD"/>
    <w:rsid w:val="03A90BFB"/>
    <w:rsid w:val="03B27811"/>
    <w:rsid w:val="03F60BFA"/>
    <w:rsid w:val="04023CC8"/>
    <w:rsid w:val="042674F4"/>
    <w:rsid w:val="043E0ED6"/>
    <w:rsid w:val="04B81939"/>
    <w:rsid w:val="04C12ED8"/>
    <w:rsid w:val="04DC5749"/>
    <w:rsid w:val="04E26FED"/>
    <w:rsid w:val="04FD6633"/>
    <w:rsid w:val="050D072A"/>
    <w:rsid w:val="05871A0A"/>
    <w:rsid w:val="05A70EA9"/>
    <w:rsid w:val="05D55D36"/>
    <w:rsid w:val="060C2525"/>
    <w:rsid w:val="062756FD"/>
    <w:rsid w:val="067C53E7"/>
    <w:rsid w:val="06820F5E"/>
    <w:rsid w:val="06AE2ABA"/>
    <w:rsid w:val="06DD02BB"/>
    <w:rsid w:val="06E71F51"/>
    <w:rsid w:val="07050666"/>
    <w:rsid w:val="07362674"/>
    <w:rsid w:val="073B54B2"/>
    <w:rsid w:val="077B3234"/>
    <w:rsid w:val="081748AE"/>
    <w:rsid w:val="0834530C"/>
    <w:rsid w:val="08635851"/>
    <w:rsid w:val="08C2359B"/>
    <w:rsid w:val="09041814"/>
    <w:rsid w:val="092D7BDC"/>
    <w:rsid w:val="09332D2B"/>
    <w:rsid w:val="093E2D64"/>
    <w:rsid w:val="098B1DA7"/>
    <w:rsid w:val="09A31A61"/>
    <w:rsid w:val="09B81915"/>
    <w:rsid w:val="09C2390A"/>
    <w:rsid w:val="09DE1094"/>
    <w:rsid w:val="09E2475B"/>
    <w:rsid w:val="0A3F34B7"/>
    <w:rsid w:val="0A4B11BE"/>
    <w:rsid w:val="0A8E5B8D"/>
    <w:rsid w:val="0AA240FA"/>
    <w:rsid w:val="0AAC0CBB"/>
    <w:rsid w:val="0AD84BD3"/>
    <w:rsid w:val="0B1061C6"/>
    <w:rsid w:val="0B2B08D5"/>
    <w:rsid w:val="0BB825ED"/>
    <w:rsid w:val="0BC0647C"/>
    <w:rsid w:val="0BF26817"/>
    <w:rsid w:val="0C22464A"/>
    <w:rsid w:val="0C623EAC"/>
    <w:rsid w:val="0CAD24AF"/>
    <w:rsid w:val="0CE470B3"/>
    <w:rsid w:val="0D364FF2"/>
    <w:rsid w:val="0D662EE5"/>
    <w:rsid w:val="0D9339BE"/>
    <w:rsid w:val="0D9F0DC4"/>
    <w:rsid w:val="0DDE695A"/>
    <w:rsid w:val="0E2D072E"/>
    <w:rsid w:val="0E3B295D"/>
    <w:rsid w:val="0E47249B"/>
    <w:rsid w:val="0E551882"/>
    <w:rsid w:val="0F4C19DA"/>
    <w:rsid w:val="0F4C7D05"/>
    <w:rsid w:val="0F5F17BD"/>
    <w:rsid w:val="0F90531D"/>
    <w:rsid w:val="0FAD64B5"/>
    <w:rsid w:val="0FEB1B4B"/>
    <w:rsid w:val="0FFF5930"/>
    <w:rsid w:val="10135AA9"/>
    <w:rsid w:val="10A265EF"/>
    <w:rsid w:val="111B1F07"/>
    <w:rsid w:val="11485B0D"/>
    <w:rsid w:val="117076B2"/>
    <w:rsid w:val="11D56D08"/>
    <w:rsid w:val="125E1A9C"/>
    <w:rsid w:val="1276289F"/>
    <w:rsid w:val="1288522D"/>
    <w:rsid w:val="129D6A95"/>
    <w:rsid w:val="12AF4046"/>
    <w:rsid w:val="12CE506D"/>
    <w:rsid w:val="12F612FD"/>
    <w:rsid w:val="12F65490"/>
    <w:rsid w:val="12F73D2A"/>
    <w:rsid w:val="13112273"/>
    <w:rsid w:val="13511DF6"/>
    <w:rsid w:val="138B4634"/>
    <w:rsid w:val="138F1214"/>
    <w:rsid w:val="13D101C7"/>
    <w:rsid w:val="13D65F2A"/>
    <w:rsid w:val="1400440E"/>
    <w:rsid w:val="144729D8"/>
    <w:rsid w:val="14AB614D"/>
    <w:rsid w:val="14C67D94"/>
    <w:rsid w:val="15507C7E"/>
    <w:rsid w:val="15664AEF"/>
    <w:rsid w:val="158E23E1"/>
    <w:rsid w:val="159D7EA6"/>
    <w:rsid w:val="159F1BF9"/>
    <w:rsid w:val="160B0227"/>
    <w:rsid w:val="17081A7A"/>
    <w:rsid w:val="17292C0C"/>
    <w:rsid w:val="176F50FE"/>
    <w:rsid w:val="17DD0B49"/>
    <w:rsid w:val="181C1400"/>
    <w:rsid w:val="18223BBF"/>
    <w:rsid w:val="18D435BC"/>
    <w:rsid w:val="19BA69A5"/>
    <w:rsid w:val="19DA7AC9"/>
    <w:rsid w:val="19DF6D3F"/>
    <w:rsid w:val="19E24459"/>
    <w:rsid w:val="19FB72C6"/>
    <w:rsid w:val="1A3D7EBE"/>
    <w:rsid w:val="1A4353A0"/>
    <w:rsid w:val="1AAF4593"/>
    <w:rsid w:val="1B075A0C"/>
    <w:rsid w:val="1B2B2F91"/>
    <w:rsid w:val="1B67066F"/>
    <w:rsid w:val="1B7229E4"/>
    <w:rsid w:val="1B7A5EC7"/>
    <w:rsid w:val="1BA35EDC"/>
    <w:rsid w:val="1CF6260F"/>
    <w:rsid w:val="1CF83AEA"/>
    <w:rsid w:val="1D6914D5"/>
    <w:rsid w:val="1D7E09CF"/>
    <w:rsid w:val="1E7F32B0"/>
    <w:rsid w:val="1EA5762B"/>
    <w:rsid w:val="1EBB622E"/>
    <w:rsid w:val="1EEA13A6"/>
    <w:rsid w:val="1EFE64E9"/>
    <w:rsid w:val="1F3E1933"/>
    <w:rsid w:val="1F6207D0"/>
    <w:rsid w:val="1F8D6C22"/>
    <w:rsid w:val="1FE1627D"/>
    <w:rsid w:val="1FEA603B"/>
    <w:rsid w:val="20293E2F"/>
    <w:rsid w:val="206E3E8E"/>
    <w:rsid w:val="208247DE"/>
    <w:rsid w:val="2093114F"/>
    <w:rsid w:val="209B57AA"/>
    <w:rsid w:val="20A87B06"/>
    <w:rsid w:val="20D83D6E"/>
    <w:rsid w:val="20EA6084"/>
    <w:rsid w:val="20F01139"/>
    <w:rsid w:val="20F1461D"/>
    <w:rsid w:val="212B522B"/>
    <w:rsid w:val="21736537"/>
    <w:rsid w:val="21977807"/>
    <w:rsid w:val="219D77BC"/>
    <w:rsid w:val="226827C0"/>
    <w:rsid w:val="227C6EFF"/>
    <w:rsid w:val="22942795"/>
    <w:rsid w:val="22A10D06"/>
    <w:rsid w:val="22E46F4A"/>
    <w:rsid w:val="22F20159"/>
    <w:rsid w:val="230329AD"/>
    <w:rsid w:val="23486890"/>
    <w:rsid w:val="23AB4CDF"/>
    <w:rsid w:val="23C37A75"/>
    <w:rsid w:val="23D964C1"/>
    <w:rsid w:val="23EB6BB8"/>
    <w:rsid w:val="24436391"/>
    <w:rsid w:val="24AD6D9A"/>
    <w:rsid w:val="25A31A17"/>
    <w:rsid w:val="25E50FC8"/>
    <w:rsid w:val="26035D6B"/>
    <w:rsid w:val="26154215"/>
    <w:rsid w:val="26666FDC"/>
    <w:rsid w:val="26B267E7"/>
    <w:rsid w:val="26C80CCF"/>
    <w:rsid w:val="26F65310"/>
    <w:rsid w:val="272B45B8"/>
    <w:rsid w:val="27352534"/>
    <w:rsid w:val="27357F9F"/>
    <w:rsid w:val="276B3A53"/>
    <w:rsid w:val="27EF1935"/>
    <w:rsid w:val="280A1B75"/>
    <w:rsid w:val="283962F8"/>
    <w:rsid w:val="28532268"/>
    <w:rsid w:val="290212C1"/>
    <w:rsid w:val="29403128"/>
    <w:rsid w:val="29656DCE"/>
    <w:rsid w:val="298B4B23"/>
    <w:rsid w:val="29D875FE"/>
    <w:rsid w:val="2A194E5D"/>
    <w:rsid w:val="2A501F4B"/>
    <w:rsid w:val="2A594BC2"/>
    <w:rsid w:val="2AA90FA0"/>
    <w:rsid w:val="2AB53836"/>
    <w:rsid w:val="2B552F60"/>
    <w:rsid w:val="2BB367B9"/>
    <w:rsid w:val="2C184D47"/>
    <w:rsid w:val="2C641811"/>
    <w:rsid w:val="2C796A89"/>
    <w:rsid w:val="2CBC76CF"/>
    <w:rsid w:val="2CBD3A96"/>
    <w:rsid w:val="2CC74339"/>
    <w:rsid w:val="2CCE1414"/>
    <w:rsid w:val="2CF93ABF"/>
    <w:rsid w:val="2D1E27A3"/>
    <w:rsid w:val="2D766528"/>
    <w:rsid w:val="2E6A704D"/>
    <w:rsid w:val="2E8A6255"/>
    <w:rsid w:val="2F0B1048"/>
    <w:rsid w:val="2F141AAA"/>
    <w:rsid w:val="2FF23F99"/>
    <w:rsid w:val="30236367"/>
    <w:rsid w:val="30331BC6"/>
    <w:rsid w:val="303E7E03"/>
    <w:rsid w:val="304A182B"/>
    <w:rsid w:val="30757C00"/>
    <w:rsid w:val="307D5D65"/>
    <w:rsid w:val="30B34CE3"/>
    <w:rsid w:val="30CB1C83"/>
    <w:rsid w:val="31832D29"/>
    <w:rsid w:val="31D20CDE"/>
    <w:rsid w:val="31F37E23"/>
    <w:rsid w:val="32223DC6"/>
    <w:rsid w:val="328F517C"/>
    <w:rsid w:val="329032EF"/>
    <w:rsid w:val="329970EF"/>
    <w:rsid w:val="32A97FCE"/>
    <w:rsid w:val="32B35AAA"/>
    <w:rsid w:val="334459AC"/>
    <w:rsid w:val="33705A64"/>
    <w:rsid w:val="342645AD"/>
    <w:rsid w:val="34335C8F"/>
    <w:rsid w:val="34617CD8"/>
    <w:rsid w:val="34731A2E"/>
    <w:rsid w:val="34A61339"/>
    <w:rsid w:val="34F3793E"/>
    <w:rsid w:val="35185DCE"/>
    <w:rsid w:val="35574E9C"/>
    <w:rsid w:val="35712E34"/>
    <w:rsid w:val="35ED793B"/>
    <w:rsid w:val="366C082D"/>
    <w:rsid w:val="36C90DD1"/>
    <w:rsid w:val="370156BB"/>
    <w:rsid w:val="3703397C"/>
    <w:rsid w:val="37704489"/>
    <w:rsid w:val="37925427"/>
    <w:rsid w:val="37A55DCC"/>
    <w:rsid w:val="37B86AE0"/>
    <w:rsid w:val="37CA04FF"/>
    <w:rsid w:val="394C68A5"/>
    <w:rsid w:val="395E479A"/>
    <w:rsid w:val="39A36C2D"/>
    <w:rsid w:val="39AA29B9"/>
    <w:rsid w:val="39C9079C"/>
    <w:rsid w:val="39E71AEC"/>
    <w:rsid w:val="39F60058"/>
    <w:rsid w:val="3A104089"/>
    <w:rsid w:val="3AB8426E"/>
    <w:rsid w:val="3ACF765C"/>
    <w:rsid w:val="3AD278CD"/>
    <w:rsid w:val="3AF477B7"/>
    <w:rsid w:val="3AFA4BE5"/>
    <w:rsid w:val="3B144639"/>
    <w:rsid w:val="3B2A44B8"/>
    <w:rsid w:val="3B2B6476"/>
    <w:rsid w:val="3BBC038E"/>
    <w:rsid w:val="3C265339"/>
    <w:rsid w:val="3C852047"/>
    <w:rsid w:val="3CA13116"/>
    <w:rsid w:val="3CA925AE"/>
    <w:rsid w:val="3CEF044F"/>
    <w:rsid w:val="3CF877AB"/>
    <w:rsid w:val="3D306CB2"/>
    <w:rsid w:val="3D667959"/>
    <w:rsid w:val="3D8230F2"/>
    <w:rsid w:val="3D886E2C"/>
    <w:rsid w:val="3DD83D60"/>
    <w:rsid w:val="3E044CAE"/>
    <w:rsid w:val="3EAD4174"/>
    <w:rsid w:val="3EAD7F9C"/>
    <w:rsid w:val="3EB32892"/>
    <w:rsid w:val="3EBC3336"/>
    <w:rsid w:val="3F064AE9"/>
    <w:rsid w:val="3F3B0C43"/>
    <w:rsid w:val="3F403E42"/>
    <w:rsid w:val="3F4C62B0"/>
    <w:rsid w:val="3F5160C2"/>
    <w:rsid w:val="3F722D17"/>
    <w:rsid w:val="3FA52D17"/>
    <w:rsid w:val="402A34B8"/>
    <w:rsid w:val="40360CD1"/>
    <w:rsid w:val="40613E30"/>
    <w:rsid w:val="40695311"/>
    <w:rsid w:val="40736573"/>
    <w:rsid w:val="409B4A07"/>
    <w:rsid w:val="40F66678"/>
    <w:rsid w:val="4120577A"/>
    <w:rsid w:val="4167053C"/>
    <w:rsid w:val="41D11E76"/>
    <w:rsid w:val="41FD121E"/>
    <w:rsid w:val="421A7627"/>
    <w:rsid w:val="4233112B"/>
    <w:rsid w:val="4317144C"/>
    <w:rsid w:val="431D6DF9"/>
    <w:rsid w:val="43702851"/>
    <w:rsid w:val="4424604A"/>
    <w:rsid w:val="444D69A7"/>
    <w:rsid w:val="445014AB"/>
    <w:rsid w:val="451062CC"/>
    <w:rsid w:val="454F0B76"/>
    <w:rsid w:val="456A38D2"/>
    <w:rsid w:val="457E2BBE"/>
    <w:rsid w:val="45E076C0"/>
    <w:rsid w:val="4662498C"/>
    <w:rsid w:val="46932DCC"/>
    <w:rsid w:val="46A022D9"/>
    <w:rsid w:val="46A9554B"/>
    <w:rsid w:val="46BE1A6C"/>
    <w:rsid w:val="471B3499"/>
    <w:rsid w:val="48037A8A"/>
    <w:rsid w:val="48377D23"/>
    <w:rsid w:val="486634EE"/>
    <w:rsid w:val="48807890"/>
    <w:rsid w:val="48A64B98"/>
    <w:rsid w:val="48BC156D"/>
    <w:rsid w:val="48F765BE"/>
    <w:rsid w:val="49320F23"/>
    <w:rsid w:val="49725A8E"/>
    <w:rsid w:val="49BA4546"/>
    <w:rsid w:val="49C62B19"/>
    <w:rsid w:val="49DD73AE"/>
    <w:rsid w:val="49F95BD6"/>
    <w:rsid w:val="4A2D058F"/>
    <w:rsid w:val="4AD703A4"/>
    <w:rsid w:val="4B86504E"/>
    <w:rsid w:val="4BD07B58"/>
    <w:rsid w:val="4C3176AB"/>
    <w:rsid w:val="4C6E278E"/>
    <w:rsid w:val="4CF73C3A"/>
    <w:rsid w:val="4D7251FF"/>
    <w:rsid w:val="4E472C92"/>
    <w:rsid w:val="4E9D5C2D"/>
    <w:rsid w:val="4EBA57C1"/>
    <w:rsid w:val="4EEF6CFA"/>
    <w:rsid w:val="4FA91AAC"/>
    <w:rsid w:val="4FBD0FF5"/>
    <w:rsid w:val="4FC854D7"/>
    <w:rsid w:val="500764A6"/>
    <w:rsid w:val="50142DE1"/>
    <w:rsid w:val="5015687B"/>
    <w:rsid w:val="501926CA"/>
    <w:rsid w:val="505E3D68"/>
    <w:rsid w:val="5094143C"/>
    <w:rsid w:val="509C7E88"/>
    <w:rsid w:val="516A440A"/>
    <w:rsid w:val="51791341"/>
    <w:rsid w:val="51C42E16"/>
    <w:rsid w:val="525351F4"/>
    <w:rsid w:val="525A6FBC"/>
    <w:rsid w:val="526C0997"/>
    <w:rsid w:val="533D33D1"/>
    <w:rsid w:val="53670B33"/>
    <w:rsid w:val="53775B6A"/>
    <w:rsid w:val="53D43855"/>
    <w:rsid w:val="53EE1101"/>
    <w:rsid w:val="53FC4E8E"/>
    <w:rsid w:val="541717DC"/>
    <w:rsid w:val="546A6D9B"/>
    <w:rsid w:val="553C46BA"/>
    <w:rsid w:val="55494082"/>
    <w:rsid w:val="557D5B60"/>
    <w:rsid w:val="55834A19"/>
    <w:rsid w:val="55F526C6"/>
    <w:rsid w:val="56066DC9"/>
    <w:rsid w:val="5617649D"/>
    <w:rsid w:val="564E1228"/>
    <w:rsid w:val="56A6131D"/>
    <w:rsid w:val="56A82B00"/>
    <w:rsid w:val="56BC5AD0"/>
    <w:rsid w:val="56D00C68"/>
    <w:rsid w:val="570B72E2"/>
    <w:rsid w:val="572E57DC"/>
    <w:rsid w:val="57895A45"/>
    <w:rsid w:val="57C5313B"/>
    <w:rsid w:val="57D807D4"/>
    <w:rsid w:val="57EA7969"/>
    <w:rsid w:val="58750691"/>
    <w:rsid w:val="58AB575D"/>
    <w:rsid w:val="5927707A"/>
    <w:rsid w:val="59445F91"/>
    <w:rsid w:val="59815208"/>
    <w:rsid w:val="59F001A4"/>
    <w:rsid w:val="5A1E2DE7"/>
    <w:rsid w:val="5B123FA7"/>
    <w:rsid w:val="5B1F1F06"/>
    <w:rsid w:val="5B2936A6"/>
    <w:rsid w:val="5B613C0E"/>
    <w:rsid w:val="5BCA6564"/>
    <w:rsid w:val="5C1E3775"/>
    <w:rsid w:val="5C381264"/>
    <w:rsid w:val="5C672644"/>
    <w:rsid w:val="5C8132C7"/>
    <w:rsid w:val="5CA23A25"/>
    <w:rsid w:val="5CC26330"/>
    <w:rsid w:val="5CD67F41"/>
    <w:rsid w:val="5D017C51"/>
    <w:rsid w:val="5D463591"/>
    <w:rsid w:val="5D4F2A78"/>
    <w:rsid w:val="5D792AE4"/>
    <w:rsid w:val="5E2F58D3"/>
    <w:rsid w:val="5E5A06FD"/>
    <w:rsid w:val="5E9342EC"/>
    <w:rsid w:val="5EC777C7"/>
    <w:rsid w:val="5F1E4EC5"/>
    <w:rsid w:val="5F3815EE"/>
    <w:rsid w:val="5F57661A"/>
    <w:rsid w:val="5F5C32D6"/>
    <w:rsid w:val="600E788A"/>
    <w:rsid w:val="604130CF"/>
    <w:rsid w:val="60794FD4"/>
    <w:rsid w:val="60814FEF"/>
    <w:rsid w:val="60D32F5A"/>
    <w:rsid w:val="610E2B4C"/>
    <w:rsid w:val="61B72725"/>
    <w:rsid w:val="61DE43D4"/>
    <w:rsid w:val="61E06967"/>
    <w:rsid w:val="624216A0"/>
    <w:rsid w:val="626736F9"/>
    <w:rsid w:val="628E1BE9"/>
    <w:rsid w:val="62D06FF9"/>
    <w:rsid w:val="62D765EB"/>
    <w:rsid w:val="636B22CC"/>
    <w:rsid w:val="63B65AC7"/>
    <w:rsid w:val="63D7428B"/>
    <w:rsid w:val="640C4C0D"/>
    <w:rsid w:val="645830D7"/>
    <w:rsid w:val="647258C3"/>
    <w:rsid w:val="64AA2E73"/>
    <w:rsid w:val="64E8446E"/>
    <w:rsid w:val="65376B47"/>
    <w:rsid w:val="654042F5"/>
    <w:rsid w:val="654F50D9"/>
    <w:rsid w:val="660447CA"/>
    <w:rsid w:val="665622BC"/>
    <w:rsid w:val="665E5759"/>
    <w:rsid w:val="666C4EE6"/>
    <w:rsid w:val="66FB0FDC"/>
    <w:rsid w:val="66FC5AFF"/>
    <w:rsid w:val="67BA7741"/>
    <w:rsid w:val="680D0CA5"/>
    <w:rsid w:val="68A45648"/>
    <w:rsid w:val="68A5668C"/>
    <w:rsid w:val="6911241F"/>
    <w:rsid w:val="69145B6D"/>
    <w:rsid w:val="69B67115"/>
    <w:rsid w:val="69D346ED"/>
    <w:rsid w:val="69EF53B4"/>
    <w:rsid w:val="6A126DD2"/>
    <w:rsid w:val="6A29023E"/>
    <w:rsid w:val="6A420E56"/>
    <w:rsid w:val="6A924E32"/>
    <w:rsid w:val="6A94008C"/>
    <w:rsid w:val="6AE60947"/>
    <w:rsid w:val="6B0B374F"/>
    <w:rsid w:val="6B1F0CCB"/>
    <w:rsid w:val="6B6234E5"/>
    <w:rsid w:val="6BBD11F5"/>
    <w:rsid w:val="6BD12800"/>
    <w:rsid w:val="6C5E02FC"/>
    <w:rsid w:val="6C721812"/>
    <w:rsid w:val="6C8B0F52"/>
    <w:rsid w:val="6C967106"/>
    <w:rsid w:val="6CBA09BC"/>
    <w:rsid w:val="6CDD0DD0"/>
    <w:rsid w:val="6D0127E4"/>
    <w:rsid w:val="6D19028F"/>
    <w:rsid w:val="6D1C168A"/>
    <w:rsid w:val="6D3668DD"/>
    <w:rsid w:val="6DB941BD"/>
    <w:rsid w:val="6E5F1098"/>
    <w:rsid w:val="6EA41FA2"/>
    <w:rsid w:val="6F381CAC"/>
    <w:rsid w:val="6F9C6902"/>
    <w:rsid w:val="6FA0729C"/>
    <w:rsid w:val="70100CA2"/>
    <w:rsid w:val="70393572"/>
    <w:rsid w:val="70A24D48"/>
    <w:rsid w:val="70BA64EF"/>
    <w:rsid w:val="70C900DF"/>
    <w:rsid w:val="71326D32"/>
    <w:rsid w:val="713623DF"/>
    <w:rsid w:val="7136341A"/>
    <w:rsid w:val="715A596A"/>
    <w:rsid w:val="717C247D"/>
    <w:rsid w:val="71816B8E"/>
    <w:rsid w:val="71832D29"/>
    <w:rsid w:val="71907818"/>
    <w:rsid w:val="71E95916"/>
    <w:rsid w:val="7250588C"/>
    <w:rsid w:val="726F5278"/>
    <w:rsid w:val="727E786A"/>
    <w:rsid w:val="72AE5E1C"/>
    <w:rsid w:val="72BD0544"/>
    <w:rsid w:val="72C0472D"/>
    <w:rsid w:val="72D11D5C"/>
    <w:rsid w:val="72E85DAD"/>
    <w:rsid w:val="730B14BE"/>
    <w:rsid w:val="732303D9"/>
    <w:rsid w:val="73532CC9"/>
    <w:rsid w:val="744975DD"/>
    <w:rsid w:val="746920A5"/>
    <w:rsid w:val="74DE73F5"/>
    <w:rsid w:val="755169C7"/>
    <w:rsid w:val="75B633C7"/>
    <w:rsid w:val="75D07F8B"/>
    <w:rsid w:val="75EE5669"/>
    <w:rsid w:val="76957051"/>
    <w:rsid w:val="773934D8"/>
    <w:rsid w:val="773E064E"/>
    <w:rsid w:val="774E1211"/>
    <w:rsid w:val="777B71D8"/>
    <w:rsid w:val="77A54D53"/>
    <w:rsid w:val="77FC6767"/>
    <w:rsid w:val="781A0BEC"/>
    <w:rsid w:val="78202415"/>
    <w:rsid w:val="78213FC9"/>
    <w:rsid w:val="78701D9C"/>
    <w:rsid w:val="7A0C1011"/>
    <w:rsid w:val="7A0E7A81"/>
    <w:rsid w:val="7A321CDB"/>
    <w:rsid w:val="7A6E32C8"/>
    <w:rsid w:val="7AC900CF"/>
    <w:rsid w:val="7AD62293"/>
    <w:rsid w:val="7B052FBD"/>
    <w:rsid w:val="7B5A5A6C"/>
    <w:rsid w:val="7B5C250E"/>
    <w:rsid w:val="7B6D0F87"/>
    <w:rsid w:val="7B783FD8"/>
    <w:rsid w:val="7B8A4F77"/>
    <w:rsid w:val="7B9A3DB8"/>
    <w:rsid w:val="7BF20E1E"/>
    <w:rsid w:val="7C9408F4"/>
    <w:rsid w:val="7CB90CC2"/>
    <w:rsid w:val="7CFB2CE9"/>
    <w:rsid w:val="7D212CA5"/>
    <w:rsid w:val="7D255EE2"/>
    <w:rsid w:val="7D293184"/>
    <w:rsid w:val="7D69777E"/>
    <w:rsid w:val="7DB34706"/>
    <w:rsid w:val="7E1A0A9F"/>
    <w:rsid w:val="7E3C401A"/>
    <w:rsid w:val="7E641213"/>
    <w:rsid w:val="7EF34773"/>
    <w:rsid w:val="7F0D08DC"/>
    <w:rsid w:val="7F4029E3"/>
    <w:rsid w:val="7F714EE5"/>
    <w:rsid w:val="7F7F2734"/>
    <w:rsid w:val="7FA63F96"/>
    <w:rsid w:val="7FB9287C"/>
    <w:rsid w:val="7FCC47FD"/>
    <w:rsid w:val="7FFB1B6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9"/>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4"/>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3"/>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88"/>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5"/>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5"/>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7"/>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69"/>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0">
    <w:name w:val="Default Paragraph Font"/>
    <w:unhideWhenUsed/>
    <w:qFormat/>
    <w:uiPriority w:val="1"/>
  </w:style>
  <w:style w:type="table" w:default="1" w:styleId="47">
    <w:name w:val="Normal Table"/>
    <w:unhideWhenUsed/>
    <w:qFormat/>
    <w:uiPriority w:val="99"/>
    <w:tblPr>
      <w:tblLayout w:type="fixed"/>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annotation subject"/>
    <w:basedOn w:val="12"/>
    <w:next w:val="12"/>
    <w:link w:val="64"/>
    <w:qFormat/>
    <w:uiPriority w:val="0"/>
    <w:rPr>
      <w:b/>
      <w:bCs/>
    </w:rPr>
  </w:style>
  <w:style w:type="paragraph" w:styleId="12">
    <w:name w:val="annotation text"/>
    <w:basedOn w:val="1"/>
    <w:link w:val="54"/>
    <w:unhideWhenUsed/>
    <w:qFormat/>
    <w:uiPriority w:val="99"/>
    <w:pPr>
      <w:jc w:val="left"/>
    </w:pPr>
    <w:rPr>
      <w:kern w:val="0"/>
      <w:sz w:val="20"/>
    </w:rPr>
  </w:style>
  <w:style w:type="paragraph" w:styleId="13">
    <w:name w:val="toc 7"/>
    <w:basedOn w:val="1"/>
    <w:next w:val="1"/>
    <w:qFormat/>
    <w:uiPriority w:val="39"/>
    <w:pPr>
      <w:ind w:left="1260"/>
      <w:jc w:val="left"/>
    </w:pPr>
    <w:rPr>
      <w:rFonts w:ascii="Calibri" w:hAnsi="Calibri"/>
      <w:sz w:val="18"/>
      <w:szCs w:val="18"/>
    </w:rPr>
  </w:style>
  <w:style w:type="paragraph" w:styleId="14">
    <w:name w:val="Normal Indent"/>
    <w:basedOn w:val="1"/>
    <w:link w:val="65"/>
    <w:qFormat/>
    <w:uiPriority w:val="0"/>
    <w:pPr>
      <w:ind w:firstLine="420" w:firstLineChars="200"/>
    </w:pPr>
  </w:style>
  <w:style w:type="paragraph" w:styleId="15">
    <w:name w:val="Document Map"/>
    <w:basedOn w:val="1"/>
    <w:link w:val="72"/>
    <w:qFormat/>
    <w:uiPriority w:val="0"/>
    <w:pPr>
      <w:shd w:val="clear" w:color="auto" w:fill="000080"/>
    </w:pPr>
    <w:rPr>
      <w:kern w:val="0"/>
      <w:sz w:val="20"/>
    </w:rPr>
  </w:style>
  <w:style w:type="paragraph" w:styleId="16">
    <w:name w:val="Body Text 3"/>
    <w:basedOn w:val="1"/>
    <w:link w:val="58"/>
    <w:qFormat/>
    <w:uiPriority w:val="0"/>
    <w:rPr>
      <w:rFonts w:ascii="宋体"/>
      <w:kern w:val="0"/>
      <w:sz w:val="24"/>
      <w:szCs w:val="20"/>
    </w:rPr>
  </w:style>
  <w:style w:type="paragraph" w:styleId="17">
    <w:name w:val="Body Text"/>
    <w:basedOn w:val="1"/>
    <w:link w:val="61"/>
    <w:qFormat/>
    <w:uiPriority w:val="0"/>
    <w:pPr>
      <w:spacing w:after="120"/>
    </w:pPr>
    <w:rPr>
      <w:kern w:val="0"/>
      <w:sz w:val="20"/>
    </w:rPr>
  </w:style>
  <w:style w:type="paragraph" w:styleId="18">
    <w:name w:val="Body Text Indent"/>
    <w:basedOn w:val="1"/>
    <w:link w:val="71"/>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4"/>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78"/>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Balloon Text"/>
    <w:basedOn w:val="1"/>
    <w:link w:val="76"/>
    <w:qFormat/>
    <w:uiPriority w:val="0"/>
    <w:rPr>
      <w:kern w:val="0"/>
      <w:sz w:val="18"/>
      <w:szCs w:val="18"/>
    </w:rPr>
  </w:style>
  <w:style w:type="paragraph" w:styleId="27">
    <w:name w:val="footer"/>
    <w:basedOn w:val="1"/>
    <w:link w:val="90"/>
    <w:qFormat/>
    <w:uiPriority w:val="99"/>
    <w:pPr>
      <w:tabs>
        <w:tab w:val="center" w:pos="4153"/>
        <w:tab w:val="right" w:pos="8306"/>
      </w:tabs>
      <w:snapToGrid w:val="0"/>
      <w:jc w:val="left"/>
    </w:pPr>
    <w:rPr>
      <w:kern w:val="0"/>
      <w:sz w:val="18"/>
      <w:szCs w:val="18"/>
    </w:rPr>
  </w:style>
  <w:style w:type="paragraph" w:styleId="28">
    <w:name w:val="header"/>
    <w:basedOn w:val="1"/>
    <w:link w:val="68"/>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2"/>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2"/>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5"/>
    <w:qFormat/>
    <w:uiPriority w:val="0"/>
    <w:pPr>
      <w:adjustRightInd w:val="0"/>
      <w:spacing w:before="240" w:after="60" w:line="420" w:lineRule="atLeast"/>
      <w:jc w:val="center"/>
      <w:textAlignment w:val="baseline"/>
      <w:outlineLvl w:val="0"/>
    </w:pPr>
    <w:rPr>
      <w:rFonts w:ascii="Arial" w:hAnsi="Arial"/>
      <w:b/>
      <w:kern w:val="0"/>
      <w:sz w:val="32"/>
      <w:szCs w:val="20"/>
    </w:rPr>
  </w:style>
  <w:style w:type="character" w:styleId="41">
    <w:name w:val="Strong"/>
    <w:qFormat/>
    <w:uiPriority w:val="0"/>
    <w:rPr>
      <w:b/>
      <w:bCs/>
    </w:rPr>
  </w:style>
  <w:style w:type="character" w:styleId="42">
    <w:name w:val="page number"/>
    <w:qFormat/>
    <w:uiPriority w:val="0"/>
  </w:style>
  <w:style w:type="character" w:styleId="43">
    <w:name w:val="FollowedHyperlink"/>
    <w:qFormat/>
    <w:uiPriority w:val="0"/>
    <w:rPr>
      <w:rFonts w:hint="default" w:ascii="Arial" w:hAnsi="Arial" w:eastAsia="Arial" w:cs="Arial"/>
      <w:color w:val="333333"/>
      <w:sz w:val="21"/>
      <w:szCs w:val="21"/>
      <w:u w:val="none"/>
    </w:rPr>
  </w:style>
  <w:style w:type="character" w:styleId="44">
    <w:name w:val="Hyperlink"/>
    <w:qFormat/>
    <w:uiPriority w:val="99"/>
    <w:rPr>
      <w:rFonts w:ascii="Arial" w:hAnsi="Arial" w:eastAsia="Arial" w:cs="Arial"/>
      <w:color w:val="333333"/>
      <w:sz w:val="21"/>
      <w:szCs w:val="21"/>
      <w:u w:val="none"/>
    </w:rPr>
  </w:style>
  <w:style w:type="character" w:styleId="45">
    <w:name w:val="annotation reference"/>
    <w:qFormat/>
    <w:uiPriority w:val="0"/>
    <w:rPr>
      <w:sz w:val="21"/>
      <w:szCs w:val="21"/>
    </w:rPr>
  </w:style>
  <w:style w:type="character" w:styleId="46">
    <w:name w:val="footnote reference"/>
    <w:qFormat/>
    <w:uiPriority w:val="0"/>
    <w:rPr>
      <w:vertAlign w:val="superscript"/>
    </w:rPr>
  </w:style>
  <w:style w:type="table" w:styleId="48">
    <w:name w:val="Table Grid"/>
    <w:basedOn w:val="47"/>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49">
    <w:name w:val="apple-style-span"/>
    <w:qFormat/>
    <w:uiPriority w:val="0"/>
    <w:rPr>
      <w:rFonts w:ascii="Verdana" w:hAnsi="Verdana" w:eastAsia="宋体"/>
      <w:sz w:val="21"/>
      <w:lang w:val="en-US" w:eastAsia="en-US" w:bidi="ar-SA"/>
    </w:rPr>
  </w:style>
  <w:style w:type="character" w:customStyle="1" w:styleId="50">
    <w:name w:val="正文文本 3 Char1"/>
    <w:semiHidden/>
    <w:qFormat/>
    <w:uiPriority w:val="99"/>
    <w:rPr>
      <w:rFonts w:ascii="Times New Roman" w:hAnsi="Times New Roman" w:eastAsia="宋体" w:cs="Times New Roman"/>
      <w:sz w:val="16"/>
      <w:szCs w:val="16"/>
    </w:rPr>
  </w:style>
  <w:style w:type="character" w:customStyle="1" w:styleId="51">
    <w:name w:val="样式 宋体"/>
    <w:qFormat/>
    <w:uiPriority w:val="0"/>
    <w:rPr>
      <w:rFonts w:ascii="Times New Roman" w:hAnsi="Times New Roman" w:eastAsia="宋体"/>
      <w:sz w:val="21"/>
    </w:rPr>
  </w:style>
  <w:style w:type="character" w:customStyle="1" w:styleId="52">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3">
    <w:name w:val="标题 3 字符"/>
    <w:link w:val="5"/>
    <w:qFormat/>
    <w:uiPriority w:val="0"/>
    <w:rPr>
      <w:rFonts w:ascii="Times New Roman" w:hAnsi="Times New Roman" w:eastAsia="宋体" w:cs="Times New Roman"/>
      <w:b/>
      <w:bCs/>
      <w:sz w:val="32"/>
      <w:szCs w:val="32"/>
    </w:rPr>
  </w:style>
  <w:style w:type="character" w:customStyle="1" w:styleId="54">
    <w:name w:val="批注文字 字符"/>
    <w:link w:val="12"/>
    <w:semiHidden/>
    <w:qFormat/>
    <w:uiPriority w:val="99"/>
    <w:rPr>
      <w:rFonts w:ascii="Times New Roman" w:hAnsi="Times New Roman" w:eastAsia="宋体" w:cs="Times New Roman"/>
      <w:szCs w:val="24"/>
    </w:rPr>
  </w:style>
  <w:style w:type="character" w:customStyle="1" w:styleId="55">
    <w:name w:val="标题 6 字符"/>
    <w:link w:val="7"/>
    <w:qFormat/>
    <w:uiPriority w:val="0"/>
    <w:rPr>
      <w:rFonts w:ascii="Arial" w:hAnsi="Arial" w:eastAsia="黑体" w:cs="Times New Roman"/>
      <w:b/>
      <w:bCs/>
      <w:kern w:val="0"/>
      <w:sz w:val="24"/>
      <w:szCs w:val="24"/>
    </w:rPr>
  </w:style>
  <w:style w:type="character" w:customStyle="1" w:styleId="56">
    <w:name w:val="Char Char8"/>
    <w:qFormat/>
    <w:uiPriority w:val="0"/>
    <w:rPr>
      <w:rFonts w:ascii="Arial" w:hAnsi="Arial" w:eastAsia="黑体"/>
      <w:b/>
      <w:bCs/>
      <w:kern w:val="2"/>
      <w:sz w:val="32"/>
      <w:szCs w:val="32"/>
      <w:lang w:val="en-US" w:eastAsia="zh-CN" w:bidi="ar-SA"/>
    </w:rPr>
  </w:style>
  <w:style w:type="character" w:customStyle="1" w:styleId="57">
    <w:name w:val="脚注文本 Char1"/>
    <w:semiHidden/>
    <w:qFormat/>
    <w:uiPriority w:val="99"/>
    <w:rPr>
      <w:rFonts w:ascii="Times New Roman" w:hAnsi="Times New Roman" w:eastAsia="宋体" w:cs="Times New Roman"/>
      <w:sz w:val="18"/>
      <w:szCs w:val="18"/>
    </w:rPr>
  </w:style>
  <w:style w:type="character" w:customStyle="1" w:styleId="58">
    <w:name w:val="正文文本 3 字符"/>
    <w:link w:val="16"/>
    <w:qFormat/>
    <w:uiPriority w:val="0"/>
    <w:rPr>
      <w:rFonts w:ascii="宋体"/>
      <w:sz w:val="24"/>
    </w:rPr>
  </w:style>
  <w:style w:type="character" w:customStyle="1" w:styleId="59">
    <w:name w:val="页脚 Char1"/>
    <w:semiHidden/>
    <w:qFormat/>
    <w:uiPriority w:val="99"/>
    <w:rPr>
      <w:rFonts w:ascii="Times New Roman" w:hAnsi="Times New Roman" w:eastAsia="宋体" w:cs="Times New Roman"/>
      <w:sz w:val="18"/>
      <w:szCs w:val="18"/>
    </w:rPr>
  </w:style>
  <w:style w:type="character" w:customStyle="1" w:styleId="60">
    <w:name w:val="标题 Char1"/>
    <w:qFormat/>
    <w:uiPriority w:val="10"/>
    <w:rPr>
      <w:rFonts w:ascii="Calibri Light" w:hAnsi="Calibri Light" w:eastAsia="宋体" w:cs="Times New Roman"/>
      <w:b/>
      <w:bCs/>
      <w:sz w:val="32"/>
      <w:szCs w:val="32"/>
    </w:rPr>
  </w:style>
  <w:style w:type="character" w:customStyle="1" w:styleId="61">
    <w:name w:val="正文文本 字符"/>
    <w:link w:val="17"/>
    <w:qFormat/>
    <w:uiPriority w:val="0"/>
    <w:rPr>
      <w:rFonts w:eastAsia="宋体"/>
      <w:szCs w:val="24"/>
    </w:rPr>
  </w:style>
  <w:style w:type="character" w:customStyle="1" w:styleId="62">
    <w:name w:val="脚注文本 字符"/>
    <w:link w:val="30"/>
    <w:qFormat/>
    <w:uiPriority w:val="0"/>
    <w:rPr>
      <w:rFonts w:eastAsia="宋体"/>
    </w:rPr>
  </w:style>
  <w:style w:type="character" w:customStyle="1" w:styleId="63">
    <w:name w:val="纯文本 Char1"/>
    <w:semiHidden/>
    <w:qFormat/>
    <w:uiPriority w:val="99"/>
    <w:rPr>
      <w:rFonts w:ascii="宋体" w:hAnsi="Courier New" w:eastAsia="宋体" w:cs="Courier New"/>
      <w:szCs w:val="21"/>
    </w:rPr>
  </w:style>
  <w:style w:type="character" w:customStyle="1" w:styleId="64">
    <w:name w:val="批注主题 字符"/>
    <w:link w:val="11"/>
    <w:qFormat/>
    <w:uiPriority w:val="0"/>
    <w:rPr>
      <w:rFonts w:ascii="Times New Roman" w:hAnsi="Times New Roman" w:eastAsia="宋体" w:cs="Times New Roman"/>
      <w:b/>
      <w:bCs/>
      <w:szCs w:val="24"/>
    </w:rPr>
  </w:style>
  <w:style w:type="character" w:customStyle="1" w:styleId="65">
    <w:name w:val="正文缩进 字符"/>
    <w:link w:val="14"/>
    <w:qFormat/>
    <w:locked/>
    <w:uiPriority w:val="0"/>
    <w:rPr>
      <w:kern w:val="2"/>
      <w:sz w:val="21"/>
      <w:szCs w:val="24"/>
    </w:rPr>
  </w:style>
  <w:style w:type="character" w:customStyle="1" w:styleId="66">
    <w:name w:val="font11"/>
    <w:qFormat/>
    <w:uiPriority w:val="0"/>
    <w:rPr>
      <w:rFonts w:hint="default" w:ascii="Times New Roman" w:hAnsi="Times New Roman" w:cs="Times New Roman"/>
      <w:color w:val="000000"/>
      <w:sz w:val="22"/>
      <w:szCs w:val="22"/>
      <w:u w:val="none"/>
    </w:rPr>
  </w:style>
  <w:style w:type="character" w:customStyle="1" w:styleId="67">
    <w:name w:val="font01"/>
    <w:qFormat/>
    <w:uiPriority w:val="0"/>
    <w:rPr>
      <w:rFonts w:hint="eastAsia" w:ascii="宋体" w:hAnsi="宋体" w:eastAsia="宋体" w:cs="宋体"/>
      <w:color w:val="000000"/>
      <w:sz w:val="22"/>
      <w:szCs w:val="22"/>
      <w:u w:val="none"/>
    </w:rPr>
  </w:style>
  <w:style w:type="character" w:customStyle="1" w:styleId="68">
    <w:name w:val="页眉 字符"/>
    <w:link w:val="28"/>
    <w:qFormat/>
    <w:uiPriority w:val="0"/>
    <w:rPr>
      <w:rFonts w:ascii="Times New Roman" w:hAnsi="Times New Roman" w:eastAsia="宋体" w:cs="Times New Roman"/>
      <w:sz w:val="18"/>
      <w:szCs w:val="18"/>
    </w:rPr>
  </w:style>
  <w:style w:type="character" w:customStyle="1" w:styleId="69">
    <w:name w:val="标题 9 字符"/>
    <w:link w:val="10"/>
    <w:qFormat/>
    <w:uiPriority w:val="0"/>
    <w:rPr>
      <w:rFonts w:ascii="Arial" w:hAnsi="Arial" w:eastAsia="黑体" w:cs="Times New Roman"/>
      <w:kern w:val="0"/>
      <w:szCs w:val="21"/>
    </w:rPr>
  </w:style>
  <w:style w:type="character" w:customStyle="1" w:styleId="70">
    <w:name w:val="标题 2 Char1"/>
    <w:qFormat/>
    <w:uiPriority w:val="0"/>
    <w:rPr>
      <w:rFonts w:ascii="Arial" w:hAnsi="Arial" w:eastAsia="黑体" w:cs="Times New Roman"/>
      <w:b/>
      <w:bCs/>
      <w:sz w:val="32"/>
      <w:szCs w:val="32"/>
      <w:lang w:val="en-US" w:eastAsia="en-US" w:bidi="ar-SA"/>
    </w:rPr>
  </w:style>
  <w:style w:type="character" w:customStyle="1" w:styleId="71">
    <w:name w:val="正文文本缩进 字符"/>
    <w:link w:val="18"/>
    <w:qFormat/>
    <w:uiPriority w:val="0"/>
    <w:rPr>
      <w:szCs w:val="24"/>
    </w:rPr>
  </w:style>
  <w:style w:type="character" w:customStyle="1" w:styleId="72">
    <w:name w:val="文档结构图 字符"/>
    <w:link w:val="15"/>
    <w:qFormat/>
    <w:uiPriority w:val="0"/>
    <w:rPr>
      <w:rFonts w:ascii="Times New Roman" w:hAnsi="Times New Roman" w:eastAsia="宋体" w:cs="Times New Roman"/>
      <w:szCs w:val="24"/>
      <w:shd w:val="clear" w:color="auto" w:fill="000080"/>
    </w:rPr>
  </w:style>
  <w:style w:type="character" w:customStyle="1" w:styleId="73">
    <w:name w:val="font161"/>
    <w:qFormat/>
    <w:uiPriority w:val="0"/>
    <w:rPr>
      <w:b/>
      <w:bCs/>
      <w:sz w:val="32"/>
      <w:szCs w:val="32"/>
    </w:rPr>
  </w:style>
  <w:style w:type="character" w:customStyle="1" w:styleId="74">
    <w:name w:val="标题 2 字符"/>
    <w:link w:val="4"/>
    <w:qFormat/>
    <w:uiPriority w:val="0"/>
    <w:rPr>
      <w:rFonts w:ascii="Arial" w:hAnsi="Arial" w:eastAsia="黑体" w:cs="Times New Roman"/>
      <w:b/>
      <w:bCs/>
      <w:sz w:val="32"/>
      <w:szCs w:val="32"/>
    </w:rPr>
  </w:style>
  <w:style w:type="character" w:customStyle="1" w:styleId="75">
    <w:name w:val="标题 字符"/>
    <w:link w:val="39"/>
    <w:qFormat/>
    <w:uiPriority w:val="0"/>
    <w:rPr>
      <w:rFonts w:ascii="Arial" w:hAnsi="Arial"/>
      <w:b/>
      <w:sz w:val="32"/>
    </w:rPr>
  </w:style>
  <w:style w:type="character" w:customStyle="1" w:styleId="76">
    <w:name w:val="批注框文本 字符"/>
    <w:link w:val="26"/>
    <w:qFormat/>
    <w:uiPriority w:val="0"/>
    <w:rPr>
      <w:rFonts w:ascii="Times New Roman" w:hAnsi="Times New Roman" w:eastAsia="宋体" w:cs="Times New Roman"/>
      <w:sz w:val="18"/>
      <w:szCs w:val="18"/>
    </w:rPr>
  </w:style>
  <w:style w:type="character" w:customStyle="1" w:styleId="77">
    <w:name w:val="标题 8 字符"/>
    <w:link w:val="9"/>
    <w:qFormat/>
    <w:uiPriority w:val="0"/>
    <w:rPr>
      <w:rFonts w:ascii="Arial" w:hAnsi="Arial" w:eastAsia="黑体" w:cs="Times New Roman"/>
      <w:kern w:val="0"/>
      <w:sz w:val="24"/>
      <w:szCs w:val="24"/>
    </w:rPr>
  </w:style>
  <w:style w:type="character" w:customStyle="1" w:styleId="78">
    <w:name w:val="日期 字符"/>
    <w:link w:val="24"/>
    <w:qFormat/>
    <w:uiPriority w:val="0"/>
    <w:rPr>
      <w:rFonts w:ascii="Times New Roman" w:hAnsi="Times New Roman" w:eastAsia="宋体" w:cs="Times New Roman"/>
      <w:sz w:val="24"/>
      <w:szCs w:val="20"/>
    </w:rPr>
  </w:style>
  <w:style w:type="character" w:customStyle="1" w:styleId="79">
    <w:name w:val="标题 1 字符"/>
    <w:link w:val="3"/>
    <w:qFormat/>
    <w:uiPriority w:val="0"/>
    <w:rPr>
      <w:rFonts w:ascii="Times New Roman" w:hAnsi="Times New Roman" w:eastAsia="宋体" w:cs="Times New Roman"/>
      <w:b/>
      <w:bCs/>
      <w:kern w:val="44"/>
      <w:sz w:val="44"/>
      <w:szCs w:val="44"/>
    </w:rPr>
  </w:style>
  <w:style w:type="character" w:customStyle="1" w:styleId="80">
    <w:name w:val="招标节 Char"/>
    <w:link w:val="81"/>
    <w:qFormat/>
    <w:locked/>
    <w:uiPriority w:val="0"/>
    <w:rPr>
      <w:b/>
      <w:sz w:val="24"/>
      <w:szCs w:val="24"/>
    </w:rPr>
  </w:style>
  <w:style w:type="paragraph" w:customStyle="1" w:styleId="81">
    <w:name w:val="招标节"/>
    <w:basedOn w:val="1"/>
    <w:next w:val="1"/>
    <w:link w:val="80"/>
    <w:qFormat/>
    <w:uiPriority w:val="0"/>
    <w:pPr>
      <w:spacing w:beforeLines="50" w:afterLines="50"/>
      <w:outlineLvl w:val="1"/>
    </w:pPr>
    <w:rPr>
      <w:b/>
      <w:kern w:val="0"/>
      <w:sz w:val="24"/>
    </w:rPr>
  </w:style>
  <w:style w:type="character" w:customStyle="1" w:styleId="82">
    <w:name w:val="正文文本缩进 3 字符"/>
    <w:link w:val="32"/>
    <w:qFormat/>
    <w:uiPriority w:val="0"/>
    <w:rPr>
      <w:rFonts w:ascii="Times New Roman" w:hAnsi="Times New Roman" w:eastAsia="宋体" w:cs="Times New Roman"/>
      <w:sz w:val="16"/>
      <w:szCs w:val="16"/>
    </w:rPr>
  </w:style>
  <w:style w:type="character" w:customStyle="1" w:styleId="83">
    <w:name w:val="tpc_content1"/>
    <w:qFormat/>
    <w:uiPriority w:val="0"/>
    <w:rPr>
      <w:sz w:val="20"/>
      <w:szCs w:val="20"/>
    </w:rPr>
  </w:style>
  <w:style w:type="character" w:customStyle="1" w:styleId="84">
    <w:name w:val="Char Char"/>
    <w:qFormat/>
    <w:uiPriority w:val="0"/>
    <w:rPr>
      <w:rFonts w:ascii="Arial" w:hAnsi="Arial" w:eastAsia="黑体"/>
      <w:b/>
      <w:bCs/>
      <w:kern w:val="2"/>
      <w:sz w:val="32"/>
      <w:szCs w:val="32"/>
      <w:lang w:val="en-US" w:eastAsia="zh-CN" w:bidi="ar-SA"/>
    </w:rPr>
  </w:style>
  <w:style w:type="character" w:customStyle="1" w:styleId="85">
    <w:name w:val="正文文本 Char1"/>
    <w:semiHidden/>
    <w:qFormat/>
    <w:uiPriority w:val="99"/>
    <w:rPr>
      <w:rFonts w:ascii="Times New Roman" w:hAnsi="Times New Roman" w:eastAsia="宋体" w:cs="Times New Roman"/>
      <w:szCs w:val="24"/>
    </w:rPr>
  </w:style>
  <w:style w:type="character" w:customStyle="1" w:styleId="86">
    <w:name w:val="Char Char2"/>
    <w:qFormat/>
    <w:uiPriority w:val="0"/>
    <w:rPr>
      <w:rFonts w:eastAsia="宋体"/>
      <w:kern w:val="2"/>
      <w:sz w:val="21"/>
      <w:szCs w:val="24"/>
      <w:lang w:val="en-US" w:eastAsia="zh-CN" w:bidi="ar-SA"/>
    </w:rPr>
  </w:style>
  <w:style w:type="character" w:customStyle="1" w:styleId="87">
    <w:name w:val="apple-converted-space"/>
    <w:qFormat/>
    <w:uiPriority w:val="0"/>
  </w:style>
  <w:style w:type="character" w:customStyle="1" w:styleId="88">
    <w:name w:val="标题 4 字符"/>
    <w:link w:val="6"/>
    <w:qFormat/>
    <w:uiPriority w:val="0"/>
    <w:rPr>
      <w:rFonts w:ascii="Arial" w:hAnsi="Arial" w:eastAsia="黑体" w:cs="Times New Roman"/>
      <w:b/>
      <w:bCs/>
      <w:sz w:val="28"/>
      <w:szCs w:val="28"/>
    </w:rPr>
  </w:style>
  <w:style w:type="character" w:customStyle="1" w:styleId="89">
    <w:name w:val="正文文本缩进 Char1"/>
    <w:semiHidden/>
    <w:qFormat/>
    <w:uiPriority w:val="99"/>
    <w:rPr>
      <w:rFonts w:ascii="Times New Roman" w:hAnsi="Times New Roman" w:eastAsia="宋体" w:cs="Times New Roman"/>
      <w:szCs w:val="24"/>
    </w:rPr>
  </w:style>
  <w:style w:type="character" w:customStyle="1" w:styleId="90">
    <w:name w:val="页脚 字符"/>
    <w:link w:val="27"/>
    <w:qFormat/>
    <w:uiPriority w:val="99"/>
    <w:rPr>
      <w:sz w:val="18"/>
      <w:szCs w:val="18"/>
    </w:rPr>
  </w:style>
  <w:style w:type="character" w:customStyle="1" w:styleId="91">
    <w:name w:val="Char Char7"/>
    <w:qFormat/>
    <w:uiPriority w:val="0"/>
    <w:rPr>
      <w:rFonts w:ascii="Arial" w:hAnsi="Arial" w:eastAsia="黑体"/>
      <w:b/>
      <w:bCs/>
      <w:kern w:val="2"/>
      <w:sz w:val="32"/>
      <w:szCs w:val="32"/>
      <w:lang w:val="en-US" w:eastAsia="zh-CN" w:bidi="ar-SA"/>
    </w:rPr>
  </w:style>
  <w:style w:type="character" w:customStyle="1" w:styleId="92">
    <w:name w:val="HTML 预设格式 字符"/>
    <w:link w:val="36"/>
    <w:qFormat/>
    <w:uiPriority w:val="0"/>
    <w:rPr>
      <w:rFonts w:ascii="微软雅黑" w:hAnsi="微软雅黑" w:eastAsia="微软雅黑" w:cs="Times New Roman"/>
      <w:kern w:val="0"/>
      <w:sz w:val="24"/>
      <w:szCs w:val="24"/>
    </w:rPr>
  </w:style>
  <w:style w:type="character" w:customStyle="1" w:styleId="93">
    <w:name w:val="批注文字 Char"/>
    <w:qFormat/>
    <w:uiPriority w:val="0"/>
    <w:rPr>
      <w:rFonts w:eastAsia="宋体"/>
      <w:kern w:val="2"/>
      <w:sz w:val="21"/>
      <w:szCs w:val="24"/>
      <w:lang w:val="en-US" w:eastAsia="zh-CN" w:bidi="ar-SA"/>
    </w:rPr>
  </w:style>
  <w:style w:type="character" w:customStyle="1" w:styleId="94">
    <w:name w:val="纯文本 字符"/>
    <w:link w:val="22"/>
    <w:qFormat/>
    <w:uiPriority w:val="99"/>
    <w:rPr>
      <w:rFonts w:ascii="Courier New" w:hAnsi="Courier New"/>
    </w:rPr>
  </w:style>
  <w:style w:type="character" w:customStyle="1" w:styleId="95">
    <w:name w:val="标题 7 字符"/>
    <w:link w:val="8"/>
    <w:qFormat/>
    <w:uiPriority w:val="0"/>
    <w:rPr>
      <w:rFonts w:ascii="Times New Roman" w:hAnsi="Times New Roman" w:eastAsia="宋体" w:cs="Times New Roman"/>
      <w:b/>
      <w:bCs/>
      <w:kern w:val="0"/>
      <w:sz w:val="24"/>
      <w:szCs w:val="24"/>
    </w:rPr>
  </w:style>
  <w:style w:type="paragraph" w:customStyle="1" w:styleId="96">
    <w:name w:val="样式4"/>
    <w:basedOn w:val="5"/>
    <w:qFormat/>
    <w:uiPriority w:val="0"/>
    <w:rPr>
      <w:rFonts w:eastAsia="Arial"/>
    </w:rPr>
  </w:style>
  <w:style w:type="paragraph" w:customStyle="1" w:styleId="97">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8">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font10"/>
    <w:basedOn w:val="1"/>
    <w:qFormat/>
    <w:uiPriority w:val="0"/>
    <w:pPr>
      <w:widowControl/>
      <w:spacing w:before="100" w:beforeAutospacing="1" w:after="100" w:afterAutospacing="1"/>
      <w:jc w:val="left"/>
    </w:pPr>
    <w:rPr>
      <w:kern w:val="0"/>
      <w:sz w:val="28"/>
      <w:szCs w:val="28"/>
    </w:rPr>
  </w:style>
  <w:style w:type="paragraph" w:customStyle="1" w:styleId="100">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样式1"/>
    <w:basedOn w:val="5"/>
    <w:qFormat/>
    <w:uiPriority w:val="0"/>
    <w:rPr>
      <w:rFonts w:eastAsia="Arial"/>
    </w:rPr>
  </w:style>
  <w:style w:type="paragraph" w:customStyle="1" w:styleId="103">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Char"/>
    <w:basedOn w:val="1"/>
    <w:qFormat/>
    <w:uiPriority w:val="0"/>
    <w:pPr>
      <w:tabs>
        <w:tab w:val="left" w:pos="360"/>
      </w:tabs>
    </w:pPr>
    <w:rPr>
      <w:sz w:val="24"/>
    </w:rPr>
  </w:style>
  <w:style w:type="paragraph" w:customStyle="1" w:styleId="106">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表格"/>
    <w:basedOn w:val="1"/>
    <w:qFormat/>
    <w:uiPriority w:val="0"/>
    <w:pPr>
      <w:jc w:val="center"/>
      <w:textAlignment w:val="center"/>
    </w:pPr>
    <w:rPr>
      <w:rFonts w:ascii="华文细黑" w:hAnsi="华文细黑"/>
      <w:kern w:val="0"/>
      <w:szCs w:val="20"/>
    </w:rPr>
  </w:style>
  <w:style w:type="paragraph" w:customStyle="1" w:styleId="108">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2">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列出段落1"/>
    <w:basedOn w:val="1"/>
    <w:qFormat/>
    <w:uiPriority w:val="34"/>
    <w:pPr>
      <w:ind w:firstLine="420" w:firstLineChars="200"/>
    </w:pPr>
    <w:rPr>
      <w:rFonts w:ascii="Calibri" w:hAnsi="Calibri"/>
      <w:szCs w:val="22"/>
    </w:rPr>
  </w:style>
  <w:style w:type="paragraph" w:customStyle="1" w:styleId="11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19">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2">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3">
    <w:name w:val="1"/>
    <w:basedOn w:val="1"/>
    <w:next w:val="1"/>
    <w:qFormat/>
    <w:uiPriority w:val="0"/>
  </w:style>
  <w:style w:type="paragraph" w:customStyle="1" w:styleId="124">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27">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8">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29">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样式3"/>
    <w:basedOn w:val="5"/>
    <w:qFormat/>
    <w:uiPriority w:val="0"/>
    <w:rPr>
      <w:rFonts w:eastAsia="Arial"/>
    </w:rPr>
  </w:style>
  <w:style w:type="paragraph" w:customStyle="1" w:styleId="131">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4">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6">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39">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0">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2">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4">
    <w:name w:val="第二"/>
    <w:basedOn w:val="1"/>
    <w:qFormat/>
    <w:uiPriority w:val="0"/>
    <w:pPr>
      <w:adjustRightInd w:val="0"/>
      <w:snapToGrid w:val="0"/>
      <w:spacing w:line="360" w:lineRule="auto"/>
      <w:ind w:right="-108" w:rightChars="-45" w:firstLine="482"/>
    </w:pPr>
    <w:rPr>
      <w:b/>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7">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8">
    <w:name w:val="内容"/>
    <w:basedOn w:val="1"/>
    <w:qFormat/>
    <w:uiPriority w:val="0"/>
    <w:pPr>
      <w:spacing w:line="480" w:lineRule="exact"/>
      <w:ind w:firstLine="200" w:firstLineChars="200"/>
    </w:pPr>
  </w:style>
  <w:style w:type="paragraph" w:customStyle="1" w:styleId="149">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0">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1">
    <w:name w:val="列出段落11"/>
    <w:basedOn w:val="1"/>
    <w:qFormat/>
    <w:uiPriority w:val="99"/>
    <w:pPr>
      <w:ind w:firstLine="420" w:firstLineChars="200"/>
    </w:pPr>
  </w:style>
  <w:style w:type="paragraph" w:customStyle="1" w:styleId="152">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表格文字"/>
    <w:basedOn w:val="1"/>
    <w:qFormat/>
    <w:uiPriority w:val="0"/>
    <w:pPr>
      <w:adjustRightInd w:val="0"/>
      <w:spacing w:line="420" w:lineRule="atLeast"/>
      <w:jc w:val="left"/>
      <w:textAlignment w:val="baseline"/>
    </w:pPr>
    <w:rPr>
      <w:kern w:val="0"/>
      <w:szCs w:val="20"/>
    </w:rPr>
  </w:style>
  <w:style w:type="paragraph" w:customStyle="1" w:styleId="154">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5">
    <w:name w:val="样式2"/>
    <w:basedOn w:val="5"/>
    <w:qFormat/>
    <w:uiPriority w:val="0"/>
  </w:style>
  <w:style w:type="character" w:customStyle="1" w:styleId="156">
    <w:name w:val="after"/>
    <w:qFormat/>
    <w:uiPriority w:val="0"/>
    <w:rPr>
      <w:bdr w:val="dashed" w:color="auto" w:sz="48" w:space="0"/>
    </w:rPr>
  </w:style>
  <w:style w:type="character" w:customStyle="1" w:styleId="157">
    <w:name w:val="before"/>
    <w:qFormat/>
    <w:uiPriority w:val="0"/>
    <w:rPr>
      <w:bdr w:val="single" w:color="auto" w:sz="48" w:space="0"/>
    </w:rPr>
  </w:style>
  <w:style w:type="character" w:customStyle="1" w:styleId="158">
    <w:name w:val="hover48"/>
    <w:qFormat/>
    <w:uiPriority w:val="0"/>
    <w:rPr>
      <w:shd w:val="clear" w:color="auto" w:fill="346AC3"/>
    </w:rPr>
  </w:style>
  <w:style w:type="character" w:customStyle="1" w:styleId="159">
    <w:name w:val="hover49"/>
    <w:basedOn w:val="40"/>
    <w:qFormat/>
    <w:uiPriority w:val="0"/>
  </w:style>
  <w:style w:type="character" w:customStyle="1" w:styleId="160">
    <w:name w:val="hover50"/>
    <w:qFormat/>
    <w:uiPriority w:val="0"/>
    <w:rPr>
      <w:color w:val="4285F4"/>
      <w:u w:val="none"/>
    </w:rPr>
  </w:style>
  <w:style w:type="character" w:customStyle="1" w:styleId="161">
    <w:name w:val="hover51"/>
    <w:qFormat/>
    <w:uiPriority w:val="0"/>
    <w:rPr>
      <w:color w:val="4285F4"/>
    </w:rPr>
  </w:style>
  <w:style w:type="character" w:customStyle="1" w:styleId="162">
    <w:name w:val="hover52"/>
    <w:qFormat/>
    <w:uiPriority w:val="0"/>
    <w:rPr>
      <w:color w:val="1A85D7"/>
    </w:rPr>
  </w:style>
  <w:style w:type="character" w:customStyle="1" w:styleId="163">
    <w:name w:val="credit"/>
    <w:qFormat/>
    <w:uiPriority w:val="0"/>
    <w:rPr>
      <w:sz w:val="18"/>
      <w:szCs w:val="18"/>
    </w:rPr>
  </w:style>
  <w:style w:type="character" w:customStyle="1" w:styleId="164">
    <w:name w:val="first-child"/>
    <w:basedOn w:val="40"/>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1288</Words>
  <Characters>7348</Characters>
  <Lines>61</Lines>
  <Paragraphs>17</Paragraphs>
  <ScaleCrop>false</ScaleCrop>
  <LinksUpToDate>false</LinksUpToDate>
  <CharactersWithSpaces>8619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蒋成科</cp:lastModifiedBy>
  <cp:lastPrinted>2020-05-11T07:11:00Z</cp:lastPrinted>
  <dcterms:modified xsi:type="dcterms:W3CDTF">2021-08-02T01:22:59Z</dcterms:modified>
  <dc:title>项目名称：2019年重庆市取消高速公路省界收费站项目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9AA232BBC7F94BBAA841210958F5E029</vt:lpwstr>
  </property>
</Properties>
</file>