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重庆高速公路2023-2025年服务区保安保洁业务外包项目一标段（都市区域）中标候选人公示</w:t>
      </w:r>
      <w:r>
        <w:rPr>
          <w:rFonts w:hint="eastAsia" w:ascii="方正小标宋_GBK" w:eastAsia="方正小标宋_GBK"/>
          <w:sz w:val="32"/>
          <w:szCs w:val="32"/>
          <w:lang w:val="en-US" w:eastAsia="zh-CN"/>
        </w:rPr>
        <w:t>表</w:t>
      </w:r>
    </w:p>
    <w:p>
      <w:pPr>
        <w:jc w:val="center"/>
        <w:rPr>
          <w:rFonts w:hint="eastAsia" w:ascii="方正小标宋_GBK" w:eastAsia="方正小标宋_GBK"/>
          <w:sz w:val="30"/>
          <w:szCs w:val="30"/>
          <w:lang w:val="en-US" w:eastAsia="zh-CN"/>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26</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29</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13"/>
        <w:gridCol w:w="1438"/>
        <w:gridCol w:w="471"/>
        <w:gridCol w:w="519"/>
        <w:gridCol w:w="1174"/>
        <w:gridCol w:w="851"/>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项目标段名称</w:t>
            </w:r>
          </w:p>
        </w:tc>
        <w:tc>
          <w:tcPr>
            <w:tcW w:w="5115"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重庆高速公路2023-2025年服务区保安保洁业务外包项目一标段（都市区域）</w:t>
            </w:r>
          </w:p>
        </w:tc>
        <w:tc>
          <w:tcPr>
            <w:tcW w:w="1390" w:type="dxa"/>
            <w:gridSpan w:val="2"/>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2107" w:type="dxa"/>
            <w:gridSpan w:val="2"/>
            <w:vMerge w:val="restart"/>
            <w:shd w:val="clear" w:color="auto" w:fill="auto"/>
            <w:vAlign w:val="center"/>
          </w:tcPr>
          <w:p>
            <w:pPr>
              <w:widowControl/>
              <w:jc w:val="center"/>
              <w:rPr>
                <w:rFonts w:hint="default" w:ascii="宋体" w:hAnsi="宋体" w:eastAsia="宋体" w:cs="宋体"/>
                <w:color w:val="auto"/>
                <w:kern w:val="0"/>
                <w:sz w:val="22"/>
                <w:lang w:val="en-US"/>
              </w:rPr>
            </w:pPr>
            <w:r>
              <w:rPr>
                <w:rFonts w:hint="default" w:ascii="宋体" w:hAnsi="宋体" w:eastAsia="宋体" w:cs="宋体"/>
                <w:color w:val="auto"/>
                <w:kern w:val="0"/>
                <w:sz w:val="22"/>
                <w:lang w:val="en-US"/>
              </w:rPr>
              <w:t>70808908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项目编码</w:t>
            </w:r>
          </w:p>
        </w:tc>
        <w:tc>
          <w:tcPr>
            <w:tcW w:w="5115"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ab/>
            </w:r>
            <w:r>
              <w:rPr>
                <w:rFonts w:hint="eastAsia" w:ascii="宋体" w:hAnsi="宋体" w:eastAsia="宋体" w:cs="宋体"/>
                <w:color w:val="auto"/>
                <w:kern w:val="0"/>
                <w:sz w:val="22"/>
              </w:rPr>
              <w:t>50000120221124025030101</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招标公告编号</w:t>
            </w:r>
          </w:p>
        </w:tc>
        <w:tc>
          <w:tcPr>
            <w:tcW w:w="5115" w:type="dxa"/>
            <w:gridSpan w:val="5"/>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招标人</w:t>
            </w:r>
          </w:p>
        </w:tc>
        <w:tc>
          <w:tcPr>
            <w:tcW w:w="5115"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重庆高速公路路网管理有限公司</w:t>
            </w:r>
          </w:p>
        </w:tc>
        <w:tc>
          <w:tcPr>
            <w:tcW w:w="1390"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023-86917617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招标代理机构</w:t>
            </w:r>
          </w:p>
        </w:tc>
        <w:tc>
          <w:tcPr>
            <w:tcW w:w="5115"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tc>
        <w:tc>
          <w:tcPr>
            <w:tcW w:w="1390"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restart"/>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513"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74" w:type="dxa"/>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3497" w:type="dxa"/>
            <w:gridSpan w:val="4"/>
            <w:shd w:val="clear" w:color="auto" w:fill="auto"/>
            <w:vAlign w:val="center"/>
          </w:tcPr>
          <w:p>
            <w:pPr>
              <w:widowControl/>
              <w:jc w:val="center"/>
              <w:rPr>
                <w:rFonts w:hint="eastAsia" w:ascii="Calibri" w:hAnsi="Calibri" w:eastAsia="宋体" w:cs="Calibri"/>
                <w:color w:val="auto"/>
                <w:kern w:val="0"/>
                <w:sz w:val="22"/>
              </w:rPr>
            </w:pPr>
            <w:r>
              <w:rPr>
                <w:rFonts w:hint="eastAsia" w:ascii="Calibri" w:hAnsi="Calibri" w:eastAsia="宋体" w:cs="Calibri"/>
                <w:color w:val="auto"/>
                <w:kern w:val="0"/>
                <w:sz w:val="22"/>
                <w:lang w:val="en-US" w:eastAsia="zh-CN"/>
              </w:rPr>
              <w:t>工程</w:t>
            </w:r>
            <w:r>
              <w:rPr>
                <w:rFonts w:ascii="Calibri" w:hAnsi="Calibri" w:eastAsia="宋体" w:cs="Calibri"/>
                <w:color w:val="auto"/>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continue"/>
            <w:vAlign w:val="center"/>
          </w:tcPr>
          <w:p>
            <w:pPr>
              <w:widowControl/>
              <w:jc w:val="left"/>
              <w:rPr>
                <w:rFonts w:ascii="宋体" w:hAnsi="宋体" w:eastAsia="宋体" w:cs="宋体"/>
                <w:color w:val="auto"/>
                <w:kern w:val="0"/>
                <w:sz w:val="22"/>
              </w:rPr>
            </w:pPr>
          </w:p>
        </w:tc>
        <w:tc>
          <w:tcPr>
            <w:tcW w:w="1513" w:type="dxa"/>
            <w:vMerge w:val="continue"/>
            <w:vAlign w:val="center"/>
          </w:tcPr>
          <w:p>
            <w:pPr>
              <w:widowControl/>
              <w:jc w:val="left"/>
              <w:rPr>
                <w:rFonts w:ascii="宋体" w:hAnsi="宋体" w:eastAsia="宋体" w:cs="宋体"/>
                <w:color w:val="auto"/>
                <w:kern w:val="0"/>
                <w:sz w:val="22"/>
              </w:rPr>
            </w:pPr>
          </w:p>
        </w:tc>
        <w:tc>
          <w:tcPr>
            <w:tcW w:w="1438" w:type="dxa"/>
            <w:vMerge w:val="continue"/>
            <w:vAlign w:val="center"/>
          </w:tcPr>
          <w:p>
            <w:pPr>
              <w:widowControl/>
              <w:jc w:val="left"/>
              <w:rPr>
                <w:rFonts w:ascii="宋体" w:hAnsi="宋体" w:eastAsia="宋体" w:cs="宋体"/>
                <w:color w:val="auto"/>
                <w:kern w:val="0"/>
                <w:sz w:val="22"/>
              </w:rPr>
            </w:pPr>
          </w:p>
        </w:tc>
        <w:tc>
          <w:tcPr>
            <w:tcW w:w="990" w:type="dxa"/>
            <w:gridSpan w:val="2"/>
            <w:vMerge w:val="continue"/>
            <w:vAlign w:val="center"/>
          </w:tcPr>
          <w:p>
            <w:pPr>
              <w:widowControl/>
              <w:jc w:val="left"/>
              <w:rPr>
                <w:rFonts w:ascii="宋体" w:hAnsi="宋体" w:eastAsia="宋体" w:cs="宋体"/>
                <w:color w:val="auto"/>
                <w:kern w:val="0"/>
                <w:sz w:val="22"/>
              </w:rPr>
            </w:pPr>
          </w:p>
        </w:tc>
        <w:tc>
          <w:tcPr>
            <w:tcW w:w="1174" w:type="dxa"/>
            <w:vMerge w:val="continue"/>
            <w:vAlign w:val="center"/>
          </w:tcPr>
          <w:p>
            <w:pPr>
              <w:widowControl/>
              <w:jc w:val="left"/>
              <w:rPr>
                <w:rFonts w:ascii="宋体" w:hAnsi="宋体" w:eastAsia="宋体" w:cs="宋体"/>
                <w:color w:val="auto"/>
                <w:kern w:val="0"/>
                <w:sz w:val="22"/>
              </w:rPr>
            </w:pPr>
          </w:p>
        </w:tc>
        <w:tc>
          <w:tcPr>
            <w:tcW w:w="851" w:type="dxa"/>
            <w:shd w:val="clear" w:color="auto" w:fill="auto"/>
            <w:vAlign w:val="center"/>
          </w:tcPr>
          <w:p>
            <w:pPr>
              <w:widowControl/>
              <w:jc w:val="center"/>
              <w:rPr>
                <w:rFonts w:ascii="Calibri" w:hAnsi="Calibri" w:eastAsia="宋体" w:cs="Calibri"/>
                <w:color w:val="auto"/>
                <w:kern w:val="0"/>
                <w:sz w:val="22"/>
              </w:rPr>
            </w:pPr>
            <w:r>
              <w:rPr>
                <w:rFonts w:ascii="Calibri" w:hAnsi="Calibri" w:eastAsia="宋体" w:cs="Calibri"/>
                <w:color w:val="auto"/>
                <w:kern w:val="0"/>
                <w:sz w:val="22"/>
              </w:rPr>
              <w:t>姓名</w:t>
            </w:r>
          </w:p>
        </w:tc>
        <w:tc>
          <w:tcPr>
            <w:tcW w:w="1109" w:type="dxa"/>
            <w:gridSpan w:val="2"/>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证书名称</w:t>
            </w:r>
          </w:p>
        </w:tc>
        <w:tc>
          <w:tcPr>
            <w:tcW w:w="1537" w:type="dxa"/>
            <w:shd w:val="clear" w:color="auto" w:fill="auto"/>
            <w:vAlign w:val="center"/>
          </w:tcPr>
          <w:p>
            <w:pPr>
              <w:widowControl/>
              <w:jc w:val="center"/>
              <w:rPr>
                <w:rFonts w:hint="eastAsia" w:ascii="Calibri" w:hAnsi="Calibri" w:eastAsia="宋体" w:cs="Calibri"/>
                <w:color w:val="auto"/>
                <w:kern w:val="0"/>
                <w:sz w:val="22"/>
              </w:rPr>
            </w:pPr>
            <w:r>
              <w:rPr>
                <w:rFonts w:ascii="Calibri" w:hAnsi="Calibri" w:eastAsia="宋体" w:cs="Calibri"/>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第一名</w:t>
            </w:r>
          </w:p>
        </w:tc>
        <w:tc>
          <w:tcPr>
            <w:tcW w:w="1513"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重庆康运保安服务有限公司</w:t>
            </w:r>
          </w:p>
        </w:tc>
        <w:tc>
          <w:tcPr>
            <w:tcW w:w="143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64993160</w:t>
            </w:r>
          </w:p>
        </w:tc>
        <w:tc>
          <w:tcPr>
            <w:tcW w:w="990"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符合招标文件要求</w:t>
            </w:r>
          </w:p>
        </w:tc>
        <w:tc>
          <w:tcPr>
            <w:tcW w:w="1174"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满足招标文件要求</w:t>
            </w:r>
          </w:p>
        </w:tc>
        <w:tc>
          <w:tcPr>
            <w:tcW w:w="851"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109"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537"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8612" w:type="dxa"/>
            <w:gridSpan w:val="9"/>
            <w:shd w:val="clear" w:color="auto" w:fill="auto"/>
            <w:vAlign w:val="center"/>
          </w:tcPr>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8612" w:type="dxa"/>
            <w:gridSpan w:val="9"/>
            <w:shd w:val="clear" w:color="auto" w:fill="auto"/>
            <w:vAlign w:val="center"/>
          </w:tcPr>
          <w:p>
            <w:pPr>
              <w:widowControl/>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第一中标候选人：重庆康运保安服务有限公司</w:t>
            </w:r>
          </w:p>
          <w:p>
            <w:pPr>
              <w:keepNext w:val="0"/>
              <w:keepLines w:val="0"/>
              <w:widowControl/>
              <w:suppressLineNumbers w:val="0"/>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保洁服务合同：合同金额210.60 万元；十七号线安保服务采购项目：合同金额2869.1820 万元；成都地铁 5 号线一二期、7号线、8 号线一期安保（安检、安保）服务项目 A/B/C标段 C 标段合同：合同金额：12912.7400 万元；3 号线车站安保安检服务委外项目合同书：金额：13351.2624 万元；北 京 轨 道 交 通 19 号 线2021-2024 年度安检保安服务项目合同文件：合同金额：10556.3320 万元；2022 年成都地铁第一批安保服务项目 B 标合同：</w:t>
            </w:r>
            <w:bookmarkStart w:id="0" w:name="_GoBack"/>
            <w:bookmarkEnd w:id="0"/>
            <w:r>
              <w:rPr>
                <w:rFonts w:hint="eastAsia" w:ascii="宋体" w:hAnsi="宋体" w:eastAsia="宋体" w:cs="宋体"/>
                <w:color w:val="auto"/>
                <w:kern w:val="0"/>
                <w:sz w:val="22"/>
                <w:lang w:val="en-US" w:eastAsia="zh-CN"/>
              </w:rPr>
              <w:t>合同金额：9100.857804 万元。</w:t>
            </w:r>
          </w:p>
          <w:p>
            <w:pPr>
              <w:keepNext w:val="0"/>
              <w:keepLines w:val="0"/>
              <w:widowControl/>
              <w:suppressLineNumbers w:val="0"/>
              <w:jc w:val="left"/>
              <w:rPr>
                <w:rFonts w:hint="default" w:ascii="宋体" w:hAnsi="宋体" w:eastAsia="宋体" w:cs="宋体"/>
                <w:color w:val="auto"/>
                <w:kern w:val="0"/>
                <w:sz w:val="22"/>
                <w:lang w:val="en-US" w:eastAsia="zh-CN"/>
              </w:rPr>
            </w:pPr>
          </w:p>
          <w:p>
            <w:pPr>
              <w:keepNext w:val="0"/>
              <w:keepLines w:val="0"/>
              <w:widowControl/>
              <w:suppressLineNumbers w:val="0"/>
              <w:jc w:val="left"/>
              <w:rPr>
                <w:rFonts w:hint="eastAsia" w:ascii="宋体" w:hAnsi="宋体" w:eastAsia="宋体" w:cs="宋体"/>
                <w:color w:val="auto"/>
                <w:kern w:val="0"/>
                <w:sz w:val="22"/>
                <w:lang w:eastAsia="zh-CN"/>
              </w:rPr>
            </w:pPr>
            <w:r>
              <w:rPr>
                <w:rFonts w:hint="eastAsia" w:ascii="宋体" w:hAnsi="宋体" w:eastAsia="宋体" w:cs="宋体"/>
                <w:b/>
                <w:bCs/>
                <w:color w:val="auto"/>
                <w:kern w:val="0"/>
                <w:sz w:val="22"/>
                <w:lang w:eastAsia="zh-CN"/>
              </w:rPr>
              <w:t>否决投标情况：</w:t>
            </w:r>
            <w:r>
              <w:rPr>
                <w:rFonts w:hint="eastAsia" w:ascii="宋体" w:hAnsi="宋体" w:eastAsia="宋体" w:cs="宋体"/>
                <w:b/>
                <w:bCs/>
                <w:color w:val="auto"/>
                <w:kern w:val="0"/>
                <w:sz w:val="22"/>
                <w:lang w:val="en-US" w:eastAsia="zh-CN"/>
              </w:rPr>
              <w:t>重庆市永川保安服务有限责任公司</w:t>
            </w:r>
            <w:r>
              <w:rPr>
                <w:rFonts w:hint="eastAsia" w:ascii="宋体" w:hAnsi="宋体" w:eastAsia="宋体" w:cs="宋体"/>
                <w:color w:val="auto"/>
                <w:kern w:val="0"/>
                <w:sz w:val="22"/>
                <w:lang w:val="en-US" w:eastAsia="zh-CN"/>
              </w:rPr>
              <w:t>投标文件中未提供 2021 年年度审计报告及财务报表中的利润表，不满足招标文件投标人须知部分 1.4.1 第 4 款要求，根据招标文件《否决投标情形一览表》A-3 项“投标人财务要求”之要求，其投标文件被否决；</w:t>
            </w:r>
            <w:r>
              <w:rPr>
                <w:rFonts w:hint="eastAsia" w:ascii="宋体" w:hAnsi="宋体" w:eastAsia="宋体" w:cs="宋体"/>
                <w:b/>
                <w:bCs/>
                <w:color w:val="auto"/>
                <w:kern w:val="0"/>
                <w:sz w:val="22"/>
                <w:lang w:val="en-US" w:eastAsia="zh-CN"/>
              </w:rPr>
              <w:t>中安国保（重庆）保安服务有限公司</w:t>
            </w:r>
            <w:r>
              <w:rPr>
                <w:rFonts w:hint="eastAsia" w:ascii="宋体" w:hAnsi="宋体" w:eastAsia="宋体" w:cs="宋体"/>
                <w:color w:val="auto"/>
                <w:kern w:val="0"/>
                <w:sz w:val="22"/>
                <w:lang w:val="en-US" w:eastAsia="zh-CN"/>
              </w:rPr>
              <w:t>投标文件中未提供 2019 年年度审计报告及财务报表，不满足招标文件投标人须知部分 1.4.1 第 4 款要求，根据招标文件《否决投标情形一览表》A-3 项“投标人财务要求”之要求，其投标文件被否决。投标保证金交纳情况一览表中显示中海物业管理有限公司未足额缴纳投标保证金，</w:t>
            </w:r>
            <w:r>
              <w:rPr>
                <w:rFonts w:hint="eastAsia" w:ascii="宋体" w:hAnsi="宋体" w:eastAsia="宋体" w:cs="宋体"/>
                <w:b/>
                <w:bCs/>
                <w:color w:val="auto"/>
                <w:kern w:val="0"/>
                <w:sz w:val="22"/>
                <w:lang w:val="en-US" w:eastAsia="zh-CN"/>
              </w:rPr>
              <w:t>中海物业管理有限公司</w:t>
            </w:r>
            <w:r>
              <w:rPr>
                <w:rFonts w:hint="eastAsia" w:ascii="宋体" w:hAnsi="宋体" w:eastAsia="宋体" w:cs="宋体"/>
                <w:color w:val="auto"/>
                <w:kern w:val="0"/>
                <w:sz w:val="22"/>
                <w:lang w:val="en-US" w:eastAsia="zh-CN"/>
              </w:rPr>
              <w:t>不满足招标文件投标人须知部分第 3.4 款“投标保证金””要求，根据招标文件《否决投标情形一览表》A-14 项“投标人须知前附表第 3.4 项规定提交了投标保证金”之要求，其投标文件被否决。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8612" w:type="dxa"/>
            <w:gridSpan w:val="9"/>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8612" w:type="dxa"/>
            <w:gridSpan w:val="9"/>
            <w:shd w:val="clear" w:color="auto" w:fill="auto"/>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eastAsia="宋体" w:cs="宋体"/>
                <w:color w:val="auto"/>
                <w:kern w:val="0"/>
                <w:sz w:val="22"/>
                <w:lang w:val="en-US" w:eastAsia="zh-CN"/>
              </w:rPr>
              <w:t xml:space="preserve">重庆高速公路路网管理有限公司公众服务部，联系电话：023-89138556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70" w:type="dxa"/>
            <w:gridSpan w:val="4"/>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重庆高速公路路网管理有限公司 </w:t>
            </w:r>
          </w:p>
          <w:p>
            <w:pPr>
              <w:pStyle w:val="2"/>
              <w:rPr>
                <w:rFonts w:hint="eastAsia" w:ascii="宋体" w:hAnsi="宋体" w:eastAsia="宋体" w:cs="宋体"/>
                <w:color w:val="auto"/>
                <w:kern w:val="0"/>
                <w:sz w:val="22"/>
              </w:rPr>
            </w:pP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2022</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 xml:space="preserve"> 月</w:t>
            </w:r>
            <w:r>
              <w:rPr>
                <w:rFonts w:hint="eastAsia" w:ascii="宋体" w:hAnsi="宋体" w:eastAsia="宋体" w:cs="宋体"/>
                <w:color w:val="auto"/>
                <w:kern w:val="0"/>
                <w:sz w:val="22"/>
                <w:lang w:val="en-US" w:eastAsia="zh-CN"/>
              </w:rPr>
              <w:t xml:space="preserve"> 26</w:t>
            </w:r>
            <w:r>
              <w:rPr>
                <w:rFonts w:hint="eastAsia" w:ascii="宋体" w:hAnsi="宋体" w:eastAsia="宋体" w:cs="宋体"/>
                <w:color w:val="auto"/>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p>
          <w:p>
            <w:pPr>
              <w:pStyle w:val="2"/>
              <w:rPr>
                <w:rFonts w:hint="eastAsia"/>
                <w:color w:val="auto"/>
                <w:lang w:eastAsia="zh-CN"/>
              </w:rPr>
            </w:pP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2022</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 xml:space="preserve"> 月</w:t>
            </w:r>
            <w:r>
              <w:rPr>
                <w:rFonts w:hint="eastAsia" w:ascii="宋体" w:hAnsi="宋体" w:eastAsia="宋体" w:cs="宋体"/>
                <w:color w:val="auto"/>
                <w:kern w:val="0"/>
                <w:sz w:val="22"/>
                <w:lang w:val="en-US" w:eastAsia="zh-CN"/>
              </w:rPr>
              <w:t>26</w:t>
            </w:r>
            <w:r>
              <w:rPr>
                <w:rFonts w:hint="eastAsia" w:ascii="宋体" w:hAnsi="宋体" w:eastAsia="宋体" w:cs="宋体"/>
                <w:color w:val="auto"/>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F66ABD"/>
    <w:rsid w:val="020D770A"/>
    <w:rsid w:val="02154E6B"/>
    <w:rsid w:val="025507E1"/>
    <w:rsid w:val="02C0122C"/>
    <w:rsid w:val="034D0DC7"/>
    <w:rsid w:val="038076F6"/>
    <w:rsid w:val="0429305B"/>
    <w:rsid w:val="043B3CCE"/>
    <w:rsid w:val="047F1DAB"/>
    <w:rsid w:val="054144F3"/>
    <w:rsid w:val="072E314F"/>
    <w:rsid w:val="0733430F"/>
    <w:rsid w:val="084819CC"/>
    <w:rsid w:val="08884840"/>
    <w:rsid w:val="08F21A03"/>
    <w:rsid w:val="09834A1F"/>
    <w:rsid w:val="0A0C3409"/>
    <w:rsid w:val="0AB80DB3"/>
    <w:rsid w:val="0AD80180"/>
    <w:rsid w:val="0AFE4225"/>
    <w:rsid w:val="0B725406"/>
    <w:rsid w:val="0E090577"/>
    <w:rsid w:val="0E95291F"/>
    <w:rsid w:val="0EA53929"/>
    <w:rsid w:val="0F474788"/>
    <w:rsid w:val="0F7110E9"/>
    <w:rsid w:val="11AC68AA"/>
    <w:rsid w:val="14947D5C"/>
    <w:rsid w:val="15791A87"/>
    <w:rsid w:val="158226E9"/>
    <w:rsid w:val="160805D7"/>
    <w:rsid w:val="16322361"/>
    <w:rsid w:val="16484750"/>
    <w:rsid w:val="166B41F1"/>
    <w:rsid w:val="18C67B43"/>
    <w:rsid w:val="198C002F"/>
    <w:rsid w:val="19C14582"/>
    <w:rsid w:val="1A182FA5"/>
    <w:rsid w:val="1E110AAE"/>
    <w:rsid w:val="1E2433C8"/>
    <w:rsid w:val="1EBE0C60"/>
    <w:rsid w:val="21015917"/>
    <w:rsid w:val="21442F49"/>
    <w:rsid w:val="23160915"/>
    <w:rsid w:val="242C0AC7"/>
    <w:rsid w:val="255527BA"/>
    <w:rsid w:val="273121C1"/>
    <w:rsid w:val="27762747"/>
    <w:rsid w:val="28461C9C"/>
    <w:rsid w:val="2887022B"/>
    <w:rsid w:val="2A067935"/>
    <w:rsid w:val="2AED63FF"/>
    <w:rsid w:val="2B6851C9"/>
    <w:rsid w:val="2C3F2C8B"/>
    <w:rsid w:val="2CEA4F93"/>
    <w:rsid w:val="2EBD258D"/>
    <w:rsid w:val="2F25085E"/>
    <w:rsid w:val="2F334741"/>
    <w:rsid w:val="3290545A"/>
    <w:rsid w:val="337E22EA"/>
    <w:rsid w:val="339B0D78"/>
    <w:rsid w:val="33C00B55"/>
    <w:rsid w:val="33FE5081"/>
    <w:rsid w:val="34014CC9"/>
    <w:rsid w:val="34310729"/>
    <w:rsid w:val="346B1830"/>
    <w:rsid w:val="34880F47"/>
    <w:rsid w:val="351B09A1"/>
    <w:rsid w:val="381256F7"/>
    <w:rsid w:val="394A036E"/>
    <w:rsid w:val="39D71B1E"/>
    <w:rsid w:val="3A1B6D32"/>
    <w:rsid w:val="3CB1626A"/>
    <w:rsid w:val="3D3B0A08"/>
    <w:rsid w:val="3DF92F26"/>
    <w:rsid w:val="3EF94F1B"/>
    <w:rsid w:val="3FF746D7"/>
    <w:rsid w:val="40471EFB"/>
    <w:rsid w:val="40477F08"/>
    <w:rsid w:val="43767507"/>
    <w:rsid w:val="43DE0C50"/>
    <w:rsid w:val="44F56185"/>
    <w:rsid w:val="456E1846"/>
    <w:rsid w:val="46024FFD"/>
    <w:rsid w:val="466C06C8"/>
    <w:rsid w:val="473016F6"/>
    <w:rsid w:val="47596E9F"/>
    <w:rsid w:val="47E524E0"/>
    <w:rsid w:val="47F92D32"/>
    <w:rsid w:val="47FA230E"/>
    <w:rsid w:val="4812474D"/>
    <w:rsid w:val="48B42A45"/>
    <w:rsid w:val="48CC36A0"/>
    <w:rsid w:val="48FC21D7"/>
    <w:rsid w:val="49AD702E"/>
    <w:rsid w:val="4AC9760C"/>
    <w:rsid w:val="4B1D633D"/>
    <w:rsid w:val="4C7B50C0"/>
    <w:rsid w:val="4D300D98"/>
    <w:rsid w:val="4ED32720"/>
    <w:rsid w:val="4EFE2381"/>
    <w:rsid w:val="4FFB3C11"/>
    <w:rsid w:val="50661029"/>
    <w:rsid w:val="509727E6"/>
    <w:rsid w:val="515F3303"/>
    <w:rsid w:val="53956916"/>
    <w:rsid w:val="55794BB0"/>
    <w:rsid w:val="56A22532"/>
    <w:rsid w:val="574B7F6D"/>
    <w:rsid w:val="59803E57"/>
    <w:rsid w:val="59BE6F2B"/>
    <w:rsid w:val="5BA72C22"/>
    <w:rsid w:val="5CB32EB5"/>
    <w:rsid w:val="5CFD0323"/>
    <w:rsid w:val="5D694D67"/>
    <w:rsid w:val="60642993"/>
    <w:rsid w:val="61670F69"/>
    <w:rsid w:val="6223037D"/>
    <w:rsid w:val="63924BE7"/>
    <w:rsid w:val="63F20A4B"/>
    <w:rsid w:val="63F86CD6"/>
    <w:rsid w:val="657C50E7"/>
    <w:rsid w:val="65AF2D06"/>
    <w:rsid w:val="65DC2D1D"/>
    <w:rsid w:val="66707909"/>
    <w:rsid w:val="67147067"/>
    <w:rsid w:val="683706DE"/>
    <w:rsid w:val="69793BB8"/>
    <w:rsid w:val="6992522B"/>
    <w:rsid w:val="69F34AD9"/>
    <w:rsid w:val="6C6677E4"/>
    <w:rsid w:val="6C922387"/>
    <w:rsid w:val="6CD3474E"/>
    <w:rsid w:val="6D836174"/>
    <w:rsid w:val="6DD644F6"/>
    <w:rsid w:val="6FAA35E5"/>
    <w:rsid w:val="6FC90C65"/>
    <w:rsid w:val="7031057E"/>
    <w:rsid w:val="70E976A8"/>
    <w:rsid w:val="71066FB1"/>
    <w:rsid w:val="719165C1"/>
    <w:rsid w:val="74655CAA"/>
    <w:rsid w:val="76B24303"/>
    <w:rsid w:val="7775502F"/>
    <w:rsid w:val="77C43611"/>
    <w:rsid w:val="78F9553C"/>
    <w:rsid w:val="792C5912"/>
    <w:rsid w:val="79A9134B"/>
    <w:rsid w:val="7AF52483"/>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1115</Words>
  <Characters>1314</Characters>
  <Lines>5</Lines>
  <Paragraphs>1</Paragraphs>
  <TotalTime>3</TotalTime>
  <ScaleCrop>false</ScaleCrop>
  <LinksUpToDate>false</LinksUpToDate>
  <CharactersWithSpaces>1466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NTKO</cp:lastModifiedBy>
  <dcterms:modified xsi:type="dcterms:W3CDTF">2022-12-25T10:51:47Z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